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5259932" w:rsidR="007D1947" w:rsidRDefault="0097251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7251E">
                <w:rPr>
                  <w:rFonts w:asciiTheme="majorHAnsi" w:eastAsiaTheme="majorEastAsia" w:hAnsiTheme="majorHAnsi" w:cstheme="majorBidi"/>
                  <w:caps/>
                  <w:color w:val="5B9BD5" w:themeColor="accent1"/>
                  <w:sz w:val="72"/>
                  <w:szCs w:val="72"/>
                </w:rPr>
                <w:t>Budgeting Principles and Approaches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2ABFDA2" w:rsidR="007D1947" w:rsidRDefault="0097251E">
              <w:pPr>
                <w:pStyle w:val="NoSpacing"/>
                <w:jc w:val="center"/>
                <w:rPr>
                  <w:color w:val="5B9BD5" w:themeColor="accent1"/>
                  <w:sz w:val="28"/>
                  <w:szCs w:val="28"/>
                </w:rPr>
              </w:pPr>
              <w:r>
                <w:rPr>
                  <w:color w:val="5B9BD5" w:themeColor="accent1"/>
                  <w:sz w:val="28"/>
                  <w:szCs w:val="28"/>
                </w:rPr>
                <w:t>Vasilica Toma - 1914189</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0T00:00:00Z">
                                    <w:dateFormat w:val="MMMM d, yyyy"/>
                                    <w:lid w:val="en-US"/>
                                    <w:storeMappedDataAs w:val="dateTime"/>
                                    <w:calendar w:val="gregorian"/>
                                  </w:date>
                                </w:sdtPr>
                                <w:sdtContent>
                                  <w:p w14:paraId="52BAF8D9" w14:textId="5C6F5549" w:rsidR="007D1947" w:rsidRDefault="0097251E">
                                    <w:pPr>
                                      <w:pStyle w:val="NoSpacing"/>
                                      <w:spacing w:after="40"/>
                                      <w:jc w:val="center"/>
                                      <w:rPr>
                                        <w:caps/>
                                        <w:color w:val="5B9BD5" w:themeColor="accent1"/>
                                        <w:sz w:val="28"/>
                                        <w:szCs w:val="28"/>
                                      </w:rPr>
                                    </w:pPr>
                                    <w:r>
                                      <w:rPr>
                                        <w:caps/>
                                        <w:color w:val="5B9BD5" w:themeColor="accent1"/>
                                        <w:sz w:val="28"/>
                                        <w:szCs w:val="28"/>
                                      </w:rPr>
                                      <w:t>March 20,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0T00:00:00Z">
                              <w:dateFormat w:val="MMMM d, yyyy"/>
                              <w:lid w:val="en-US"/>
                              <w:storeMappedDataAs w:val="dateTime"/>
                              <w:calendar w:val="gregorian"/>
                            </w:date>
                          </w:sdtPr>
                          <w:sdtContent>
                            <w:p w14:paraId="52BAF8D9" w14:textId="5C6F5549" w:rsidR="007D1947" w:rsidRDefault="0097251E">
                              <w:pPr>
                                <w:pStyle w:val="NoSpacing"/>
                                <w:spacing w:after="40"/>
                                <w:jc w:val="center"/>
                                <w:rPr>
                                  <w:caps/>
                                  <w:color w:val="5B9BD5" w:themeColor="accent1"/>
                                  <w:sz w:val="28"/>
                                  <w:szCs w:val="28"/>
                                </w:rPr>
                              </w:pPr>
                              <w:r>
                                <w:rPr>
                                  <w:caps/>
                                  <w:color w:val="5B9BD5" w:themeColor="accent1"/>
                                  <w:sz w:val="28"/>
                                  <w:szCs w:val="28"/>
                                </w:rPr>
                                <w:t>March 20,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15682910"/>
          <w:r>
            <w:lastRenderedPageBreak/>
            <w:t>Executive Summary</w:t>
          </w:r>
          <w:bookmarkEnd w:id="0"/>
        </w:p>
        <w:p w14:paraId="62AB7F7D" w14:textId="77777777" w:rsidR="007D1947" w:rsidRDefault="007D1947"/>
        <w:p w14:paraId="2D31D5DC" w14:textId="77777777" w:rsidR="004F21D2" w:rsidRDefault="004F21D2" w:rsidP="004F21D2">
          <w:r>
            <w:t xml:space="preserve">This report explores the principle of budgeting and budgeting control as essential tools for effective financial management. The principle of budgeting is used by organizations to allocate resources, </w:t>
          </w:r>
          <w:proofErr w:type="gramStart"/>
          <w:r>
            <w:t>plan for the future</w:t>
          </w:r>
          <w:proofErr w:type="gramEnd"/>
          <w:r>
            <w:t>, identify potential risks, and monitor financial performance.</w:t>
          </w:r>
        </w:p>
        <w:p w14:paraId="5100AF8F" w14:textId="1A14DB68" w:rsidR="004F21D2" w:rsidRDefault="004F21D2" w:rsidP="004F21D2">
          <w:r>
            <w:t>Budgeting control is the process of comparing actual revenue and expenses to the budgeted amounts and taking corrective action when necessary. It involves establishing clear goals, allocating resources based on priorities, developing a monitoring system, and encouraging open communication between departments.</w:t>
          </w:r>
        </w:p>
        <w:p w14:paraId="375B7AC6" w14:textId="77777777" w:rsidR="004F21D2" w:rsidRDefault="004F21D2" w:rsidP="004F21D2">
          <w:r>
            <w:t>To achieve effective budgeting control, companies should use performance metrics, regular reporting, and variance analysis. They should also ensure that everyone is working towards the same goals by encouraging collaboration between departments.</w:t>
          </w:r>
        </w:p>
        <w:p w14:paraId="599223F6" w14:textId="42366AFF" w:rsidR="00676ECF" w:rsidRDefault="00676ECF" w:rsidP="004F21D2">
          <w:r w:rsidRPr="00676ECF">
            <w:t xml:space="preserve">This report will also explore traditional approaches to budgeting and budgeting control in the context of a fast-changing business environment. The limitations of traditional budgeting approaches, such as incremental budgeting and "top-down" budgeting, will be discussed. Additionally, the benefits of adopting more flexible and adaptive budgeting approaches, such as rolling forecasts and Beyond Budgeting </w:t>
          </w:r>
          <w:proofErr w:type="spellStart"/>
          <w:r w:rsidRPr="00676ECF">
            <w:t>budgeting</w:t>
          </w:r>
          <w:proofErr w:type="spellEnd"/>
          <w:r w:rsidRPr="00676ECF">
            <w:t>, will be examined.</w:t>
          </w:r>
        </w:p>
        <w:p w14:paraId="4B49DA90" w14:textId="77777777" w:rsidR="00676ECF" w:rsidRDefault="00676ECF" w:rsidP="004F21D2"/>
        <w:p w14:paraId="6846CF66" w14:textId="4D8D65C4" w:rsidR="007D1947" w:rsidRDefault="004F21D2" w:rsidP="004F21D2">
          <w:r>
            <w:t>This assignment provides insights into the importance of budgeting and budgeting control for organizations to achieve financial stability and long-term success. By following these principles, companies can make informed decisions, manage expenses, and respond to changes in the market.</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F7A954E" w14:textId="77777777" w:rsidR="00AC7AFC" w:rsidRDefault="00AC7AFC" w:rsidP="00AC7AFC">
              <w:pPr>
                <w:rPr>
                  <w:lang w:val="en-US"/>
                </w:rPr>
              </w:pPr>
            </w:p>
            <w:p w14:paraId="601D456E" w14:textId="77777777" w:rsidR="00AC7AFC" w:rsidRPr="00AC7AFC" w:rsidRDefault="00AC7AFC" w:rsidP="00AC7AFC">
              <w:pPr>
                <w:rPr>
                  <w:lang w:val="en-US"/>
                </w:rPr>
              </w:pPr>
            </w:p>
            <w:p w14:paraId="1E37C27B" w14:textId="6809672E" w:rsidR="00084E65"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15682910" w:history="1">
                <w:r w:rsidR="00084E65" w:rsidRPr="00FD33D0">
                  <w:rPr>
                    <w:rStyle w:val="Hyperlink"/>
                    <w:noProof/>
                  </w:rPr>
                  <w:t>Executive Summary</w:t>
                </w:r>
                <w:r w:rsidR="00084E65">
                  <w:rPr>
                    <w:noProof/>
                    <w:webHidden/>
                  </w:rPr>
                  <w:tab/>
                </w:r>
                <w:r w:rsidR="00084E65">
                  <w:rPr>
                    <w:noProof/>
                    <w:webHidden/>
                  </w:rPr>
                  <w:fldChar w:fldCharType="begin"/>
                </w:r>
                <w:r w:rsidR="00084E65">
                  <w:rPr>
                    <w:noProof/>
                    <w:webHidden/>
                  </w:rPr>
                  <w:instrText xml:space="preserve"> PAGEREF _Toc115682910 \h </w:instrText>
                </w:r>
                <w:r w:rsidR="00084E65">
                  <w:rPr>
                    <w:noProof/>
                    <w:webHidden/>
                  </w:rPr>
                </w:r>
                <w:r w:rsidR="00084E65">
                  <w:rPr>
                    <w:noProof/>
                    <w:webHidden/>
                  </w:rPr>
                  <w:fldChar w:fldCharType="separate"/>
                </w:r>
                <w:r w:rsidR="00084E65">
                  <w:rPr>
                    <w:noProof/>
                    <w:webHidden/>
                  </w:rPr>
                  <w:t>1</w:t>
                </w:r>
                <w:r w:rsidR="00084E65">
                  <w:rPr>
                    <w:noProof/>
                    <w:webHidden/>
                  </w:rPr>
                  <w:fldChar w:fldCharType="end"/>
                </w:r>
              </w:hyperlink>
            </w:p>
            <w:p w14:paraId="5C2CA2FA" w14:textId="5FA233DE" w:rsidR="00084E65" w:rsidRDefault="00000000">
              <w:pPr>
                <w:pStyle w:val="TOC1"/>
                <w:tabs>
                  <w:tab w:val="right" w:leader="dot" w:pos="9016"/>
                </w:tabs>
                <w:rPr>
                  <w:rFonts w:eastAsiaTheme="minorEastAsia"/>
                  <w:noProof/>
                  <w:lang w:eastAsia="zh-CN"/>
                </w:rPr>
              </w:pPr>
              <w:hyperlink w:anchor="_Toc115682911" w:history="1">
                <w:r w:rsidR="00084E65" w:rsidRPr="00FD33D0">
                  <w:rPr>
                    <w:rStyle w:val="Hyperlink"/>
                    <w:noProof/>
                  </w:rPr>
                  <w:t xml:space="preserve">Introduction </w:t>
                </w:r>
                <w:r w:rsidR="00084E65">
                  <w:rPr>
                    <w:noProof/>
                    <w:webHidden/>
                  </w:rPr>
                  <w:tab/>
                </w:r>
                <w:r w:rsidR="00AC7AFC">
                  <w:rPr>
                    <w:noProof/>
                    <w:webHidden/>
                  </w:rPr>
                  <w:t>3</w:t>
                </w:r>
              </w:hyperlink>
            </w:p>
            <w:p w14:paraId="26C4121E" w14:textId="05530185" w:rsidR="00084E65" w:rsidRDefault="00000000" w:rsidP="007A7479">
              <w:pPr>
                <w:pStyle w:val="TOC1"/>
                <w:tabs>
                  <w:tab w:val="right" w:leader="dot" w:pos="9016"/>
                </w:tabs>
                <w:rPr>
                  <w:rFonts w:eastAsiaTheme="minorEastAsia"/>
                  <w:noProof/>
                  <w:lang w:eastAsia="zh-CN"/>
                </w:rPr>
              </w:pPr>
              <w:hyperlink w:anchor="_Toc115682912" w:history="1">
                <w:r w:rsidR="00084E65" w:rsidRPr="00FD33D0">
                  <w:rPr>
                    <w:rStyle w:val="Hyperlink"/>
                    <w:noProof/>
                  </w:rPr>
                  <w:t>Main Findings</w:t>
                </w:r>
                <w:r w:rsidR="00084E65">
                  <w:rPr>
                    <w:noProof/>
                    <w:webHidden/>
                  </w:rPr>
                  <w:tab/>
                </w:r>
                <w:r w:rsidR="00084E65">
                  <w:rPr>
                    <w:noProof/>
                    <w:webHidden/>
                  </w:rPr>
                  <w:fldChar w:fldCharType="begin"/>
                </w:r>
                <w:r w:rsidR="00084E65">
                  <w:rPr>
                    <w:noProof/>
                    <w:webHidden/>
                  </w:rPr>
                  <w:instrText xml:space="preserve"> PAGEREF _Toc115682912 \h </w:instrText>
                </w:r>
                <w:r w:rsidR="00084E65">
                  <w:rPr>
                    <w:noProof/>
                    <w:webHidden/>
                  </w:rPr>
                </w:r>
                <w:r w:rsidR="00084E65">
                  <w:rPr>
                    <w:noProof/>
                    <w:webHidden/>
                  </w:rPr>
                  <w:fldChar w:fldCharType="separate"/>
                </w:r>
                <w:r w:rsidR="00084E65">
                  <w:rPr>
                    <w:noProof/>
                    <w:webHidden/>
                  </w:rPr>
                  <w:t>4</w:t>
                </w:r>
                <w:r w:rsidR="00084E65">
                  <w:rPr>
                    <w:noProof/>
                    <w:webHidden/>
                  </w:rPr>
                  <w:fldChar w:fldCharType="end"/>
                </w:r>
              </w:hyperlink>
            </w:p>
            <w:p w14:paraId="4AF7D2DA" w14:textId="6A97D090" w:rsidR="00084E65" w:rsidRDefault="00000000">
              <w:pPr>
                <w:pStyle w:val="TOC1"/>
                <w:tabs>
                  <w:tab w:val="right" w:leader="dot" w:pos="9016"/>
                </w:tabs>
                <w:rPr>
                  <w:rFonts w:eastAsiaTheme="minorEastAsia"/>
                  <w:noProof/>
                  <w:lang w:eastAsia="zh-CN"/>
                </w:rPr>
              </w:pPr>
              <w:hyperlink w:anchor="_Toc115682914" w:history="1">
                <w:r w:rsidR="00084E65" w:rsidRPr="00FD33D0">
                  <w:rPr>
                    <w:rStyle w:val="Hyperlink"/>
                    <w:noProof/>
                  </w:rPr>
                  <w:t>Conclusion</w:t>
                </w:r>
                <w:r w:rsidR="00084E65">
                  <w:rPr>
                    <w:noProof/>
                    <w:webHidden/>
                  </w:rPr>
                  <w:tab/>
                </w:r>
                <w:r w:rsidR="00AC7AFC">
                  <w:rPr>
                    <w:noProof/>
                    <w:webHidden/>
                  </w:rPr>
                  <w:t>10</w:t>
                </w:r>
              </w:hyperlink>
            </w:p>
            <w:p w14:paraId="2060D9C0" w14:textId="1E7BA91D" w:rsidR="00084E65" w:rsidRDefault="00000000">
              <w:pPr>
                <w:pStyle w:val="TOC1"/>
                <w:tabs>
                  <w:tab w:val="right" w:leader="dot" w:pos="9016"/>
                </w:tabs>
                <w:rPr>
                  <w:rFonts w:eastAsiaTheme="minorEastAsia"/>
                  <w:noProof/>
                  <w:lang w:eastAsia="zh-CN"/>
                </w:rPr>
              </w:pPr>
              <w:hyperlink w:anchor="_Toc115682915" w:history="1">
                <w:r w:rsidR="00084E65" w:rsidRPr="00FD33D0">
                  <w:rPr>
                    <w:rStyle w:val="Hyperlink"/>
                    <w:noProof/>
                  </w:rPr>
                  <w:t>Bibliography</w:t>
                </w:r>
                <w:r w:rsidR="00084E65">
                  <w:rPr>
                    <w:noProof/>
                    <w:webHidden/>
                  </w:rPr>
                  <w:tab/>
                </w:r>
                <w:r w:rsidR="00AC7AFC">
                  <w:rPr>
                    <w:noProof/>
                    <w:webHidden/>
                  </w:rPr>
                  <w:t>11</w:t>
                </w:r>
              </w:hyperlink>
            </w:p>
            <w:p w14:paraId="05194699" w14:textId="6087DABA"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0ED321E6" w14:textId="36C51B1E" w:rsidR="007D1947" w:rsidRDefault="007D1947" w:rsidP="00A12B58">
          <w:pPr>
            <w:pStyle w:val="Heading1"/>
          </w:pPr>
          <w:bookmarkStart w:id="1" w:name="_Toc115682911"/>
          <w:r>
            <w:t>Introduction</w:t>
          </w:r>
          <w:r w:rsidR="00480872">
            <w:t xml:space="preserve"> </w:t>
          </w:r>
          <w:bookmarkEnd w:id="1"/>
        </w:p>
        <w:p w14:paraId="2AE25023" w14:textId="77777777" w:rsidR="00D169C4" w:rsidRDefault="00D169C4" w:rsidP="007D1947"/>
        <w:p w14:paraId="5DBAD65B" w14:textId="58F4284E" w:rsidR="004A11F6" w:rsidRDefault="00D169C4" w:rsidP="007D1947">
          <w:r w:rsidRPr="00D169C4">
            <w:t xml:space="preserve">The process of creating a budget and maintaining control over the budget are essential tools for organizations that want to successfully handle their financial resources. Traditional methods of budgeting, such as incremental budgeting and activity-based budgeting, have been extensively utilised by organisations for </w:t>
          </w:r>
          <w:proofErr w:type="gramStart"/>
          <w:r w:rsidRPr="00D169C4">
            <w:t>a number of</w:t>
          </w:r>
          <w:proofErr w:type="gramEnd"/>
          <w:r w:rsidRPr="00D169C4">
            <w:t xml:space="preserve"> decades at this point.</w:t>
          </w:r>
          <w:r w:rsidRPr="00D169C4">
            <w:t xml:space="preserve"> </w:t>
          </w:r>
          <w:r w:rsidRPr="00D169C4">
            <w:t>However, with the emergence of fast-changing business environments, characterized by rapid technological advancements, market disruptions, and unexpected events such as the COVID-19 pandemic, traditional approaches to budgeting may no longer be sufficient.</w:t>
          </w:r>
        </w:p>
        <w:p w14:paraId="3C54A7CD" w14:textId="1D86D5FB" w:rsidR="002308D4" w:rsidRDefault="002308D4" w:rsidP="007D1947">
          <w:r w:rsidRPr="002308D4">
            <w:t>This report will examine the difficulties that conventional approaches to accounting present in the setting of a business environment that is characterised by rapid change. The constraints of conventional budgetary approaches will be investigated, as w</w:t>
          </w:r>
          <w:r>
            <w:t>i</w:t>
          </w:r>
          <w:r w:rsidRPr="002308D4">
            <w:t>ll the ways in which these approaches can impede an organisation's ability to respond rapidly to changes in the market, make decisions based on accurate information, and achieve long-term financial success.</w:t>
          </w:r>
        </w:p>
        <w:p w14:paraId="1EE2DA8C" w14:textId="04994AA1" w:rsidR="002308D4" w:rsidRDefault="002308D4" w:rsidP="007D1947">
          <w:r w:rsidRPr="002308D4">
            <w:t>In addition, this report will investigate more malleable and adaptable approaches to budgeting, such as rolling forecasts and others, which are better suitable for business environments that are characterised by a high rate of environmental change. We will talk about the advantages of implementing these techniques, including how they provide businesses with the necessary mobility to react swiftly to changes in the market, modify their finances appropriately, and grasp possibilities for development.</w:t>
          </w:r>
          <w:r w:rsidRPr="002308D4">
            <w:t xml:space="preserve"> </w:t>
          </w:r>
          <w:r w:rsidRPr="002308D4">
            <w:t>In addition</w:t>
          </w:r>
          <w:r>
            <w:t>,</w:t>
          </w:r>
          <w:r w:rsidRPr="002308D4">
            <w:t xml:space="preserve"> </w:t>
          </w:r>
          <w:r>
            <w:t xml:space="preserve">this report </w:t>
          </w:r>
          <w:r w:rsidRPr="002308D4">
            <w:t xml:space="preserve">will talk about how important it is to incorporate frequent evaluations and feedback procedures into the process of budgeting </w:t>
          </w:r>
          <w:proofErr w:type="gramStart"/>
          <w:r w:rsidRPr="002308D4">
            <w:t>in order to</w:t>
          </w:r>
          <w:proofErr w:type="gramEnd"/>
          <w:r w:rsidRPr="002308D4">
            <w:t xml:space="preserve"> make sure that the organisation's financial objectives continue to match with the organisation's general strategy.</w:t>
          </w:r>
        </w:p>
        <w:p w14:paraId="6A9CF086" w14:textId="238169D0" w:rsidR="002308D4" w:rsidRDefault="002308D4" w:rsidP="007D1947">
          <w:r w:rsidRPr="002308D4">
            <w:t>This report will provide a comprehensive overview of traditional approaches to budgeting in the context of a fast-changing business environment and how organizations can implement flexible and adaptive budgeting strategies to achieve long-term financial success. In general, this report will provide an overview of traditional budgeting approaches into budgeting in the context of a fast-changing business environment.</w:t>
          </w:r>
        </w:p>
        <w:p w14:paraId="0A89A4F1" w14:textId="77777777" w:rsidR="00D169C4" w:rsidRDefault="00D169C4" w:rsidP="007D1947"/>
        <w:p w14:paraId="63BE38B9" w14:textId="77777777" w:rsidR="004A11F6" w:rsidRDefault="004A11F6" w:rsidP="007D1947"/>
        <w:p w14:paraId="1392FEFB" w14:textId="77777777" w:rsidR="004A11F6" w:rsidRDefault="004A11F6" w:rsidP="007D1947"/>
        <w:p w14:paraId="4467DA1A" w14:textId="77777777" w:rsidR="00AC7AFC" w:rsidRDefault="00AC7AFC" w:rsidP="007D1947"/>
        <w:p w14:paraId="1EC83DC3" w14:textId="77777777" w:rsidR="00AC7AFC" w:rsidRDefault="00AC7AFC" w:rsidP="007D1947"/>
        <w:p w14:paraId="2A2E570C" w14:textId="77777777" w:rsidR="00AC7AFC" w:rsidRDefault="00AC7AFC" w:rsidP="007D1947"/>
        <w:p w14:paraId="1450007E" w14:textId="77777777" w:rsidR="00AC7AFC" w:rsidRDefault="00AC7AFC" w:rsidP="007D1947"/>
        <w:p w14:paraId="338F3AFA" w14:textId="77777777" w:rsidR="00AC7AFC" w:rsidRDefault="00AC7AFC" w:rsidP="007D1947"/>
        <w:p w14:paraId="4AF12595" w14:textId="77777777" w:rsidR="00AC7AFC" w:rsidRDefault="00AC7AFC" w:rsidP="007D1947"/>
        <w:p w14:paraId="00467CAF" w14:textId="77777777" w:rsidR="00AC7AFC" w:rsidRDefault="00AC7AFC" w:rsidP="007D1947"/>
        <w:p w14:paraId="2E293EB9" w14:textId="13D59F1B" w:rsidR="00480872" w:rsidRDefault="00480872" w:rsidP="00AA2A91">
          <w:pPr>
            <w:pStyle w:val="Heading1"/>
          </w:pPr>
          <w:bookmarkStart w:id="2" w:name="_Toc115682912"/>
          <w:r>
            <w:lastRenderedPageBreak/>
            <w:t>Main Findings</w:t>
          </w:r>
          <w:bookmarkEnd w:id="2"/>
        </w:p>
        <w:p w14:paraId="054598CE" w14:textId="77777777" w:rsidR="008F4B79" w:rsidRPr="008F4B79" w:rsidRDefault="008F4B79" w:rsidP="008F4B79"/>
        <w:p w14:paraId="451B9DF0" w14:textId="77777777" w:rsidR="00F765F4" w:rsidRDefault="00F765F4" w:rsidP="008F4B79">
          <w:pPr>
            <w:pStyle w:val="ListParagraph"/>
            <w:numPr>
              <w:ilvl w:val="0"/>
              <w:numId w:val="1"/>
            </w:numPr>
            <w:ind w:left="851"/>
            <w:jc w:val="both"/>
            <w:rPr>
              <w:rFonts w:ascii="Arial" w:hAnsi="Arial" w:cs="Arial"/>
            </w:rPr>
          </w:pPr>
        </w:p>
        <w:p w14:paraId="7EE4B013" w14:textId="1277E130" w:rsidR="008F4B79" w:rsidRPr="003B62C4" w:rsidRDefault="008F4B79" w:rsidP="00F765F4">
          <w:pPr>
            <w:pStyle w:val="ListParagraph"/>
            <w:numPr>
              <w:ilvl w:val="0"/>
              <w:numId w:val="2"/>
            </w:numPr>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4E564ABA" w:rsidR="008F4B79" w:rsidRDefault="006F4614" w:rsidP="00097CA9">
                <w:pPr>
                  <w:jc w:val="right"/>
                  <w:rPr>
                    <w:rFonts w:ascii="Arial" w:hAnsi="Arial" w:cs="Arial"/>
                  </w:rPr>
                </w:pPr>
                <w:r w:rsidRPr="00A27ABB">
                  <w:rPr>
                    <w:rFonts w:ascii="Arial" w:hAnsi="Arial" w:cs="Arial"/>
                  </w:rPr>
                  <w:t>105</w:t>
                </w:r>
                <w:r w:rsidR="008F4B79">
                  <w:rPr>
                    <w:rFonts w:ascii="Arial" w:hAnsi="Arial" w:cs="Arial"/>
                    <w:color w:val="FF0000"/>
                  </w:rPr>
                  <w:t xml:space="preserve"> </w:t>
                </w:r>
              </w:p>
            </w:tc>
            <w:tc>
              <w:tcPr>
                <w:tcW w:w="992" w:type="dxa"/>
              </w:tcPr>
              <w:p w14:paraId="26FCFE01" w14:textId="596EC6E8" w:rsidR="008F4B79" w:rsidRDefault="008230EC" w:rsidP="00097CA9">
                <w:pPr>
                  <w:jc w:val="right"/>
                  <w:rPr>
                    <w:rFonts w:ascii="Arial" w:hAnsi="Arial" w:cs="Arial"/>
                  </w:rPr>
                </w:pPr>
                <w:r>
                  <w:rPr>
                    <w:rFonts w:ascii="Arial" w:hAnsi="Arial" w:cs="Arial"/>
                  </w:rPr>
                  <w:t>124</w:t>
                </w:r>
                <w:r w:rsidR="008F4B79">
                  <w:rPr>
                    <w:rFonts w:ascii="Arial" w:hAnsi="Arial" w:cs="Arial"/>
                  </w:rPr>
                  <w:t xml:space="preserve"> </w:t>
                </w:r>
              </w:p>
            </w:tc>
            <w:tc>
              <w:tcPr>
                <w:tcW w:w="964" w:type="dxa"/>
              </w:tcPr>
              <w:p w14:paraId="52A93B90" w14:textId="1EE01E5D" w:rsidR="008F4B79" w:rsidRDefault="008230EC" w:rsidP="00097CA9">
                <w:pPr>
                  <w:jc w:val="right"/>
                  <w:rPr>
                    <w:rFonts w:ascii="Arial" w:hAnsi="Arial" w:cs="Arial"/>
                  </w:rPr>
                </w:pPr>
                <w:r>
                  <w:rPr>
                    <w:rFonts w:ascii="Arial" w:hAnsi="Arial" w:cs="Arial"/>
                  </w:rPr>
                  <w:t>130</w:t>
                </w:r>
                <w:r w:rsidR="008F4B79">
                  <w:rPr>
                    <w:rFonts w:ascii="Arial" w:hAnsi="Arial" w:cs="Arial"/>
                  </w:rPr>
                  <w:t xml:space="preserve"> </w:t>
                </w:r>
              </w:p>
            </w:tc>
            <w:tc>
              <w:tcPr>
                <w:tcW w:w="993" w:type="dxa"/>
              </w:tcPr>
              <w:p w14:paraId="415EDCED" w14:textId="7F7DCD62" w:rsidR="008F4B79" w:rsidRDefault="00051FFC" w:rsidP="00097CA9">
                <w:pPr>
                  <w:jc w:val="right"/>
                  <w:rPr>
                    <w:rFonts w:ascii="Arial" w:hAnsi="Arial" w:cs="Arial"/>
                  </w:rPr>
                </w:pPr>
                <w:r>
                  <w:rPr>
                    <w:rFonts w:ascii="Arial" w:hAnsi="Arial" w:cs="Arial"/>
                  </w:rPr>
                  <w:t>158</w:t>
                </w:r>
                <w:r w:rsidR="008F4B79">
                  <w:rPr>
                    <w:rFonts w:ascii="Arial" w:hAnsi="Arial" w:cs="Arial"/>
                  </w:rPr>
                  <w:t xml:space="preserve"> </w:t>
                </w:r>
              </w:p>
            </w:tc>
            <w:tc>
              <w:tcPr>
                <w:tcW w:w="992" w:type="dxa"/>
              </w:tcPr>
              <w:p w14:paraId="6F4E533A" w14:textId="22A7B2D3" w:rsidR="008F4B79" w:rsidRDefault="00051FFC" w:rsidP="00097CA9">
                <w:pPr>
                  <w:jc w:val="right"/>
                  <w:rPr>
                    <w:rFonts w:ascii="Arial" w:hAnsi="Arial" w:cs="Arial"/>
                  </w:rPr>
                </w:pPr>
                <w:r>
                  <w:rPr>
                    <w:rFonts w:ascii="Arial" w:hAnsi="Arial" w:cs="Arial"/>
                  </w:rPr>
                  <w:t>190</w:t>
                </w:r>
                <w:r w:rsidR="008F4B79">
                  <w:rPr>
                    <w:rFonts w:ascii="Arial" w:hAnsi="Arial" w:cs="Arial"/>
                  </w:rPr>
                  <w:t xml:space="preserve"> </w:t>
                </w:r>
              </w:p>
            </w:tc>
            <w:tc>
              <w:tcPr>
                <w:tcW w:w="992" w:type="dxa"/>
              </w:tcPr>
              <w:p w14:paraId="2ADBBDD3" w14:textId="5C1C0F02" w:rsidR="008F4B79" w:rsidRDefault="00051FFC" w:rsidP="00097CA9">
                <w:pPr>
                  <w:jc w:val="right"/>
                  <w:rPr>
                    <w:rFonts w:ascii="Arial" w:hAnsi="Arial" w:cs="Arial"/>
                  </w:rPr>
                </w:pPr>
                <w:r>
                  <w:rPr>
                    <w:rFonts w:ascii="Arial" w:hAnsi="Arial" w:cs="Arial"/>
                  </w:rPr>
                  <w:t>176</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45721F04" w:rsidR="008F4B79" w:rsidRPr="00BC19FF" w:rsidRDefault="00C64C94"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4EFC7E15" w:rsidR="008F4B79" w:rsidRPr="00BC19FF" w:rsidRDefault="00B8741D"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64" w:type="dxa"/>
              </w:tcPr>
              <w:p w14:paraId="7B8CE271" w14:textId="63CA096B" w:rsidR="008F4B79" w:rsidRPr="00BC19FF" w:rsidRDefault="00B8741D"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313A9F41" w:rsidR="008F4B79" w:rsidRPr="00BC19FF" w:rsidRDefault="000F4359"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1B52B4B2" w:rsidR="008F4B79" w:rsidRPr="00BC19FF" w:rsidRDefault="000F4359" w:rsidP="00097CA9">
                <w:pPr>
                  <w:jc w:val="right"/>
                  <w:rPr>
                    <w:rFonts w:ascii="Arial" w:hAnsi="Arial" w:cs="Arial"/>
                    <w:u w:val="single"/>
                  </w:rPr>
                </w:pPr>
                <w:r>
                  <w:rPr>
                    <w:rFonts w:ascii="Arial" w:hAnsi="Arial" w:cs="Arial"/>
                    <w:u w:val="single"/>
                  </w:rPr>
                  <w:t>140</w:t>
                </w:r>
                <w:r w:rsidR="008F4B79">
                  <w:rPr>
                    <w:rFonts w:ascii="Arial" w:hAnsi="Arial" w:cs="Arial"/>
                    <w:u w:val="single"/>
                  </w:rPr>
                  <w:t xml:space="preserve"> </w:t>
                </w:r>
              </w:p>
            </w:tc>
            <w:tc>
              <w:tcPr>
                <w:tcW w:w="992" w:type="dxa"/>
              </w:tcPr>
              <w:p w14:paraId="0FC90AE7" w14:textId="19716286" w:rsidR="008F4B79" w:rsidRPr="00BC19FF" w:rsidRDefault="000F4359"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09A1D7B3" w:rsidR="008F4B79" w:rsidRDefault="00C64C94" w:rsidP="00097CA9">
                <w:pPr>
                  <w:jc w:val="right"/>
                  <w:rPr>
                    <w:rFonts w:ascii="Arial" w:hAnsi="Arial" w:cs="Arial"/>
                  </w:rPr>
                </w:pPr>
                <w:r>
                  <w:rPr>
                    <w:rFonts w:ascii="Arial" w:hAnsi="Arial" w:cs="Arial"/>
                  </w:rPr>
                  <w:t>285</w:t>
                </w:r>
                <w:r w:rsidR="008F4B79">
                  <w:rPr>
                    <w:rFonts w:ascii="Arial" w:hAnsi="Arial" w:cs="Arial"/>
                  </w:rPr>
                  <w:t xml:space="preserve"> </w:t>
                </w:r>
              </w:p>
            </w:tc>
            <w:tc>
              <w:tcPr>
                <w:tcW w:w="992" w:type="dxa"/>
              </w:tcPr>
              <w:p w14:paraId="6FE1EFF6" w14:textId="32550236" w:rsidR="008F4B79" w:rsidRDefault="008230EC" w:rsidP="00097CA9">
                <w:pPr>
                  <w:jc w:val="right"/>
                  <w:rPr>
                    <w:rFonts w:ascii="Arial" w:hAnsi="Arial" w:cs="Arial"/>
                  </w:rPr>
                </w:pPr>
                <w:r>
                  <w:rPr>
                    <w:rFonts w:ascii="Arial" w:hAnsi="Arial" w:cs="Arial"/>
                  </w:rPr>
                  <w:t>284</w:t>
                </w:r>
                <w:r w:rsidR="008F4B79">
                  <w:rPr>
                    <w:rFonts w:ascii="Arial" w:hAnsi="Arial" w:cs="Arial"/>
                  </w:rPr>
                  <w:t xml:space="preserve">  </w:t>
                </w:r>
              </w:p>
            </w:tc>
            <w:tc>
              <w:tcPr>
                <w:tcW w:w="964" w:type="dxa"/>
              </w:tcPr>
              <w:p w14:paraId="49BFB01F" w14:textId="13F12B81" w:rsidR="008F4B79" w:rsidRDefault="008230EC" w:rsidP="00097CA9">
                <w:pPr>
                  <w:jc w:val="right"/>
                  <w:rPr>
                    <w:rFonts w:ascii="Arial" w:hAnsi="Arial" w:cs="Arial"/>
                  </w:rPr>
                </w:pPr>
                <w:r>
                  <w:rPr>
                    <w:rFonts w:ascii="Arial" w:hAnsi="Arial" w:cs="Arial"/>
                  </w:rPr>
                  <w:t>333</w:t>
                </w:r>
                <w:r w:rsidR="008F4B79">
                  <w:rPr>
                    <w:rFonts w:ascii="Arial" w:hAnsi="Arial" w:cs="Arial"/>
                  </w:rPr>
                  <w:t xml:space="preserve"> </w:t>
                </w:r>
              </w:p>
            </w:tc>
            <w:tc>
              <w:tcPr>
                <w:tcW w:w="993" w:type="dxa"/>
              </w:tcPr>
              <w:p w14:paraId="59D4638F" w14:textId="27E8EFDB" w:rsidR="008F4B79" w:rsidRDefault="00051FFC" w:rsidP="00097CA9">
                <w:pPr>
                  <w:jc w:val="right"/>
                  <w:rPr>
                    <w:rFonts w:ascii="Arial" w:hAnsi="Arial" w:cs="Arial"/>
                  </w:rPr>
                </w:pPr>
                <w:r>
                  <w:rPr>
                    <w:rFonts w:ascii="Arial" w:hAnsi="Arial" w:cs="Arial"/>
                  </w:rPr>
                  <w:t>358</w:t>
                </w:r>
                <w:r w:rsidR="008F4B79">
                  <w:rPr>
                    <w:rFonts w:ascii="Arial" w:hAnsi="Arial" w:cs="Arial"/>
                  </w:rPr>
                  <w:t xml:space="preserve"> </w:t>
                </w:r>
              </w:p>
            </w:tc>
            <w:tc>
              <w:tcPr>
                <w:tcW w:w="992" w:type="dxa"/>
              </w:tcPr>
              <w:p w14:paraId="43FC5E09" w14:textId="0B979ADC" w:rsidR="008F4B79" w:rsidRDefault="00051FFC" w:rsidP="00097CA9">
                <w:pPr>
                  <w:jc w:val="right"/>
                  <w:rPr>
                    <w:rFonts w:ascii="Arial" w:hAnsi="Arial" w:cs="Arial"/>
                  </w:rPr>
                </w:pPr>
                <w:r>
                  <w:rPr>
                    <w:rFonts w:ascii="Arial" w:hAnsi="Arial" w:cs="Arial"/>
                  </w:rPr>
                  <w:t>330</w:t>
                </w:r>
                <w:r w:rsidR="008F4B79">
                  <w:rPr>
                    <w:rFonts w:ascii="Arial" w:hAnsi="Arial" w:cs="Arial"/>
                  </w:rPr>
                  <w:t xml:space="preserve"> </w:t>
                </w:r>
              </w:p>
            </w:tc>
            <w:tc>
              <w:tcPr>
                <w:tcW w:w="992" w:type="dxa"/>
              </w:tcPr>
              <w:p w14:paraId="43B04720" w14:textId="3316A7A3" w:rsidR="008F4B79" w:rsidRDefault="00051FFC" w:rsidP="00097CA9">
                <w:pPr>
                  <w:jc w:val="right"/>
                  <w:rPr>
                    <w:rFonts w:ascii="Arial" w:hAnsi="Arial" w:cs="Arial"/>
                  </w:rPr>
                </w:pPr>
                <w:r>
                  <w:rPr>
                    <w:rFonts w:ascii="Arial" w:hAnsi="Arial" w:cs="Arial"/>
                  </w:rPr>
                  <w:t>371</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3E60087B" w:rsidR="008F4B79" w:rsidRDefault="008F4B79" w:rsidP="00097CA9">
                <w:pPr>
                  <w:rPr>
                    <w:rFonts w:ascii="Arial" w:hAnsi="Arial" w:cs="Arial"/>
                  </w:rPr>
                </w:pPr>
                <w:r>
                  <w:rPr>
                    <w:rFonts w:ascii="Arial" w:hAnsi="Arial" w:cs="Arial"/>
                  </w:rPr>
                  <w:t>(</w:t>
                </w:r>
                <w:r w:rsidR="008230EC">
                  <w:rPr>
                    <w:rFonts w:ascii="Arial" w:hAnsi="Arial" w:cs="Arial"/>
                  </w:rPr>
                  <w:t>70</w:t>
                </w:r>
                <w:r>
                  <w:rPr>
                    <w:rFonts w:ascii="Arial" w:hAnsi="Arial" w:cs="Arial"/>
                  </w:rPr>
                  <w:t>% of sales)</w:t>
                </w:r>
              </w:p>
            </w:tc>
            <w:tc>
              <w:tcPr>
                <w:tcW w:w="992" w:type="dxa"/>
              </w:tcPr>
              <w:p w14:paraId="65D5BBF4" w14:textId="26740E23"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161</w:t>
                </w:r>
                <w:r>
                  <w:rPr>
                    <w:rFonts w:ascii="Arial" w:hAnsi="Arial" w:cs="Arial"/>
                    <w:u w:val="single"/>
                  </w:rPr>
                  <w:t>)</w:t>
                </w:r>
              </w:p>
            </w:tc>
            <w:tc>
              <w:tcPr>
                <w:tcW w:w="992" w:type="dxa"/>
              </w:tcPr>
              <w:p w14:paraId="53987C78" w14:textId="258BBF74"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154</w:t>
                </w:r>
                <w:r>
                  <w:rPr>
                    <w:rFonts w:ascii="Arial" w:hAnsi="Arial" w:cs="Arial"/>
                    <w:u w:val="single"/>
                  </w:rPr>
                  <w:t>)</w:t>
                </w:r>
              </w:p>
            </w:tc>
            <w:tc>
              <w:tcPr>
                <w:tcW w:w="964" w:type="dxa"/>
              </w:tcPr>
              <w:p w14:paraId="1BEBF8F6" w14:textId="5EC43B5B"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175</w:t>
                </w:r>
                <w:r>
                  <w:rPr>
                    <w:rFonts w:ascii="Arial" w:hAnsi="Arial" w:cs="Arial"/>
                    <w:u w:val="single"/>
                  </w:rPr>
                  <w:t>)</w:t>
                </w:r>
              </w:p>
            </w:tc>
            <w:tc>
              <w:tcPr>
                <w:tcW w:w="993" w:type="dxa"/>
              </w:tcPr>
              <w:p w14:paraId="46BAC863" w14:textId="393D4BA1"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168</w:t>
                </w:r>
                <w:r>
                  <w:rPr>
                    <w:rFonts w:ascii="Arial" w:hAnsi="Arial" w:cs="Arial"/>
                    <w:u w:val="single"/>
                  </w:rPr>
                  <w:t>)</w:t>
                </w:r>
              </w:p>
            </w:tc>
            <w:tc>
              <w:tcPr>
                <w:tcW w:w="992" w:type="dxa"/>
              </w:tcPr>
              <w:p w14:paraId="06A661B3" w14:textId="31C3B29E"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154</w:t>
                </w:r>
                <w:r>
                  <w:rPr>
                    <w:rFonts w:ascii="Arial" w:hAnsi="Arial" w:cs="Arial"/>
                    <w:u w:val="single"/>
                  </w:rPr>
                  <w:t>)</w:t>
                </w:r>
              </w:p>
            </w:tc>
            <w:tc>
              <w:tcPr>
                <w:tcW w:w="992" w:type="dxa"/>
              </w:tcPr>
              <w:p w14:paraId="37FEBA70" w14:textId="579ED436" w:rsidR="008F4B79" w:rsidRPr="00BC19FF" w:rsidRDefault="008F4B79" w:rsidP="00097CA9">
                <w:pPr>
                  <w:jc w:val="right"/>
                  <w:rPr>
                    <w:rFonts w:ascii="Arial" w:hAnsi="Arial" w:cs="Arial"/>
                    <w:u w:val="single"/>
                  </w:rPr>
                </w:pPr>
                <w:r>
                  <w:rPr>
                    <w:rFonts w:ascii="Arial" w:hAnsi="Arial" w:cs="Arial"/>
                    <w:u w:val="single"/>
                  </w:rPr>
                  <w:t>(</w:t>
                </w:r>
                <w:r w:rsidR="008230EC">
                  <w:rPr>
                    <w:rFonts w:ascii="Arial" w:hAnsi="Arial" w:cs="Arial"/>
                    <w:u w:val="single"/>
                  </w:rPr>
                  <w:t>147</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39E7B481" w:rsidR="008F4B79" w:rsidRPr="00BC19FF" w:rsidRDefault="008230EC" w:rsidP="00097CA9">
                <w:pPr>
                  <w:jc w:val="right"/>
                  <w:rPr>
                    <w:rFonts w:ascii="Arial" w:hAnsi="Arial" w:cs="Arial"/>
                    <w:u w:val="single"/>
                  </w:rPr>
                </w:pPr>
                <w:r>
                  <w:rPr>
                    <w:rFonts w:ascii="Arial" w:hAnsi="Arial" w:cs="Arial"/>
                    <w:u w:val="single"/>
                  </w:rPr>
                  <w:t>124</w:t>
                </w:r>
                <w:r w:rsidR="008F4B79">
                  <w:rPr>
                    <w:rFonts w:ascii="Arial" w:hAnsi="Arial" w:cs="Arial"/>
                    <w:u w:val="single"/>
                  </w:rPr>
                  <w:t xml:space="preserve">   </w:t>
                </w:r>
              </w:p>
            </w:tc>
            <w:tc>
              <w:tcPr>
                <w:tcW w:w="992" w:type="dxa"/>
              </w:tcPr>
              <w:p w14:paraId="7E95065D" w14:textId="434384B8" w:rsidR="008F4B79" w:rsidRPr="00BC19FF" w:rsidRDefault="008230EC" w:rsidP="00097CA9">
                <w:pPr>
                  <w:jc w:val="right"/>
                  <w:rPr>
                    <w:rFonts w:ascii="Arial" w:hAnsi="Arial" w:cs="Arial"/>
                    <w:u w:val="single"/>
                  </w:rPr>
                </w:pPr>
                <w:r>
                  <w:rPr>
                    <w:rFonts w:ascii="Arial" w:hAnsi="Arial" w:cs="Arial"/>
                    <w:u w:val="single"/>
                  </w:rPr>
                  <w:t>130</w:t>
                </w:r>
                <w:r w:rsidR="008F4B79">
                  <w:rPr>
                    <w:rFonts w:ascii="Arial" w:hAnsi="Arial" w:cs="Arial"/>
                    <w:u w:val="single"/>
                  </w:rPr>
                  <w:t xml:space="preserve">   </w:t>
                </w:r>
              </w:p>
            </w:tc>
            <w:tc>
              <w:tcPr>
                <w:tcW w:w="964" w:type="dxa"/>
              </w:tcPr>
              <w:p w14:paraId="36220FC1" w14:textId="6AE6964F" w:rsidR="008F4B79" w:rsidRPr="00BC19FF" w:rsidRDefault="00051FFC" w:rsidP="00097CA9">
                <w:pPr>
                  <w:jc w:val="right"/>
                  <w:rPr>
                    <w:rFonts w:ascii="Arial" w:hAnsi="Arial" w:cs="Arial"/>
                    <w:u w:val="single"/>
                  </w:rPr>
                </w:pPr>
                <w:r>
                  <w:rPr>
                    <w:rFonts w:ascii="Arial" w:hAnsi="Arial" w:cs="Arial"/>
                    <w:u w:val="single"/>
                  </w:rPr>
                  <w:t>158</w:t>
                </w:r>
                <w:r w:rsidR="008F4B79">
                  <w:rPr>
                    <w:rFonts w:ascii="Arial" w:hAnsi="Arial" w:cs="Arial"/>
                    <w:u w:val="single"/>
                  </w:rPr>
                  <w:t xml:space="preserve">     </w:t>
                </w:r>
              </w:p>
            </w:tc>
            <w:tc>
              <w:tcPr>
                <w:tcW w:w="993" w:type="dxa"/>
              </w:tcPr>
              <w:p w14:paraId="53C31D3A" w14:textId="56768A77" w:rsidR="008F4B79" w:rsidRPr="00BC19FF" w:rsidRDefault="00051FFC"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2" w:type="dxa"/>
              </w:tcPr>
              <w:p w14:paraId="7F452A29" w14:textId="05F282E2" w:rsidR="008F4B79" w:rsidRPr="00BC19FF" w:rsidRDefault="00051FFC" w:rsidP="00097CA9">
                <w:pPr>
                  <w:jc w:val="right"/>
                  <w:rPr>
                    <w:rFonts w:ascii="Arial" w:hAnsi="Arial" w:cs="Arial"/>
                    <w:u w:val="single"/>
                  </w:rPr>
                </w:pPr>
                <w:r>
                  <w:rPr>
                    <w:rFonts w:ascii="Arial" w:hAnsi="Arial" w:cs="Arial"/>
                    <w:u w:val="single"/>
                  </w:rPr>
                  <w:t>176</w:t>
                </w:r>
                <w:r w:rsidR="008F4B79">
                  <w:rPr>
                    <w:rFonts w:ascii="Arial" w:hAnsi="Arial" w:cs="Arial"/>
                    <w:u w:val="single"/>
                  </w:rPr>
                  <w:t xml:space="preserve"> </w:t>
                </w:r>
              </w:p>
            </w:tc>
            <w:tc>
              <w:tcPr>
                <w:tcW w:w="992" w:type="dxa"/>
              </w:tcPr>
              <w:p w14:paraId="1B6F5CE9" w14:textId="5C6E5B63" w:rsidR="008F4B79" w:rsidRPr="00BC19FF" w:rsidRDefault="00051FFC" w:rsidP="00097CA9">
                <w:pPr>
                  <w:jc w:val="right"/>
                  <w:rPr>
                    <w:rFonts w:ascii="Arial" w:hAnsi="Arial" w:cs="Arial"/>
                    <w:u w:val="single"/>
                  </w:rPr>
                </w:pPr>
                <w:r>
                  <w:rPr>
                    <w:rFonts w:ascii="Arial" w:hAnsi="Arial" w:cs="Arial"/>
                    <w:u w:val="single"/>
                  </w:rPr>
                  <w:t>224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F765F4">
          <w:pPr>
            <w:pStyle w:val="ListParagraph"/>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097CA9">
                <w:pPr>
                  <w:rPr>
                    <w:rFonts w:ascii="Arial" w:hAnsi="Arial" w:cs="Arial"/>
                  </w:rPr>
                </w:pPr>
                <w:r>
                  <w:rPr>
                    <w:rFonts w:ascii="Arial" w:hAnsi="Arial" w:cs="Arial"/>
                  </w:rPr>
                  <w:t xml:space="preserve">Sales net of  </w:t>
                </w:r>
              </w:p>
            </w:tc>
            <w:tc>
              <w:tcPr>
                <w:tcW w:w="992" w:type="dxa"/>
              </w:tcPr>
              <w:p w14:paraId="7CC417E8" w14:textId="77777777" w:rsidR="008F4B79" w:rsidRDefault="008F4B79" w:rsidP="00097CA9">
                <w:pPr>
                  <w:jc w:val="center"/>
                  <w:rPr>
                    <w:rFonts w:ascii="Arial" w:hAnsi="Arial" w:cs="Arial"/>
                  </w:rPr>
                </w:pPr>
              </w:p>
              <w:p w14:paraId="09D61F7D" w14:textId="56819109" w:rsidR="008F4B79" w:rsidRDefault="00A45D26" w:rsidP="00097CA9">
                <w:pPr>
                  <w:jc w:val="center"/>
                  <w:rPr>
                    <w:rFonts w:ascii="Arial" w:hAnsi="Arial" w:cs="Arial"/>
                  </w:rPr>
                </w:pPr>
                <w:r>
                  <w:rPr>
                    <w:rFonts w:ascii="Arial" w:hAnsi="Arial" w:cs="Arial"/>
                  </w:rPr>
                  <w:t>228</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6A62C12A" w:rsidR="008F4B79" w:rsidRDefault="000619E9" w:rsidP="00097CA9">
                <w:pPr>
                  <w:jc w:val="center"/>
                  <w:rPr>
                    <w:rFonts w:ascii="Arial" w:hAnsi="Arial" w:cs="Arial"/>
                  </w:rPr>
                </w:pPr>
                <w:r>
                  <w:rPr>
                    <w:rFonts w:ascii="Arial" w:hAnsi="Arial" w:cs="Arial"/>
                  </w:rPr>
                  <w:t>218</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4788B435" w:rsidR="008F4B79" w:rsidRDefault="000619E9" w:rsidP="00097CA9">
                <w:pPr>
                  <w:jc w:val="center"/>
                  <w:rPr>
                    <w:rFonts w:ascii="Arial" w:hAnsi="Arial" w:cs="Arial"/>
                  </w:rPr>
                </w:pPr>
                <w:r>
                  <w:rPr>
                    <w:rFonts w:ascii="Arial" w:hAnsi="Arial" w:cs="Arial"/>
                  </w:rPr>
                  <w:t>248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70F60119" w:rsidR="008F4B79" w:rsidRDefault="000619E9" w:rsidP="00097CA9">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5899C5F5" w:rsidR="008F4B79" w:rsidRDefault="000619E9" w:rsidP="00097CA9">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27274CF9" w:rsidR="008F4B79" w:rsidRDefault="000619E9" w:rsidP="00097CA9">
                <w:pPr>
                  <w:jc w:val="center"/>
                  <w:rPr>
                    <w:rFonts w:ascii="Arial" w:hAnsi="Arial" w:cs="Arial"/>
                  </w:rPr>
                </w:pPr>
                <w:r>
                  <w:rPr>
                    <w:rFonts w:ascii="Arial" w:hAnsi="Arial" w:cs="Arial"/>
                  </w:rPr>
                  <w:t>208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26F28AEC" w:rsidR="008F4B79" w:rsidRDefault="008F4B79" w:rsidP="00097CA9">
                <w:pPr>
                  <w:jc w:val="center"/>
                  <w:rPr>
                    <w:rFonts w:ascii="Arial" w:hAnsi="Arial" w:cs="Arial"/>
                  </w:rPr>
                </w:pPr>
                <w:r>
                  <w:rPr>
                    <w:rFonts w:ascii="Arial" w:hAnsi="Arial" w:cs="Arial"/>
                  </w:rPr>
                  <w:t>(</w:t>
                </w:r>
                <w:r w:rsidR="00636DD0">
                  <w:rPr>
                    <w:rFonts w:ascii="Arial" w:hAnsi="Arial" w:cs="Arial"/>
                  </w:rPr>
                  <w:t>19</w:t>
                </w:r>
                <w:r>
                  <w:rPr>
                    <w:rFonts w:ascii="Arial" w:hAnsi="Arial" w:cs="Arial"/>
                  </w:rPr>
                  <w:t>)</w:t>
                </w:r>
              </w:p>
            </w:tc>
            <w:tc>
              <w:tcPr>
                <w:tcW w:w="992" w:type="dxa"/>
                <w:vAlign w:val="center"/>
              </w:tcPr>
              <w:p w14:paraId="53656A68" w14:textId="0116C93F" w:rsidR="008F4B79" w:rsidRDefault="008F4B79" w:rsidP="00097CA9">
                <w:pPr>
                  <w:jc w:val="center"/>
                  <w:rPr>
                    <w:rFonts w:ascii="Arial" w:hAnsi="Arial" w:cs="Arial"/>
                  </w:rPr>
                </w:pPr>
                <w:r>
                  <w:rPr>
                    <w:rFonts w:ascii="Arial" w:hAnsi="Arial" w:cs="Arial"/>
                  </w:rPr>
                  <w:t>(</w:t>
                </w:r>
                <w:r w:rsidR="00636DD0">
                  <w:rPr>
                    <w:rFonts w:ascii="Arial" w:hAnsi="Arial" w:cs="Arial"/>
                  </w:rPr>
                  <w:t>18</w:t>
                </w:r>
                <w:r>
                  <w:rPr>
                    <w:rFonts w:ascii="Arial" w:hAnsi="Arial" w:cs="Arial"/>
                  </w:rPr>
                  <w:t>)</w:t>
                </w:r>
              </w:p>
            </w:tc>
            <w:tc>
              <w:tcPr>
                <w:tcW w:w="993" w:type="dxa"/>
                <w:vAlign w:val="center"/>
              </w:tcPr>
              <w:p w14:paraId="74AFF97C" w14:textId="10091462" w:rsidR="008F4B79" w:rsidRDefault="008F4B79" w:rsidP="00097CA9">
                <w:pPr>
                  <w:jc w:val="center"/>
                  <w:rPr>
                    <w:rFonts w:ascii="Arial" w:hAnsi="Arial" w:cs="Arial"/>
                  </w:rPr>
                </w:pPr>
                <w:r>
                  <w:rPr>
                    <w:rFonts w:ascii="Arial" w:hAnsi="Arial" w:cs="Arial"/>
                  </w:rPr>
                  <w:t>(</w:t>
                </w:r>
                <w:r w:rsidR="00636DD0">
                  <w:rPr>
                    <w:rFonts w:ascii="Arial" w:hAnsi="Arial" w:cs="Arial"/>
                  </w:rPr>
                  <w:t>16</w:t>
                </w:r>
                <w:r>
                  <w:rPr>
                    <w:rFonts w:ascii="Arial" w:hAnsi="Arial" w:cs="Arial"/>
                  </w:rPr>
                  <w:t>)</w:t>
                </w:r>
              </w:p>
            </w:tc>
            <w:tc>
              <w:tcPr>
                <w:tcW w:w="992" w:type="dxa"/>
                <w:vAlign w:val="center"/>
              </w:tcPr>
              <w:p w14:paraId="1E0304DB" w14:textId="02230F0A" w:rsidR="008F4B79" w:rsidRDefault="008F4B79" w:rsidP="00097CA9">
                <w:pPr>
                  <w:jc w:val="center"/>
                  <w:rPr>
                    <w:rFonts w:ascii="Arial" w:hAnsi="Arial" w:cs="Arial"/>
                  </w:rPr>
                </w:pPr>
                <w:r>
                  <w:rPr>
                    <w:rFonts w:ascii="Arial" w:hAnsi="Arial" w:cs="Arial"/>
                  </w:rPr>
                  <w:t>(</w:t>
                </w:r>
                <w:r w:rsidR="00636DD0">
                  <w:rPr>
                    <w:rFonts w:ascii="Arial" w:hAnsi="Arial" w:cs="Arial"/>
                  </w:rPr>
                  <w:t>17</w:t>
                </w:r>
                <w:r>
                  <w:rPr>
                    <w:rFonts w:ascii="Arial" w:hAnsi="Arial" w:cs="Arial"/>
                  </w:rPr>
                  <w:t>)</w:t>
                </w:r>
              </w:p>
            </w:tc>
            <w:tc>
              <w:tcPr>
                <w:tcW w:w="992" w:type="dxa"/>
                <w:vAlign w:val="center"/>
              </w:tcPr>
              <w:p w14:paraId="74DE144E" w14:textId="6F44712E" w:rsidR="008F4B79" w:rsidRDefault="008F4B79" w:rsidP="00097CA9">
                <w:pPr>
                  <w:jc w:val="center"/>
                  <w:rPr>
                    <w:rFonts w:ascii="Arial" w:hAnsi="Arial" w:cs="Arial"/>
                  </w:rPr>
                </w:pPr>
                <w:r>
                  <w:rPr>
                    <w:rFonts w:ascii="Arial" w:hAnsi="Arial" w:cs="Arial"/>
                  </w:rPr>
                  <w:t>(</w:t>
                </w:r>
                <w:r w:rsidR="00636DD0">
                  <w:rPr>
                    <w:rFonts w:ascii="Arial" w:hAnsi="Arial" w:cs="Arial"/>
                  </w:rPr>
                  <w:t>17</w:t>
                </w:r>
                <w:r>
                  <w:rPr>
                    <w:rFonts w:ascii="Arial" w:hAnsi="Arial" w:cs="Arial"/>
                  </w:rPr>
                  <w:t>)</w:t>
                </w:r>
              </w:p>
            </w:tc>
            <w:tc>
              <w:tcPr>
                <w:tcW w:w="992" w:type="dxa"/>
                <w:vAlign w:val="center"/>
              </w:tcPr>
              <w:p w14:paraId="06BDF0DF" w14:textId="42B2BD1E" w:rsidR="008F4B79" w:rsidRDefault="008F4B79" w:rsidP="00097CA9">
                <w:pPr>
                  <w:jc w:val="center"/>
                  <w:rPr>
                    <w:rFonts w:ascii="Arial" w:hAnsi="Arial" w:cs="Arial"/>
                  </w:rPr>
                </w:pPr>
                <w:r>
                  <w:rPr>
                    <w:rFonts w:ascii="Arial" w:hAnsi="Arial" w:cs="Arial"/>
                  </w:rPr>
                  <w:t>(</w:t>
                </w:r>
                <w:r w:rsidR="00636DD0">
                  <w:rPr>
                    <w:rFonts w:ascii="Arial" w:hAnsi="Arial" w:cs="Arial"/>
                  </w:rPr>
                  <w:t>15</w:t>
                </w:r>
                <w:r>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1D2C1A69" w:rsidR="008F4B79" w:rsidRDefault="008F4B79" w:rsidP="00097CA9">
                <w:pPr>
                  <w:jc w:val="center"/>
                  <w:rPr>
                    <w:rFonts w:ascii="Arial" w:hAnsi="Arial" w:cs="Arial"/>
                  </w:rPr>
                </w:pPr>
                <w:r>
                  <w:rPr>
                    <w:rFonts w:ascii="Arial" w:hAnsi="Arial" w:cs="Arial"/>
                  </w:rPr>
                  <w:t>(</w:t>
                </w:r>
                <w:r w:rsidR="00853871">
                  <w:rPr>
                    <w:rFonts w:ascii="Arial" w:hAnsi="Arial" w:cs="Arial"/>
                  </w:rPr>
                  <w:t>205</w:t>
                </w:r>
                <w:r>
                  <w:rPr>
                    <w:rFonts w:ascii="Arial" w:hAnsi="Arial" w:cs="Arial"/>
                  </w:rPr>
                  <w:t>)</w:t>
                </w:r>
              </w:p>
            </w:tc>
            <w:tc>
              <w:tcPr>
                <w:tcW w:w="992" w:type="dxa"/>
              </w:tcPr>
              <w:p w14:paraId="16DBE0B1" w14:textId="0C4235B8" w:rsidR="008F4B79" w:rsidRDefault="008F4B79" w:rsidP="00097CA9">
                <w:pPr>
                  <w:jc w:val="center"/>
                  <w:rPr>
                    <w:rFonts w:ascii="Arial" w:hAnsi="Arial" w:cs="Arial"/>
                  </w:rPr>
                </w:pPr>
                <w:r>
                  <w:rPr>
                    <w:rFonts w:ascii="Arial" w:hAnsi="Arial" w:cs="Arial"/>
                  </w:rPr>
                  <w:t>(</w:t>
                </w:r>
                <w:r w:rsidR="002A0C66">
                  <w:rPr>
                    <w:rFonts w:ascii="Arial" w:hAnsi="Arial" w:cs="Arial"/>
                  </w:rPr>
                  <w:t>1</w:t>
                </w:r>
                <w:r w:rsidR="00853871">
                  <w:rPr>
                    <w:rFonts w:ascii="Arial" w:hAnsi="Arial" w:cs="Arial"/>
                  </w:rPr>
                  <w:t>80</w:t>
                </w:r>
                <w:r>
                  <w:rPr>
                    <w:rFonts w:ascii="Arial" w:hAnsi="Arial" w:cs="Arial"/>
                  </w:rPr>
                  <w:t>)</w:t>
                </w:r>
              </w:p>
            </w:tc>
            <w:tc>
              <w:tcPr>
                <w:tcW w:w="993" w:type="dxa"/>
              </w:tcPr>
              <w:p w14:paraId="0C479117" w14:textId="7810449E" w:rsidR="008F4B79" w:rsidRDefault="008F4B79" w:rsidP="00097CA9">
                <w:pPr>
                  <w:jc w:val="center"/>
                  <w:rPr>
                    <w:rFonts w:ascii="Arial" w:hAnsi="Arial" w:cs="Arial"/>
                  </w:rPr>
                </w:pPr>
                <w:r>
                  <w:rPr>
                    <w:rFonts w:ascii="Arial" w:hAnsi="Arial" w:cs="Arial"/>
                  </w:rPr>
                  <w:t>(</w:t>
                </w:r>
                <w:r w:rsidR="00853871">
                  <w:rPr>
                    <w:rFonts w:ascii="Arial" w:hAnsi="Arial" w:cs="Arial"/>
                  </w:rPr>
                  <w:t>160</w:t>
                </w:r>
                <w:r>
                  <w:rPr>
                    <w:rFonts w:ascii="Arial" w:hAnsi="Arial" w:cs="Arial"/>
                  </w:rPr>
                  <w:t>)</w:t>
                </w:r>
              </w:p>
            </w:tc>
            <w:tc>
              <w:tcPr>
                <w:tcW w:w="992" w:type="dxa"/>
              </w:tcPr>
              <w:p w14:paraId="3095C7F8" w14:textId="13E5E94B" w:rsidR="008F4B79" w:rsidRDefault="008F4B79" w:rsidP="00097CA9">
                <w:pPr>
                  <w:jc w:val="center"/>
                  <w:rPr>
                    <w:rFonts w:ascii="Arial" w:hAnsi="Arial" w:cs="Arial"/>
                  </w:rPr>
                </w:pPr>
                <w:r>
                  <w:rPr>
                    <w:rFonts w:ascii="Arial" w:hAnsi="Arial" w:cs="Arial"/>
                  </w:rPr>
                  <w:t>(</w:t>
                </w:r>
                <w:r w:rsidR="00853871">
                  <w:rPr>
                    <w:rFonts w:ascii="Arial" w:hAnsi="Arial" w:cs="Arial"/>
                  </w:rPr>
                  <w:t>203</w:t>
                </w:r>
                <w:r>
                  <w:rPr>
                    <w:rFonts w:ascii="Arial" w:hAnsi="Arial" w:cs="Arial"/>
                  </w:rPr>
                  <w:t>)</w:t>
                </w:r>
              </w:p>
            </w:tc>
            <w:tc>
              <w:tcPr>
                <w:tcW w:w="992" w:type="dxa"/>
              </w:tcPr>
              <w:p w14:paraId="7D2539CD" w14:textId="56AAF5BA" w:rsidR="008F4B79" w:rsidRDefault="008F4B79" w:rsidP="00097CA9">
                <w:pPr>
                  <w:jc w:val="center"/>
                  <w:rPr>
                    <w:rFonts w:ascii="Arial" w:hAnsi="Arial" w:cs="Arial"/>
                  </w:rPr>
                </w:pPr>
                <w:r>
                  <w:rPr>
                    <w:rFonts w:ascii="Arial" w:hAnsi="Arial" w:cs="Arial"/>
                  </w:rPr>
                  <w:t>(</w:t>
                </w:r>
                <w:r w:rsidR="00853871">
                  <w:rPr>
                    <w:rFonts w:ascii="Arial" w:hAnsi="Arial" w:cs="Arial"/>
                  </w:rPr>
                  <w:t>200</w:t>
                </w:r>
                <w:r>
                  <w:rPr>
                    <w:rFonts w:ascii="Arial" w:hAnsi="Arial" w:cs="Arial"/>
                  </w:rPr>
                  <w:t>)</w:t>
                </w:r>
              </w:p>
            </w:tc>
            <w:tc>
              <w:tcPr>
                <w:tcW w:w="992" w:type="dxa"/>
              </w:tcPr>
              <w:p w14:paraId="18275CF8" w14:textId="2C342CAB" w:rsidR="008F4B79" w:rsidRDefault="008F4B79" w:rsidP="00097CA9">
                <w:pPr>
                  <w:jc w:val="center"/>
                  <w:rPr>
                    <w:rFonts w:ascii="Arial" w:hAnsi="Arial" w:cs="Arial"/>
                  </w:rPr>
                </w:pPr>
                <w:r>
                  <w:rPr>
                    <w:rFonts w:ascii="Arial" w:hAnsi="Arial" w:cs="Arial"/>
                  </w:rPr>
                  <w:t>(</w:t>
                </w:r>
                <w:r w:rsidR="00853871">
                  <w:rPr>
                    <w:rFonts w:ascii="Arial" w:hAnsi="Arial" w:cs="Arial"/>
                  </w:rPr>
                  <w:t>140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38B45126"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c>
              <w:tcPr>
                <w:tcW w:w="992" w:type="dxa"/>
              </w:tcPr>
              <w:p w14:paraId="33A9D8A7" w14:textId="42F3857F"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c>
              <w:tcPr>
                <w:tcW w:w="993" w:type="dxa"/>
              </w:tcPr>
              <w:p w14:paraId="15E94208" w14:textId="4754E9B3"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c>
              <w:tcPr>
                <w:tcW w:w="992" w:type="dxa"/>
              </w:tcPr>
              <w:p w14:paraId="3096EBB3" w14:textId="62FDD845"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c>
              <w:tcPr>
                <w:tcW w:w="992" w:type="dxa"/>
              </w:tcPr>
              <w:p w14:paraId="28DCEDBF" w14:textId="2FC18417"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c>
              <w:tcPr>
                <w:tcW w:w="992" w:type="dxa"/>
              </w:tcPr>
              <w:p w14:paraId="3E99894F" w14:textId="31D270B0" w:rsidR="008F4B79" w:rsidRDefault="008F4B79" w:rsidP="00097CA9">
                <w:pPr>
                  <w:jc w:val="center"/>
                  <w:rPr>
                    <w:rFonts w:ascii="Arial" w:hAnsi="Arial" w:cs="Arial"/>
                  </w:rPr>
                </w:pPr>
                <w:r>
                  <w:rPr>
                    <w:rFonts w:ascii="Arial" w:hAnsi="Arial" w:cs="Arial"/>
                  </w:rPr>
                  <w:t>(</w:t>
                </w:r>
                <w:r w:rsidR="00853871">
                  <w:rPr>
                    <w:rFonts w:ascii="Arial" w:hAnsi="Arial" w:cs="Arial"/>
                  </w:rPr>
                  <w:t>5</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519CF913" w:rsidR="008F4B79" w:rsidRDefault="008F4B79" w:rsidP="00097CA9">
                <w:pPr>
                  <w:jc w:val="center"/>
                  <w:rPr>
                    <w:rFonts w:ascii="Arial" w:hAnsi="Arial" w:cs="Arial"/>
                  </w:rPr>
                </w:pPr>
                <w:r>
                  <w:rPr>
                    <w:rFonts w:ascii="Arial" w:hAnsi="Arial" w:cs="Arial"/>
                  </w:rPr>
                  <w:t>(</w:t>
                </w:r>
                <w:r w:rsidR="00853871">
                  <w:rPr>
                    <w:rFonts w:ascii="Arial" w:hAnsi="Arial" w:cs="Arial"/>
                  </w:rPr>
                  <w:t>6</w:t>
                </w:r>
                <w:r>
                  <w:rPr>
                    <w:rFonts w:ascii="Arial" w:hAnsi="Arial" w:cs="Arial"/>
                  </w:rPr>
                  <w:t>)</w:t>
                </w:r>
              </w:p>
            </w:tc>
            <w:tc>
              <w:tcPr>
                <w:tcW w:w="992" w:type="dxa"/>
              </w:tcPr>
              <w:p w14:paraId="4505E924" w14:textId="031878CE" w:rsidR="008F4B79" w:rsidRDefault="008F4B79" w:rsidP="00097CA9">
                <w:pPr>
                  <w:jc w:val="center"/>
                  <w:rPr>
                    <w:rFonts w:ascii="Arial" w:hAnsi="Arial" w:cs="Arial"/>
                  </w:rPr>
                </w:pPr>
                <w:r>
                  <w:rPr>
                    <w:rFonts w:ascii="Arial" w:hAnsi="Arial" w:cs="Arial"/>
                  </w:rPr>
                  <w:t>(</w:t>
                </w:r>
                <w:r w:rsidR="00853871">
                  <w:rPr>
                    <w:rFonts w:ascii="Arial" w:hAnsi="Arial" w:cs="Arial"/>
                  </w:rPr>
                  <w:t>8</w:t>
                </w:r>
                <w:r>
                  <w:rPr>
                    <w:rFonts w:ascii="Arial" w:hAnsi="Arial" w:cs="Arial"/>
                  </w:rPr>
                  <w:t>)</w:t>
                </w:r>
              </w:p>
            </w:tc>
            <w:tc>
              <w:tcPr>
                <w:tcW w:w="993" w:type="dxa"/>
              </w:tcPr>
              <w:p w14:paraId="0ECDD2D6" w14:textId="75E8ED72" w:rsidR="008F4B79" w:rsidRDefault="008F4B79" w:rsidP="00097CA9">
                <w:pPr>
                  <w:jc w:val="center"/>
                  <w:rPr>
                    <w:rFonts w:ascii="Arial" w:hAnsi="Arial" w:cs="Arial"/>
                  </w:rPr>
                </w:pPr>
                <w:r>
                  <w:rPr>
                    <w:rFonts w:ascii="Arial" w:hAnsi="Arial" w:cs="Arial"/>
                  </w:rPr>
                  <w:t>(</w:t>
                </w:r>
                <w:r w:rsidR="00853871">
                  <w:rPr>
                    <w:rFonts w:ascii="Arial" w:hAnsi="Arial" w:cs="Arial"/>
                  </w:rPr>
                  <w:t>7</w:t>
                </w:r>
                <w:r>
                  <w:rPr>
                    <w:rFonts w:ascii="Arial" w:hAnsi="Arial" w:cs="Arial"/>
                  </w:rPr>
                  <w:t>)</w:t>
                </w:r>
              </w:p>
            </w:tc>
            <w:tc>
              <w:tcPr>
                <w:tcW w:w="992" w:type="dxa"/>
              </w:tcPr>
              <w:p w14:paraId="091E1D88" w14:textId="46CC7A98" w:rsidR="008F4B79" w:rsidRDefault="008F4B79" w:rsidP="00097CA9">
                <w:pPr>
                  <w:jc w:val="center"/>
                  <w:rPr>
                    <w:rFonts w:ascii="Arial" w:hAnsi="Arial" w:cs="Arial"/>
                  </w:rPr>
                </w:pPr>
                <w:r>
                  <w:rPr>
                    <w:rFonts w:ascii="Arial" w:hAnsi="Arial" w:cs="Arial"/>
                  </w:rPr>
                  <w:t>(</w:t>
                </w:r>
                <w:r w:rsidR="00853871">
                  <w:rPr>
                    <w:rFonts w:ascii="Arial" w:hAnsi="Arial" w:cs="Arial"/>
                  </w:rPr>
                  <w:t>6</w:t>
                </w:r>
                <w:r>
                  <w:rPr>
                    <w:rFonts w:ascii="Arial" w:hAnsi="Arial" w:cs="Arial"/>
                  </w:rPr>
                  <w:t>)</w:t>
                </w:r>
              </w:p>
            </w:tc>
            <w:tc>
              <w:tcPr>
                <w:tcW w:w="992" w:type="dxa"/>
              </w:tcPr>
              <w:p w14:paraId="635FB050" w14:textId="55CBDDDE" w:rsidR="008F4B79" w:rsidRDefault="008F4B79" w:rsidP="00097CA9">
                <w:pPr>
                  <w:jc w:val="center"/>
                  <w:rPr>
                    <w:rFonts w:ascii="Arial" w:hAnsi="Arial" w:cs="Arial"/>
                  </w:rPr>
                </w:pPr>
                <w:r>
                  <w:rPr>
                    <w:rFonts w:ascii="Arial" w:hAnsi="Arial" w:cs="Arial"/>
                  </w:rPr>
                  <w:t>(</w:t>
                </w:r>
                <w:r w:rsidR="00853871">
                  <w:rPr>
                    <w:rFonts w:ascii="Arial" w:hAnsi="Arial" w:cs="Arial"/>
                  </w:rPr>
                  <w:t>8</w:t>
                </w:r>
                <w:r>
                  <w:rPr>
                    <w:rFonts w:ascii="Arial" w:hAnsi="Arial" w:cs="Arial"/>
                  </w:rPr>
                  <w:t>)</w:t>
                </w:r>
              </w:p>
            </w:tc>
            <w:tc>
              <w:tcPr>
                <w:tcW w:w="992" w:type="dxa"/>
              </w:tcPr>
              <w:p w14:paraId="68FBD8F5" w14:textId="16994C0F" w:rsidR="008F4B79" w:rsidRDefault="008F4B79" w:rsidP="00097CA9">
                <w:pPr>
                  <w:jc w:val="center"/>
                  <w:rPr>
                    <w:rFonts w:ascii="Arial" w:hAnsi="Arial" w:cs="Arial"/>
                  </w:rPr>
                </w:pPr>
                <w:r>
                  <w:rPr>
                    <w:rFonts w:ascii="Arial" w:hAnsi="Arial" w:cs="Arial"/>
                  </w:rPr>
                  <w:t>(</w:t>
                </w:r>
                <w:r w:rsidR="00853871">
                  <w:rPr>
                    <w:rFonts w:ascii="Arial" w:hAnsi="Arial" w:cs="Arial"/>
                  </w:rPr>
                  <w:t>9</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092C88F1" w:rsidR="008F4B79" w:rsidRDefault="008F4B79" w:rsidP="00097CA9">
                <w:pPr>
                  <w:jc w:val="center"/>
                  <w:rPr>
                    <w:rFonts w:ascii="Arial" w:hAnsi="Arial" w:cs="Arial"/>
                  </w:rPr>
                </w:pPr>
                <w:r>
                  <w:rPr>
                    <w:rFonts w:ascii="Arial" w:hAnsi="Arial" w:cs="Arial"/>
                  </w:rPr>
                  <w:t>(</w:t>
                </w:r>
                <w:r w:rsidR="000619E9">
                  <w:rPr>
                    <w:rFonts w:ascii="Arial" w:hAnsi="Arial" w:cs="Arial"/>
                  </w:rPr>
                  <w:t>20</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745B849F"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c>
              <w:tcPr>
                <w:tcW w:w="992" w:type="dxa"/>
              </w:tcPr>
              <w:p w14:paraId="26B80DA6" w14:textId="3AD72653"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c>
              <w:tcPr>
                <w:tcW w:w="993" w:type="dxa"/>
              </w:tcPr>
              <w:p w14:paraId="7DF05DDC" w14:textId="3A71D186"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c>
              <w:tcPr>
                <w:tcW w:w="992" w:type="dxa"/>
              </w:tcPr>
              <w:p w14:paraId="094DC8D8" w14:textId="0BD09B9B"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c>
              <w:tcPr>
                <w:tcW w:w="992" w:type="dxa"/>
              </w:tcPr>
              <w:p w14:paraId="081ECD21" w14:textId="022D1F41"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c>
              <w:tcPr>
                <w:tcW w:w="992" w:type="dxa"/>
              </w:tcPr>
              <w:p w14:paraId="20B0297B" w14:textId="69978966" w:rsidR="008F4B79" w:rsidRDefault="008F4B79" w:rsidP="00097CA9">
                <w:pPr>
                  <w:jc w:val="center"/>
                  <w:rPr>
                    <w:rFonts w:ascii="Arial" w:hAnsi="Arial" w:cs="Arial"/>
                  </w:rPr>
                </w:pPr>
                <w:r>
                  <w:rPr>
                    <w:rFonts w:ascii="Arial" w:hAnsi="Arial" w:cs="Arial"/>
                  </w:rPr>
                  <w:t>(</w:t>
                </w:r>
                <w:r w:rsidR="00636DD0">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2D1ABA18" w14:textId="132843D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636DD0">
                  <w:rPr>
                    <w:rFonts w:ascii="Arial" w:hAnsi="Arial" w:cs="Arial"/>
                    <w:u w:val="single"/>
                  </w:rPr>
                  <w:t>11</w:t>
                </w:r>
                <w:r w:rsidRPr="007A65C7">
                  <w:rPr>
                    <w:rFonts w:ascii="Arial" w:hAnsi="Arial" w:cs="Arial"/>
                    <w:u w:val="single"/>
                  </w:rPr>
                  <w:t>)</w:t>
                </w:r>
              </w:p>
            </w:tc>
            <w:tc>
              <w:tcPr>
                <w:tcW w:w="993" w:type="dxa"/>
              </w:tcPr>
              <w:p w14:paraId="7561F86B" w14:textId="7FA721B3"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636DD0">
                  <w:rPr>
                    <w:rFonts w:ascii="Arial" w:hAnsi="Arial" w:cs="Arial"/>
                    <w:u w:val="single"/>
                  </w:rPr>
                  <w:t>10</w:t>
                </w:r>
                <w:r w:rsidRPr="007A65C7">
                  <w:rPr>
                    <w:rFonts w:ascii="Arial" w:hAnsi="Arial" w:cs="Arial"/>
                    <w:u w:val="single"/>
                  </w:rPr>
                  <w:t>)</w:t>
                </w:r>
              </w:p>
            </w:tc>
            <w:tc>
              <w:tcPr>
                <w:tcW w:w="992" w:type="dxa"/>
              </w:tcPr>
              <w:p w14:paraId="4A840892" w14:textId="2DB2A76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636DD0">
                  <w:rPr>
                    <w:rFonts w:ascii="Arial" w:hAnsi="Arial" w:cs="Arial"/>
                    <w:u w:val="single"/>
                  </w:rPr>
                  <w:t>12</w:t>
                </w:r>
                <w:r w:rsidRPr="007A65C7">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2E2C9C14" w:rsidR="008F4B79" w:rsidRDefault="008F4B79" w:rsidP="00097CA9">
                <w:pPr>
                  <w:jc w:val="center"/>
                  <w:rPr>
                    <w:rFonts w:ascii="Arial" w:hAnsi="Arial" w:cs="Arial"/>
                  </w:rPr>
                </w:pPr>
                <w:r>
                  <w:rPr>
                    <w:rFonts w:ascii="Arial" w:hAnsi="Arial" w:cs="Arial"/>
                  </w:rPr>
                  <w:t xml:space="preserve"> </w:t>
                </w:r>
                <w:r w:rsidR="00A67703">
                  <w:rPr>
                    <w:rFonts w:ascii="Arial" w:hAnsi="Arial" w:cs="Arial"/>
                  </w:rPr>
                  <w:t>(8)</w:t>
                </w:r>
              </w:p>
            </w:tc>
            <w:tc>
              <w:tcPr>
                <w:tcW w:w="992" w:type="dxa"/>
              </w:tcPr>
              <w:p w14:paraId="68F74097" w14:textId="095530F8" w:rsidR="008F4B79" w:rsidRDefault="008A6BF9" w:rsidP="00097CA9">
                <w:pPr>
                  <w:jc w:val="center"/>
                  <w:rPr>
                    <w:rFonts w:ascii="Arial" w:hAnsi="Arial" w:cs="Arial"/>
                  </w:rPr>
                </w:pPr>
                <w:r>
                  <w:rPr>
                    <w:rFonts w:ascii="Arial" w:hAnsi="Arial" w:cs="Arial"/>
                  </w:rPr>
                  <w:t>(5)</w:t>
                </w:r>
                <w:r w:rsidR="008F4B79">
                  <w:rPr>
                    <w:rFonts w:ascii="Arial" w:hAnsi="Arial" w:cs="Arial"/>
                  </w:rPr>
                  <w:t xml:space="preserve"> </w:t>
                </w:r>
              </w:p>
            </w:tc>
            <w:tc>
              <w:tcPr>
                <w:tcW w:w="993" w:type="dxa"/>
              </w:tcPr>
              <w:p w14:paraId="7075DF1B" w14:textId="164DA29A" w:rsidR="008F4B79" w:rsidRDefault="008F4B79" w:rsidP="00097CA9">
                <w:pPr>
                  <w:jc w:val="center"/>
                  <w:rPr>
                    <w:rFonts w:ascii="Arial" w:hAnsi="Arial" w:cs="Arial"/>
                  </w:rPr>
                </w:pPr>
                <w:r>
                  <w:rPr>
                    <w:rFonts w:ascii="Arial" w:hAnsi="Arial" w:cs="Arial"/>
                  </w:rPr>
                  <w:t xml:space="preserve"> </w:t>
                </w:r>
                <w:r w:rsidR="00FF417E">
                  <w:rPr>
                    <w:rFonts w:ascii="Arial" w:hAnsi="Arial" w:cs="Arial"/>
                  </w:rPr>
                  <w:t>(</w:t>
                </w:r>
                <w:r w:rsidR="008A6BF9">
                  <w:rPr>
                    <w:rFonts w:ascii="Arial" w:hAnsi="Arial" w:cs="Arial"/>
                  </w:rPr>
                  <w:t>29</w:t>
                </w:r>
                <w:r w:rsidR="00FF417E">
                  <w:rPr>
                    <w:rFonts w:ascii="Arial" w:hAnsi="Arial" w:cs="Arial"/>
                  </w:rPr>
                  <w:t>)</w:t>
                </w:r>
              </w:p>
            </w:tc>
            <w:tc>
              <w:tcPr>
                <w:tcW w:w="992" w:type="dxa"/>
              </w:tcPr>
              <w:p w14:paraId="74FD117B" w14:textId="780F1F96" w:rsidR="008F4B79" w:rsidRDefault="00A27ABB" w:rsidP="00097CA9">
                <w:pPr>
                  <w:jc w:val="center"/>
                  <w:rPr>
                    <w:rFonts w:ascii="Arial" w:hAnsi="Arial" w:cs="Arial"/>
                  </w:rPr>
                </w:pPr>
                <w:r>
                  <w:rPr>
                    <w:rFonts w:ascii="Arial" w:hAnsi="Arial" w:cs="Arial"/>
                  </w:rPr>
                  <w:t>(</w:t>
                </w:r>
                <w:r w:rsidR="008A6BF9">
                  <w:rPr>
                    <w:rFonts w:ascii="Arial" w:hAnsi="Arial" w:cs="Arial"/>
                  </w:rPr>
                  <w:t>6</w:t>
                </w:r>
                <w:r>
                  <w:rPr>
                    <w:rFonts w:ascii="Arial" w:hAnsi="Arial" w:cs="Arial"/>
                  </w:rPr>
                  <w:t>)</w:t>
                </w:r>
                <w:r w:rsidR="008F4B79">
                  <w:rPr>
                    <w:rFonts w:ascii="Arial" w:hAnsi="Arial" w:cs="Arial"/>
                  </w:rPr>
                  <w:t xml:space="preserve"> </w:t>
                </w:r>
              </w:p>
            </w:tc>
            <w:tc>
              <w:tcPr>
                <w:tcW w:w="992" w:type="dxa"/>
              </w:tcPr>
              <w:p w14:paraId="2B94937F" w14:textId="46C39107" w:rsidR="008F4B79" w:rsidRDefault="008A6BF9" w:rsidP="00097CA9">
                <w:pPr>
                  <w:jc w:val="center"/>
                  <w:rPr>
                    <w:rFonts w:ascii="Arial" w:hAnsi="Arial" w:cs="Arial"/>
                  </w:rPr>
                </w:pPr>
                <w:r>
                  <w:rPr>
                    <w:rFonts w:ascii="Arial" w:hAnsi="Arial" w:cs="Arial"/>
                  </w:rPr>
                  <w:t>(13)</w:t>
                </w:r>
                <w:r w:rsidR="008F4B79">
                  <w:rPr>
                    <w:rFonts w:ascii="Arial" w:hAnsi="Arial" w:cs="Arial"/>
                  </w:rPr>
                  <w:t xml:space="preserve"> </w:t>
                </w:r>
              </w:p>
            </w:tc>
            <w:tc>
              <w:tcPr>
                <w:tcW w:w="992" w:type="dxa"/>
              </w:tcPr>
              <w:p w14:paraId="7DEB33B1" w14:textId="4326693D" w:rsidR="008F4B79" w:rsidRDefault="008A6BF9" w:rsidP="00097CA9">
                <w:pPr>
                  <w:jc w:val="center"/>
                  <w:rPr>
                    <w:rFonts w:ascii="Arial" w:hAnsi="Arial" w:cs="Arial"/>
                  </w:rPr>
                </w:pPr>
                <w:r>
                  <w:rPr>
                    <w:rFonts w:ascii="Arial" w:hAnsi="Arial" w:cs="Arial"/>
                  </w:rPr>
                  <w:t>38</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183EE393" w:rsidR="008F4B79" w:rsidRPr="007A65C7" w:rsidRDefault="008F4B79" w:rsidP="00097CA9">
                <w:pPr>
                  <w:jc w:val="center"/>
                  <w:rPr>
                    <w:rFonts w:ascii="Arial" w:hAnsi="Arial" w:cs="Arial"/>
                    <w:u w:val="single"/>
                  </w:rPr>
                </w:pPr>
                <w:r>
                  <w:rPr>
                    <w:rFonts w:ascii="Arial" w:hAnsi="Arial" w:cs="Arial"/>
                    <w:u w:val="single"/>
                  </w:rPr>
                  <w:t xml:space="preserve"> </w:t>
                </w:r>
                <w:r w:rsidR="005D46C7">
                  <w:rPr>
                    <w:rFonts w:ascii="Arial" w:hAnsi="Arial" w:cs="Arial"/>
                    <w:u w:val="single"/>
                  </w:rPr>
                  <w:t>(22)</w:t>
                </w:r>
              </w:p>
            </w:tc>
            <w:tc>
              <w:tcPr>
                <w:tcW w:w="992" w:type="dxa"/>
              </w:tcPr>
              <w:p w14:paraId="26255FCA" w14:textId="33A016DD" w:rsidR="008F4B79" w:rsidRPr="007A65C7" w:rsidRDefault="008F4B79" w:rsidP="00097CA9">
                <w:pPr>
                  <w:jc w:val="center"/>
                  <w:rPr>
                    <w:rFonts w:ascii="Arial" w:hAnsi="Arial" w:cs="Arial"/>
                    <w:u w:val="single"/>
                  </w:rPr>
                </w:pPr>
                <w:r>
                  <w:rPr>
                    <w:rFonts w:ascii="Arial" w:hAnsi="Arial" w:cs="Arial"/>
                    <w:u w:val="single"/>
                  </w:rPr>
                  <w:t xml:space="preserve"> </w:t>
                </w:r>
                <w:r w:rsidR="005D46C7">
                  <w:rPr>
                    <w:rFonts w:ascii="Arial" w:hAnsi="Arial" w:cs="Arial"/>
                    <w:u w:val="single"/>
                  </w:rPr>
                  <w:t>(3</w:t>
                </w:r>
                <w:r w:rsidR="008A6BF9">
                  <w:rPr>
                    <w:rFonts w:ascii="Arial" w:hAnsi="Arial" w:cs="Arial"/>
                    <w:u w:val="single"/>
                  </w:rPr>
                  <w:t>0</w:t>
                </w:r>
                <w:r w:rsidR="005D46C7">
                  <w:rPr>
                    <w:rFonts w:ascii="Arial" w:hAnsi="Arial" w:cs="Arial"/>
                    <w:u w:val="single"/>
                  </w:rPr>
                  <w:t>)</w:t>
                </w:r>
              </w:p>
            </w:tc>
            <w:tc>
              <w:tcPr>
                <w:tcW w:w="993" w:type="dxa"/>
              </w:tcPr>
              <w:p w14:paraId="02D8836E" w14:textId="5292F2D3" w:rsidR="008F4B79" w:rsidRPr="007A65C7" w:rsidRDefault="008A6BF9" w:rsidP="00097CA9">
                <w:pPr>
                  <w:jc w:val="center"/>
                  <w:rPr>
                    <w:rFonts w:ascii="Arial" w:hAnsi="Arial" w:cs="Arial"/>
                    <w:u w:val="single"/>
                  </w:rPr>
                </w:pPr>
                <w:r>
                  <w:rPr>
                    <w:rFonts w:ascii="Arial" w:hAnsi="Arial" w:cs="Arial"/>
                    <w:u w:val="single"/>
                  </w:rPr>
                  <w:t>(35)</w:t>
                </w:r>
                <w:r w:rsidR="008F4B79">
                  <w:rPr>
                    <w:rFonts w:ascii="Arial" w:hAnsi="Arial" w:cs="Arial"/>
                    <w:u w:val="single"/>
                  </w:rPr>
                  <w:t xml:space="preserve"> </w:t>
                </w:r>
              </w:p>
            </w:tc>
            <w:tc>
              <w:tcPr>
                <w:tcW w:w="992" w:type="dxa"/>
              </w:tcPr>
              <w:p w14:paraId="4736CB88" w14:textId="65D3A7BC" w:rsidR="008F4B79" w:rsidRPr="007A65C7" w:rsidRDefault="008F4B79" w:rsidP="00097CA9">
                <w:pPr>
                  <w:jc w:val="center"/>
                  <w:rPr>
                    <w:rFonts w:ascii="Arial" w:hAnsi="Arial" w:cs="Arial"/>
                    <w:u w:val="single"/>
                  </w:rPr>
                </w:pPr>
                <w:r>
                  <w:rPr>
                    <w:rFonts w:ascii="Arial" w:hAnsi="Arial" w:cs="Arial"/>
                    <w:u w:val="single"/>
                  </w:rPr>
                  <w:t xml:space="preserve"> </w:t>
                </w:r>
                <w:r w:rsidR="008A6BF9">
                  <w:rPr>
                    <w:rFonts w:ascii="Arial" w:hAnsi="Arial" w:cs="Arial"/>
                    <w:u w:val="single"/>
                  </w:rPr>
                  <w:t>(64)</w:t>
                </w:r>
              </w:p>
            </w:tc>
            <w:tc>
              <w:tcPr>
                <w:tcW w:w="992" w:type="dxa"/>
              </w:tcPr>
              <w:p w14:paraId="1C2AFF92" w14:textId="0645A88E" w:rsidR="008F4B79" w:rsidRPr="007A65C7" w:rsidRDefault="008A6BF9" w:rsidP="00097CA9">
                <w:pPr>
                  <w:jc w:val="center"/>
                  <w:rPr>
                    <w:rFonts w:ascii="Arial" w:hAnsi="Arial" w:cs="Arial"/>
                    <w:u w:val="single"/>
                  </w:rPr>
                </w:pPr>
                <w:r>
                  <w:rPr>
                    <w:rFonts w:ascii="Arial" w:hAnsi="Arial" w:cs="Arial"/>
                    <w:u w:val="single"/>
                  </w:rPr>
                  <w:t>(70)</w:t>
                </w:r>
                <w:r w:rsidR="008F4B79">
                  <w:rPr>
                    <w:rFonts w:ascii="Arial" w:hAnsi="Arial" w:cs="Arial"/>
                    <w:u w:val="single"/>
                  </w:rPr>
                  <w:t xml:space="preserve"> </w:t>
                </w:r>
              </w:p>
            </w:tc>
            <w:tc>
              <w:tcPr>
                <w:tcW w:w="992" w:type="dxa"/>
              </w:tcPr>
              <w:p w14:paraId="389B4261" w14:textId="38657409" w:rsidR="008F4B79" w:rsidRPr="007A65C7" w:rsidRDefault="008A6BF9" w:rsidP="00097CA9">
                <w:pPr>
                  <w:jc w:val="center"/>
                  <w:rPr>
                    <w:rFonts w:ascii="Arial" w:hAnsi="Arial" w:cs="Arial"/>
                    <w:u w:val="single"/>
                  </w:rPr>
                </w:pPr>
                <w:r>
                  <w:rPr>
                    <w:rFonts w:ascii="Arial" w:hAnsi="Arial" w:cs="Arial"/>
                    <w:u w:val="single"/>
                  </w:rPr>
                  <w:t>(83)</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5BF4BEC2" w:rsidR="008F4B79" w:rsidRPr="007A65C7" w:rsidRDefault="005D46C7" w:rsidP="00097CA9">
                <w:pPr>
                  <w:jc w:val="center"/>
                  <w:rPr>
                    <w:rFonts w:ascii="Arial" w:hAnsi="Arial" w:cs="Arial"/>
                  </w:rPr>
                </w:pPr>
                <w:r>
                  <w:rPr>
                    <w:rFonts w:ascii="Arial" w:hAnsi="Arial" w:cs="Arial"/>
                  </w:rPr>
                  <w:t>(3</w:t>
                </w:r>
                <w:r w:rsidR="008A6BF9">
                  <w:rPr>
                    <w:rFonts w:ascii="Arial" w:hAnsi="Arial" w:cs="Arial"/>
                  </w:rPr>
                  <w:t>0</w:t>
                </w:r>
                <w:r>
                  <w:rPr>
                    <w:rFonts w:ascii="Arial" w:hAnsi="Arial" w:cs="Arial"/>
                  </w:rPr>
                  <w:t>)</w:t>
                </w:r>
                <w:r w:rsidR="008F4B79">
                  <w:rPr>
                    <w:rFonts w:ascii="Arial" w:hAnsi="Arial" w:cs="Arial"/>
                  </w:rPr>
                  <w:t xml:space="preserve"> </w:t>
                </w:r>
              </w:p>
            </w:tc>
            <w:tc>
              <w:tcPr>
                <w:tcW w:w="992" w:type="dxa"/>
              </w:tcPr>
              <w:p w14:paraId="1DFCB9F8" w14:textId="7B51AE00" w:rsidR="008F4B79" w:rsidRPr="007A65C7" w:rsidRDefault="008A6BF9" w:rsidP="00097CA9">
                <w:pPr>
                  <w:jc w:val="center"/>
                  <w:rPr>
                    <w:rFonts w:ascii="Arial" w:hAnsi="Arial" w:cs="Arial"/>
                  </w:rPr>
                </w:pPr>
                <w:r>
                  <w:rPr>
                    <w:rFonts w:ascii="Arial" w:hAnsi="Arial" w:cs="Arial"/>
                  </w:rPr>
                  <w:t>(35)</w:t>
                </w:r>
                <w:r w:rsidR="008F4B79">
                  <w:rPr>
                    <w:rFonts w:ascii="Arial" w:hAnsi="Arial" w:cs="Arial"/>
                  </w:rPr>
                  <w:t xml:space="preserve"> </w:t>
                </w:r>
              </w:p>
            </w:tc>
            <w:tc>
              <w:tcPr>
                <w:tcW w:w="993" w:type="dxa"/>
              </w:tcPr>
              <w:p w14:paraId="03772FA5" w14:textId="4214A10E" w:rsidR="008F4B79" w:rsidRPr="007A65C7" w:rsidRDefault="008A6BF9" w:rsidP="00097CA9">
                <w:pPr>
                  <w:jc w:val="center"/>
                  <w:rPr>
                    <w:rFonts w:ascii="Arial" w:hAnsi="Arial" w:cs="Arial"/>
                  </w:rPr>
                </w:pPr>
                <w:r>
                  <w:rPr>
                    <w:rFonts w:ascii="Arial" w:hAnsi="Arial" w:cs="Arial"/>
                  </w:rPr>
                  <w:t>(64)</w:t>
                </w:r>
              </w:p>
            </w:tc>
            <w:tc>
              <w:tcPr>
                <w:tcW w:w="992" w:type="dxa"/>
              </w:tcPr>
              <w:p w14:paraId="0E6B8A89" w14:textId="3345AD02" w:rsidR="008F4B79" w:rsidRPr="007A65C7" w:rsidRDefault="008F4B79" w:rsidP="00097CA9">
                <w:pPr>
                  <w:jc w:val="center"/>
                  <w:rPr>
                    <w:rFonts w:ascii="Arial" w:hAnsi="Arial" w:cs="Arial"/>
                  </w:rPr>
                </w:pPr>
                <w:r>
                  <w:rPr>
                    <w:rFonts w:ascii="Arial" w:hAnsi="Arial" w:cs="Arial"/>
                  </w:rPr>
                  <w:t xml:space="preserve"> </w:t>
                </w:r>
                <w:r w:rsidR="008A6BF9">
                  <w:rPr>
                    <w:rFonts w:ascii="Arial" w:hAnsi="Arial" w:cs="Arial"/>
                  </w:rPr>
                  <w:t>(70)</w:t>
                </w:r>
              </w:p>
            </w:tc>
            <w:tc>
              <w:tcPr>
                <w:tcW w:w="992" w:type="dxa"/>
              </w:tcPr>
              <w:p w14:paraId="4EAE6915" w14:textId="1EA50448" w:rsidR="008F4B79" w:rsidRPr="007A65C7" w:rsidRDefault="008A6BF9" w:rsidP="00097CA9">
                <w:pPr>
                  <w:jc w:val="center"/>
                  <w:rPr>
                    <w:rFonts w:ascii="Arial" w:hAnsi="Arial" w:cs="Arial"/>
                  </w:rPr>
                </w:pPr>
                <w:r>
                  <w:rPr>
                    <w:rFonts w:ascii="Arial" w:hAnsi="Arial" w:cs="Arial"/>
                  </w:rPr>
                  <w:t>(83)</w:t>
                </w:r>
                <w:r w:rsidR="008F4B79">
                  <w:rPr>
                    <w:rFonts w:ascii="Arial" w:hAnsi="Arial" w:cs="Arial"/>
                  </w:rPr>
                  <w:t xml:space="preserve"> </w:t>
                </w:r>
              </w:p>
            </w:tc>
            <w:tc>
              <w:tcPr>
                <w:tcW w:w="992" w:type="dxa"/>
              </w:tcPr>
              <w:p w14:paraId="14023721" w14:textId="2E8C5245" w:rsidR="008F4B79" w:rsidRPr="007A65C7" w:rsidRDefault="008A6BF9" w:rsidP="00097CA9">
                <w:pPr>
                  <w:jc w:val="center"/>
                  <w:rPr>
                    <w:rFonts w:ascii="Arial" w:hAnsi="Arial" w:cs="Arial"/>
                  </w:rPr>
                </w:pPr>
                <w:r>
                  <w:rPr>
                    <w:rFonts w:ascii="Arial" w:hAnsi="Arial" w:cs="Arial"/>
                  </w:rPr>
                  <w:t>(45)</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0C9AF47" w:rsidR="008F4B79" w:rsidRPr="003B62C4" w:rsidRDefault="00F765F4" w:rsidP="00F765F4">
          <w:pPr>
            <w:pStyle w:val="ListParagraph"/>
            <w:ind w:left="851"/>
            <w:jc w:val="both"/>
            <w:rPr>
              <w:rFonts w:ascii="Arial" w:hAnsi="Arial" w:cs="Arial"/>
            </w:rPr>
          </w:pPr>
          <w:bookmarkStart w:id="3" w:name="OLE_LINK1"/>
          <w:bookmarkStart w:id="4" w:name="OLE_LINK2"/>
          <w:r w:rsidRPr="00F765F4">
            <w:rPr>
              <w:rFonts w:ascii="Arial" w:hAnsi="Arial" w:cs="Arial"/>
              <w:b/>
              <w:bCs/>
            </w:rPr>
            <w:t xml:space="preserve"> ii.</w:t>
          </w:r>
          <w:r>
            <w:rPr>
              <w:rFonts w:ascii="Arial" w:hAnsi="Arial" w:cs="Arial"/>
            </w:rPr>
            <w:t xml:space="preserve"> </w:t>
          </w:r>
          <w:r w:rsidR="008F4B79">
            <w:rPr>
              <w:rFonts w:ascii="Arial" w:hAnsi="Arial" w:cs="Arial"/>
            </w:rPr>
            <w:t>The (</w:t>
          </w:r>
          <w:r w:rsidR="008F4B79" w:rsidRPr="001174D4">
            <w:rPr>
              <w:rFonts w:ascii="Arial" w:hAnsi="Arial" w:cs="Arial"/>
              <w:i/>
            </w:rPr>
            <w:t>accruals-based)</w:t>
          </w:r>
          <w:r w:rsidR="008F4B79">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1ECE2787" w:rsidR="008F4B79" w:rsidRDefault="00665064" w:rsidP="00097CA9">
                <w:pPr>
                  <w:jc w:val="right"/>
                  <w:rPr>
                    <w:rFonts w:ascii="Arial" w:hAnsi="Arial" w:cs="Arial"/>
                  </w:rPr>
                </w:pPr>
                <w:r>
                  <w:rPr>
                    <w:rFonts w:ascii="Arial" w:hAnsi="Arial" w:cs="Arial"/>
                  </w:rPr>
                  <w:t>1,370</w:t>
                </w:r>
                <w:r w:rsidR="008F4B79">
                  <w:rPr>
                    <w:rFonts w:ascii="Arial" w:hAnsi="Arial" w:cs="Arial"/>
                  </w:rPr>
                  <w:t xml:space="preserve"> </w:t>
                </w:r>
              </w:p>
            </w:tc>
            <w:tc>
              <w:tcPr>
                <w:tcW w:w="3544" w:type="dxa"/>
              </w:tcPr>
              <w:p w14:paraId="25687ABE" w14:textId="18A4316F" w:rsidR="008F4B79" w:rsidRDefault="00665064" w:rsidP="00097CA9">
                <w:pPr>
                  <w:rPr>
                    <w:rFonts w:ascii="Arial" w:hAnsi="Arial" w:cs="Arial"/>
                  </w:rPr>
                </w:pPr>
                <w:r>
                  <w:rPr>
                    <w:rFonts w:ascii="Arial" w:hAnsi="Arial" w:cs="Arial"/>
                  </w:rPr>
                  <w:t>230+220+250+240+220+210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7B194452" w:rsidR="008F4B79" w:rsidRPr="00F71675" w:rsidRDefault="008F4B79" w:rsidP="00097CA9">
                <w:pPr>
                  <w:jc w:val="right"/>
                  <w:rPr>
                    <w:rFonts w:ascii="Arial" w:hAnsi="Arial" w:cs="Arial"/>
                    <w:u w:val="single"/>
                  </w:rPr>
                </w:pPr>
                <w:r w:rsidRPr="00F71675">
                  <w:rPr>
                    <w:rFonts w:ascii="Arial" w:hAnsi="Arial" w:cs="Arial"/>
                    <w:u w:val="single"/>
                  </w:rPr>
                  <w:t>(</w:t>
                </w:r>
                <w:r w:rsidR="005C1653">
                  <w:rPr>
                    <w:rFonts w:ascii="Arial" w:hAnsi="Arial" w:cs="Arial"/>
                    <w:u w:val="single"/>
                  </w:rPr>
                  <w:t>959</w:t>
                </w:r>
                <w:r w:rsidRPr="00F71675">
                  <w:rPr>
                    <w:rFonts w:ascii="Arial" w:hAnsi="Arial" w:cs="Arial"/>
                    <w:u w:val="single"/>
                  </w:rPr>
                  <w:t>)</w:t>
                </w:r>
              </w:p>
            </w:tc>
            <w:tc>
              <w:tcPr>
                <w:tcW w:w="3544" w:type="dxa"/>
              </w:tcPr>
              <w:p w14:paraId="42F2775D" w14:textId="033974BC" w:rsidR="008F4B79" w:rsidRPr="00010117" w:rsidRDefault="008F4B79"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5C1653">
                  <w:rPr>
                    <w:rFonts w:ascii="Arial" w:hAnsi="Arial" w:cs="Arial"/>
                  </w:rPr>
                  <w:t>1,370 x 70%</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665D81CD" w:rsidR="008F4B79" w:rsidRDefault="00CF3303" w:rsidP="00097CA9">
                <w:pPr>
                  <w:jc w:val="right"/>
                  <w:rPr>
                    <w:rFonts w:ascii="Arial" w:hAnsi="Arial" w:cs="Arial"/>
                  </w:rPr>
                </w:pPr>
                <w:r>
                  <w:rPr>
                    <w:rFonts w:ascii="Arial" w:hAnsi="Arial" w:cs="Arial"/>
                  </w:rPr>
                  <w:t>411</w:t>
                </w:r>
                <w:r w:rsidR="008F4B79">
                  <w:rPr>
                    <w:rFonts w:ascii="Arial" w:hAnsi="Arial" w:cs="Arial"/>
                  </w:rPr>
                  <w:t xml:space="preserve"> </w:t>
                </w:r>
              </w:p>
            </w:tc>
            <w:tc>
              <w:tcPr>
                <w:tcW w:w="3544" w:type="dxa"/>
              </w:tcPr>
              <w:p w14:paraId="7B851978" w14:textId="26524445" w:rsidR="008F4B79" w:rsidRDefault="00CF3303" w:rsidP="00097CA9">
                <w:pPr>
                  <w:rPr>
                    <w:rFonts w:ascii="Arial" w:hAnsi="Arial" w:cs="Arial"/>
                  </w:rPr>
                </w:pPr>
                <w:r>
                  <w:rPr>
                    <w:rFonts w:ascii="Arial" w:hAnsi="Arial" w:cs="Arial"/>
                  </w:rPr>
                  <w:t>3</w:t>
                </w:r>
                <w:r w:rsidR="005C1653">
                  <w:rPr>
                    <w:rFonts w:ascii="Arial" w:hAnsi="Arial" w:cs="Arial"/>
                  </w:rPr>
                  <w:t>0% x 1,370</w:t>
                </w:r>
                <w:r w:rsidR="008F4B79">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023EB371" w:rsidR="008F4B79" w:rsidRDefault="008F4B79" w:rsidP="00097CA9">
                <w:pPr>
                  <w:jc w:val="right"/>
                  <w:rPr>
                    <w:rFonts w:ascii="Arial" w:hAnsi="Arial" w:cs="Arial"/>
                  </w:rPr>
                </w:pPr>
                <w:r>
                  <w:rPr>
                    <w:rFonts w:ascii="Arial" w:hAnsi="Arial" w:cs="Arial"/>
                  </w:rPr>
                  <w:t>(</w:t>
                </w:r>
                <w:r w:rsidR="005C1653">
                  <w:rPr>
                    <w:rFonts w:ascii="Arial" w:hAnsi="Arial" w:cs="Arial"/>
                  </w:rPr>
                  <w:t>44</w:t>
                </w:r>
                <w:r>
                  <w:rPr>
                    <w:rFonts w:ascii="Arial" w:hAnsi="Arial" w:cs="Arial"/>
                  </w:rPr>
                  <w:t>)</w:t>
                </w:r>
              </w:p>
            </w:tc>
            <w:tc>
              <w:tcPr>
                <w:tcW w:w="3544" w:type="dxa"/>
              </w:tcPr>
              <w:p w14:paraId="5A2B35F0" w14:textId="01DD561E" w:rsidR="008F4B79" w:rsidRDefault="00CF3303" w:rsidP="00097CA9">
                <w:pPr>
                  <w:rPr>
                    <w:rFonts w:ascii="Arial" w:hAnsi="Arial" w:cs="Arial"/>
                  </w:rPr>
                </w:pPr>
                <w:r>
                  <w:rPr>
                    <w:rFonts w:ascii="Arial" w:hAnsi="Arial" w:cs="Arial"/>
                  </w:rPr>
                  <w:t>6</w:t>
                </w:r>
                <w:r w:rsidR="005C1653">
                  <w:rPr>
                    <w:rFonts w:ascii="Arial" w:hAnsi="Arial" w:cs="Arial"/>
                  </w:rPr>
                  <w:t>+</w:t>
                </w:r>
                <w:r>
                  <w:rPr>
                    <w:rFonts w:ascii="Arial" w:hAnsi="Arial" w:cs="Arial"/>
                  </w:rPr>
                  <w:t>8</w:t>
                </w:r>
                <w:r w:rsidR="005C1653">
                  <w:rPr>
                    <w:rFonts w:ascii="Arial" w:hAnsi="Arial" w:cs="Arial"/>
                  </w:rPr>
                  <w:t>+</w:t>
                </w:r>
                <w:r>
                  <w:rPr>
                    <w:rFonts w:ascii="Arial" w:hAnsi="Arial" w:cs="Arial"/>
                  </w:rPr>
                  <w:t>7</w:t>
                </w:r>
                <w:r w:rsidR="005C1653">
                  <w:rPr>
                    <w:rFonts w:ascii="Arial" w:hAnsi="Arial" w:cs="Arial"/>
                  </w:rPr>
                  <w:t>+</w:t>
                </w:r>
                <w:r>
                  <w:rPr>
                    <w:rFonts w:ascii="Arial" w:hAnsi="Arial" w:cs="Arial"/>
                  </w:rPr>
                  <w:t>6</w:t>
                </w:r>
                <w:r w:rsidR="005C1653">
                  <w:rPr>
                    <w:rFonts w:ascii="Arial" w:hAnsi="Arial" w:cs="Arial"/>
                  </w:rPr>
                  <w:t>+</w:t>
                </w:r>
                <w:r>
                  <w:rPr>
                    <w:rFonts w:ascii="Arial" w:hAnsi="Arial" w:cs="Arial"/>
                  </w:rPr>
                  <w:t>8</w:t>
                </w:r>
                <w:r w:rsidR="005C1653">
                  <w:rPr>
                    <w:rFonts w:ascii="Arial" w:hAnsi="Arial" w:cs="Arial"/>
                  </w:rPr>
                  <w:t>+</w:t>
                </w:r>
                <w:r>
                  <w:rPr>
                    <w:rFonts w:ascii="Arial" w:hAnsi="Arial" w:cs="Arial"/>
                  </w:rPr>
                  <w:t>9</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5C9B3010" w:rsidR="008F4B79" w:rsidRDefault="008F4B79" w:rsidP="00097CA9">
                <w:pPr>
                  <w:jc w:val="right"/>
                  <w:rPr>
                    <w:rFonts w:ascii="Arial" w:hAnsi="Arial" w:cs="Arial"/>
                  </w:rPr>
                </w:pPr>
                <w:r>
                  <w:rPr>
                    <w:rFonts w:ascii="Arial" w:hAnsi="Arial" w:cs="Arial"/>
                  </w:rPr>
                  <w:t>(</w:t>
                </w:r>
                <w:r w:rsidR="005C1653">
                  <w:rPr>
                    <w:rFonts w:ascii="Arial" w:hAnsi="Arial" w:cs="Arial"/>
                  </w:rPr>
                  <w:t>144</w:t>
                </w:r>
                <w:r>
                  <w:rPr>
                    <w:rFonts w:ascii="Arial" w:hAnsi="Arial" w:cs="Arial"/>
                  </w:rPr>
                  <w:t>)</w:t>
                </w:r>
              </w:p>
            </w:tc>
            <w:tc>
              <w:tcPr>
                <w:tcW w:w="3544" w:type="dxa"/>
              </w:tcPr>
              <w:p w14:paraId="4F8B0E91" w14:textId="3B32CAF3" w:rsidR="008F4B79" w:rsidRDefault="005C1653" w:rsidP="00097CA9">
                <w:pPr>
                  <w:rPr>
                    <w:rFonts w:ascii="Arial" w:hAnsi="Arial" w:cs="Arial"/>
                  </w:rPr>
                </w:pPr>
                <w:r>
                  <w:rPr>
                    <w:rFonts w:ascii="Arial" w:hAnsi="Arial" w:cs="Arial"/>
                  </w:rPr>
                  <w:t>26+25+23+24+24+22</w:t>
                </w:r>
                <w:r w:rsidR="008F4B79">
                  <w:rPr>
                    <w:rFonts w:ascii="Arial" w:hAnsi="Arial" w:cs="Arial"/>
                  </w:rPr>
                  <w:t xml:space="preserve"> </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7541955F"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3C2371">
                  <w:rPr>
                    <w:rFonts w:ascii="Arial" w:hAnsi="Arial" w:cs="Arial"/>
                    <w:u w:val="single"/>
                  </w:rPr>
                  <w:t>12</w:t>
                </w:r>
                <w:r w:rsidR="00CF3303">
                  <w:rPr>
                    <w:rFonts w:ascii="Arial" w:hAnsi="Arial" w:cs="Arial"/>
                    <w:u w:val="single"/>
                  </w:rPr>
                  <w:t>.33</w:t>
                </w:r>
                <w:r w:rsidRPr="00F71675">
                  <w:rPr>
                    <w:rFonts w:ascii="Arial" w:hAnsi="Arial" w:cs="Arial"/>
                    <w:u w:val="single"/>
                  </w:rPr>
                  <w:t>)</w:t>
                </w:r>
              </w:p>
            </w:tc>
            <w:tc>
              <w:tcPr>
                <w:tcW w:w="3544" w:type="dxa"/>
              </w:tcPr>
              <w:p w14:paraId="34EBE199" w14:textId="62F7072C" w:rsidR="008F4B79" w:rsidRPr="007A65C7" w:rsidRDefault="005C1653" w:rsidP="00097CA9">
                <w:pPr>
                  <w:rPr>
                    <w:rFonts w:ascii="Arial" w:hAnsi="Arial" w:cs="Arial"/>
                  </w:rPr>
                </w:pPr>
                <w:r>
                  <w:rPr>
                    <w:rFonts w:ascii="Arial" w:hAnsi="Arial" w:cs="Arial"/>
                  </w:rPr>
                  <w:t xml:space="preserve">1,370 x </w:t>
                </w:r>
                <w:r w:rsidR="003C2371">
                  <w:rPr>
                    <w:rFonts w:ascii="Arial" w:hAnsi="Arial" w:cs="Arial"/>
                  </w:rPr>
                  <w:t>30% x 3%</w:t>
                </w:r>
                <w:r w:rsidR="008F4B79">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lastRenderedPageBreak/>
                  <w:t>Operating profit</w:t>
                </w:r>
              </w:p>
            </w:tc>
            <w:tc>
              <w:tcPr>
                <w:tcW w:w="1134" w:type="dxa"/>
              </w:tcPr>
              <w:p w14:paraId="10BE3038" w14:textId="35F49919" w:rsidR="008F4B79" w:rsidRDefault="00CF3303" w:rsidP="00097CA9">
                <w:pPr>
                  <w:jc w:val="right"/>
                  <w:rPr>
                    <w:rFonts w:ascii="Arial" w:hAnsi="Arial" w:cs="Arial"/>
                  </w:rPr>
                </w:pPr>
                <w:r>
                  <w:rPr>
                    <w:rFonts w:ascii="Arial" w:hAnsi="Arial" w:cs="Arial"/>
                  </w:rPr>
                  <w:t>210.67</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0FA298FC"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E218AE">
                  <w:rPr>
                    <w:rFonts w:ascii="Arial" w:hAnsi="Arial" w:cs="Arial"/>
                    <w:u w:val="single"/>
                  </w:rPr>
                  <w:t>6</w:t>
                </w:r>
                <w:r w:rsidRPr="00F71675">
                  <w:rPr>
                    <w:rFonts w:ascii="Arial" w:hAnsi="Arial" w:cs="Arial"/>
                    <w:u w:val="single"/>
                  </w:rPr>
                  <w:t>)</w:t>
                </w:r>
              </w:p>
            </w:tc>
            <w:tc>
              <w:tcPr>
                <w:tcW w:w="3544" w:type="dxa"/>
              </w:tcPr>
              <w:p w14:paraId="0CDBB14E" w14:textId="65AA9392" w:rsidR="008F4B79" w:rsidRPr="007A65C7" w:rsidRDefault="00E218AE" w:rsidP="00097CA9">
                <w:pPr>
                  <w:rPr>
                    <w:rFonts w:ascii="Arial" w:hAnsi="Arial" w:cs="Arial"/>
                  </w:rPr>
                </w:pPr>
                <w:r>
                  <w:rPr>
                    <w:rFonts w:ascii="Arial" w:hAnsi="Arial" w:cs="Arial"/>
                  </w:rPr>
                  <w:t xml:space="preserve">6 months x 5,000 x 20% </w:t>
                </w:r>
                <w:r w:rsidR="008F4B79">
                  <w:rPr>
                    <w:rFonts w:ascii="Arial" w:hAnsi="Arial" w:cs="Arial"/>
                  </w:rPr>
                  <w:t xml:space="preserve">(Note </w:t>
                </w:r>
                <w:r>
                  <w:rPr>
                    <w:rFonts w:ascii="Arial" w:hAnsi="Arial" w:cs="Arial"/>
                  </w:rPr>
                  <w:t>4</w:t>
                </w:r>
                <w:r w:rsidR="008F4B79">
                  <w:rPr>
                    <w:rFonts w:ascii="Arial" w:hAnsi="Arial" w:cs="Arial"/>
                  </w:rPr>
                  <w:t>)</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4D0AC7A8" w:rsidR="008F4B79" w:rsidRPr="00F71675" w:rsidRDefault="00CF3303" w:rsidP="00097CA9">
                <w:pPr>
                  <w:jc w:val="right"/>
                  <w:rPr>
                    <w:rFonts w:ascii="Arial" w:hAnsi="Arial" w:cs="Arial"/>
                    <w:u w:val="single"/>
                  </w:rPr>
                </w:pPr>
                <w:r>
                  <w:rPr>
                    <w:rFonts w:ascii="Arial" w:hAnsi="Arial" w:cs="Arial"/>
                    <w:u w:val="single"/>
                  </w:rPr>
                  <w:t>204.67</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4133DA70" w14:textId="0DFCA31C" w:rsidR="00480872" w:rsidRDefault="008F4B79" w:rsidP="008F4B79">
          <w:pPr>
            <w:pStyle w:val="Heading2"/>
          </w:pPr>
          <w:r w:rsidRPr="002163E7">
            <w:rPr>
              <w:rFonts w:ascii="Arial" w:hAnsi="Arial" w:cs="Arial"/>
              <w:sz w:val="20"/>
              <w:szCs w:val="20"/>
            </w:rPr>
            <w:t xml:space="preserve"> </w:t>
          </w:r>
        </w:p>
        <w:p w14:paraId="111365CC" w14:textId="77777777" w:rsidR="0067514E" w:rsidRDefault="0067514E" w:rsidP="0067514E"/>
        <w:p w14:paraId="63DC5867" w14:textId="3CB27936" w:rsidR="00F765F4" w:rsidRPr="00F765F4" w:rsidRDefault="00F765F4" w:rsidP="0067514E">
          <w:pPr>
            <w:rPr>
              <w:b/>
              <w:bCs/>
            </w:rPr>
          </w:pPr>
          <w:r w:rsidRPr="00F765F4">
            <w:rPr>
              <w:b/>
              <w:bCs/>
            </w:rPr>
            <w:t>(b)</w:t>
          </w:r>
        </w:p>
        <w:p w14:paraId="7A5210C2" w14:textId="5AA799F4" w:rsidR="0067514E" w:rsidRDefault="0067514E" w:rsidP="00F765F4">
          <w:pPr>
            <w:jc w:val="both"/>
          </w:pPr>
          <w:r w:rsidRPr="0067514E">
            <w:t>We have been informed that the company must meet the requirement of paying off the bank</w:t>
          </w:r>
          <w:r w:rsidR="00F765F4">
            <w:t xml:space="preserve"> </w:t>
          </w:r>
          <w:r w:rsidRPr="0067514E">
            <w:t xml:space="preserve">overdraft by the end of November; however, the cash budget shows that this will not be possible.  Although there has been a reduction in the overdraft of about fifty percent during the period, this is not sufficient, and the directors must find ways to meet with the conditions that the bank has set forth.  </w:t>
          </w:r>
        </w:p>
        <w:p w14:paraId="46B7760F" w14:textId="503B8987" w:rsidR="00ED7021" w:rsidRDefault="00ED7021" w:rsidP="0067514E">
          <w:r w:rsidRPr="00ED7021">
            <w:t xml:space="preserve">Measures to promote sales should </w:t>
          </w:r>
          <w:proofErr w:type="gramStart"/>
          <w:r w:rsidRPr="00ED7021">
            <w:t>definitely be</w:t>
          </w:r>
          <w:proofErr w:type="gramEnd"/>
          <w:r w:rsidRPr="00ED7021">
            <w:t xml:space="preserve"> given some thought.  Since the beginning of September, there has been a decrease in sales, and the figure for November sales is around twenty percent lower than the figure for August. It is important to understand the factors that led to this drop. </w:t>
          </w:r>
          <w:r>
            <w:t xml:space="preserve"> </w:t>
          </w:r>
          <w:r w:rsidRPr="00ED7021">
            <w:t xml:space="preserve">Alterations in customer </w:t>
          </w:r>
          <w:r w:rsidR="00666CE8" w:rsidRPr="00ED7021">
            <w:t>behaviour</w:t>
          </w:r>
          <w:r w:rsidRPr="00ED7021">
            <w:t xml:space="preserve">, such as a shift towards online shopping or a drop in demand for </w:t>
          </w:r>
          <w:proofErr w:type="gramStart"/>
          <w:r w:rsidRPr="00ED7021">
            <w:t>particular styles</w:t>
          </w:r>
          <w:proofErr w:type="gramEnd"/>
          <w:r w:rsidRPr="00ED7021">
            <w:t xml:space="preserve"> of shoes, are able to have an impact on a company's income as well as its budget. </w:t>
          </w:r>
          <w:proofErr w:type="gramStart"/>
          <w:r w:rsidRPr="00ED7021">
            <w:t>In order to</w:t>
          </w:r>
          <w:proofErr w:type="gramEnd"/>
          <w:r w:rsidRPr="00ED7021">
            <w:t xml:space="preserve"> address this issue, the business could handle this issue by diversifying its product offerings in order to cater to shifting consumer tastes. In addition to this, the company can concentrate on expanding its customer base by strengthening its marketing efforts and expanding its internet presence.</w:t>
          </w:r>
        </w:p>
        <w:p w14:paraId="120A7078" w14:textId="165C3607" w:rsidR="001E02D3" w:rsidRDefault="00F806DE" w:rsidP="0067514E">
          <w:r w:rsidRPr="00F806DE">
            <w:t xml:space="preserve">In addition, we </w:t>
          </w:r>
          <w:proofErr w:type="gramStart"/>
          <w:r w:rsidRPr="00F806DE">
            <w:t>are able to</w:t>
          </w:r>
          <w:proofErr w:type="gramEnd"/>
          <w:r w:rsidRPr="00F806DE">
            <w:t xml:space="preserve"> recognize, based on the statistics in our stock budget, that a significant amount of stock is acquired on a monthly basis. For instance, the closing stock in the last two months is higher than the stock purchased. According to the notes that have been provided, we are aware that the business intends to keep a minimum stock level of 50,000 pounds, which is significantly less than what the business is </w:t>
          </w:r>
          <w:proofErr w:type="gramStart"/>
          <w:r w:rsidRPr="00F806DE">
            <w:t xml:space="preserve">actually </w:t>
          </w:r>
          <w:r w:rsidR="00084E60">
            <w:t>keeping</w:t>
          </w:r>
          <w:proofErr w:type="gramEnd"/>
          <w:r w:rsidRPr="00F806DE">
            <w:t>.</w:t>
          </w:r>
          <w:r w:rsidR="00084E60">
            <w:t xml:space="preserve"> </w:t>
          </w:r>
          <w:r w:rsidRPr="00F806DE">
            <w:t xml:space="preserve"> </w:t>
          </w:r>
          <w:r w:rsidR="001E02D3" w:rsidRPr="001E02D3">
            <w:t>This condition has the potential to lead to a wide variety of difficulties in the future</w:t>
          </w:r>
          <w:r w:rsidR="001E02D3">
            <w:t xml:space="preserve">, </w:t>
          </w:r>
          <w:r w:rsidR="001E02D3" w:rsidRPr="001E02D3">
            <w:t>one of which is</w:t>
          </w:r>
          <w:r w:rsidR="001E02D3">
            <w:t xml:space="preserve"> being</w:t>
          </w:r>
          <w:r w:rsidR="001E02D3" w:rsidRPr="001E02D3">
            <w:t xml:space="preserve"> known as obsolete inventory.</w:t>
          </w:r>
        </w:p>
        <w:p w14:paraId="3F6339A7" w14:textId="4D7DB766" w:rsidR="001E02D3" w:rsidRDefault="001E02D3" w:rsidP="0067514E">
          <w:r w:rsidRPr="001E02D3">
            <w:t xml:space="preserve">According to </w:t>
          </w:r>
          <w:proofErr w:type="spellStart"/>
          <w:r w:rsidRPr="001E02D3">
            <w:t>Lapide</w:t>
          </w:r>
          <w:proofErr w:type="spellEnd"/>
          <w:r w:rsidRPr="001E02D3">
            <w:t>, L. (2006), the expense of carrying obsolete inventory is one of the most significant issues associated with this type of inventory. Keeping outdated stock ties up precious capital and takes up storage space that could be put to better use elsewhere, such as with more lucrative investments. In addition, stock that is no longer in demand can become out of date and difficult to sell, which can result in additional financial losses.</w:t>
          </w:r>
        </w:p>
        <w:p w14:paraId="36D1B96B" w14:textId="0D3F9F4E" w:rsidR="009931BB" w:rsidRDefault="002508BC" w:rsidP="0067514E">
          <w:r w:rsidRPr="002508BC">
            <w:t xml:space="preserve">In addition, obsolete inventory is defined by Stock, J. and Lambert, D. (2001) as items or products that are no longer in demand or that have lost their value </w:t>
          </w:r>
          <w:proofErr w:type="gramStart"/>
          <w:r w:rsidRPr="002508BC">
            <w:t>as a result of</w:t>
          </w:r>
          <w:proofErr w:type="gramEnd"/>
          <w:r w:rsidRPr="002508BC">
            <w:t xml:space="preserve"> changes in technology, consumer tastes, or market trends. When these items can no longer be sold at a price that generates a profit for the company or when they are no longer needed in any capacity, they </w:t>
          </w:r>
          <w:proofErr w:type="gramStart"/>
          <w:r w:rsidRPr="002508BC">
            <w:t>are considered to be</w:t>
          </w:r>
          <w:proofErr w:type="gramEnd"/>
          <w:r w:rsidRPr="002508BC">
            <w:t xml:space="preserve"> obsolete. It is essential for the company to have efficient processes in place to manage their obsolete stocks in order to reduce the risk of incurring losses and enhance their overall financial </w:t>
          </w:r>
          <w:proofErr w:type="gramStart"/>
          <w:r w:rsidRPr="002508BC">
            <w:t>performance.</w:t>
          </w:r>
          <w:r w:rsidR="00B857FA" w:rsidRPr="00B857FA">
            <w:t>(</w:t>
          </w:r>
          <w:proofErr w:type="gramEnd"/>
          <w:r w:rsidR="00B857FA" w:rsidRPr="00B857FA">
            <w:t xml:space="preserve">Chen, 2018) argues that, in order for companies to efficiently manage their obsolete inventory, they can utilise a variety of tactics, such as discounting, repurposing, and liquidation. Liquidation is the process of selling inventory to a third party at a reduced price, whereas discounting is the process of selling inventory at a reduced price </w:t>
          </w:r>
          <w:proofErr w:type="gramStart"/>
          <w:r w:rsidR="00B857FA" w:rsidRPr="00B857FA">
            <w:t>in order to</w:t>
          </w:r>
          <w:proofErr w:type="gramEnd"/>
          <w:r w:rsidR="00B857FA" w:rsidRPr="00B857FA">
            <w:t xml:space="preserve"> make it more appealing to clients. Repurposing involves identifying new uses for old inventory or recycling it in order to complete the </w:t>
          </w:r>
          <w:proofErr w:type="spellStart"/>
          <w:proofErr w:type="gramStart"/>
          <w:r w:rsidR="00B857FA" w:rsidRPr="00B857FA">
            <w:t>process.</w:t>
          </w:r>
          <w:r w:rsidR="009931BB">
            <w:t>Therefore</w:t>
          </w:r>
          <w:proofErr w:type="spellEnd"/>
          <w:proofErr w:type="gramEnd"/>
          <w:r w:rsidR="009931BB">
            <w:t>, i</w:t>
          </w:r>
          <w:r w:rsidR="009931BB" w:rsidRPr="009931BB">
            <w:t xml:space="preserve">n order for the company to remain profitable and competitive, it is </w:t>
          </w:r>
          <w:r w:rsidR="009931BB" w:rsidRPr="009931BB">
            <w:lastRenderedPageBreak/>
            <w:t>essential to effectively manage its obsolete inventory. By applying efficient tactics, the company can reduce losses and free up resources for more profitable products.</w:t>
          </w:r>
        </w:p>
        <w:p w14:paraId="155265BC" w14:textId="2FBE9F18" w:rsidR="003552F6" w:rsidRDefault="003552F6" w:rsidP="0067514E">
          <w:r w:rsidRPr="003552F6">
            <w:t xml:space="preserve">The company could additionally consider delaying a refurbishment plan or seeking an injection of funds from the owners or other investors as potential responses to the financial issues that it is facing. </w:t>
          </w:r>
          <w:proofErr w:type="gramStart"/>
          <w:r w:rsidRPr="003552F6">
            <w:t>Both of these</w:t>
          </w:r>
          <w:proofErr w:type="gramEnd"/>
          <w:r w:rsidRPr="003552F6">
            <w:t xml:space="preserve"> options are feasible alternatives. However, before selecting an option, the management </w:t>
          </w:r>
          <w:proofErr w:type="gramStart"/>
          <w:r w:rsidRPr="003552F6">
            <w:t>has to</w:t>
          </w:r>
          <w:proofErr w:type="gramEnd"/>
          <w:r w:rsidRPr="003552F6">
            <w:t xml:space="preserve"> carefully consider the advantages and disadvantages of both of these approaches, as neither one is without possible flaws.</w:t>
          </w:r>
        </w:p>
        <w:p w14:paraId="0B17B728" w14:textId="54A416F3" w:rsidR="00C92C51" w:rsidRDefault="00C92C51" w:rsidP="0067514E">
          <w:r w:rsidRPr="00C92C51">
            <w:t>According to Brigham and Houston (2015)</w:t>
          </w:r>
          <w:r w:rsidR="007A7479">
            <w:t xml:space="preserve"> and </w:t>
          </w:r>
          <w:r w:rsidR="007A7479" w:rsidRPr="007A7479">
            <w:t>Kamarudin</w:t>
          </w:r>
          <w:r w:rsidR="007A7479">
            <w:t xml:space="preserve">, </w:t>
          </w:r>
          <w:r w:rsidR="007A7479" w:rsidRPr="007A7479">
            <w:t>Kurnia</w:t>
          </w:r>
          <w:r w:rsidR="007A7479">
            <w:t xml:space="preserve"> and </w:t>
          </w:r>
          <w:r w:rsidR="007A7479" w:rsidRPr="007A7479">
            <w:t>Arifin</w:t>
          </w:r>
          <w:r w:rsidR="007A7479">
            <w:t xml:space="preserve"> </w:t>
          </w:r>
          <w:r w:rsidR="007A7479" w:rsidRPr="007A7479">
            <w:t>(2020)</w:t>
          </w:r>
          <w:r w:rsidR="007A7479">
            <w:t xml:space="preserve">, </w:t>
          </w:r>
          <w:r w:rsidRPr="00C92C51">
            <w:t xml:space="preserve">delaying the programme of refurbishment may appear to be a workable alternative in the near term because it can assist the organisation in preserving finances and avoiding taking on extra debt. However, there is a possibility that this strategy will result in </w:t>
          </w:r>
          <w:proofErr w:type="spellStart"/>
          <w:r w:rsidRPr="00C92C51">
            <w:t>unfavorable</w:t>
          </w:r>
          <w:proofErr w:type="spellEnd"/>
          <w:r w:rsidRPr="00C92C51">
            <w:t xml:space="preserve"> outcomes in the long run. If a company's facilities are outdated or in bad condition, for instance, clients may be less likely to patronise the business or make purchases from it. This could lead to a decrease in </w:t>
          </w:r>
          <w:proofErr w:type="gramStart"/>
          <w:r w:rsidRPr="00C92C51">
            <w:t>income,  which</w:t>
          </w:r>
          <w:proofErr w:type="gramEnd"/>
          <w:r w:rsidRPr="00C92C51">
            <w:t xml:space="preserve"> might prove challenging to recover from in the future. In addition, putting off the refurbishment programme could result in the creation of safety dangers or other problems, both of which could lead to an increase in expenses over time.</w:t>
          </w:r>
        </w:p>
        <w:p w14:paraId="2900B4A1" w14:textId="5896CE18" w:rsidR="00F4752A" w:rsidRDefault="00F4752A" w:rsidP="0067514E">
          <w:r w:rsidRPr="00F4752A">
            <w:t>According to Hill and Jones (2014), an effective method for businesses that are having trouble maintaining operations or funding new initiatives is to seek an injection of capital from the owners of the business or from external investors. Having said that, this strategy may also have some potential downsides. For instance, if a business takes on additional debt or stock, this might raise the financial risk the company is exposed to and lower the flexibility it will have in the future. It may also be difficult for the company to repay the debt or live up to the expectations of investors if it is unable to make sufficient returns on the capital that it receives.</w:t>
          </w:r>
        </w:p>
        <w:p w14:paraId="5D830795" w14:textId="164871E4" w:rsidR="00666CE8" w:rsidRDefault="00666CE8" w:rsidP="0067514E">
          <w:r w:rsidRPr="00666CE8">
            <w:t xml:space="preserve">In the end, the individual circumstances of the company should be taken into consideration when making the decision on </w:t>
          </w:r>
          <w:proofErr w:type="gramStart"/>
          <w:r w:rsidRPr="00666CE8">
            <w:t>whether or not</w:t>
          </w:r>
          <w:proofErr w:type="gramEnd"/>
          <w:r w:rsidRPr="00666CE8">
            <w:t xml:space="preserve"> to receive an injection of capital or postpone a refurbishment plan. Before selecting an option, it is important for the management</w:t>
          </w:r>
          <w:r>
            <w:t xml:space="preserve"> </w:t>
          </w:r>
          <w:r w:rsidRPr="00666CE8">
            <w:t xml:space="preserve">to carefully consider </w:t>
          </w:r>
          <w:proofErr w:type="gramStart"/>
          <w:r w:rsidRPr="00666CE8">
            <w:t>a number of</w:t>
          </w:r>
          <w:proofErr w:type="gramEnd"/>
          <w:r w:rsidRPr="00666CE8">
            <w:t xml:space="preserve"> factors, including the state of the company's finances, the current state of the market, and the nature of the competition. (Ross, </w:t>
          </w:r>
          <w:proofErr w:type="gramStart"/>
          <w:r w:rsidRPr="00666CE8">
            <w:t>Westerfield</w:t>
          </w:r>
          <w:proofErr w:type="gramEnd"/>
          <w:r w:rsidRPr="00666CE8">
            <w:t xml:space="preserve"> and Jordan, 2017)</w:t>
          </w:r>
        </w:p>
        <w:p w14:paraId="65AE4DCE" w14:textId="77777777" w:rsidR="002508BC" w:rsidRDefault="002508BC" w:rsidP="0067514E"/>
        <w:p w14:paraId="12598697" w14:textId="3726123D" w:rsidR="001E02D3" w:rsidRDefault="00173A67" w:rsidP="0067514E">
          <w:pPr>
            <w:rPr>
              <w:b/>
              <w:bCs/>
            </w:rPr>
          </w:pPr>
          <w:r w:rsidRPr="00173A67">
            <w:rPr>
              <w:b/>
              <w:bCs/>
            </w:rPr>
            <w:t>(</w:t>
          </w:r>
          <w:r w:rsidR="00F765F4">
            <w:rPr>
              <w:b/>
              <w:bCs/>
            </w:rPr>
            <w:t>c</w:t>
          </w:r>
          <w:r w:rsidRPr="00173A67">
            <w:rPr>
              <w:b/>
              <w:bCs/>
            </w:rPr>
            <w:t>)</w:t>
          </w:r>
          <w:r>
            <w:rPr>
              <w:b/>
              <w:bCs/>
            </w:rPr>
            <w:t xml:space="preserve"> </w:t>
          </w:r>
        </w:p>
        <w:p w14:paraId="0869412F" w14:textId="25E3E499" w:rsidR="00192727" w:rsidRPr="00192727" w:rsidRDefault="00192727" w:rsidP="0067514E">
          <w:r w:rsidRPr="00192727">
            <w:t>According to Drury (2013), communication is vital in every business, and it is especially important in the process of budgeting and maintaining a budgetary management system. To guarantee that all members of the organisation are on the same page regarding the budgeting process and its goals, management should convey these details to everyone in the organisation.</w:t>
          </w:r>
        </w:p>
        <w:p w14:paraId="681DF13A" w14:textId="2291B6EC" w:rsidR="00173A67" w:rsidRDefault="00173A67" w:rsidP="0067514E">
          <w:r w:rsidRPr="00173A67">
            <w:t xml:space="preserve">The management procedures of budgeting and budgetary control are essential to the success of organisations in terms of meeting their goals and attaining their objectives. There are </w:t>
          </w:r>
          <w:proofErr w:type="gramStart"/>
          <w:r w:rsidRPr="00173A67">
            <w:t>a number of</w:t>
          </w:r>
          <w:proofErr w:type="gramEnd"/>
          <w:r w:rsidRPr="00173A67">
            <w:t xml:space="preserve"> requirements that need to be met inside of an organisation in order for there to be an effective budgeting and budgetary control system. When implementing such a system, management must also take into consideration the behaviour of individuals working within the organisation because it is a key aspect in the process.</w:t>
          </w:r>
        </w:p>
        <w:p w14:paraId="6890BAC0" w14:textId="4AE30B24" w:rsidR="00173A67" w:rsidRDefault="00173A67" w:rsidP="0067514E">
          <w:r w:rsidRPr="00173A67">
            <w:t xml:space="preserve">The presence of capable leadership is the primary precondition for a fruitful process of budgeting. Leaders are required to demonstrate their dedication to the process of budgeting and to educate their employees on the significance of doing so. </w:t>
          </w:r>
          <w:proofErr w:type="gramStart"/>
          <w:r w:rsidRPr="00173A67">
            <w:t>In order to</w:t>
          </w:r>
          <w:proofErr w:type="gramEnd"/>
          <w:r w:rsidRPr="00173A67">
            <w:t xml:space="preserve"> accomplish this, one needs to have a </w:t>
          </w:r>
          <w:r w:rsidRPr="00173A67">
            <w:lastRenderedPageBreak/>
            <w:t xml:space="preserve">solid grasp on the goals and strategies of the firm, as well as the ability to make difficult decisions and strictly adhere to the regulations and processes pertaining to budgeting. "Strong leadership is essential for the success of management control systems, including budgeting," claim Merchant and Van der </w:t>
          </w:r>
          <w:proofErr w:type="spellStart"/>
          <w:r w:rsidRPr="00173A67">
            <w:t>Stede</w:t>
          </w:r>
          <w:proofErr w:type="spellEnd"/>
          <w:r w:rsidRPr="00173A67">
            <w:t xml:space="preserve"> (2017).</w:t>
          </w:r>
          <w:r w:rsidR="004105B6">
            <w:t xml:space="preserve"> </w:t>
          </w:r>
          <w:r w:rsidR="004105B6" w:rsidRPr="004105B6">
            <w:t xml:space="preserve">Hansen and Mowen (2018), add that in order for budgets to be meaningful and helpful for decision-making, the goals that they are based on need to be explicit, measurable, attainable, relevant, and </w:t>
          </w:r>
          <w:proofErr w:type="gramStart"/>
          <w:r w:rsidR="004105B6" w:rsidRPr="004105B6">
            <w:t>time-bound</w:t>
          </w:r>
          <w:proofErr w:type="gramEnd"/>
          <w:r w:rsidR="004105B6" w:rsidRPr="004105B6">
            <w:t>.</w:t>
          </w:r>
          <w:r w:rsidR="004105B6">
            <w:t xml:space="preserve"> </w:t>
          </w:r>
          <w:r w:rsidR="00235CD2" w:rsidRPr="00235CD2">
            <w:t>In addition, Horngren, Datar, and Rajan (201</w:t>
          </w:r>
          <w:r w:rsidR="00235CD2">
            <w:t>4</w:t>
          </w:r>
          <w:r w:rsidR="00235CD2" w:rsidRPr="00235CD2">
            <w:t xml:space="preserve">) state that "a budget is a financial plan that reflects the goals and objectives of the company." The procedure for creating the budget ought to be geared towards accomplishing the </w:t>
          </w:r>
          <w:r w:rsidR="00235CD2">
            <w:t>organization’s</w:t>
          </w:r>
          <w:r w:rsidR="00235CD2" w:rsidRPr="00235CD2">
            <w:t xml:space="preserve"> overarching goals and plans. This necessitates having a profound comprehension of the </w:t>
          </w:r>
          <w:r w:rsidR="00235CD2">
            <w:t>organization’s</w:t>
          </w:r>
          <w:r w:rsidR="00235CD2" w:rsidRPr="00235CD2">
            <w:t xml:space="preserve"> values, mission, and vision, in addition to its short-term and long-term objectives</w:t>
          </w:r>
          <w:r w:rsidR="00B87B46">
            <w:t>.</w:t>
          </w:r>
          <w:r w:rsidR="004B5905">
            <w:t xml:space="preserve"> Furthermore, t</w:t>
          </w:r>
          <w:r w:rsidR="004B5905" w:rsidRPr="004B5905">
            <w:t xml:space="preserve">o ensure the effectiveness of a budgeting and budgetary control system, the financial information of an organisation needs to be accurate, updated in a timely manner, and easily accessible. (Hilton, Maher, &amp; </w:t>
          </w:r>
          <w:proofErr w:type="spellStart"/>
          <w:r w:rsidR="004B5905" w:rsidRPr="004B5905">
            <w:t>Selto</w:t>
          </w:r>
          <w:proofErr w:type="spellEnd"/>
          <w:r w:rsidR="004B5905" w:rsidRPr="004B5905">
            <w:t>, 2019). Because of how essential this information is to the decision-making process, any delays or mistakes in its presentation could result in improper budget allocations.</w:t>
          </w:r>
          <w:r w:rsidR="00977EE3" w:rsidRPr="00977EE3">
            <w:t xml:space="preserve"> Another prerequisite is the existence of a reliable method for monitoring and assessing performance. A budget, as stated by Horngren et al. (2014), is a tool that may be used for measuring and evaluating the performance of an organisation. Therefore, </w:t>
          </w:r>
          <w:proofErr w:type="gramStart"/>
          <w:r w:rsidR="00977EE3" w:rsidRPr="00977EE3">
            <w:t>in order for</w:t>
          </w:r>
          <w:proofErr w:type="gramEnd"/>
          <w:r w:rsidR="00977EE3" w:rsidRPr="00977EE3">
            <w:t xml:space="preserve"> a budget to be useful, there must be a system in place that can measure and evaluate the performance of the organisation in comparison to the results that were budgeted for. This system should be able to detect areas where performance is below expectations and where corrective action may be required </w:t>
          </w:r>
          <w:proofErr w:type="gramStart"/>
          <w:r w:rsidR="00977EE3" w:rsidRPr="00977EE3">
            <w:t>in order to</w:t>
          </w:r>
          <w:proofErr w:type="gramEnd"/>
          <w:r w:rsidR="00977EE3" w:rsidRPr="00977EE3">
            <w:t xml:space="preserve"> improve the situation.</w:t>
          </w:r>
        </w:p>
        <w:p w14:paraId="1B47025E" w14:textId="7B8D4720" w:rsidR="00F8183A" w:rsidRPr="00F8183A" w:rsidRDefault="00F8183A" w:rsidP="00F8183A">
          <w:r w:rsidRPr="00F8183A">
            <w:t>When designing a budgeting and budget control system, management must consider certain human behaviours that might affect the system's efficacy</w:t>
          </w:r>
          <w:r w:rsidR="00AC7AFC">
            <w:t xml:space="preserve"> (</w:t>
          </w:r>
          <w:r w:rsidR="00AC7AFC" w:rsidRPr="00AC7AFC">
            <w:t>Otley</w:t>
          </w:r>
          <w:r w:rsidR="00AC7AFC">
            <w:t>, 2016).</w:t>
          </w:r>
        </w:p>
        <w:p w14:paraId="0E3294F0" w14:textId="77777777" w:rsidR="00F8183A" w:rsidRPr="00F8183A" w:rsidRDefault="00F8183A" w:rsidP="00F8183A"/>
        <w:p w14:paraId="458864EC" w14:textId="77777777" w:rsidR="00F8183A" w:rsidRPr="00F8183A" w:rsidRDefault="00F8183A" w:rsidP="00F8183A">
          <w:r w:rsidRPr="00F8183A">
            <w:t xml:space="preserve"> Change resistance is one of the greatest obstacles managers confront when developing a budgeting and budget management system. People are often resistant to adopting new systems and procedures, particularly if they believe the changes will have an influence on their autonomy or job security. (</w:t>
          </w:r>
          <w:proofErr w:type="spellStart"/>
          <w:r w:rsidRPr="00F8183A">
            <w:t>Chenhall</w:t>
          </w:r>
          <w:proofErr w:type="spellEnd"/>
          <w:r w:rsidRPr="00F8183A">
            <w:t xml:space="preserve"> &amp; Morris, 1995). Bhimani (2003) argues </w:t>
          </w:r>
          <w:proofErr w:type="gramStart"/>
          <w:r w:rsidRPr="00F8183A">
            <w:t>that,</w:t>
          </w:r>
          <w:proofErr w:type="gramEnd"/>
          <w:r w:rsidRPr="00F8183A">
            <w:t xml:space="preserve"> management must include workers in the budgeting process, explain the rationale for the change, and give training to assist staff adjust to the new system.</w:t>
          </w:r>
        </w:p>
        <w:p w14:paraId="1C94923F" w14:textId="77777777" w:rsidR="00F8183A" w:rsidRPr="00F8183A" w:rsidRDefault="00F8183A" w:rsidP="00F8183A"/>
        <w:p w14:paraId="0ABB2C91" w14:textId="77777777" w:rsidR="00F8183A" w:rsidRPr="00F8183A" w:rsidRDefault="00F8183A" w:rsidP="00F8183A">
          <w:r w:rsidRPr="00F8183A">
            <w:t xml:space="preserve">According to Hansen and Van der </w:t>
          </w:r>
          <w:proofErr w:type="spellStart"/>
          <w:r w:rsidRPr="00F8183A">
            <w:t>Stede</w:t>
          </w:r>
          <w:proofErr w:type="spellEnd"/>
          <w:r w:rsidRPr="00F8183A">
            <w:t xml:space="preserve"> (2004), another factor that managers must address is the possibility for budgeting system gaming and manipulation. Employees may seek to manipulate the system </w:t>
          </w:r>
          <w:proofErr w:type="gramStart"/>
          <w:r w:rsidRPr="00F8183A">
            <w:t>in order to</w:t>
          </w:r>
          <w:proofErr w:type="gramEnd"/>
          <w:r w:rsidRPr="00F8183A">
            <w:t xml:space="preserve"> accomplish their goals, for example by underestimating spending or exaggerating income estimates. </w:t>
          </w:r>
          <w:proofErr w:type="gramStart"/>
          <w:r w:rsidRPr="00F8183A">
            <w:t xml:space="preserve">Also,  </w:t>
          </w:r>
          <w:proofErr w:type="spellStart"/>
          <w:r w:rsidRPr="00F8183A">
            <w:t>Lebas</w:t>
          </w:r>
          <w:proofErr w:type="spellEnd"/>
          <w:proofErr w:type="gramEnd"/>
          <w:r w:rsidRPr="00F8183A">
            <w:t xml:space="preserve"> and </w:t>
          </w:r>
          <w:proofErr w:type="spellStart"/>
          <w:r w:rsidRPr="00F8183A">
            <w:t>Euske</w:t>
          </w:r>
          <w:proofErr w:type="spellEnd"/>
          <w:r w:rsidRPr="00F8183A">
            <w:t xml:space="preserve"> (2002), supports that, management must thus actively oversee the budgeting process, give incentives for correct reporting, and create clear budgeting criteria. </w:t>
          </w:r>
        </w:p>
        <w:p w14:paraId="49A97A90" w14:textId="77777777" w:rsidR="00F8183A" w:rsidRPr="00F8183A" w:rsidRDefault="00F8183A" w:rsidP="00F8183A">
          <w:r w:rsidRPr="00F8183A">
            <w:t xml:space="preserve">A budgeting system may also foster a focus in which staff prioritise attaining short-term aims above reaching long-term strategic objectives. (Ittner &amp; Larcker, 2003). This short-term focus may result in a failure to engage in research and development, personnel training, and other operations that may not provide immediate benefits. (Merchant &amp; Van der </w:t>
          </w:r>
          <w:proofErr w:type="spellStart"/>
          <w:r w:rsidRPr="00F8183A">
            <w:t>Stede</w:t>
          </w:r>
          <w:proofErr w:type="spellEnd"/>
          <w:r w:rsidRPr="00F8183A">
            <w:t>, 2012). Therefore, management must strike a balance between short-term achievement and long-term strategic objectives and consider using non-financial performance metrics to promote a wider viewpoint. (Bhimani, 2003).</w:t>
          </w:r>
        </w:p>
        <w:p w14:paraId="05CFAF85" w14:textId="77777777" w:rsidR="00F8183A" w:rsidRDefault="00F8183A" w:rsidP="00F8183A">
          <w:r w:rsidRPr="00F8183A">
            <w:lastRenderedPageBreak/>
            <w:t>A budgeting system can additionally encourage a culture of criticising and penalising workers who fall short of their goals. (Otley, 1999). This strategy may lead to a lack of trust between management and staff, since people fear being punished for external circumstances, like as economic difficulties or unforeseen incidents. (Hope &amp; Fraser, 2003). Therefore, management must prioritise learning and development above punishment, utilising budgets to uncover chances for change rather than as a means of assigning blame.</w:t>
          </w:r>
        </w:p>
        <w:p w14:paraId="760B6C3C" w14:textId="77777777" w:rsidR="00CF7FD0" w:rsidRDefault="00CF7FD0" w:rsidP="00F8183A"/>
        <w:p w14:paraId="64FF3FF0" w14:textId="7F7D628D" w:rsidR="00CF7FD0" w:rsidRPr="00F765F4" w:rsidRDefault="00F765F4" w:rsidP="00F8183A">
          <w:pPr>
            <w:rPr>
              <w:b/>
              <w:bCs/>
            </w:rPr>
          </w:pPr>
          <w:r w:rsidRPr="00F765F4">
            <w:rPr>
              <w:b/>
              <w:bCs/>
            </w:rPr>
            <w:t>(d)</w:t>
          </w:r>
        </w:p>
        <w:p w14:paraId="7D1C7B49" w14:textId="50A709C7" w:rsidR="00CF7FD0" w:rsidRDefault="00CF7FD0" w:rsidP="00F8183A">
          <w:r w:rsidRPr="00CF7FD0">
            <w:rPr>
              <w:b/>
              <w:bCs/>
            </w:rPr>
            <w:t xml:space="preserve"> </w:t>
          </w:r>
          <w:r w:rsidRPr="00CF7FD0">
            <w:t>Budgeting is essential for organisations to efficiently manage their financial resources. It comprises planning, monitoring, and regulating the revenue, costs, and capital expenditures of an organisation. Organizations have used traditional budgeting approaches for many years to attain these aims. In today's quickly changing business environment, however, standard budgeting procedures may no longer be enough for achieving organisational goals. Traditional budgeting is sometimes too strict and inflexible for organizations, which must be more adaptable and responsive to change. Adopting proactive techniques to budgeting may aid organisations in achieving their objectives and remaining competitive in today's changing business climate.</w:t>
          </w:r>
        </w:p>
        <w:p w14:paraId="16CAD0A7" w14:textId="7F7A2EF3" w:rsidR="00CF7FD0" w:rsidRDefault="00CF7FD0" w:rsidP="00F8183A">
          <w:r w:rsidRPr="00CF7FD0">
            <w:t xml:space="preserve">Traditional budgeting is </w:t>
          </w:r>
          <w:r>
            <w:t>criticized</w:t>
          </w:r>
          <w:r w:rsidRPr="00CF7FD0">
            <w:t xml:space="preserve"> for being time-consuming and costly to prepare. According to Healy and Palepu (2012), the budgeting process requires large resources and might take several months to complete, which can delay decision-making and limit the </w:t>
          </w:r>
          <w:r>
            <w:t>organization’s</w:t>
          </w:r>
          <w:r w:rsidRPr="00CF7FD0">
            <w:t xml:space="preserve"> adaptability to changing business circumstances. Moreover</w:t>
          </w:r>
          <w:r>
            <w:t>, Frigo (2016), is adding that</w:t>
          </w:r>
          <w:r w:rsidRPr="00CF7FD0">
            <w:t xml:space="preserve"> typical budgeting approaches depend on past data, assumptions, and forecasts, which may be erroneous in a setting where economic conditions change rapidly. This might lead to unattainable goals and lost chances for development and innovation.</w:t>
          </w:r>
        </w:p>
        <w:p w14:paraId="7A8A4BE3" w14:textId="2DA17464" w:rsidR="00F9402C" w:rsidRDefault="00F9402C" w:rsidP="00F8183A">
          <w:r w:rsidRPr="00F9402C">
            <w:t xml:space="preserve">A different critique of traditional budgeting is that it might result in "budgetary slack." This word refers to the practice of managers establishing lower-than-achievable goals </w:t>
          </w:r>
          <w:proofErr w:type="gramStart"/>
          <w:r w:rsidRPr="00F9402C">
            <w:t>in order to</w:t>
          </w:r>
          <w:proofErr w:type="gramEnd"/>
          <w:r w:rsidRPr="00F9402C">
            <w:t xml:space="preserve"> guarantee that they accomplish or surpass their goals and obtain bonuses or awards. (Kaplan &amp; Norton, 2005). This may lead to decreased motivation among workers and lost possibilities for development and innovation.</w:t>
          </w:r>
        </w:p>
        <w:p w14:paraId="17576499" w14:textId="0BD69344" w:rsidR="000A2DB9" w:rsidRDefault="000A2DB9" w:rsidP="00F8183A">
          <w:pPr>
            <w:rPr>
              <w:rFonts w:ascii="Calibri" w:eastAsia="Calibri" w:hAnsi="Calibri" w:cs="Times New Roman"/>
            </w:rPr>
          </w:pPr>
          <w:r w:rsidRPr="000A2DB9">
            <w:t xml:space="preserve">In addition, conventional techniques of budgeting are sometimes criticised for being rigid and inflexible, which might restrict their utility in a business context that is characterised by rapid environmental change. According to Hope and Fraser (2003), conventional methods of budgeting are based on a predetermined set of assumptions and do not take into consideration shifts that may occur in the operating environment of a company. These shifts may include shifts in the preferences of customers, technical developments, or new entries into the market. This might lead to lost opportunities and can restrict an </w:t>
          </w:r>
          <w:r w:rsidR="0057146E">
            <w:t>organization’s</w:t>
          </w:r>
          <w:r w:rsidRPr="000A2DB9">
            <w:t xml:space="preserve"> capacity to respond to changes in the market.</w:t>
          </w:r>
          <w:r w:rsidR="0057146E">
            <w:t xml:space="preserve"> </w:t>
          </w:r>
          <w:r w:rsidR="0057146E" w:rsidRPr="0057146E">
            <w:rPr>
              <w:rFonts w:ascii="Calibri" w:eastAsia="Calibri" w:hAnsi="Calibri" w:cs="Times New Roman"/>
            </w:rPr>
            <w:t>Horngren et al. (2017), is adding that this inflexibility</w:t>
          </w:r>
          <w:r w:rsidR="0057146E">
            <w:rPr>
              <w:rFonts w:ascii="Calibri" w:eastAsia="Calibri" w:hAnsi="Calibri" w:cs="Times New Roman"/>
            </w:rPr>
            <w:t>,</w:t>
          </w:r>
          <w:r w:rsidR="0057146E" w:rsidRPr="0057146E">
            <w:rPr>
              <w:rFonts w:ascii="Calibri" w:eastAsia="Calibri" w:hAnsi="Calibri" w:cs="Times New Roman"/>
            </w:rPr>
            <w:t xml:space="preserve"> also known as fixed budgeting</w:t>
          </w:r>
          <w:r w:rsidR="0057146E">
            <w:rPr>
              <w:rFonts w:ascii="Calibri" w:eastAsia="Calibri" w:hAnsi="Calibri" w:cs="Times New Roman"/>
            </w:rPr>
            <w:t>,</w:t>
          </w:r>
          <w:r w:rsidR="0057146E" w:rsidRPr="0057146E">
            <w:rPr>
              <w:rFonts w:ascii="Calibri" w:eastAsia="Calibri" w:hAnsi="Calibri" w:cs="Times New Roman"/>
            </w:rPr>
            <w:t xml:space="preserve"> involves creating a budget for a specific period, typically a year, and adhering to it regardless of changing circumstances, which can result in missed opportunities or wasteful spending. In a fast-changing business environment, organizations need to be agile and adaptable to remain competitive, and fixed budgeting may hinder this agility.</w:t>
          </w:r>
        </w:p>
        <w:p w14:paraId="3D61E2C0" w14:textId="0D62D6A4" w:rsidR="00B60946" w:rsidRDefault="00B60946" w:rsidP="00F8183A">
          <w:r w:rsidRPr="00B60946">
            <w:t>Another conventional method of budgeting is called "top-down budgeting," and it includes upper management deciding what the budget will be for the whole organisation with very little input from staff working at lower levels</w:t>
          </w:r>
          <w:r w:rsidR="00DD0997">
            <w:t xml:space="preserve"> (</w:t>
          </w:r>
          <w:r w:rsidR="00DD0997" w:rsidRPr="00DD0997">
            <w:t>Saari, S., &amp; Laitinen, E. K. 2018)</w:t>
          </w:r>
          <w:r w:rsidR="00DD0997">
            <w:t xml:space="preserve">. </w:t>
          </w:r>
          <w:r w:rsidRPr="00B60946">
            <w:t xml:space="preserve">This strategy may result in a lack of buy-in and engagement from workers, who may feel as if they are separated from the process of </w:t>
          </w:r>
          <w:r w:rsidRPr="00B60946">
            <w:lastRenderedPageBreak/>
            <w:t xml:space="preserve">budgeting, in a business climate that is </w:t>
          </w:r>
          <w:r w:rsidR="00A571BC">
            <w:t>characterized</w:t>
          </w:r>
          <w:r w:rsidRPr="00B60946">
            <w:t xml:space="preserve"> by rapid change. According to Coombs and Jenkins (2018)</w:t>
          </w:r>
          <w:r w:rsidR="00DD0997">
            <w:t xml:space="preserve"> and </w:t>
          </w:r>
          <w:r w:rsidR="00DD0997" w:rsidRPr="00DD0997">
            <w:t>Daum</w:t>
          </w:r>
          <w:r w:rsidR="00DD0997">
            <w:t xml:space="preserve"> and</w:t>
          </w:r>
          <w:r w:rsidR="00A571BC">
            <w:t xml:space="preserve"> </w:t>
          </w:r>
          <w:r w:rsidR="00A571BC" w:rsidRPr="00A571BC">
            <w:t>Kersting</w:t>
          </w:r>
          <w:r w:rsidR="00A571BC">
            <w:t xml:space="preserve"> (2015)</w:t>
          </w:r>
          <w:r w:rsidRPr="00B60946">
            <w:t>, this disengagement may result in a lack of ownership and responsibility, which may eventually undermine the efficacy of the budget. In addition, this disengagement can result in a lack of participation. It is crucial to include staff members in the process of budgeting, especially in an environment of rapid business change. This will guarantee that employees have a stake in the achievement of financial objectives, which will inspire them to strive towards those goals.</w:t>
          </w:r>
        </w:p>
        <w:p w14:paraId="6D3521B5" w14:textId="18A3BA5A" w:rsidR="00961350" w:rsidRDefault="00961350" w:rsidP="00F8183A">
          <w:r w:rsidRPr="00961350">
            <w:t xml:space="preserve">In addition, incremental budgeting is an additional conventional method of budgeting that entails changing the budget from the year before by a particular percentage </w:t>
          </w:r>
          <w:proofErr w:type="gramStart"/>
          <w:r w:rsidRPr="00961350">
            <w:t>in order to</w:t>
          </w:r>
          <w:proofErr w:type="gramEnd"/>
          <w:r w:rsidRPr="00961350">
            <w:t xml:space="preserve"> account for changes in inflation and other variables. This strategy </w:t>
          </w:r>
          <w:proofErr w:type="gramStart"/>
          <w:r w:rsidRPr="00961350">
            <w:t>is based on the assumption</w:t>
          </w:r>
          <w:proofErr w:type="gramEnd"/>
          <w:r w:rsidRPr="00961350">
            <w:t xml:space="preserve"> that one's past performance is a reliable indicator of one's future performance, which is not necessarily always the case. According to Horngren, Datar, and Rajan (2017), incremental budgeting may result in complacency and inefficiency since departments may simply continue to spend the same amount of money as they did the prior year, regardless of </w:t>
          </w:r>
          <w:proofErr w:type="gramStart"/>
          <w:r w:rsidRPr="00961350">
            <w:t>whether or not</w:t>
          </w:r>
          <w:proofErr w:type="gramEnd"/>
          <w:r w:rsidRPr="00961350">
            <w:t xml:space="preserve"> it is required to do so.</w:t>
          </w:r>
        </w:p>
        <w:p w14:paraId="58C3C2FE" w14:textId="00A004F3" w:rsidR="00F940B8" w:rsidRDefault="00F940B8" w:rsidP="00F8183A">
          <w:r>
            <w:t>Finally</w:t>
          </w:r>
          <w:r w:rsidRPr="00F940B8">
            <w:t xml:space="preserve">, businesses have an obligation to conduct an in-depth analysis of conventional techniques to budgeting </w:t>
          </w:r>
          <w:proofErr w:type="gramStart"/>
          <w:r w:rsidRPr="00F940B8">
            <w:t>in order to</w:t>
          </w:r>
          <w:proofErr w:type="gramEnd"/>
          <w:r w:rsidRPr="00F940B8">
            <w:t xml:space="preserve"> assess whether or not such approaches are appropriate for the particular circumstances of their operations. If this is not the case, they </w:t>
          </w:r>
          <w:proofErr w:type="gramStart"/>
          <w:r w:rsidRPr="00F940B8">
            <w:t>have to</w:t>
          </w:r>
          <w:proofErr w:type="gramEnd"/>
          <w:r w:rsidRPr="00F940B8">
            <w:t xml:space="preserve"> think about alternate methods such as Beyond Budgeting, which places an emphasis on flexibility, agility, and transparency. When this is done, </w:t>
          </w:r>
          <w:r>
            <w:t>organizations</w:t>
          </w:r>
          <w:r w:rsidRPr="00F940B8">
            <w:t xml:space="preserve"> may position themselves for long-term success in a business environment that is becoming more complicated and evolving at a rapid pace.</w:t>
          </w:r>
        </w:p>
        <w:p w14:paraId="32BC9610" w14:textId="21EB7157" w:rsidR="002B1E82" w:rsidRDefault="00441049" w:rsidP="00F8183A">
          <w:r w:rsidRPr="00441049">
            <w:t xml:space="preserve">It is important to point out that even while Beyond Budgeting is becoming more popular, it does not come without any difficulties. </w:t>
          </w:r>
          <w:proofErr w:type="spellStart"/>
          <w:r w:rsidR="00DD0997" w:rsidRPr="00DD0997">
            <w:t>Bogsnes</w:t>
          </w:r>
          <w:proofErr w:type="spellEnd"/>
          <w:r w:rsidR="00DD0997" w:rsidRPr="00DD0997">
            <w:t>, B. (2009)</w:t>
          </w:r>
          <w:r w:rsidR="00DD0997">
            <w:t>, states that o</w:t>
          </w:r>
          <w:r w:rsidRPr="00441049">
            <w:t xml:space="preserve">ne of the issues is that it necessitates a substantial change in the management </w:t>
          </w:r>
          <w:r>
            <w:t>practices</w:t>
          </w:r>
          <w:r w:rsidRPr="00441049">
            <w:t xml:space="preserve"> and </w:t>
          </w:r>
          <w:r>
            <w:t>organizational</w:t>
          </w:r>
          <w:r w:rsidRPr="00441049">
            <w:t xml:space="preserve"> culture of the </w:t>
          </w:r>
          <w:r>
            <w:t>organization</w:t>
          </w:r>
          <w:r w:rsidRPr="00441049">
            <w:t xml:space="preserve">. Gosselin (2017) argues that </w:t>
          </w:r>
          <w:proofErr w:type="gramStart"/>
          <w:r w:rsidRPr="00441049">
            <w:t>in order to</w:t>
          </w:r>
          <w:proofErr w:type="gramEnd"/>
          <w:r w:rsidRPr="00441049">
            <w:t xml:space="preserve"> effectively implement Beyond Budgeting, managers need to shift their mentality from one that is focused on control to one that is more focused on collaboration and </w:t>
          </w:r>
          <w:r>
            <w:t>decentralization</w:t>
          </w:r>
          <w:r w:rsidRPr="00441049">
            <w:t xml:space="preserve">. This move may be difficult, especially for </w:t>
          </w:r>
          <w:r>
            <w:t>organizations</w:t>
          </w:r>
          <w:r w:rsidRPr="00441049">
            <w:t xml:space="preserve"> that have a long history of using conventional techniques </w:t>
          </w:r>
          <w:r>
            <w:t>for</w:t>
          </w:r>
          <w:r w:rsidRPr="00441049">
            <w:t xml:space="preserve"> budgeting.</w:t>
          </w:r>
        </w:p>
        <w:p w14:paraId="78F92715" w14:textId="107D6A69" w:rsidR="008B0EC8" w:rsidRDefault="008B0EC8" w:rsidP="00F8183A">
          <w:r w:rsidRPr="008B0EC8">
            <w:t>Despite</w:t>
          </w:r>
          <w:r>
            <w:t xml:space="preserve"> the</w:t>
          </w:r>
          <w:r w:rsidRPr="008B0EC8">
            <w:t xml:space="preserve"> challenges, there is evidence that Beyond Budgeting can be effective in a fast-changing business environment. For example, Lacerda, Ferreira, and Coelho (2018) found that Beyond Budgeting was associated with better financial performance in Brazilian companies. Similarly, Neely, A. (2008)</w:t>
          </w:r>
          <w:r>
            <w:t xml:space="preserve"> </w:t>
          </w:r>
          <w:r w:rsidRPr="008B0EC8">
            <w:t>provide case studies of organizations that have successfully implemented Beyond Budgeting and achieved long-term success.</w:t>
          </w:r>
          <w:r w:rsidR="00854682">
            <w:t xml:space="preserve"> </w:t>
          </w:r>
          <w:r w:rsidR="00854682" w:rsidRPr="00854682">
            <w:t>Another method could be rolling forecasts, which involves updating the forecast regularly, typically on a quarterly basis, to reflect changes in business conditions (Wu et al., 2017; Telford, 2014). This approach allows organizations to adapt quickly to changes in the market and competitive landscape, providing greater flexibility than traditional budgeting methods. Despite its potential benefits, implementing rolling forecasting can be challenging due to data availability and quality, as well as resistance to change within organizations (Bae and Kim 2021). However, according to Abdelsalam, Gad, and Klobas (2020) by overcoming these challenges, organizations can gain greater agility and resilience in the face of uncertainty.</w:t>
          </w:r>
        </w:p>
        <w:p w14:paraId="4FC1D3E1" w14:textId="77777777" w:rsidR="00024B7E" w:rsidRPr="00F8183A" w:rsidRDefault="00024B7E" w:rsidP="00F8183A"/>
        <w:p w14:paraId="227B328C" w14:textId="77777777" w:rsidR="00024B7E" w:rsidRDefault="00024B7E" w:rsidP="00AA2A91">
          <w:pPr>
            <w:pStyle w:val="Heading1"/>
          </w:pPr>
          <w:bookmarkStart w:id="5" w:name="_Toc115682914"/>
        </w:p>
        <w:p w14:paraId="0D15AE93" w14:textId="77777777" w:rsidR="00024B7E" w:rsidRDefault="00024B7E" w:rsidP="00024B7E"/>
        <w:p w14:paraId="3822F691" w14:textId="77777777" w:rsidR="00024B7E" w:rsidRDefault="00024B7E" w:rsidP="00024B7E"/>
        <w:p w14:paraId="03919C76" w14:textId="77777777" w:rsidR="00024B7E" w:rsidRPr="00024B7E" w:rsidRDefault="00024B7E" w:rsidP="00024B7E"/>
        <w:p w14:paraId="5C67928C" w14:textId="3D7DE9B2" w:rsidR="00AA2A91" w:rsidRDefault="00AA2A91" w:rsidP="00AA2A91">
          <w:pPr>
            <w:pStyle w:val="Heading1"/>
          </w:pPr>
          <w:r>
            <w:t>Conclusion</w:t>
          </w:r>
          <w:r w:rsidR="00D854A5">
            <w:t xml:space="preserve"> </w:t>
          </w:r>
          <w:bookmarkEnd w:id="5"/>
        </w:p>
        <w:p w14:paraId="2106D535" w14:textId="77777777" w:rsidR="00024B7E" w:rsidRPr="00024B7E" w:rsidRDefault="00024B7E" w:rsidP="00024B7E"/>
        <w:p w14:paraId="41BA290B" w14:textId="77777777" w:rsidR="00024B7E" w:rsidRDefault="00024B7E" w:rsidP="00024B7E">
          <w:r>
            <w:t xml:space="preserve">In conclusion, organizations that operate in business environments that are subject to rapid change may find that the standard techniques to budgeting are not suited for their needs. Although budgeting and budget control are essential tools for efficient financial management, they may not be able to capture the ever-changing nature of the business climate. </w:t>
          </w:r>
          <w:proofErr w:type="gramStart"/>
          <w:r>
            <w:t>As a consequence</w:t>
          </w:r>
          <w:proofErr w:type="gramEnd"/>
          <w:r>
            <w:t>, budgetary limits may arise, which may be detrimental to both innovation and growth.</w:t>
          </w:r>
        </w:p>
        <w:p w14:paraId="3A9A58D2" w14:textId="77777777" w:rsidR="00024B7E" w:rsidRDefault="00024B7E" w:rsidP="00024B7E">
          <w:r>
            <w:t>However, businesses may better match their financial planning with the reality of the rapidly changing business environment by adopting budgeting strategies that are more flexible and adaptable. Some examples of these types of budgeting strategies are rolling forecasts and zero-based budgeting. These strategies provide companies the flexibility they need to react rapidly to shifts in the market, make required adjustments to their budgets, and embrace chances for expansion.</w:t>
          </w:r>
        </w:p>
        <w:p w14:paraId="2B6AB214" w14:textId="77777777" w:rsidR="00024B7E" w:rsidRDefault="00024B7E" w:rsidP="00024B7E">
          <w:r>
            <w:t xml:space="preserve">In addition, it is vital to include regular evaluations and feedback methods into the process of budgeting </w:t>
          </w:r>
          <w:proofErr w:type="gramStart"/>
          <w:r>
            <w:t>in order to</w:t>
          </w:r>
          <w:proofErr w:type="gramEnd"/>
          <w:r>
            <w:t xml:space="preserve"> guarantee that the organisation's financial objectives continue to line with the overall plan. Even in settings that are volatile and fraught with uncertainty, businesses have a chance of achieving long-term financial success if they choose a budgeting strategy that is more malleable and open to change.</w:t>
          </w:r>
        </w:p>
        <w:p w14:paraId="0C6DEB97" w14:textId="703362C7" w:rsidR="00AA2A91" w:rsidRDefault="00024B7E" w:rsidP="00024B7E">
          <w:r>
            <w:t xml:space="preserve">In summary, conventional methods of budgeting still have their place in the modern corporate world; but, </w:t>
          </w:r>
          <w:proofErr w:type="gramStart"/>
          <w:r>
            <w:t>in order for</w:t>
          </w:r>
          <w:proofErr w:type="gramEnd"/>
          <w:r>
            <w:t xml:space="preserve"> companies to maintain their competitive edge and meet their financial objectives in today's rapidly shifting economic climate, they need to be prepared to adopt and embrace more flexible and adaptable budgeting methods.</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7202FDFC" w14:textId="488ECC33" w:rsidR="00AA2A91" w:rsidRDefault="007A7479" w:rsidP="00AA2A91">
          <w:pPr>
            <w:pStyle w:val="Heading1"/>
          </w:pPr>
          <w:bookmarkStart w:id="6" w:name="_Toc115682915"/>
          <w:r>
            <w:lastRenderedPageBreak/>
            <w:t xml:space="preserve">        </w:t>
          </w:r>
          <w:r w:rsidR="00AA2A91">
            <w:t>Bibliography</w:t>
          </w:r>
          <w:bookmarkEnd w:id="6"/>
        </w:p>
        <w:p w14:paraId="5DDEBBDF" w14:textId="77777777" w:rsidR="007A7479" w:rsidRPr="007A7479" w:rsidRDefault="007A7479" w:rsidP="007A7479"/>
        <w:p w14:paraId="4A8F7372" w14:textId="77777777" w:rsidR="002508BC" w:rsidRDefault="002508BC" w:rsidP="002508BC"/>
        <w:p w14:paraId="7AB679A0" w14:textId="77777777" w:rsidR="00AC7AFC" w:rsidRPr="00872783" w:rsidRDefault="00AC7AFC" w:rsidP="007A7479">
          <w:pPr>
            <w:pStyle w:val="ListParagraph"/>
            <w:numPr>
              <w:ilvl w:val="0"/>
              <w:numId w:val="3"/>
            </w:numPr>
          </w:pPr>
          <w:r w:rsidRPr="00872783">
            <w:t>Abdelsalam, O., Gad, M., &amp; Klobas, J. (2020). The impact of rolling forecasting on organisational performance: A longitudinal study. Journal of Business Research, 112, 371-382.</w:t>
          </w:r>
        </w:p>
        <w:p w14:paraId="4564E344" w14:textId="77777777" w:rsidR="00AC7AFC" w:rsidRPr="00872783" w:rsidRDefault="00AC7AFC" w:rsidP="007A7479">
          <w:pPr>
            <w:pStyle w:val="ListParagraph"/>
            <w:numPr>
              <w:ilvl w:val="0"/>
              <w:numId w:val="3"/>
            </w:numPr>
          </w:pPr>
          <w:r w:rsidRPr="00872783">
            <w:t>Bae, J., &amp; Kim, M. (2021). The effects of rolling forecasts on organizational learning: Evidence from Korean firms. Journal of Business Research, 130, 436-444.</w:t>
          </w:r>
        </w:p>
        <w:p w14:paraId="4A6F7029" w14:textId="77777777" w:rsidR="00AC7AFC" w:rsidRPr="00F8183A" w:rsidRDefault="00AC7AFC" w:rsidP="007A7479">
          <w:pPr>
            <w:pStyle w:val="ListParagraph"/>
            <w:numPr>
              <w:ilvl w:val="0"/>
              <w:numId w:val="3"/>
            </w:numPr>
          </w:pPr>
          <w:r w:rsidRPr="00F8183A">
            <w:t>Bhimani, A. (2003). Management accounting in the digital economy. Oxford University Press.</w:t>
          </w:r>
        </w:p>
        <w:p w14:paraId="302EA12C" w14:textId="77777777" w:rsidR="00AC7AFC" w:rsidRDefault="00AC7AFC" w:rsidP="007A7479">
          <w:pPr>
            <w:pStyle w:val="ListParagraph"/>
            <w:numPr>
              <w:ilvl w:val="0"/>
              <w:numId w:val="3"/>
            </w:numPr>
          </w:pPr>
          <w:proofErr w:type="spellStart"/>
          <w:r w:rsidRPr="00DD0997">
            <w:t>Bogsnes</w:t>
          </w:r>
          <w:proofErr w:type="spellEnd"/>
          <w:r w:rsidRPr="00DD0997">
            <w:t>, B. (2009). Implementing beyond budgeting: Unlocking the performance potential. John Wiley &amp; Sons.</w:t>
          </w:r>
        </w:p>
        <w:p w14:paraId="07E9EB61" w14:textId="77777777" w:rsidR="00AC7AFC" w:rsidRDefault="00AC7AFC" w:rsidP="007A7479">
          <w:pPr>
            <w:pStyle w:val="ListParagraph"/>
            <w:numPr>
              <w:ilvl w:val="0"/>
              <w:numId w:val="3"/>
            </w:numPr>
          </w:pPr>
          <w:r w:rsidRPr="00C92C51">
            <w:t xml:space="preserve">Brigham, E.F. and Houston, J.F. (2015). Fundamentals of financial management. Mason, Oh, </w:t>
          </w:r>
          <w:proofErr w:type="spellStart"/>
          <w:r w:rsidRPr="00C92C51">
            <w:t>Usa</w:t>
          </w:r>
          <w:proofErr w:type="spellEnd"/>
          <w:r w:rsidRPr="00C92C51">
            <w:t>: Cengage Learning.</w:t>
          </w:r>
        </w:p>
        <w:p w14:paraId="33F7AC46" w14:textId="77777777" w:rsidR="00AC7AFC" w:rsidRDefault="00AC7AFC" w:rsidP="007A7479">
          <w:pPr>
            <w:pStyle w:val="ListParagraph"/>
            <w:numPr>
              <w:ilvl w:val="0"/>
              <w:numId w:val="3"/>
            </w:numPr>
          </w:pPr>
          <w:r w:rsidRPr="00B857FA">
            <w:t xml:space="preserve">Chen, Z. (2018). Optimal inventory replenishment and pricing for a single-manufacturer and multi-retailer system of deteriorating items. International Journal of Operational Research, 3(1), p.112. </w:t>
          </w:r>
          <w:proofErr w:type="spellStart"/>
          <w:proofErr w:type="gramStart"/>
          <w:r w:rsidRPr="00B857FA">
            <w:t>doi:https</w:t>
          </w:r>
          <w:proofErr w:type="spellEnd"/>
          <w:r w:rsidRPr="00B857FA">
            <w:t>://doi.org/10.1504/ijor.2018.088559</w:t>
          </w:r>
          <w:proofErr w:type="gramEnd"/>
          <w:r w:rsidRPr="00B857FA">
            <w:t>.</w:t>
          </w:r>
        </w:p>
        <w:p w14:paraId="3F98D092" w14:textId="77777777" w:rsidR="00AC7AFC" w:rsidRPr="00F8183A" w:rsidRDefault="00AC7AFC" w:rsidP="007A7479">
          <w:pPr>
            <w:pStyle w:val="ListParagraph"/>
            <w:numPr>
              <w:ilvl w:val="0"/>
              <w:numId w:val="3"/>
            </w:numPr>
          </w:pPr>
          <w:proofErr w:type="spellStart"/>
          <w:r w:rsidRPr="00F8183A">
            <w:t>Chenhall</w:t>
          </w:r>
          <w:proofErr w:type="spellEnd"/>
          <w:r w:rsidRPr="00F8183A">
            <w:t>, R. H., &amp; Morris, D. (1995). Organic decision and communication processes and management accounting systems in entrepreneurial and professionally managed firms. Journal of Management Accounting Research, 7(1), 191-214.</w:t>
          </w:r>
        </w:p>
        <w:p w14:paraId="64865464" w14:textId="77777777" w:rsidR="00AC7AFC" w:rsidRDefault="00AC7AFC" w:rsidP="007A7479">
          <w:pPr>
            <w:pStyle w:val="ListParagraph"/>
            <w:numPr>
              <w:ilvl w:val="0"/>
              <w:numId w:val="3"/>
            </w:numPr>
          </w:pPr>
          <w:r w:rsidRPr="00B60946">
            <w:t>Coombs, H. &amp; Jenkins, D. (2018). The end of traditional budgeting as we know it. Strategic Finance, 99(10), 30-39.</w:t>
          </w:r>
        </w:p>
        <w:p w14:paraId="10607AFD" w14:textId="77777777" w:rsidR="00AC7AFC" w:rsidRDefault="00AC7AFC" w:rsidP="007A7479">
          <w:pPr>
            <w:pStyle w:val="ListParagraph"/>
            <w:numPr>
              <w:ilvl w:val="0"/>
              <w:numId w:val="3"/>
            </w:numPr>
          </w:pPr>
          <w:r w:rsidRPr="00A571BC">
            <w:t>Daum, J. H., &amp; Kersting, C. (2015). Why traditional budgeting should be abolished. Journal of Business Models, 3(2), 53-63.</w:t>
          </w:r>
        </w:p>
        <w:p w14:paraId="605AFCA6" w14:textId="77777777" w:rsidR="00AC7AFC" w:rsidRDefault="00AC7AFC" w:rsidP="007A7479">
          <w:pPr>
            <w:pStyle w:val="ListParagraph"/>
            <w:numPr>
              <w:ilvl w:val="0"/>
              <w:numId w:val="3"/>
            </w:numPr>
          </w:pPr>
          <w:r w:rsidRPr="00192727">
            <w:t>DRURY, C.M. (2013). MANAGEMENT AND COST ACCOUNTING. Springer.</w:t>
          </w:r>
        </w:p>
        <w:p w14:paraId="1D9B43C0" w14:textId="77777777" w:rsidR="00AC7AFC" w:rsidRDefault="00AC7AFC" w:rsidP="007A7479">
          <w:pPr>
            <w:pStyle w:val="ListParagraph"/>
            <w:numPr>
              <w:ilvl w:val="0"/>
              <w:numId w:val="3"/>
            </w:numPr>
          </w:pPr>
          <w:r w:rsidRPr="00CF7FD0">
            <w:t>Frigo, M. (2016). Five Reasons Traditional Budgeting Fails. Strategic Finance, 98(4), 23-24.</w:t>
          </w:r>
        </w:p>
        <w:p w14:paraId="6882CF40" w14:textId="77777777" w:rsidR="00AC7AFC" w:rsidRDefault="00AC7AFC" w:rsidP="007A7479">
          <w:pPr>
            <w:pStyle w:val="ListParagraph"/>
            <w:numPr>
              <w:ilvl w:val="0"/>
              <w:numId w:val="3"/>
            </w:numPr>
          </w:pPr>
          <w:r w:rsidRPr="00441049">
            <w:t>Gosselin, M. (2017). Twenty-five years of Beyond Budgeting reflections: A review. Journal of Applied Accounting Research, 18(1), 2-16.</w:t>
          </w:r>
        </w:p>
        <w:p w14:paraId="7D55B46C" w14:textId="77777777" w:rsidR="00AC7AFC" w:rsidRDefault="00AC7AFC" w:rsidP="007A7479">
          <w:pPr>
            <w:pStyle w:val="ListParagraph"/>
            <w:numPr>
              <w:ilvl w:val="0"/>
              <w:numId w:val="3"/>
            </w:numPr>
          </w:pPr>
          <w:r w:rsidRPr="004105B6">
            <w:t>Hansen, D.R. and Mowen, M.M. (2018). Cornerstones of Cost Management. Cengage Learning.</w:t>
          </w:r>
        </w:p>
        <w:p w14:paraId="5BF77BD5" w14:textId="77777777" w:rsidR="00AC7AFC" w:rsidRPr="00F8183A" w:rsidRDefault="00AC7AFC" w:rsidP="007A7479">
          <w:pPr>
            <w:pStyle w:val="ListParagraph"/>
            <w:numPr>
              <w:ilvl w:val="0"/>
              <w:numId w:val="3"/>
            </w:numPr>
          </w:pPr>
          <w:r w:rsidRPr="00F8183A">
            <w:t xml:space="preserve">Hansen, S. C., &amp; Van der </w:t>
          </w:r>
          <w:proofErr w:type="spellStart"/>
          <w:r w:rsidRPr="00F8183A">
            <w:t>Stede</w:t>
          </w:r>
          <w:proofErr w:type="spellEnd"/>
          <w:r w:rsidRPr="00F8183A">
            <w:t>, W. A. (2004). Multiple facets of budgeting: An exploratory analysis. Management Accounting Research, 15(4), 415-439.</w:t>
          </w:r>
        </w:p>
        <w:p w14:paraId="40568A19" w14:textId="77777777" w:rsidR="00AC7AFC" w:rsidRDefault="00AC7AFC" w:rsidP="007A7479">
          <w:pPr>
            <w:pStyle w:val="ListParagraph"/>
            <w:numPr>
              <w:ilvl w:val="0"/>
              <w:numId w:val="3"/>
            </w:numPr>
          </w:pPr>
          <w:r w:rsidRPr="00CF7FD0">
            <w:t>Healy, P. M., &amp; Palepu, K. G. (2012). Business Analysis Valuation: Using Financial Statements. Cengage Learning.</w:t>
          </w:r>
        </w:p>
        <w:p w14:paraId="52FCB440" w14:textId="77777777" w:rsidR="00AC7AFC" w:rsidRDefault="00AC7AFC" w:rsidP="007A7479">
          <w:pPr>
            <w:pStyle w:val="ListParagraph"/>
            <w:numPr>
              <w:ilvl w:val="0"/>
              <w:numId w:val="3"/>
            </w:numPr>
          </w:pPr>
          <w:r w:rsidRPr="00F4752A">
            <w:t xml:space="preserve">Hill, C.W.L. and Jones, G.R. (2014). Strategic </w:t>
          </w:r>
          <w:proofErr w:type="gramStart"/>
          <w:r w:rsidRPr="00F4752A">
            <w:t>management :</w:t>
          </w:r>
          <w:proofErr w:type="gramEnd"/>
          <w:r w:rsidRPr="00F4752A">
            <w:t xml:space="preserve"> theory : an integrated approach. Australia: South-Western.</w:t>
          </w:r>
        </w:p>
        <w:p w14:paraId="439BECEB" w14:textId="77777777" w:rsidR="00AC7AFC" w:rsidRDefault="00AC7AFC" w:rsidP="007A7479">
          <w:pPr>
            <w:pStyle w:val="ListParagraph"/>
            <w:numPr>
              <w:ilvl w:val="0"/>
              <w:numId w:val="3"/>
            </w:numPr>
          </w:pPr>
          <w:r w:rsidRPr="004B5905">
            <w:t xml:space="preserve">Hilton, R. W., Maher, M. W., &amp; </w:t>
          </w:r>
          <w:proofErr w:type="spellStart"/>
          <w:r w:rsidRPr="004B5905">
            <w:t>Selto</w:t>
          </w:r>
          <w:proofErr w:type="spellEnd"/>
          <w:r w:rsidRPr="004B5905">
            <w:t>, F. H. (2019). Cost management strategies for business decisions. McGraw-Hill Education.</w:t>
          </w:r>
        </w:p>
        <w:p w14:paraId="4FDCBBE7" w14:textId="77777777" w:rsidR="00AC7AFC" w:rsidRPr="00F8183A" w:rsidRDefault="00AC7AFC" w:rsidP="007A7479">
          <w:pPr>
            <w:pStyle w:val="ListParagraph"/>
            <w:numPr>
              <w:ilvl w:val="0"/>
              <w:numId w:val="3"/>
            </w:numPr>
          </w:pPr>
          <w:r w:rsidRPr="00F8183A">
            <w:t>Hope, J., &amp; Fraser, R. (2003). Who needs budgets? Harvard Business Review, 81(2), 108-115.</w:t>
          </w:r>
        </w:p>
        <w:p w14:paraId="62216029" w14:textId="77777777" w:rsidR="00AC7AFC" w:rsidRDefault="00AC7AFC" w:rsidP="007A7479">
          <w:pPr>
            <w:pStyle w:val="ListParagraph"/>
            <w:numPr>
              <w:ilvl w:val="0"/>
              <w:numId w:val="3"/>
            </w:numPr>
          </w:pPr>
          <w:r w:rsidRPr="0057146E">
            <w:t>Horngren, C. T., Datar, S. M., &amp; Rajan, M. V. (2017). Cost accounting: A managerial emphasis. Pearson Education.</w:t>
          </w:r>
        </w:p>
        <w:p w14:paraId="3572FD88" w14:textId="77777777" w:rsidR="00AC7AFC" w:rsidRDefault="00AC7AFC" w:rsidP="007A7479">
          <w:pPr>
            <w:pStyle w:val="ListParagraph"/>
            <w:numPr>
              <w:ilvl w:val="0"/>
              <w:numId w:val="3"/>
            </w:numPr>
          </w:pPr>
          <w:r w:rsidRPr="00977EE3">
            <w:t>Horngren, C. T., Datar, S. M., Rajan, M. V., Beaubien, T., Graham, J., &amp; Goldman, A. (2014). Cost Accounting: A Managerial Emphasis (15th ed.). Pearson.</w:t>
          </w:r>
        </w:p>
        <w:p w14:paraId="17750ED2" w14:textId="77777777" w:rsidR="00AC7AFC" w:rsidRDefault="00AC7AFC" w:rsidP="007A7479">
          <w:pPr>
            <w:pStyle w:val="ListParagraph"/>
            <w:numPr>
              <w:ilvl w:val="0"/>
              <w:numId w:val="3"/>
            </w:numPr>
          </w:pPr>
          <w:r w:rsidRPr="00235CD2">
            <w:t>Horngren, C.T., Datar, S.M. and Rajan, M.T. (2014). Cost Accounting Student Value Edition. Pearson College Div.</w:t>
          </w:r>
        </w:p>
        <w:p w14:paraId="00C63B8D" w14:textId="77777777" w:rsidR="00AC7AFC" w:rsidRDefault="00AC7AFC" w:rsidP="007A7479">
          <w:pPr>
            <w:pStyle w:val="ListParagraph"/>
            <w:numPr>
              <w:ilvl w:val="0"/>
              <w:numId w:val="3"/>
            </w:numPr>
          </w:pPr>
          <w:r w:rsidRPr="00F8183A">
            <w:lastRenderedPageBreak/>
            <w:t>Ittner, C. D., &amp; Larcker, D. F. (2003). Coming up short on nonfinancial performance measurement. Harvard Business Review, 81(11), 88-95.</w:t>
          </w:r>
        </w:p>
        <w:p w14:paraId="4FE7389C" w14:textId="77777777" w:rsidR="00AC7AFC" w:rsidRPr="007A7479" w:rsidRDefault="00AC7AFC" w:rsidP="007A7479">
          <w:pPr>
            <w:pStyle w:val="ListParagraph"/>
            <w:numPr>
              <w:ilvl w:val="0"/>
              <w:numId w:val="3"/>
            </w:numPr>
          </w:pPr>
          <w:r w:rsidRPr="007A7479">
            <w:t>Kamarudin, K. A., Kurnia, S., &amp; Arifin, N. F. (2020). The influence of project management practices on the success of refurbishment projects. Journal of Engineering, Design and Technology, 18(6), 1392-1412.</w:t>
          </w:r>
        </w:p>
        <w:p w14:paraId="74738ED6" w14:textId="77777777" w:rsidR="00AC7AFC" w:rsidRDefault="00AC7AFC" w:rsidP="007A7479">
          <w:pPr>
            <w:pStyle w:val="ListParagraph"/>
            <w:numPr>
              <w:ilvl w:val="0"/>
              <w:numId w:val="3"/>
            </w:numPr>
          </w:pPr>
          <w:r w:rsidRPr="00F9402C">
            <w:t>Kaplan, R. S., &amp; Norton, D. P. (2005). The Office of Strategy Management. Harvard Business Review, 83(10), 72-80.</w:t>
          </w:r>
        </w:p>
        <w:p w14:paraId="103BAF11" w14:textId="77777777" w:rsidR="00AC7AFC" w:rsidRDefault="00AC7AFC" w:rsidP="007A7479">
          <w:pPr>
            <w:pStyle w:val="ListParagraph"/>
            <w:numPr>
              <w:ilvl w:val="0"/>
              <w:numId w:val="3"/>
            </w:numPr>
          </w:pPr>
          <w:r w:rsidRPr="008B0EC8">
            <w:t>Lacerda, T. A., Ferreira, A., &amp; Coelho, A. (2018). Beyond budgeting and the financial performance of Brazilian companies. Review of Business Management, 20(2), 198-215.</w:t>
          </w:r>
        </w:p>
        <w:p w14:paraId="5CB7D473" w14:textId="77777777" w:rsidR="00AC7AFC" w:rsidRDefault="00AC7AFC" w:rsidP="007A7479">
          <w:pPr>
            <w:pStyle w:val="ListParagraph"/>
            <w:numPr>
              <w:ilvl w:val="0"/>
              <w:numId w:val="3"/>
            </w:numPr>
          </w:pPr>
          <w:proofErr w:type="spellStart"/>
          <w:r w:rsidRPr="002508BC">
            <w:t>Lapide</w:t>
          </w:r>
          <w:proofErr w:type="spellEnd"/>
          <w:r w:rsidRPr="002508BC">
            <w:t>, L. (2006). Managing obsolete inventory: a conceptual framework. Journal of business logistics, 27(1), 171-196.</w:t>
          </w:r>
        </w:p>
        <w:p w14:paraId="135E1F3D" w14:textId="77777777" w:rsidR="00AC7AFC" w:rsidRDefault="00AC7AFC" w:rsidP="007A7479">
          <w:pPr>
            <w:pStyle w:val="ListParagraph"/>
            <w:numPr>
              <w:ilvl w:val="0"/>
              <w:numId w:val="3"/>
            </w:numPr>
          </w:pPr>
          <w:proofErr w:type="spellStart"/>
          <w:r w:rsidRPr="00F8183A">
            <w:t>Lebas</w:t>
          </w:r>
          <w:proofErr w:type="spellEnd"/>
          <w:r w:rsidRPr="00F8183A">
            <w:t xml:space="preserve">, M. J., &amp; </w:t>
          </w:r>
          <w:proofErr w:type="spellStart"/>
          <w:r w:rsidRPr="00F8183A">
            <w:t>Euske</w:t>
          </w:r>
          <w:proofErr w:type="spellEnd"/>
          <w:r w:rsidRPr="00F8183A">
            <w:t>, K. J. (2002). A review of contemporary management control practices. Journal of Management Accounting Research, 14, 155-180.</w:t>
          </w:r>
        </w:p>
        <w:p w14:paraId="1CE12A60" w14:textId="77777777" w:rsidR="00AC7AFC" w:rsidRDefault="00AC7AFC" w:rsidP="007A7479">
          <w:pPr>
            <w:pStyle w:val="ListParagraph"/>
            <w:numPr>
              <w:ilvl w:val="0"/>
              <w:numId w:val="3"/>
            </w:numPr>
          </w:pPr>
          <w:r w:rsidRPr="00173A67">
            <w:t xml:space="preserve">Merchant, K.A. and Der, V. (2017). Management control </w:t>
          </w:r>
          <w:proofErr w:type="gramStart"/>
          <w:r w:rsidRPr="00173A67">
            <w:t>systems :</w:t>
          </w:r>
          <w:proofErr w:type="gramEnd"/>
          <w:r w:rsidRPr="00173A67">
            <w:t xml:space="preserve"> Performance measurement, evaluation, and incentives. Harlow: Pearson Education Limited.</w:t>
          </w:r>
        </w:p>
        <w:p w14:paraId="052355BB" w14:textId="77777777" w:rsidR="00AC7AFC" w:rsidRDefault="00AC7AFC" w:rsidP="007A7479">
          <w:pPr>
            <w:pStyle w:val="ListParagraph"/>
            <w:numPr>
              <w:ilvl w:val="0"/>
              <w:numId w:val="3"/>
            </w:numPr>
          </w:pPr>
          <w:r w:rsidRPr="008B0EC8">
            <w:t>Neely, A. (2008). Exploring the financial consequences of the beyond budgeting movement. Journal of Management Accounting Research, 20(1), 45-60.</w:t>
          </w:r>
        </w:p>
        <w:p w14:paraId="379CAAE5" w14:textId="77777777" w:rsidR="00AC7AFC" w:rsidRPr="00872783" w:rsidRDefault="00AC7AFC" w:rsidP="007A7479">
          <w:pPr>
            <w:pStyle w:val="ListParagraph"/>
            <w:numPr>
              <w:ilvl w:val="0"/>
              <w:numId w:val="3"/>
            </w:numPr>
          </w:pPr>
          <w:r w:rsidRPr="00AC7AFC">
            <w:t>Otley, D. T. (2016). The contingency theory of management accounting and control: 1980-2014. Management Accounting Research, 31, 45-62.</w:t>
          </w:r>
        </w:p>
        <w:p w14:paraId="1054E35E" w14:textId="77777777" w:rsidR="00AC7AFC" w:rsidRDefault="00AC7AFC" w:rsidP="007A7479">
          <w:pPr>
            <w:pStyle w:val="ListParagraph"/>
            <w:numPr>
              <w:ilvl w:val="0"/>
              <w:numId w:val="3"/>
            </w:numPr>
          </w:pPr>
          <w:r w:rsidRPr="00666CE8">
            <w:t xml:space="preserve">Ross, S.A., Westerfield, </w:t>
          </w:r>
          <w:proofErr w:type="gramStart"/>
          <w:r w:rsidRPr="00666CE8">
            <w:t>R.</w:t>
          </w:r>
          <w:proofErr w:type="gramEnd"/>
          <w:r w:rsidRPr="00666CE8">
            <w:t xml:space="preserve"> and Jordan, B.D. (2017). Essentials of corporate finance. New York, Ny: </w:t>
          </w:r>
          <w:proofErr w:type="spellStart"/>
          <w:r w:rsidRPr="00666CE8">
            <w:t>Mcgraw-Hill</w:t>
          </w:r>
          <w:proofErr w:type="spellEnd"/>
          <w:r w:rsidRPr="00666CE8">
            <w:t>/Irwin.</w:t>
          </w:r>
        </w:p>
        <w:p w14:paraId="23A34E43" w14:textId="77777777" w:rsidR="00AC7AFC" w:rsidRDefault="00AC7AFC" w:rsidP="007A7479">
          <w:pPr>
            <w:pStyle w:val="ListParagraph"/>
            <w:numPr>
              <w:ilvl w:val="0"/>
              <w:numId w:val="3"/>
            </w:numPr>
          </w:pPr>
          <w:r w:rsidRPr="00DD0997">
            <w:t>Saari, S., &amp; Laitinen, E. K. (2018). The influence of budgeting on management control system design: A literature review and research agenda. Journal of Accounting &amp; Organizational Change, 14(3), 365-386.</w:t>
          </w:r>
        </w:p>
        <w:p w14:paraId="4AFE3442" w14:textId="77777777" w:rsidR="00AC7AFC" w:rsidRDefault="00AC7AFC" w:rsidP="007A7479">
          <w:pPr>
            <w:pStyle w:val="ListParagraph"/>
            <w:numPr>
              <w:ilvl w:val="0"/>
              <w:numId w:val="3"/>
            </w:numPr>
          </w:pPr>
          <w:r w:rsidRPr="002508BC">
            <w:t>Stock, J., &amp; Lambert, D. (2001). Strategic logistics management. McGraw-Hill Education</w:t>
          </w:r>
        </w:p>
        <w:p w14:paraId="1527B29A" w14:textId="77777777" w:rsidR="00AC7AFC" w:rsidRDefault="00AC7AFC" w:rsidP="007A7479">
          <w:pPr>
            <w:pStyle w:val="ListParagraph"/>
            <w:numPr>
              <w:ilvl w:val="0"/>
              <w:numId w:val="3"/>
            </w:numPr>
          </w:pPr>
          <w:r w:rsidRPr="00872783">
            <w:t>Telford, D. (2014). The use of rolling forecasts in UK central government. Journal of Finance and Management in Public Services, 12(2), 51-68.</w:t>
          </w:r>
        </w:p>
        <w:p w14:paraId="2EFB83A1" w14:textId="77777777" w:rsidR="00AC7AFC" w:rsidRDefault="00AC7AFC" w:rsidP="007A7479">
          <w:pPr>
            <w:pStyle w:val="ListParagraph"/>
            <w:numPr>
              <w:ilvl w:val="0"/>
              <w:numId w:val="3"/>
            </w:numPr>
          </w:pPr>
          <w:r w:rsidRPr="00872783">
            <w:t>Wu, S. J., Chiu, A. A., &amp; Chou, C. S. (2017). The impact of rolling forecasts on supply chain performance: Evidence from the semiconductor industry. International Journal of Production Economics, 183, 465-476.</w:t>
          </w:r>
        </w:p>
        <w:p w14:paraId="45859572" w14:textId="649D8F52" w:rsidR="00854682" w:rsidRPr="00F8183A" w:rsidRDefault="00854682" w:rsidP="00F8183A"/>
        <w:p w14:paraId="518B8FF5" w14:textId="77777777" w:rsidR="00F8183A" w:rsidRDefault="00F8183A" w:rsidP="002508BC"/>
        <w:p w14:paraId="0D4A79BA" w14:textId="77777777" w:rsidR="00173A67" w:rsidRDefault="00173A67" w:rsidP="002508BC"/>
        <w:p w14:paraId="4511BCB9" w14:textId="77777777" w:rsidR="00F4752A" w:rsidRPr="002508BC" w:rsidRDefault="00F4752A" w:rsidP="002508BC"/>
        <w:p w14:paraId="77D69E6F" w14:textId="77777777" w:rsidR="004A11F6" w:rsidRPr="007D1947" w:rsidRDefault="004A11F6" w:rsidP="007D1947"/>
        <w:p w14:paraId="7F890C1F" w14:textId="77777777" w:rsidR="00CA09F3" w:rsidRDefault="00000000"/>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6C029" w14:textId="77777777" w:rsidR="00FF6C8F" w:rsidRDefault="00FF6C8F" w:rsidP="00AC7AFC">
      <w:pPr>
        <w:spacing w:after="0" w:line="240" w:lineRule="auto"/>
      </w:pPr>
      <w:r>
        <w:separator/>
      </w:r>
    </w:p>
  </w:endnote>
  <w:endnote w:type="continuationSeparator" w:id="0">
    <w:p w14:paraId="32B44A53" w14:textId="77777777" w:rsidR="00FF6C8F" w:rsidRDefault="00FF6C8F" w:rsidP="00AC7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221032"/>
      <w:docPartObj>
        <w:docPartGallery w:val="Page Numbers (Bottom of Page)"/>
        <w:docPartUnique/>
      </w:docPartObj>
    </w:sdtPr>
    <w:sdtContent>
      <w:sdt>
        <w:sdtPr>
          <w:id w:val="1728636285"/>
          <w:docPartObj>
            <w:docPartGallery w:val="Page Numbers (Top of Page)"/>
            <w:docPartUnique/>
          </w:docPartObj>
        </w:sdtPr>
        <w:sdtContent>
          <w:p w14:paraId="79F9B7CF" w14:textId="6CB09D72" w:rsidR="00AC7AFC" w:rsidRDefault="00AC7AF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9C3CB0" w14:textId="77777777" w:rsidR="00AC7AFC" w:rsidRDefault="00AC7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A3A27" w14:textId="77777777" w:rsidR="00FF6C8F" w:rsidRDefault="00FF6C8F" w:rsidP="00AC7AFC">
      <w:pPr>
        <w:spacing w:after="0" w:line="240" w:lineRule="auto"/>
      </w:pPr>
      <w:r>
        <w:separator/>
      </w:r>
    </w:p>
  </w:footnote>
  <w:footnote w:type="continuationSeparator" w:id="0">
    <w:p w14:paraId="432594D7" w14:textId="77777777" w:rsidR="00FF6C8F" w:rsidRDefault="00FF6C8F" w:rsidP="00AC7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74212"/>
    <w:multiLevelType w:val="hybridMultilevel"/>
    <w:tmpl w:val="EE42E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F56634"/>
    <w:multiLevelType w:val="hybridMultilevel"/>
    <w:tmpl w:val="D8DC241A"/>
    <w:lvl w:ilvl="0" w:tplc="5D7271F8">
      <w:start w:val="9"/>
      <w:numFmt w:val="lowerLetter"/>
      <w:lvlText w:val="%1."/>
      <w:lvlJc w:val="left"/>
      <w:pPr>
        <w:ind w:left="1211" w:hanging="360"/>
      </w:pPr>
      <w:rPr>
        <w:rFonts w:hint="default"/>
        <w:b/>
        <w:bCs/>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15:restartNumberingAfterBreak="0">
    <w:nsid w:val="667F546B"/>
    <w:multiLevelType w:val="hybridMultilevel"/>
    <w:tmpl w:val="8172962E"/>
    <w:lvl w:ilvl="0" w:tplc="FE244D82">
      <w:start w:val="1"/>
      <w:numFmt w:val="lowerLetter"/>
      <w:lvlText w:val="(%1)"/>
      <w:lvlJc w:val="left"/>
      <w:pPr>
        <w:ind w:left="303" w:hanging="360"/>
      </w:pPr>
      <w:rPr>
        <w:rFonts w:hint="default"/>
        <w:b/>
        <w:bCs/>
      </w:rPr>
    </w:lvl>
    <w:lvl w:ilvl="1" w:tplc="08090019">
      <w:start w:val="1"/>
      <w:numFmt w:val="lowerLetter"/>
      <w:lvlText w:val="%2."/>
      <w:lvlJc w:val="left"/>
      <w:pPr>
        <w:ind w:left="1023" w:hanging="360"/>
      </w:pPr>
    </w:lvl>
    <w:lvl w:ilvl="2" w:tplc="0809001B" w:tentative="1">
      <w:start w:val="1"/>
      <w:numFmt w:val="lowerRoman"/>
      <w:lvlText w:val="%3."/>
      <w:lvlJc w:val="right"/>
      <w:pPr>
        <w:ind w:left="1743" w:hanging="180"/>
      </w:pPr>
    </w:lvl>
    <w:lvl w:ilvl="3" w:tplc="0809000F" w:tentative="1">
      <w:start w:val="1"/>
      <w:numFmt w:val="decimal"/>
      <w:lvlText w:val="%4."/>
      <w:lvlJc w:val="left"/>
      <w:pPr>
        <w:ind w:left="2463" w:hanging="360"/>
      </w:pPr>
    </w:lvl>
    <w:lvl w:ilvl="4" w:tplc="08090019" w:tentative="1">
      <w:start w:val="1"/>
      <w:numFmt w:val="lowerLetter"/>
      <w:lvlText w:val="%5."/>
      <w:lvlJc w:val="left"/>
      <w:pPr>
        <w:ind w:left="3183" w:hanging="360"/>
      </w:pPr>
    </w:lvl>
    <w:lvl w:ilvl="5" w:tplc="0809001B" w:tentative="1">
      <w:start w:val="1"/>
      <w:numFmt w:val="lowerRoman"/>
      <w:lvlText w:val="%6."/>
      <w:lvlJc w:val="right"/>
      <w:pPr>
        <w:ind w:left="3903" w:hanging="180"/>
      </w:pPr>
    </w:lvl>
    <w:lvl w:ilvl="6" w:tplc="0809000F" w:tentative="1">
      <w:start w:val="1"/>
      <w:numFmt w:val="decimal"/>
      <w:lvlText w:val="%7."/>
      <w:lvlJc w:val="left"/>
      <w:pPr>
        <w:ind w:left="4623" w:hanging="360"/>
      </w:pPr>
    </w:lvl>
    <w:lvl w:ilvl="7" w:tplc="08090019" w:tentative="1">
      <w:start w:val="1"/>
      <w:numFmt w:val="lowerLetter"/>
      <w:lvlText w:val="%8."/>
      <w:lvlJc w:val="left"/>
      <w:pPr>
        <w:ind w:left="5343" w:hanging="360"/>
      </w:pPr>
    </w:lvl>
    <w:lvl w:ilvl="8" w:tplc="0809001B" w:tentative="1">
      <w:start w:val="1"/>
      <w:numFmt w:val="lowerRoman"/>
      <w:lvlText w:val="%9."/>
      <w:lvlJc w:val="right"/>
      <w:pPr>
        <w:ind w:left="6063" w:hanging="180"/>
      </w:pPr>
    </w:lvl>
  </w:abstractNum>
  <w:num w:numId="1" w16cid:durableId="1441024678">
    <w:abstractNumId w:val="2"/>
  </w:num>
  <w:num w:numId="2" w16cid:durableId="1160774504">
    <w:abstractNumId w:val="1"/>
  </w:num>
  <w:num w:numId="3" w16cid:durableId="1358854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4B7E"/>
    <w:rsid w:val="00051FFC"/>
    <w:rsid w:val="000619E9"/>
    <w:rsid w:val="00084E60"/>
    <w:rsid w:val="00084E65"/>
    <w:rsid w:val="000A2DB9"/>
    <w:rsid w:val="000D0D51"/>
    <w:rsid w:val="000F4359"/>
    <w:rsid w:val="00107936"/>
    <w:rsid w:val="00115B96"/>
    <w:rsid w:val="00173A67"/>
    <w:rsid w:val="00192727"/>
    <w:rsid w:val="001E02D3"/>
    <w:rsid w:val="002308D4"/>
    <w:rsid w:val="00235CD2"/>
    <w:rsid w:val="002508BC"/>
    <w:rsid w:val="00271005"/>
    <w:rsid w:val="002A0C66"/>
    <w:rsid w:val="002B1E82"/>
    <w:rsid w:val="00324CCD"/>
    <w:rsid w:val="003552F6"/>
    <w:rsid w:val="003C2371"/>
    <w:rsid w:val="004105B6"/>
    <w:rsid w:val="00441049"/>
    <w:rsid w:val="00480872"/>
    <w:rsid w:val="004A11F6"/>
    <w:rsid w:val="004B5905"/>
    <w:rsid w:val="004D519C"/>
    <w:rsid w:val="004F21D2"/>
    <w:rsid w:val="0057146E"/>
    <w:rsid w:val="005C1653"/>
    <w:rsid w:val="005D46C7"/>
    <w:rsid w:val="005E7459"/>
    <w:rsid w:val="00636DD0"/>
    <w:rsid w:val="00665064"/>
    <w:rsid w:val="00666CE8"/>
    <w:rsid w:val="0067514E"/>
    <w:rsid w:val="00676ECF"/>
    <w:rsid w:val="006F4614"/>
    <w:rsid w:val="007A7479"/>
    <w:rsid w:val="007D1947"/>
    <w:rsid w:val="008230EC"/>
    <w:rsid w:val="00853871"/>
    <w:rsid w:val="00854682"/>
    <w:rsid w:val="00872783"/>
    <w:rsid w:val="008A6BF9"/>
    <w:rsid w:val="008B0EC8"/>
    <w:rsid w:val="008F4B79"/>
    <w:rsid w:val="00931CAA"/>
    <w:rsid w:val="00961350"/>
    <w:rsid w:val="0097251E"/>
    <w:rsid w:val="00977EE3"/>
    <w:rsid w:val="009931BB"/>
    <w:rsid w:val="00A12B58"/>
    <w:rsid w:val="00A27ABB"/>
    <w:rsid w:val="00A45D26"/>
    <w:rsid w:val="00A571BC"/>
    <w:rsid w:val="00A67703"/>
    <w:rsid w:val="00AA2A91"/>
    <w:rsid w:val="00AC7AFC"/>
    <w:rsid w:val="00B60946"/>
    <w:rsid w:val="00B857FA"/>
    <w:rsid w:val="00B8741D"/>
    <w:rsid w:val="00B87B46"/>
    <w:rsid w:val="00C13EF9"/>
    <w:rsid w:val="00C64C94"/>
    <w:rsid w:val="00C92C51"/>
    <w:rsid w:val="00CA09F3"/>
    <w:rsid w:val="00CF3303"/>
    <w:rsid w:val="00CF7FD0"/>
    <w:rsid w:val="00D169C4"/>
    <w:rsid w:val="00D854A5"/>
    <w:rsid w:val="00DD0997"/>
    <w:rsid w:val="00E218AE"/>
    <w:rsid w:val="00E4794A"/>
    <w:rsid w:val="00ED7021"/>
    <w:rsid w:val="00F4752A"/>
    <w:rsid w:val="00F765F4"/>
    <w:rsid w:val="00F806DE"/>
    <w:rsid w:val="00F8183A"/>
    <w:rsid w:val="00F9402C"/>
    <w:rsid w:val="00F940B8"/>
    <w:rsid w:val="00FF417E"/>
    <w:rsid w:val="00FF6C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A7479"/>
    <w:pPr>
      <w:tabs>
        <w:tab w:val="right" w:leader="dot" w:pos="9016"/>
      </w:tabs>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NormalWeb">
    <w:name w:val="Normal (Web)"/>
    <w:basedOn w:val="Normal"/>
    <w:uiPriority w:val="99"/>
    <w:semiHidden/>
    <w:unhideWhenUsed/>
    <w:rsid w:val="00872783"/>
    <w:rPr>
      <w:rFonts w:ascii="Times New Roman" w:hAnsi="Times New Roman" w:cs="Times New Roman"/>
      <w:sz w:val="24"/>
      <w:szCs w:val="24"/>
    </w:rPr>
  </w:style>
  <w:style w:type="paragraph" w:styleId="Header">
    <w:name w:val="header"/>
    <w:basedOn w:val="Normal"/>
    <w:link w:val="HeaderChar"/>
    <w:uiPriority w:val="99"/>
    <w:unhideWhenUsed/>
    <w:rsid w:val="00AC7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AFC"/>
  </w:style>
  <w:style w:type="paragraph" w:styleId="Footer">
    <w:name w:val="footer"/>
    <w:basedOn w:val="Normal"/>
    <w:link w:val="FooterChar"/>
    <w:uiPriority w:val="99"/>
    <w:unhideWhenUsed/>
    <w:rsid w:val="00AC7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707154">
      <w:bodyDiv w:val="1"/>
      <w:marLeft w:val="0"/>
      <w:marRight w:val="0"/>
      <w:marTop w:val="0"/>
      <w:marBottom w:val="0"/>
      <w:divBdr>
        <w:top w:val="none" w:sz="0" w:space="0" w:color="auto"/>
        <w:left w:val="none" w:sz="0" w:space="0" w:color="auto"/>
        <w:bottom w:val="none" w:sz="0" w:space="0" w:color="auto"/>
        <w:right w:val="none" w:sz="0" w:space="0" w:color="auto"/>
      </w:divBdr>
    </w:div>
    <w:div w:id="138151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2349"/>
    <w:rsid w:val="00242260"/>
    <w:rsid w:val="002450A7"/>
    <w:rsid w:val="003203C2"/>
    <w:rsid w:val="004D25D2"/>
    <w:rsid w:val="00654172"/>
    <w:rsid w:val="00792E90"/>
    <w:rsid w:val="00A34C42"/>
    <w:rsid w:val="00BC1251"/>
    <w:rsid w:val="00C67429"/>
    <w:rsid w:val="00E00626"/>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13</Pages>
  <Words>4490</Words>
  <Characters>26358</Characters>
  <Application>Microsoft Office Word</Application>
  <DocSecurity>0</DocSecurity>
  <Lines>1757</Lines>
  <Paragraphs>541</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University of Wales Trinity Saint David</Company>
  <LinksUpToDate>false</LinksUpToDate>
  <CharactersWithSpaces>30307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Vasilica Toma - 1914189</dc:subject>
  <dc:creator>Marie Pitson</dc:creator>
  <cp:keywords/>
  <dc:description/>
  <cp:lastModifiedBy>Vasilica Toma</cp:lastModifiedBy>
  <cp:revision>3</cp:revision>
  <dcterms:created xsi:type="dcterms:W3CDTF">2023-03-30T03:42:00Z</dcterms:created>
  <dcterms:modified xsi:type="dcterms:W3CDTF">2023-03-31T11:44:00Z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31d15f12d830cebe8e5e0be4d8da4ad4d7c754437351ff49be8061d394262617</vt:lpwstr>
  </property>
</Properties>
</file>