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5967" w14:textId="273E8573" w:rsidR="00B24D98" w:rsidRPr="0031013D" w:rsidRDefault="00B24D98" w:rsidP="00B24D98">
      <w:pPr>
        <w:jc w:val="center"/>
        <w:rPr>
          <w:b/>
          <w:bCs/>
          <w:sz w:val="40"/>
          <w:szCs w:val="40"/>
          <w:lang w:val="en-US"/>
        </w:rPr>
      </w:pPr>
      <w:r w:rsidRPr="0031013D">
        <w:rPr>
          <w:b/>
          <w:bCs/>
          <w:sz w:val="40"/>
          <w:szCs w:val="40"/>
          <w:lang w:val="en-US"/>
        </w:rPr>
        <w:t>MODULE CODE: BMHP6026</w:t>
      </w:r>
    </w:p>
    <w:p w14:paraId="4AD4361D" w14:textId="277CFA23" w:rsidR="00B24D98" w:rsidRPr="0031013D" w:rsidRDefault="00B24D98" w:rsidP="00B24D98">
      <w:pPr>
        <w:jc w:val="center"/>
        <w:rPr>
          <w:b/>
          <w:bCs/>
          <w:sz w:val="40"/>
          <w:szCs w:val="40"/>
          <w:lang w:val="en-US"/>
        </w:rPr>
      </w:pPr>
      <w:r w:rsidRPr="0031013D">
        <w:rPr>
          <w:b/>
          <w:bCs/>
          <w:sz w:val="40"/>
          <w:szCs w:val="40"/>
          <w:lang w:val="en-US"/>
        </w:rPr>
        <w:t>MODULE TITLE: DIGITAL TRANSFORMATION IN HEALTH AND CARE PROFESSIONS</w:t>
      </w:r>
    </w:p>
    <w:p w14:paraId="0AFF0244" w14:textId="77777777" w:rsidR="00B24D98" w:rsidRPr="0031013D" w:rsidRDefault="00B24D98" w:rsidP="00B24D98">
      <w:pPr>
        <w:jc w:val="center"/>
        <w:rPr>
          <w:b/>
          <w:bCs/>
          <w:sz w:val="40"/>
          <w:szCs w:val="40"/>
          <w:lang w:val="en-US"/>
        </w:rPr>
      </w:pPr>
    </w:p>
    <w:p w14:paraId="3EC3A74E" w14:textId="77777777" w:rsidR="00B24D98" w:rsidRPr="0031013D" w:rsidRDefault="00B24D98" w:rsidP="00B24D98">
      <w:pPr>
        <w:jc w:val="center"/>
        <w:rPr>
          <w:b/>
          <w:bCs/>
          <w:sz w:val="40"/>
          <w:szCs w:val="40"/>
          <w:lang w:val="en-US"/>
        </w:rPr>
      </w:pPr>
    </w:p>
    <w:p w14:paraId="6766336B" w14:textId="77777777" w:rsidR="00B24D98" w:rsidRPr="0031013D" w:rsidRDefault="00B24D98" w:rsidP="00B24D98">
      <w:pPr>
        <w:jc w:val="center"/>
        <w:rPr>
          <w:b/>
          <w:bCs/>
          <w:sz w:val="40"/>
          <w:szCs w:val="40"/>
          <w:lang w:val="en-US"/>
        </w:rPr>
      </w:pPr>
    </w:p>
    <w:p w14:paraId="7153178A" w14:textId="77777777" w:rsidR="00B24D98" w:rsidRPr="0031013D" w:rsidRDefault="00B24D98" w:rsidP="00B24D98">
      <w:pPr>
        <w:jc w:val="center"/>
        <w:rPr>
          <w:b/>
          <w:bCs/>
          <w:sz w:val="40"/>
          <w:szCs w:val="40"/>
          <w:lang w:val="en-US"/>
        </w:rPr>
      </w:pPr>
    </w:p>
    <w:p w14:paraId="030C23E2" w14:textId="77777777" w:rsidR="00B24D98" w:rsidRPr="0031013D" w:rsidRDefault="00B24D98" w:rsidP="00B24D98">
      <w:pPr>
        <w:jc w:val="center"/>
        <w:rPr>
          <w:b/>
          <w:bCs/>
          <w:sz w:val="40"/>
          <w:szCs w:val="40"/>
          <w:lang w:val="en-US"/>
        </w:rPr>
      </w:pPr>
    </w:p>
    <w:p w14:paraId="71ACB6A0" w14:textId="44B52BFD" w:rsidR="00B24D98" w:rsidRPr="0031013D" w:rsidRDefault="00B24D98" w:rsidP="00B24D98">
      <w:pPr>
        <w:jc w:val="center"/>
        <w:rPr>
          <w:b/>
          <w:bCs/>
          <w:sz w:val="40"/>
          <w:szCs w:val="40"/>
          <w:lang w:val="en-US"/>
        </w:rPr>
      </w:pPr>
      <w:r w:rsidRPr="0031013D">
        <w:rPr>
          <w:b/>
          <w:bCs/>
          <w:sz w:val="40"/>
          <w:szCs w:val="40"/>
          <w:lang w:val="en-US"/>
        </w:rPr>
        <w:t>ASSIGNMENT TITLE: COMPONENT 1 - WRITTEN REPORT</w:t>
      </w:r>
    </w:p>
    <w:p w14:paraId="09806236" w14:textId="77777777" w:rsidR="00B24D98" w:rsidRPr="0031013D" w:rsidRDefault="00B24D98" w:rsidP="00B24D98">
      <w:pPr>
        <w:jc w:val="center"/>
        <w:rPr>
          <w:b/>
          <w:bCs/>
          <w:sz w:val="40"/>
          <w:szCs w:val="40"/>
          <w:lang w:val="en-US"/>
        </w:rPr>
      </w:pPr>
    </w:p>
    <w:p w14:paraId="666AFE6B" w14:textId="77777777" w:rsidR="00B24D98" w:rsidRPr="0031013D" w:rsidRDefault="00B24D98" w:rsidP="00B24D98">
      <w:pPr>
        <w:jc w:val="center"/>
        <w:rPr>
          <w:b/>
          <w:bCs/>
          <w:sz w:val="40"/>
          <w:szCs w:val="40"/>
          <w:lang w:val="en-US"/>
        </w:rPr>
      </w:pPr>
    </w:p>
    <w:p w14:paraId="2D0C227D" w14:textId="77777777" w:rsidR="00B24D98" w:rsidRPr="0031013D" w:rsidRDefault="00B24D98" w:rsidP="00B24D98">
      <w:pPr>
        <w:jc w:val="center"/>
        <w:rPr>
          <w:b/>
          <w:bCs/>
          <w:sz w:val="40"/>
          <w:szCs w:val="40"/>
          <w:lang w:val="en-US"/>
        </w:rPr>
      </w:pPr>
    </w:p>
    <w:p w14:paraId="57B5B744" w14:textId="77777777" w:rsidR="00B24D98" w:rsidRPr="0031013D" w:rsidRDefault="00B24D98" w:rsidP="00B24D98">
      <w:pPr>
        <w:jc w:val="center"/>
        <w:rPr>
          <w:b/>
          <w:bCs/>
          <w:sz w:val="40"/>
          <w:szCs w:val="40"/>
          <w:lang w:val="en-US"/>
        </w:rPr>
      </w:pPr>
    </w:p>
    <w:p w14:paraId="5C932032" w14:textId="77777777" w:rsidR="00B24D98" w:rsidRPr="0031013D" w:rsidRDefault="00B24D98" w:rsidP="00B24D98">
      <w:pPr>
        <w:jc w:val="center"/>
        <w:rPr>
          <w:b/>
          <w:bCs/>
          <w:sz w:val="40"/>
          <w:szCs w:val="40"/>
          <w:lang w:val="en-US"/>
        </w:rPr>
      </w:pPr>
    </w:p>
    <w:p w14:paraId="6D762F26" w14:textId="5413F8AC" w:rsidR="00B24D98" w:rsidRPr="0031013D" w:rsidRDefault="0031013D" w:rsidP="00B24D98">
      <w:pPr>
        <w:jc w:val="center"/>
        <w:rPr>
          <w:b/>
          <w:bCs/>
          <w:sz w:val="40"/>
          <w:szCs w:val="40"/>
          <w:lang w:val="en-US"/>
        </w:rPr>
      </w:pPr>
      <w:r>
        <w:rPr>
          <w:b/>
          <w:bCs/>
          <w:sz w:val="40"/>
          <w:szCs w:val="40"/>
          <w:lang w:val="en-US"/>
        </w:rPr>
        <w:t>DIANA MIHAELA BRICEAG</w:t>
      </w:r>
      <w:r w:rsidR="00B24D98" w:rsidRPr="0031013D">
        <w:rPr>
          <w:b/>
          <w:bCs/>
          <w:sz w:val="40"/>
          <w:szCs w:val="40"/>
          <w:lang w:val="en-US"/>
        </w:rPr>
        <w:t xml:space="preserve"> </w:t>
      </w:r>
    </w:p>
    <w:p w14:paraId="698B0F8A" w14:textId="6E407212" w:rsidR="00B24D98" w:rsidRPr="0031013D" w:rsidRDefault="00B24D98" w:rsidP="00B24D98">
      <w:pPr>
        <w:jc w:val="center"/>
        <w:rPr>
          <w:b/>
          <w:bCs/>
          <w:sz w:val="40"/>
          <w:szCs w:val="40"/>
        </w:rPr>
      </w:pPr>
      <w:r w:rsidRPr="0031013D">
        <w:rPr>
          <w:b/>
          <w:bCs/>
          <w:sz w:val="40"/>
          <w:szCs w:val="40"/>
        </w:rPr>
        <w:t>STUDENT ID</w:t>
      </w:r>
      <w:r w:rsidR="0031013D">
        <w:rPr>
          <w:b/>
          <w:bCs/>
          <w:sz w:val="40"/>
          <w:szCs w:val="40"/>
        </w:rPr>
        <w:t xml:space="preserve"> 2408209</w:t>
      </w:r>
    </w:p>
    <w:sdt>
      <w:sdtPr>
        <w:rPr>
          <w:rFonts w:ascii="Times New Roman" w:eastAsiaTheme="minorHAnsi" w:hAnsi="Times New Roman" w:cstheme="minorBidi"/>
          <w:color w:val="auto"/>
          <w:kern w:val="2"/>
          <w:sz w:val="24"/>
          <w:szCs w:val="28"/>
          <w:lang w:val="en-GB" w:bidi="th-TH"/>
        </w:rPr>
        <w:id w:val="1645773515"/>
        <w:docPartObj>
          <w:docPartGallery w:val="Table of Contents"/>
          <w:docPartUnique/>
        </w:docPartObj>
      </w:sdtPr>
      <w:sdtEndPr>
        <w:rPr>
          <w:b/>
          <w:bCs/>
          <w:noProof/>
        </w:rPr>
      </w:sdtEndPr>
      <w:sdtContent>
        <w:p w14:paraId="60457340" w14:textId="04D31654" w:rsidR="00514771" w:rsidRPr="0031013D" w:rsidRDefault="00514771" w:rsidP="00514771">
          <w:pPr>
            <w:pStyle w:val="TOCHeading"/>
            <w:jc w:val="center"/>
            <w:rPr>
              <w:rFonts w:ascii="Times New Roman" w:hAnsi="Times New Roman" w:cs="Times New Roman"/>
              <w:b/>
              <w:bCs/>
              <w:color w:val="auto"/>
              <w:sz w:val="24"/>
              <w:szCs w:val="24"/>
            </w:rPr>
          </w:pPr>
          <w:r w:rsidRPr="0031013D">
            <w:rPr>
              <w:rFonts w:ascii="Times New Roman" w:hAnsi="Times New Roman" w:cs="Times New Roman"/>
              <w:b/>
              <w:bCs/>
              <w:color w:val="auto"/>
              <w:sz w:val="24"/>
              <w:szCs w:val="24"/>
            </w:rPr>
            <w:t>Table of Contents</w:t>
          </w:r>
        </w:p>
        <w:p w14:paraId="24AF3852" w14:textId="71D5F0E2"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r w:rsidRPr="0031013D">
            <w:fldChar w:fldCharType="begin"/>
          </w:r>
          <w:r w:rsidRPr="0031013D">
            <w:instrText xml:space="preserve"> TOC \o "1-3" \h \z \u </w:instrText>
          </w:r>
          <w:r w:rsidRPr="0031013D">
            <w:fldChar w:fldCharType="separate"/>
          </w:r>
          <w:hyperlink w:anchor="_Toc242029033" w:history="1">
            <w:r w:rsidRPr="0031013D">
              <w:rPr>
                <w:rStyle w:val="Hyperlink"/>
                <w:noProof/>
                <w:color w:val="auto"/>
                <w:lang w:val="en-US"/>
              </w:rPr>
              <w:t>Introduction</w:t>
            </w:r>
            <w:r w:rsidRPr="0031013D">
              <w:rPr>
                <w:noProof/>
                <w:webHidden/>
              </w:rPr>
              <w:tab/>
            </w:r>
            <w:r w:rsidRPr="0031013D">
              <w:rPr>
                <w:noProof/>
                <w:webHidden/>
              </w:rPr>
              <w:fldChar w:fldCharType="begin"/>
            </w:r>
            <w:r w:rsidRPr="0031013D">
              <w:rPr>
                <w:noProof/>
                <w:webHidden/>
              </w:rPr>
              <w:instrText xml:space="preserve"> PAGEREF _Toc242029033 \h </w:instrText>
            </w:r>
            <w:r w:rsidRPr="0031013D">
              <w:rPr>
                <w:noProof/>
                <w:webHidden/>
              </w:rPr>
            </w:r>
            <w:r w:rsidRPr="0031013D">
              <w:rPr>
                <w:noProof/>
                <w:webHidden/>
              </w:rPr>
              <w:fldChar w:fldCharType="separate"/>
            </w:r>
            <w:r w:rsidR="00CB78EE" w:rsidRPr="0031013D">
              <w:rPr>
                <w:noProof/>
                <w:webHidden/>
              </w:rPr>
              <w:t>3</w:t>
            </w:r>
            <w:r w:rsidRPr="0031013D">
              <w:rPr>
                <w:noProof/>
                <w:webHidden/>
              </w:rPr>
              <w:fldChar w:fldCharType="end"/>
            </w:r>
          </w:hyperlink>
        </w:p>
        <w:p w14:paraId="71106526" w14:textId="0C2785C3"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hyperlink w:anchor="_Toc242029034" w:history="1">
            <w:r w:rsidRPr="0031013D">
              <w:rPr>
                <w:rStyle w:val="Hyperlink"/>
                <w:noProof/>
                <w:color w:val="auto"/>
              </w:rPr>
              <w:t>Patient/Service User</w:t>
            </w:r>
            <w:r w:rsidRPr="0031013D">
              <w:rPr>
                <w:noProof/>
                <w:webHidden/>
              </w:rPr>
              <w:tab/>
            </w:r>
            <w:r w:rsidRPr="0031013D">
              <w:rPr>
                <w:noProof/>
                <w:webHidden/>
              </w:rPr>
              <w:fldChar w:fldCharType="begin"/>
            </w:r>
            <w:r w:rsidRPr="0031013D">
              <w:rPr>
                <w:noProof/>
                <w:webHidden/>
              </w:rPr>
              <w:instrText xml:space="preserve"> PAGEREF _Toc242029034 \h </w:instrText>
            </w:r>
            <w:r w:rsidRPr="0031013D">
              <w:rPr>
                <w:noProof/>
                <w:webHidden/>
              </w:rPr>
            </w:r>
            <w:r w:rsidRPr="0031013D">
              <w:rPr>
                <w:noProof/>
                <w:webHidden/>
              </w:rPr>
              <w:fldChar w:fldCharType="separate"/>
            </w:r>
            <w:r w:rsidR="00CB78EE" w:rsidRPr="0031013D">
              <w:rPr>
                <w:noProof/>
                <w:webHidden/>
              </w:rPr>
              <w:t>3</w:t>
            </w:r>
            <w:r w:rsidRPr="0031013D">
              <w:rPr>
                <w:noProof/>
                <w:webHidden/>
              </w:rPr>
              <w:fldChar w:fldCharType="end"/>
            </w:r>
          </w:hyperlink>
        </w:p>
        <w:p w14:paraId="1D0547F6" w14:textId="0D868403"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hyperlink w:anchor="_Toc242029035" w:history="1">
            <w:r w:rsidRPr="0031013D">
              <w:rPr>
                <w:rStyle w:val="Hyperlink"/>
                <w:noProof/>
                <w:color w:val="auto"/>
              </w:rPr>
              <w:t>Community</w:t>
            </w:r>
            <w:r w:rsidRPr="0031013D">
              <w:rPr>
                <w:noProof/>
                <w:webHidden/>
              </w:rPr>
              <w:tab/>
            </w:r>
            <w:r w:rsidRPr="0031013D">
              <w:rPr>
                <w:noProof/>
                <w:webHidden/>
              </w:rPr>
              <w:fldChar w:fldCharType="begin"/>
            </w:r>
            <w:r w:rsidRPr="0031013D">
              <w:rPr>
                <w:noProof/>
                <w:webHidden/>
              </w:rPr>
              <w:instrText xml:space="preserve"> PAGEREF _Toc242029035 \h </w:instrText>
            </w:r>
            <w:r w:rsidRPr="0031013D">
              <w:rPr>
                <w:noProof/>
                <w:webHidden/>
              </w:rPr>
            </w:r>
            <w:r w:rsidRPr="0031013D">
              <w:rPr>
                <w:noProof/>
                <w:webHidden/>
              </w:rPr>
              <w:fldChar w:fldCharType="separate"/>
            </w:r>
            <w:r w:rsidR="00CB78EE" w:rsidRPr="0031013D">
              <w:rPr>
                <w:noProof/>
                <w:webHidden/>
              </w:rPr>
              <w:t>5</w:t>
            </w:r>
            <w:r w:rsidRPr="0031013D">
              <w:rPr>
                <w:noProof/>
                <w:webHidden/>
              </w:rPr>
              <w:fldChar w:fldCharType="end"/>
            </w:r>
          </w:hyperlink>
        </w:p>
        <w:p w14:paraId="6EA6643B" w14:textId="23B6DCAC"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hyperlink w:anchor="_Toc242029036" w:history="1">
            <w:r w:rsidRPr="0031013D">
              <w:rPr>
                <w:rStyle w:val="Hyperlink"/>
                <w:noProof/>
                <w:color w:val="auto"/>
              </w:rPr>
              <w:t>Recommendation</w:t>
            </w:r>
            <w:r w:rsidRPr="0031013D">
              <w:rPr>
                <w:noProof/>
                <w:webHidden/>
              </w:rPr>
              <w:tab/>
            </w:r>
            <w:r w:rsidRPr="0031013D">
              <w:rPr>
                <w:noProof/>
                <w:webHidden/>
              </w:rPr>
              <w:fldChar w:fldCharType="begin"/>
            </w:r>
            <w:r w:rsidRPr="0031013D">
              <w:rPr>
                <w:noProof/>
                <w:webHidden/>
              </w:rPr>
              <w:instrText xml:space="preserve"> PAGEREF _Toc242029036 \h </w:instrText>
            </w:r>
            <w:r w:rsidRPr="0031013D">
              <w:rPr>
                <w:noProof/>
                <w:webHidden/>
              </w:rPr>
            </w:r>
            <w:r w:rsidRPr="0031013D">
              <w:rPr>
                <w:noProof/>
                <w:webHidden/>
              </w:rPr>
              <w:fldChar w:fldCharType="separate"/>
            </w:r>
            <w:r w:rsidR="00CB78EE" w:rsidRPr="0031013D">
              <w:rPr>
                <w:noProof/>
                <w:webHidden/>
              </w:rPr>
              <w:t>7</w:t>
            </w:r>
            <w:r w:rsidRPr="0031013D">
              <w:rPr>
                <w:noProof/>
                <w:webHidden/>
              </w:rPr>
              <w:fldChar w:fldCharType="end"/>
            </w:r>
          </w:hyperlink>
        </w:p>
        <w:p w14:paraId="006030A9" w14:textId="05D6ECC4"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hyperlink w:anchor="_Toc242029037" w:history="1">
            <w:r w:rsidRPr="0031013D">
              <w:rPr>
                <w:rStyle w:val="Hyperlink"/>
                <w:noProof/>
                <w:color w:val="auto"/>
              </w:rPr>
              <w:t>Conclusion</w:t>
            </w:r>
            <w:r w:rsidRPr="0031013D">
              <w:rPr>
                <w:noProof/>
                <w:webHidden/>
              </w:rPr>
              <w:tab/>
            </w:r>
            <w:r w:rsidRPr="0031013D">
              <w:rPr>
                <w:noProof/>
                <w:webHidden/>
              </w:rPr>
              <w:fldChar w:fldCharType="begin"/>
            </w:r>
            <w:r w:rsidRPr="0031013D">
              <w:rPr>
                <w:noProof/>
                <w:webHidden/>
              </w:rPr>
              <w:instrText xml:space="preserve"> PAGEREF _Toc242029037 \h </w:instrText>
            </w:r>
            <w:r w:rsidRPr="0031013D">
              <w:rPr>
                <w:noProof/>
                <w:webHidden/>
              </w:rPr>
            </w:r>
            <w:r w:rsidRPr="0031013D">
              <w:rPr>
                <w:noProof/>
                <w:webHidden/>
              </w:rPr>
              <w:fldChar w:fldCharType="separate"/>
            </w:r>
            <w:r w:rsidR="00CB78EE" w:rsidRPr="0031013D">
              <w:rPr>
                <w:noProof/>
                <w:webHidden/>
              </w:rPr>
              <w:t>8</w:t>
            </w:r>
            <w:r w:rsidRPr="0031013D">
              <w:rPr>
                <w:noProof/>
                <w:webHidden/>
              </w:rPr>
              <w:fldChar w:fldCharType="end"/>
            </w:r>
          </w:hyperlink>
        </w:p>
        <w:p w14:paraId="05377560" w14:textId="3C5C70E8" w:rsidR="00514771" w:rsidRPr="0031013D" w:rsidRDefault="00514771">
          <w:pPr>
            <w:pStyle w:val="TOC1"/>
            <w:tabs>
              <w:tab w:val="right" w:leader="dot" w:pos="9016"/>
            </w:tabs>
            <w:rPr>
              <w:rFonts w:asciiTheme="minorHAnsi" w:eastAsiaTheme="minorEastAsia" w:hAnsiTheme="minorHAnsi"/>
              <w:noProof/>
              <w:szCs w:val="24"/>
              <w:lang w:val="en-IN" w:eastAsia="en-IN" w:bidi="ar-SA"/>
            </w:rPr>
          </w:pPr>
          <w:hyperlink w:anchor="_Toc242029038" w:history="1">
            <w:r w:rsidRPr="0031013D">
              <w:rPr>
                <w:rStyle w:val="Hyperlink"/>
                <w:noProof/>
                <w:color w:val="auto"/>
                <w:lang w:val="en-US"/>
              </w:rPr>
              <w:t>References</w:t>
            </w:r>
            <w:r w:rsidRPr="0031013D">
              <w:rPr>
                <w:noProof/>
                <w:webHidden/>
              </w:rPr>
              <w:tab/>
            </w:r>
            <w:r w:rsidRPr="0031013D">
              <w:rPr>
                <w:noProof/>
                <w:webHidden/>
              </w:rPr>
              <w:fldChar w:fldCharType="begin"/>
            </w:r>
            <w:r w:rsidRPr="0031013D">
              <w:rPr>
                <w:noProof/>
                <w:webHidden/>
              </w:rPr>
              <w:instrText xml:space="preserve"> PAGEREF _Toc242029038 \h </w:instrText>
            </w:r>
            <w:r w:rsidRPr="0031013D">
              <w:rPr>
                <w:noProof/>
                <w:webHidden/>
              </w:rPr>
            </w:r>
            <w:r w:rsidRPr="0031013D">
              <w:rPr>
                <w:noProof/>
                <w:webHidden/>
              </w:rPr>
              <w:fldChar w:fldCharType="separate"/>
            </w:r>
            <w:r w:rsidR="00CB78EE" w:rsidRPr="0031013D">
              <w:rPr>
                <w:noProof/>
                <w:webHidden/>
              </w:rPr>
              <w:t>8</w:t>
            </w:r>
            <w:r w:rsidRPr="0031013D">
              <w:rPr>
                <w:noProof/>
                <w:webHidden/>
              </w:rPr>
              <w:fldChar w:fldCharType="end"/>
            </w:r>
          </w:hyperlink>
        </w:p>
        <w:p w14:paraId="636353F6" w14:textId="3B9E9D46" w:rsidR="00514771" w:rsidRPr="0031013D" w:rsidRDefault="00514771">
          <w:r w:rsidRPr="0031013D">
            <w:rPr>
              <w:b/>
              <w:bCs/>
              <w:noProof/>
            </w:rPr>
            <w:fldChar w:fldCharType="end"/>
          </w:r>
        </w:p>
      </w:sdtContent>
    </w:sdt>
    <w:p w14:paraId="1C6F2850" w14:textId="60F193E3" w:rsidR="00514771" w:rsidRPr="0031013D" w:rsidRDefault="00514771">
      <w:pPr>
        <w:spacing w:line="259" w:lineRule="auto"/>
        <w:jc w:val="left"/>
      </w:pPr>
      <w:r w:rsidRPr="0031013D">
        <w:br w:type="page"/>
      </w:r>
    </w:p>
    <w:p w14:paraId="7E082970" w14:textId="0CE60987" w:rsidR="00B24D98" w:rsidRPr="0031013D" w:rsidRDefault="00B24D98" w:rsidP="00B24D98">
      <w:pPr>
        <w:pStyle w:val="Heading1"/>
        <w:rPr>
          <w:lang w:val="en-US"/>
        </w:rPr>
      </w:pPr>
      <w:bookmarkStart w:id="0" w:name="_Toc242029033"/>
      <w:r w:rsidRPr="0031013D">
        <w:rPr>
          <w:lang w:val="en-US"/>
        </w:rPr>
        <w:lastRenderedPageBreak/>
        <w:t>Introduction</w:t>
      </w:r>
      <w:bookmarkEnd w:id="0"/>
    </w:p>
    <w:p w14:paraId="062BC14D" w14:textId="566850B7" w:rsidR="00B24D98" w:rsidRPr="0031013D" w:rsidRDefault="00FC1E80" w:rsidP="00B24D98">
      <w:r w:rsidRPr="0031013D">
        <w:t xml:space="preserve">Digital transformation in health and social care in the UK has gained importance and the </w:t>
      </w:r>
      <w:r w:rsidR="0031013D">
        <w:t>NHS application</w:t>
      </w:r>
      <w:r w:rsidRPr="0031013D">
        <w:t xml:space="preserve"> is a great change in the way patients access and manage healthcare. The </w:t>
      </w:r>
      <w:r w:rsidR="0031013D">
        <w:t>NHS application</w:t>
      </w:r>
      <w:r w:rsidRPr="0031013D">
        <w:t xml:space="preserve"> was introduced nationally offers users access to digital services such as GP appointments, repeat prescriptions, health information and medical records. Its importance is more than just convenience since it can promote patient engagement, self-management and more adaptable access to healthcare services. However, the digital transformation can also present the problems with digital literacy, privacy, access and unequal access to technology. </w:t>
      </w:r>
      <w:r w:rsidR="00E03BC4" w:rsidRPr="0031013D">
        <w:t xml:space="preserve">The digital CBT programme offered by </w:t>
      </w:r>
      <w:r w:rsidR="0031013D" w:rsidRPr="0031013D">
        <w:t>Silver Cloud</w:t>
      </w:r>
      <w:r w:rsidR="006F44D8" w:rsidRPr="0031013D">
        <w:t xml:space="preserve">, introduced in 2023, has the potential to </w:t>
      </w:r>
      <w:r w:rsidR="00E03BC4" w:rsidRPr="0031013D">
        <w:t>enhance access to depression support, as adults can undertake interactive therapeutic tasks at their own pace. It can minimize travel barriers and waiting time, but there are possibilities of digital exclusion and lack of personal interaction where engagement is concerned. The innovation can decrease strain on mental health services, raise awareness and intervene earlier. However, equitable access requires digital skills, internet connectivity and appropriate professional guidance</w:t>
      </w:r>
      <w:r w:rsidR="00CF10CD" w:rsidRPr="0031013D">
        <w:t xml:space="preserve">. </w:t>
      </w:r>
      <w:r w:rsidRPr="0031013D">
        <w:t xml:space="preserve">The report carries out a critical assessment of the effect of the </w:t>
      </w:r>
      <w:r w:rsidR="0031013D">
        <w:t>NHS application</w:t>
      </w:r>
      <w:r w:rsidRPr="0031013D">
        <w:t xml:space="preserve"> on patients and service users and hence experience of patients and service users, access and engagement to care, as well as community, namely families, carers, underserved groups and health disparities in the UK health care system.</w:t>
      </w:r>
    </w:p>
    <w:p w14:paraId="20DB1B48" w14:textId="2E0891DC" w:rsidR="00B24D98" w:rsidRPr="0031013D" w:rsidRDefault="00B24D98" w:rsidP="00B24D98">
      <w:pPr>
        <w:pStyle w:val="Heading1"/>
      </w:pPr>
      <w:bookmarkStart w:id="1" w:name="_Toc242029034"/>
      <w:r w:rsidRPr="0031013D">
        <w:t>Patient/Service User</w:t>
      </w:r>
      <w:bookmarkEnd w:id="1"/>
    </w:p>
    <w:p w14:paraId="5F72B3BB" w14:textId="38459BE5" w:rsidR="00FC1E80" w:rsidRPr="0031013D" w:rsidRDefault="00FC1E80" w:rsidP="00FC1E80">
      <w:pPr>
        <w:rPr>
          <w:lang w:val="en-IN"/>
        </w:rPr>
      </w:pPr>
      <w:r w:rsidRPr="0031013D">
        <w:rPr>
          <w:lang w:val="en-IN"/>
        </w:rPr>
        <w:t xml:space="preserve">The </w:t>
      </w:r>
      <w:r w:rsidR="0031013D">
        <w:rPr>
          <w:lang w:val="en-IN"/>
        </w:rPr>
        <w:t>NHS application</w:t>
      </w:r>
      <w:r w:rsidRPr="0031013D">
        <w:rPr>
          <w:lang w:val="en-IN"/>
        </w:rPr>
        <w:t xml:space="preserve"> has transformed the</w:t>
      </w:r>
      <w:r w:rsidR="0031013D">
        <w:rPr>
          <w:lang w:val="en-IN"/>
        </w:rPr>
        <w:t xml:space="preserve"> </w:t>
      </w:r>
      <w:r w:rsidRPr="0031013D">
        <w:rPr>
          <w:lang w:val="en-IN"/>
        </w:rPr>
        <w:t xml:space="preserve">service-user experience into a single digital pathway to multiple NHS products, such as appointment management, repeat prescriptions, health records, test results and messaging. Its rising usage testifies to an increase in patient engagement since in April 2026, the number of registered people amounted to about </w:t>
      </w:r>
      <w:r w:rsidRPr="0031013D">
        <w:rPr>
          <w:rFonts w:cs="Times New Roman"/>
          <w:lang w:val="en-IN"/>
        </w:rPr>
        <w:t>£</w:t>
      </w:r>
      <w:r w:rsidRPr="0031013D">
        <w:rPr>
          <w:lang w:val="en-IN"/>
        </w:rPr>
        <w:t xml:space="preserve">41 million, whereas in April 2026, about 64% of the hospital appointments were visible via the app (NHS, 2026). It can increase convenience since patients are able to undertake certain elements of their care without needing to call GP practices incessantly or wait to receive paper mail. NHS England states that on-line repeat-prescription ordering saved patients 18 minutes per order on average, and decreased administration to GP practices (NHS, 2024). </w:t>
      </w:r>
    </w:p>
    <w:p w14:paraId="37E3053F" w14:textId="7C9A7172" w:rsidR="00FC1E80" w:rsidRPr="0031013D" w:rsidRDefault="00FC1E80" w:rsidP="00FC1E80">
      <w:pPr>
        <w:rPr>
          <w:lang w:val="en-IN"/>
        </w:rPr>
      </w:pPr>
      <w:r w:rsidRPr="0031013D">
        <w:rPr>
          <w:lang w:val="en-IN"/>
        </w:rPr>
        <w:t xml:space="preserve">The GP record access can also promote patient autonomy by allowing individuals to access medications, testing outcomes, records of consultations and correspondence, which could help to become more actively involved in their health decisions. However, greater access does not automatically produce better experiences. NHS England acknowledges that </w:t>
      </w:r>
      <w:r w:rsidRPr="0031013D">
        <w:rPr>
          <w:lang w:val="en-IN"/>
        </w:rPr>
        <w:lastRenderedPageBreak/>
        <w:t xml:space="preserve">unrestricted access to sensitive information can harm or distress some of the patients, especially when records include information of protection of domestic abuse or any other confidential situation. Subsequently, the practices might be forced to limit or censor the information appropriately (NHS, 2024a). The perceived quality/continuity of care may also be improved by the </w:t>
      </w:r>
      <w:r w:rsidR="0031013D">
        <w:rPr>
          <w:lang w:val="en-IN"/>
        </w:rPr>
        <w:t>NHS application</w:t>
      </w:r>
      <w:r w:rsidRPr="0031013D">
        <w:rPr>
          <w:lang w:val="en-IN"/>
        </w:rPr>
        <w:t xml:space="preserve"> since patients will be able to reach the necessary information in a single place, instead of depending on the telephone as a central source of information, and hardcopies. </w:t>
      </w:r>
    </w:p>
    <w:p w14:paraId="3B37CD46" w14:textId="178A9BF6" w:rsidR="00FC1E80" w:rsidRPr="0031013D" w:rsidRDefault="00FC1E80" w:rsidP="00FC1E80">
      <w:pPr>
        <w:rPr>
          <w:lang w:val="en-IN"/>
        </w:rPr>
      </w:pPr>
      <w:r w:rsidRPr="0031013D">
        <w:rPr>
          <w:lang w:val="en-IN"/>
        </w:rPr>
        <w:t>This change is further supported by its development of secondary care and patients having more opportunities to consider referrals and appointments online. In 2024-25, NHS England reported that 94% of the population were able to handle secondary-care referrals using the app, which reduces the number of missed appointments (NHS, 2025). However, convenience will depend on the digital connection of services and the possible ability of patients to use the application effectively. The variations between GP practices and NHS services may thus lead to uneven experiences and restriction of whether the app offers a truly integrated gateway. A major limitation is the digital literacy</w:t>
      </w:r>
      <w:r w:rsidR="00F63EC4" w:rsidRPr="0031013D">
        <w:rPr>
          <w:lang w:val="en-IN"/>
        </w:rPr>
        <w:t xml:space="preserve"> (</w:t>
      </w:r>
      <w:r w:rsidR="00F63EC4" w:rsidRPr="0031013D">
        <w:t>Dheensa, and Feder, 2022)</w:t>
      </w:r>
      <w:r w:rsidRPr="0031013D">
        <w:rPr>
          <w:lang w:val="en-IN"/>
        </w:rPr>
        <w:t xml:space="preserve">. Despite the fact that the app is aimed at making it easier to access information, not all patients will be sure how to use smartphones, read or manage online accounts or perceive digital health data. </w:t>
      </w:r>
    </w:p>
    <w:p w14:paraId="14973C10" w14:textId="13A0A409" w:rsidR="00E33DFC" w:rsidRPr="000741BA" w:rsidRDefault="00FC1E80" w:rsidP="00FC1E80">
      <w:r w:rsidRPr="0031013D">
        <w:rPr>
          <w:lang w:val="en-IN"/>
        </w:rPr>
        <w:t xml:space="preserve">It is the older people, individuals </w:t>
      </w:r>
      <w:r w:rsidR="005B3A72" w:rsidRPr="005B3A72">
        <w:t>who are less skilled</w:t>
      </w:r>
      <w:r w:rsidRPr="0031013D">
        <w:rPr>
          <w:lang w:val="en-IN"/>
        </w:rPr>
        <w:t>, have limited capacity to communicate in English, or those who face socioeconomic disadvantage who could face increased barriers. The usability work carried out specifically at NHS England also involved patients with moderate-to-low digital confidence and moderate</w:t>
      </w:r>
      <w:r w:rsidR="000741BA">
        <w:rPr>
          <w:lang w:val="en-IN"/>
        </w:rPr>
        <w:t xml:space="preserve"> </w:t>
      </w:r>
      <w:r w:rsidRPr="0031013D">
        <w:rPr>
          <w:lang w:val="en-IN"/>
        </w:rPr>
        <w:t>to</w:t>
      </w:r>
      <w:r w:rsidR="000741BA">
        <w:rPr>
          <w:lang w:val="en-IN"/>
        </w:rPr>
        <w:t xml:space="preserve"> </w:t>
      </w:r>
      <w:r w:rsidRPr="0031013D">
        <w:rPr>
          <w:lang w:val="en-IN"/>
        </w:rPr>
        <w:t xml:space="preserve">low written-English confidence, which showed that accessibility must consider the capabilities of users with various capabilities (NHS, 2022). The requirements of NHS digital-accessibility standards are that the digital services provided by the public sector should meet the criteria of WCAG 2.1 AA to ensure the accessibility of information by people with disabilities, impairments, sensory loss (NHS, 2023). </w:t>
      </w:r>
      <w:r w:rsidR="00E33DFC" w:rsidRPr="0031013D">
        <w:rPr>
          <w:lang w:val="en-IN"/>
        </w:rPr>
        <w:t>Furthermore</w:t>
      </w:r>
      <w:r w:rsidRPr="0031013D">
        <w:rPr>
          <w:lang w:val="en-IN"/>
        </w:rPr>
        <w:t>, accessibility should not imply the substitution of non-digital pathways and patients who are unable to operate the app need other means of obtaining care.</w:t>
      </w:r>
      <w:r w:rsidR="00E33DFC" w:rsidRPr="0031013D">
        <w:rPr>
          <w:lang w:val="en-IN"/>
        </w:rPr>
        <w:t xml:space="preserve"> </w:t>
      </w:r>
      <w:r w:rsidRPr="0031013D">
        <w:rPr>
          <w:lang w:val="en-IN"/>
        </w:rPr>
        <w:t>The issue of privacy and information security are other factors since the app offers sensitive personal information regarding health.</w:t>
      </w:r>
    </w:p>
    <w:p w14:paraId="2C339E98" w14:textId="28CC101A" w:rsidR="00B24D98" w:rsidRPr="0031013D" w:rsidRDefault="00FC1E80" w:rsidP="00FC1E80">
      <w:pPr>
        <w:rPr>
          <w:lang w:val="en-IN"/>
        </w:rPr>
      </w:pPr>
      <w:r w:rsidRPr="0031013D">
        <w:rPr>
          <w:lang w:val="en-IN"/>
        </w:rPr>
        <w:t xml:space="preserve">Patients </w:t>
      </w:r>
      <w:r w:rsidR="00E33DFC" w:rsidRPr="0031013D">
        <w:rPr>
          <w:lang w:val="en-IN"/>
        </w:rPr>
        <w:t>must</w:t>
      </w:r>
      <w:r w:rsidRPr="0031013D">
        <w:rPr>
          <w:lang w:val="en-IN"/>
        </w:rPr>
        <w:t xml:space="preserve"> keep their logins and devices safe, with NHS organisations ensuring that they have proper data protection and safeguarding measures in place. The NHS England recognizes that the app links with various service providers, with several data controllers and </w:t>
      </w:r>
      <w:r w:rsidRPr="0031013D">
        <w:rPr>
          <w:lang w:val="en-IN"/>
        </w:rPr>
        <w:lastRenderedPageBreak/>
        <w:t>processors having a role, which visualizes the complexity of dealing with health information digitally (NHS, 2025a).</w:t>
      </w:r>
      <w:r w:rsidR="00E33DFC" w:rsidRPr="0031013D">
        <w:rPr>
          <w:lang w:val="en-IN"/>
        </w:rPr>
        <w:t xml:space="preserve"> A</w:t>
      </w:r>
      <w:r w:rsidRPr="0031013D">
        <w:rPr>
          <w:lang w:val="en-IN"/>
        </w:rPr>
        <w:t>lthough digital access has the potential to promote autonomy, it must also ensure that patients are familiar with the manner in which their information is accessed and secured.</w:t>
      </w:r>
      <w:r w:rsidR="00E33DFC" w:rsidRPr="0031013D">
        <w:rPr>
          <w:lang w:val="en-IN"/>
        </w:rPr>
        <w:t xml:space="preserve"> T</w:t>
      </w:r>
      <w:r w:rsidRPr="0031013D">
        <w:rPr>
          <w:lang w:val="en-IN"/>
        </w:rPr>
        <w:t xml:space="preserve">he </w:t>
      </w:r>
      <w:r w:rsidR="0031013D">
        <w:rPr>
          <w:lang w:val="en-IN"/>
        </w:rPr>
        <w:t>NHS application</w:t>
      </w:r>
      <w:r w:rsidRPr="0031013D">
        <w:rPr>
          <w:lang w:val="en-IN"/>
        </w:rPr>
        <w:t xml:space="preserve"> has significantly enhanced the convenience, patient engagement, and access to health information, yet the advantages are not universal. Optimal patient-centred outcome is achieved when both digital access and accessible design are coupled with safeguarding, digital assistance and capable non-digital options</w:t>
      </w:r>
      <w:r w:rsidR="00F63EC4" w:rsidRPr="0031013D">
        <w:rPr>
          <w:lang w:val="en-IN"/>
        </w:rPr>
        <w:t xml:space="preserve"> (</w:t>
      </w:r>
      <w:r w:rsidR="00F63EC4" w:rsidRPr="0031013D">
        <w:t xml:space="preserve">Xing </w:t>
      </w:r>
      <w:r w:rsidR="00F63EC4" w:rsidRPr="0031013D">
        <w:rPr>
          <w:i/>
          <w:iCs/>
        </w:rPr>
        <w:t>et al</w:t>
      </w:r>
      <w:r w:rsidR="00F63EC4" w:rsidRPr="0031013D">
        <w:t>., 2026)</w:t>
      </w:r>
      <w:r w:rsidRPr="0031013D">
        <w:rPr>
          <w:lang w:val="en-IN"/>
        </w:rPr>
        <w:t xml:space="preserve">. This implies that the </w:t>
      </w:r>
      <w:r w:rsidR="0031013D">
        <w:rPr>
          <w:lang w:val="en-IN"/>
        </w:rPr>
        <w:t>NHS application</w:t>
      </w:r>
      <w:r w:rsidRPr="0031013D">
        <w:rPr>
          <w:lang w:val="en-IN"/>
        </w:rPr>
        <w:t xml:space="preserve"> cannot be regarded as a substitute to traditional patient access but rather as a supplementary route that can enable digitally able users and avoid digital exclusion among vulnerable populations.</w:t>
      </w:r>
    </w:p>
    <w:p w14:paraId="16E15469" w14:textId="60809078" w:rsidR="00E03BC4" w:rsidRPr="0031013D" w:rsidRDefault="0031013D" w:rsidP="00E03BC4">
      <w:pPr>
        <w:rPr>
          <w:lang w:val="en-IN"/>
        </w:rPr>
      </w:pPr>
      <w:r w:rsidRPr="0031013D">
        <w:rPr>
          <w:lang w:val="en-IN"/>
        </w:rPr>
        <w:t>Silver Cloud</w:t>
      </w:r>
      <w:r w:rsidR="00E03BC4" w:rsidRPr="0031013D">
        <w:rPr>
          <w:lang w:val="en-IN"/>
        </w:rPr>
        <w:t xml:space="preserve"> Space from Depression changes care by offering adults online cognitive behavioural therapy (CBT), improving convenience and enabling flexible access to structured psychological support. Interactive modules may help users manage depressive symptoms, although outcomes depend on engagement and appropriate professional guidance. Privacy concerns include protecting sensitive personal information, while limited digital literacy, internet access and device availability may disadvantage vulnerable groups. Research involving 281 users found that most were satisfied and valued the programme’s flexibility and accessibility, although some felt their needs were not met</w:t>
      </w:r>
      <w:r w:rsidR="004236F8" w:rsidRPr="0031013D">
        <w:rPr>
          <w:lang w:val="en-IN"/>
        </w:rPr>
        <w:t xml:space="preserve"> (</w:t>
      </w:r>
      <w:r w:rsidR="004236F8" w:rsidRPr="0031013D">
        <w:rPr>
          <w:lang w:val="en-US"/>
        </w:rPr>
        <w:t>Richards, 2022)</w:t>
      </w:r>
      <w:r w:rsidR="00E03BC4" w:rsidRPr="0031013D">
        <w:rPr>
          <w:lang w:val="en-IN"/>
        </w:rPr>
        <w:t>. NICE recommends appropriate practitioner support, privacy safeguards and alternative treatments when digital therapy is unsuitable or ineffective.</w:t>
      </w:r>
    </w:p>
    <w:p w14:paraId="45EF18CE" w14:textId="7EA4BA50" w:rsidR="00B24D98" w:rsidRPr="0031013D" w:rsidRDefault="00933845" w:rsidP="00933845">
      <w:pPr>
        <w:pStyle w:val="Heading1"/>
      </w:pPr>
      <w:bookmarkStart w:id="2" w:name="_Toc242029035"/>
      <w:r w:rsidRPr="0031013D">
        <w:t>Community</w:t>
      </w:r>
      <w:bookmarkEnd w:id="2"/>
    </w:p>
    <w:p w14:paraId="246F6D94" w14:textId="6685E6B4" w:rsidR="00405D33" w:rsidRPr="0031013D" w:rsidRDefault="0031013D" w:rsidP="00405D33">
      <w:pPr>
        <w:rPr>
          <w:lang w:val="en-IN"/>
        </w:rPr>
      </w:pPr>
      <w:r>
        <w:rPr>
          <w:lang w:val="en-IN"/>
        </w:rPr>
        <w:t>NHS application</w:t>
      </w:r>
      <w:r w:rsidR="00405D33" w:rsidRPr="0031013D">
        <w:rPr>
          <w:lang w:val="en-IN"/>
        </w:rPr>
        <w:t xml:space="preserve"> has the potential to impact communities by limiting geographic and administrative divisions to healthcare, especially those who have sufficient self-confidence in using smartphones or tablets. The practicality of the app</w:t>
      </w:r>
      <w:r w:rsidR="00F63EC4" w:rsidRPr="0031013D">
        <w:rPr>
          <w:lang w:val="en-IN"/>
        </w:rPr>
        <w:t>lication</w:t>
      </w:r>
      <w:r w:rsidR="00405D33" w:rsidRPr="0031013D">
        <w:rPr>
          <w:lang w:val="en-IN"/>
        </w:rPr>
        <w:t xml:space="preserve"> is that patients can manage appointments, request repeat prescriptions and focus at their health-related information without having to travel to a GP practice</w:t>
      </w:r>
      <w:r w:rsidR="00F63EC4" w:rsidRPr="0031013D">
        <w:rPr>
          <w:lang w:val="en-IN"/>
        </w:rPr>
        <w:t xml:space="preserve"> (</w:t>
      </w:r>
      <w:r w:rsidR="00F63EC4" w:rsidRPr="0031013D">
        <w:t>Alturkistani</w:t>
      </w:r>
      <w:r w:rsidR="00F63EC4" w:rsidRPr="0031013D">
        <w:rPr>
          <w:i/>
          <w:iCs/>
        </w:rPr>
        <w:t xml:space="preserve"> et al.,</w:t>
      </w:r>
      <w:r w:rsidR="00F63EC4" w:rsidRPr="0031013D">
        <w:t xml:space="preserve"> 2023)</w:t>
      </w:r>
      <w:r w:rsidR="00405D33" w:rsidRPr="0031013D">
        <w:rPr>
          <w:lang w:val="en-IN"/>
        </w:rPr>
        <w:t xml:space="preserve">. It provides a great use to rural or geographically aggrieved individuals who have to travel greater distances to health centres. Moreover, NHS England acknowledges that issues with networks and connectivity may occur in rural and geographical communities, thus, digital access does not necessarily guarantee equal access. </w:t>
      </w:r>
      <w:r w:rsidR="00405D33" w:rsidRPr="0031013D">
        <w:t>Such areas practices must maintain alternative access to services instead of the presumption that the app can substitute face</w:t>
      </w:r>
      <w:r w:rsidR="000741BA">
        <w:t xml:space="preserve"> </w:t>
      </w:r>
      <w:r w:rsidR="00405D33" w:rsidRPr="0031013D">
        <w:t>to</w:t>
      </w:r>
      <w:r w:rsidR="000741BA">
        <w:t xml:space="preserve"> </w:t>
      </w:r>
      <w:r w:rsidR="00405D33" w:rsidRPr="0031013D">
        <w:t>face or telephone access.</w:t>
      </w:r>
      <w:r w:rsidR="00405D33" w:rsidRPr="0031013D">
        <w:rPr>
          <w:lang w:val="en-IN"/>
        </w:rPr>
        <w:t xml:space="preserve"> It </w:t>
      </w:r>
      <w:r w:rsidR="00405D33" w:rsidRPr="0031013D">
        <w:rPr>
          <w:lang w:val="en-IN"/>
        </w:rPr>
        <w:lastRenderedPageBreak/>
        <w:t xml:space="preserve">indicates that the local infrastructure and the technology of the </w:t>
      </w:r>
      <w:r>
        <w:rPr>
          <w:lang w:val="en-IN"/>
        </w:rPr>
        <w:t>NHS application</w:t>
      </w:r>
      <w:r w:rsidR="00405D33" w:rsidRPr="0031013D">
        <w:rPr>
          <w:lang w:val="en-IN"/>
        </w:rPr>
        <w:t xml:space="preserve"> itself influence the community impact (NHS, 2025a). </w:t>
      </w:r>
    </w:p>
    <w:p w14:paraId="61CB9357" w14:textId="1A3362D5" w:rsidR="00405D33" w:rsidRPr="0031013D" w:rsidRDefault="00405D33" w:rsidP="00405D33">
      <w:pPr>
        <w:rPr>
          <w:lang w:val="en-IN"/>
        </w:rPr>
      </w:pPr>
      <w:r w:rsidRPr="0031013D">
        <w:rPr>
          <w:lang w:val="en-IN"/>
        </w:rPr>
        <w:t xml:space="preserve">This can also benefit the family members and unpaid carers since it </w:t>
      </w:r>
      <w:r w:rsidR="008C17A7" w:rsidRPr="0031013D">
        <w:rPr>
          <w:lang w:val="en-IN"/>
        </w:rPr>
        <w:t>maybe</w:t>
      </w:r>
      <w:r w:rsidRPr="0031013D">
        <w:rPr>
          <w:lang w:val="en-IN"/>
        </w:rPr>
        <w:t xml:space="preserve"> they can make it easier to organize healthcare on their behalf. The family access option was introduced by NHS England designed to enable eligible parents and carers to alternate their profiles by the verification process and perform specific actions, including ordering repeat medications, accessing care details and making appointments on behalf of another individual. By September 2025, almost 12,000 people had applied through pilots in 68 GP practices, showing demand for this functionality</w:t>
      </w:r>
      <w:r w:rsidR="00F63EC4" w:rsidRPr="0031013D">
        <w:rPr>
          <w:lang w:val="en-IN"/>
        </w:rPr>
        <w:t xml:space="preserve"> (</w:t>
      </w:r>
      <w:r w:rsidR="00F63EC4" w:rsidRPr="0031013D">
        <w:rPr>
          <w:lang w:val="en-US"/>
        </w:rPr>
        <w:t>NHS, 2025d)</w:t>
      </w:r>
      <w:r w:rsidRPr="0031013D">
        <w:rPr>
          <w:lang w:val="en-IN"/>
        </w:rPr>
        <w:t xml:space="preserve">. The functionality can empower individuals who do not have a suitable device, data coverage or digital skills by allowing a trusted relative to help them. However, proxy access must be safeguarded carefully as health information may be very sensitive. Examples of situations in which the NHS guidance restrict the access of another individual to produce harm include domestic abuse, where community-based convenience ought to be weighed against privacy, consent and safeguarding concerns (NHS, 2025b). </w:t>
      </w:r>
    </w:p>
    <w:p w14:paraId="59E062DF" w14:textId="47FB69A9" w:rsidR="00405D33" w:rsidRPr="0031013D" w:rsidRDefault="0031013D" w:rsidP="00405D33">
      <w:pPr>
        <w:rPr>
          <w:lang w:val="en-IN"/>
        </w:rPr>
      </w:pPr>
      <w:r>
        <w:rPr>
          <w:lang w:val="en-IN"/>
        </w:rPr>
        <w:t>NHS application</w:t>
      </w:r>
      <w:r w:rsidR="00405D33" w:rsidRPr="0031013D">
        <w:rPr>
          <w:lang w:val="en-IN"/>
        </w:rPr>
        <w:t xml:space="preserve"> can enhance community participation in healthcare by ensuring that information and services are accessible to the community through a digital platform in terms of public health. There were over 39 million registered by December 2025 and 20.8 million GP health-record views and 67.8 million repeat prescriptions had been sent in the last year (NHS, 2025c). This kind of usage signifies that the app has become a channel of engagement with health services instead of software to make an appointment. The usage however should not be construed as all communities are equal beneficiaries. NHS England refers to people over 65 years of age, individuals with lower incomes, disabled persons, limited English speaking and literacy skills as well as people living in regions with weak broadband or mobile services coverage as some of the more vulnerable to digital exclusion</w:t>
      </w:r>
      <w:r w:rsidR="00F63EC4" w:rsidRPr="0031013D">
        <w:rPr>
          <w:lang w:val="en-IN"/>
        </w:rPr>
        <w:t xml:space="preserve"> (</w:t>
      </w:r>
      <w:r w:rsidR="00F63EC4" w:rsidRPr="0031013D">
        <w:rPr>
          <w:lang w:val="en-US"/>
        </w:rPr>
        <w:t>NHS, 2026a)</w:t>
      </w:r>
      <w:r w:rsidR="00405D33" w:rsidRPr="0031013D">
        <w:rPr>
          <w:lang w:val="en-IN"/>
        </w:rPr>
        <w:t xml:space="preserve">. </w:t>
      </w:r>
    </w:p>
    <w:p w14:paraId="74A724AE" w14:textId="49CFB1F1" w:rsidR="00933845" w:rsidRPr="0031013D" w:rsidRDefault="00405D33" w:rsidP="00405D33">
      <w:pPr>
        <w:rPr>
          <w:lang w:val="en-IN"/>
        </w:rPr>
      </w:pPr>
      <w:r w:rsidRPr="0031013D">
        <w:rPr>
          <w:lang w:val="en-IN"/>
        </w:rPr>
        <w:t xml:space="preserve">As a result, community involvement and co-production should be crucial in the expansion of the </w:t>
      </w:r>
      <w:r w:rsidR="0031013D">
        <w:rPr>
          <w:lang w:val="en-IN"/>
        </w:rPr>
        <w:t>NHS application</w:t>
      </w:r>
      <w:r w:rsidRPr="0031013D">
        <w:rPr>
          <w:lang w:val="en-IN"/>
        </w:rPr>
        <w:t>. The NHS is encouraging user-centred design and access to a wide and less-heard group, with local</w:t>
      </w:r>
      <w:r w:rsidR="00DA5F8A">
        <w:rPr>
          <w:lang w:val="en-IN"/>
        </w:rPr>
        <w:t xml:space="preserve"> </w:t>
      </w:r>
      <w:r w:rsidRPr="0031013D">
        <w:rPr>
          <w:lang w:val="en-IN"/>
        </w:rPr>
        <w:t xml:space="preserve">level efforts like digital cafes and Digital Care Coordinators offering advice to the individuals who experience difficulties with technology (NHS, 2026a). These solutions are able to enhance confidence and make digital services more welcoming., </w:t>
      </w:r>
      <w:r w:rsidR="0031013D">
        <w:rPr>
          <w:lang w:val="en-IN"/>
        </w:rPr>
        <w:t>NHS application</w:t>
      </w:r>
      <w:r w:rsidRPr="0031013D">
        <w:rPr>
          <w:lang w:val="en-IN"/>
        </w:rPr>
        <w:t xml:space="preserve"> can be more convenient, facilitate carers and community access, although the measure of success </w:t>
      </w:r>
      <w:r w:rsidR="008C17A7" w:rsidRPr="0031013D">
        <w:rPr>
          <w:lang w:val="en-IN"/>
        </w:rPr>
        <w:t>must</w:t>
      </w:r>
      <w:r w:rsidRPr="0031013D">
        <w:rPr>
          <w:lang w:val="en-IN"/>
        </w:rPr>
        <w:t xml:space="preserve"> be evaluated by means of equal results rather than the number of </w:t>
      </w:r>
      <w:r w:rsidRPr="0031013D">
        <w:rPr>
          <w:lang w:val="en-IN"/>
        </w:rPr>
        <w:lastRenderedPageBreak/>
        <w:t>registrations. To ensure that digital transformation does not increase health inequalities, it is therefore necessary to maintain telephone and in-person options, enhance connectivity, offer digital support, and engage underserved populations in designing services</w:t>
      </w:r>
      <w:r w:rsidR="00933845" w:rsidRPr="0031013D">
        <w:rPr>
          <w:lang w:val="en-IN"/>
        </w:rPr>
        <w:t>.</w:t>
      </w:r>
    </w:p>
    <w:p w14:paraId="2C4CDC8A" w14:textId="7C9D22FA" w:rsidR="00743CBC" w:rsidRPr="0031013D" w:rsidRDefault="00743CBC" w:rsidP="00405D33">
      <w:pPr>
        <w:rPr>
          <w:lang w:val="en-IN"/>
        </w:rPr>
      </w:pPr>
      <w:r w:rsidRPr="0031013D">
        <w:t xml:space="preserve">Depression-based </w:t>
      </w:r>
      <w:r w:rsidR="0031013D" w:rsidRPr="0031013D">
        <w:t>Silver Cloud</w:t>
      </w:r>
      <w:r w:rsidRPr="0031013D">
        <w:t xml:space="preserve"> Space can support rural and underserved populations since it offers online mental health support without needing them to travel regularly to access specialist services (</w:t>
      </w:r>
      <w:r w:rsidR="0031013D" w:rsidRPr="0031013D">
        <w:t>Bartholomae</w:t>
      </w:r>
      <w:r w:rsidRPr="0031013D">
        <w:t xml:space="preserve"> </w:t>
      </w:r>
      <w:r w:rsidRPr="0031013D">
        <w:rPr>
          <w:i/>
          <w:iCs/>
        </w:rPr>
        <w:t xml:space="preserve">et al., </w:t>
      </w:r>
      <w:r w:rsidRPr="0031013D">
        <w:t>2023). This can be advantageous to families and carers because the responsibility is taken off community services as better symptom management promotes daily functioning of the individual along with relationships. The interaction between the user, therapists and healthcare providers will facilitate continuity and the provision of personalised care. Co-production can enhance programme access and relevance, but there is limited evidence of targeted community-level outcomes, and digital exclusion can limit the equitable benefits.</w:t>
      </w:r>
    </w:p>
    <w:p w14:paraId="4BBA5061" w14:textId="4DC4D4E0" w:rsidR="00933845" w:rsidRPr="0031013D" w:rsidRDefault="005B2A83" w:rsidP="005B2A83">
      <w:pPr>
        <w:pStyle w:val="Heading1"/>
      </w:pPr>
      <w:bookmarkStart w:id="3" w:name="_Toc242029036"/>
      <w:r w:rsidRPr="0031013D">
        <w:t>Recommendation</w:t>
      </w:r>
      <w:bookmarkEnd w:id="3"/>
    </w:p>
    <w:p w14:paraId="3910E231" w14:textId="5D47C34D" w:rsidR="00EB4330" w:rsidRPr="0031013D" w:rsidRDefault="00EB4330" w:rsidP="00EB4330">
      <w:r w:rsidRPr="0031013D">
        <w:t xml:space="preserve">The NHS need to have a digital plus strategy where the </w:t>
      </w:r>
      <w:r w:rsidR="0031013D">
        <w:t>NHS application</w:t>
      </w:r>
      <w:r w:rsidRPr="0031013D">
        <w:t xml:space="preserve"> is used to supplement face</w:t>
      </w:r>
      <w:r w:rsidR="00DA5F8A">
        <w:t xml:space="preserve"> </w:t>
      </w:r>
      <w:r w:rsidRPr="0031013D">
        <w:t>to</w:t>
      </w:r>
      <w:r w:rsidR="00DA5F8A">
        <w:t xml:space="preserve"> </w:t>
      </w:r>
      <w:r w:rsidRPr="0031013D">
        <w:t xml:space="preserve">face and telephone services instead of displacing them. This must safeguard patients who are unable to access digital services </w:t>
      </w:r>
      <w:r w:rsidR="00F63EC4" w:rsidRPr="0031013D">
        <w:t>because of</w:t>
      </w:r>
      <w:r w:rsidRPr="0031013D">
        <w:t xml:space="preserve"> lack of internet access, disability, low levels of digital confidence or socioeconomic disadvantage. NHS organisations are encouraged to widen their assisted-digital provision by including GP practices, libraries, community centres and voluntary organisations in aiding underserved patients to be registered, make appointments, place prescriptions and access health records. Special focus must be on rural populations where connectivity may limit successful use of the application. The NHS can also enhance accessibility by engaging older adults, disabled individuals, people with limited English skills and other underserved groups in regular user testing and co-production</w:t>
      </w:r>
      <w:r w:rsidR="00F63EC4" w:rsidRPr="0031013D">
        <w:t xml:space="preserve"> (</w:t>
      </w:r>
      <w:r w:rsidR="00F63EC4" w:rsidRPr="0031013D">
        <w:rPr>
          <w:lang w:val="en-US"/>
        </w:rPr>
        <w:t xml:space="preserve">Ryan </w:t>
      </w:r>
      <w:r w:rsidR="00F63EC4" w:rsidRPr="0031013D">
        <w:rPr>
          <w:i/>
          <w:iCs/>
          <w:lang w:val="en-US"/>
        </w:rPr>
        <w:t>et al.,</w:t>
      </w:r>
      <w:r w:rsidR="00F63EC4" w:rsidRPr="0031013D">
        <w:rPr>
          <w:lang w:val="en-US"/>
        </w:rPr>
        <w:t xml:space="preserve"> 2024)</w:t>
      </w:r>
      <w:r w:rsidRPr="0031013D">
        <w:t>. This must make sure that future updates include the needs of a diversity of communities rather than having the assumption that they all have the same digital capabilities.</w:t>
      </w:r>
    </w:p>
    <w:p w14:paraId="57C238C2" w14:textId="5FDFE6CD" w:rsidR="00EB4330" w:rsidRPr="0031013D" w:rsidRDefault="00EB4330" w:rsidP="00EB4330">
      <w:r w:rsidRPr="0031013D">
        <w:t>Access by family members and carers should be increased wisely since proxy access can enhance the provision of support to children, elderly and individuals who cannot handle their own care in the digital world. However, NHS organisations are advised to utilize strong identity verification, consent and protection practices prior to granting an individual permission to another individual to gain access into information of the former</w:t>
      </w:r>
      <w:r w:rsidR="00F63EC4" w:rsidRPr="0031013D">
        <w:t xml:space="preserve"> (Snelling, and Quick, 2022)</w:t>
      </w:r>
      <w:r w:rsidRPr="0031013D">
        <w:t xml:space="preserve">. This is crucial especially in areas were domestic harassment, intimidation or </w:t>
      </w:r>
      <w:r w:rsidRPr="0031013D">
        <w:lastRenderedPageBreak/>
        <w:t>unwanted entry can be hazardous. Furthermore, NHS must offer proper and articulate guidance on how patients can manage or withdraw shared access.</w:t>
      </w:r>
    </w:p>
    <w:p w14:paraId="6C01D5B8" w14:textId="007C974E" w:rsidR="005B2A83" w:rsidRPr="0031013D" w:rsidRDefault="00EB4330" w:rsidP="00EB4330">
      <w:r w:rsidRPr="0031013D">
        <w:t xml:space="preserve">In addition, NHS organisations are advised to rate </w:t>
      </w:r>
      <w:r w:rsidR="0031013D">
        <w:t>NHS application</w:t>
      </w:r>
      <w:r w:rsidRPr="0031013D">
        <w:t xml:space="preserve"> based on equity and patient-outcome measures rather than on registration numbers, in isolation</w:t>
      </w:r>
      <w:r w:rsidR="00F63EC4" w:rsidRPr="0031013D">
        <w:t xml:space="preserve"> (Kohrt </w:t>
      </w:r>
      <w:r w:rsidR="00F63EC4" w:rsidRPr="0031013D">
        <w:rPr>
          <w:i/>
          <w:iCs/>
        </w:rPr>
        <w:t>et al.,</w:t>
      </w:r>
      <w:r w:rsidR="00F63EC4" w:rsidRPr="0031013D">
        <w:t xml:space="preserve"> 2025)</w:t>
      </w:r>
      <w:r w:rsidRPr="0031013D">
        <w:t xml:space="preserve">. Monitoring must be on changes in usage and experiences as per age, disability, income, language and geographical location. Barriers must be detected through regular feedback of community and improvements informed. Investment in digital infrastructure, cybersecurity and accessibility should accompany expansion of services. Such actions must enable </w:t>
      </w:r>
      <w:r w:rsidR="0031013D">
        <w:t>NHS application</w:t>
      </w:r>
      <w:r w:rsidRPr="0031013D">
        <w:t xml:space="preserve"> to provide even more convenience and patient engagement and decrease the chance that digital transformation will perpetuate existing health inequities.</w:t>
      </w:r>
    </w:p>
    <w:p w14:paraId="0CF9B408" w14:textId="2D2079A1" w:rsidR="005B2A83" w:rsidRPr="0031013D" w:rsidRDefault="005B2A83" w:rsidP="005B2A83">
      <w:pPr>
        <w:pStyle w:val="Heading1"/>
      </w:pPr>
      <w:bookmarkStart w:id="4" w:name="_Toc242029037"/>
      <w:r w:rsidRPr="0031013D">
        <w:t>Conclusion</w:t>
      </w:r>
      <w:bookmarkEnd w:id="4"/>
    </w:p>
    <w:p w14:paraId="7813F361" w14:textId="45C62152" w:rsidR="00B24D98" w:rsidRPr="0031013D" w:rsidRDefault="005B2A83" w:rsidP="00B24D98">
      <w:r w:rsidRPr="0031013D">
        <w:t xml:space="preserve">The </w:t>
      </w:r>
      <w:r w:rsidR="0031013D">
        <w:t>NHS application</w:t>
      </w:r>
      <w:r w:rsidRPr="0031013D">
        <w:t xml:space="preserve"> represents a significant digital transformation within NHS healthcare in England, improving how patients and </w:t>
      </w:r>
      <w:r w:rsidR="00EB4330" w:rsidRPr="0031013D">
        <w:t>communities’</w:t>
      </w:r>
      <w:r w:rsidRPr="0031013D">
        <w:t xml:space="preserve"> access and manage services. Its ability to support appointment management, repeat prescriptions, health-record access and family access can increase convenience, patient involvement and flexibility. However, the analysis demonstrates that these benefits are not experienced equally. Digital exclusion, limited connectivity, accessibility barriers, privacy concerns and safeguarding risks can disadvantage rural, underserved and digitally vulnerable communities. Therefore, the </w:t>
      </w:r>
      <w:r w:rsidR="0031013D">
        <w:t>NHS application</w:t>
      </w:r>
      <w:r w:rsidRPr="0031013D">
        <w:t xml:space="preserve"> should complement rather than replace traditional healthcare access. Effective implementation requires accessible design, digital-literacy support, community co-production, strong safeguarding measures and continued telephone and face</w:t>
      </w:r>
      <w:r w:rsidR="00DA5F8A">
        <w:t xml:space="preserve"> </w:t>
      </w:r>
      <w:r w:rsidRPr="0031013D">
        <w:t>to</w:t>
      </w:r>
      <w:r w:rsidR="00DA5F8A">
        <w:t xml:space="preserve"> </w:t>
      </w:r>
      <w:r w:rsidRPr="0031013D">
        <w:t xml:space="preserve">face alternatives. Overall, the </w:t>
      </w:r>
      <w:r w:rsidR="0031013D">
        <w:t>NHS application</w:t>
      </w:r>
      <w:r w:rsidRPr="0031013D">
        <w:t xml:space="preserve"> has considerable potential to improve patient experiences and community healthcare access, but its long-term value depends on achieving equitable, safe and inclusive digital transformation.</w:t>
      </w:r>
    </w:p>
    <w:p w14:paraId="3FF34E7C" w14:textId="7416CF86" w:rsidR="00CB78EE" w:rsidRPr="0031013D" w:rsidRDefault="00CB78EE">
      <w:pPr>
        <w:spacing w:line="259" w:lineRule="auto"/>
        <w:jc w:val="left"/>
      </w:pPr>
      <w:r w:rsidRPr="0031013D">
        <w:br w:type="page"/>
      </w:r>
    </w:p>
    <w:p w14:paraId="394CC174" w14:textId="19B1688C" w:rsidR="00B24D98" w:rsidRPr="0031013D" w:rsidRDefault="00F63EC4" w:rsidP="00F63EC4">
      <w:pPr>
        <w:pStyle w:val="Heading1"/>
        <w:rPr>
          <w:lang w:val="en-US"/>
        </w:rPr>
      </w:pPr>
      <w:bookmarkStart w:id="5" w:name="_Toc242029038"/>
      <w:r w:rsidRPr="0031013D">
        <w:rPr>
          <w:lang w:val="en-US"/>
        </w:rPr>
        <w:lastRenderedPageBreak/>
        <w:t>References</w:t>
      </w:r>
      <w:bookmarkEnd w:id="5"/>
    </w:p>
    <w:p w14:paraId="6A5BF2F9" w14:textId="49F21300" w:rsidR="00CB78EE" w:rsidRPr="0031013D" w:rsidRDefault="00CB78EE" w:rsidP="00F63EC4">
      <w:pPr>
        <w:rPr>
          <w:lang w:val="en-US"/>
        </w:rPr>
      </w:pPr>
      <w:r w:rsidRPr="0031013D">
        <w:rPr>
          <w:lang w:val="en-US"/>
        </w:rPr>
        <w:t xml:space="preserve">(NHS, 2025a). </w:t>
      </w:r>
      <w:r w:rsidR="0031013D">
        <w:rPr>
          <w:lang w:val="en-US"/>
        </w:rPr>
        <w:t>NHS application</w:t>
      </w:r>
      <w:r w:rsidRPr="0031013D">
        <w:rPr>
          <w:lang w:val="en-US"/>
        </w:rPr>
        <w:t>. Available at: https://www.england.nhs.uk/long-read/nhs-app/?utm (Accessed on: 04 October 2026)</w:t>
      </w:r>
    </w:p>
    <w:p w14:paraId="64852F0B" w14:textId="4A96103E" w:rsidR="00CB78EE" w:rsidRPr="0031013D" w:rsidRDefault="00CB78EE" w:rsidP="00F63EC4">
      <w:pPr>
        <w:rPr>
          <w:lang w:val="en-US"/>
        </w:rPr>
      </w:pPr>
      <w:r w:rsidRPr="0031013D">
        <w:rPr>
          <w:lang w:val="en-US"/>
        </w:rPr>
        <w:t xml:space="preserve">(NHS, 2025b). </w:t>
      </w:r>
      <w:r w:rsidR="0031013D">
        <w:rPr>
          <w:lang w:val="en-US"/>
        </w:rPr>
        <w:t>NHS application</w:t>
      </w:r>
      <w:r w:rsidRPr="0031013D">
        <w:rPr>
          <w:lang w:val="en-US"/>
        </w:rPr>
        <w:t>’s family access feature “as simple as switching Netflix profiles”. Available at: https://www.england.nhs.uk/2025/09/nhs-apps-family-access-feature-as-simple-as-switching-netflix-profiles/?utm (Accessed on: 04 October 2026)</w:t>
      </w:r>
    </w:p>
    <w:p w14:paraId="646AAB1C" w14:textId="07314DAA" w:rsidR="00CB78EE" w:rsidRPr="0031013D" w:rsidRDefault="00CB78EE" w:rsidP="00F63EC4">
      <w:pPr>
        <w:rPr>
          <w:lang w:val="en-US"/>
        </w:rPr>
      </w:pPr>
      <w:r w:rsidRPr="0031013D">
        <w:rPr>
          <w:lang w:val="en-US"/>
        </w:rPr>
        <w:t xml:space="preserve">(NHS, 2025c). Record numbers using </w:t>
      </w:r>
      <w:r w:rsidR="0031013D">
        <w:rPr>
          <w:lang w:val="en-US"/>
        </w:rPr>
        <w:t>NHS application</w:t>
      </w:r>
      <w:r w:rsidRPr="0031013D">
        <w:rPr>
          <w:lang w:val="en-US"/>
        </w:rPr>
        <w:t xml:space="preserve"> to manage health. Available at: https://www.england.nhs.uk/2025/12/record-numbers-using-nhs-app-to-manage-health/?utm (Accessed on: 04 October 2026)</w:t>
      </w:r>
    </w:p>
    <w:p w14:paraId="6B334383" w14:textId="77777777" w:rsidR="00CB78EE" w:rsidRPr="0031013D" w:rsidRDefault="00CB78EE" w:rsidP="00F63EC4">
      <w:pPr>
        <w:rPr>
          <w:lang w:val="en-US"/>
        </w:rPr>
      </w:pPr>
      <w:r w:rsidRPr="0031013D">
        <w:t xml:space="preserve">Alturkistani, A., Greenfield, G., Beaney, T., Norton, J. and Costelloe, C.E., (2023). Cross-sectional analyses of online appointment booking and repeat prescription ordering user characteristics in general practices of England in the years 2018–2020. </w:t>
      </w:r>
      <w:r w:rsidRPr="0031013D">
        <w:rPr>
          <w:i/>
          <w:iCs/>
        </w:rPr>
        <w:t>BMJ open</w:t>
      </w:r>
      <w:r w:rsidRPr="0031013D">
        <w:t xml:space="preserve">, </w:t>
      </w:r>
      <w:r w:rsidRPr="0031013D">
        <w:rPr>
          <w:i/>
          <w:iCs/>
        </w:rPr>
        <w:t>13</w:t>
      </w:r>
      <w:r w:rsidRPr="0031013D">
        <w:t>(10), p.e068627.</w:t>
      </w:r>
    </w:p>
    <w:p w14:paraId="28B1D979" w14:textId="77777777" w:rsidR="00CB78EE" w:rsidRPr="0031013D" w:rsidRDefault="00CB78EE" w:rsidP="00F63EC4">
      <w:pPr>
        <w:rPr>
          <w:lang w:val="en-US"/>
        </w:rPr>
      </w:pPr>
      <w:proofErr w:type="spellStart"/>
      <w:r w:rsidRPr="0031013D">
        <w:t>Bartholmae</w:t>
      </w:r>
      <w:proofErr w:type="spellEnd"/>
      <w:r w:rsidRPr="0031013D">
        <w:t xml:space="preserve">, M.M., Karpov, M.V., Dod, R.D. and Dodani, S., 2023. </w:t>
      </w:r>
      <w:proofErr w:type="spellStart"/>
      <w:r w:rsidRPr="0031013D">
        <w:t>SilverCloud</w:t>
      </w:r>
      <w:proofErr w:type="spellEnd"/>
      <w:r w:rsidRPr="0031013D">
        <w:t xml:space="preserve"> mental health feasibility study: who will it benefit the most?. </w:t>
      </w:r>
      <w:r w:rsidRPr="0031013D">
        <w:rPr>
          <w:i/>
          <w:iCs/>
        </w:rPr>
        <w:t>Archives of Medical Science: AMS</w:t>
      </w:r>
      <w:r w:rsidRPr="0031013D">
        <w:t xml:space="preserve">, </w:t>
      </w:r>
      <w:r w:rsidRPr="0031013D">
        <w:rPr>
          <w:i/>
          <w:iCs/>
        </w:rPr>
        <w:t>19</w:t>
      </w:r>
      <w:r w:rsidRPr="0031013D">
        <w:t xml:space="preserve">(5), p.1576 </w:t>
      </w:r>
      <w:r w:rsidRPr="0031013D">
        <w:rPr>
          <w:lang w:val="en-US"/>
        </w:rPr>
        <w:t>(Accessed on: 04 October 2026)</w:t>
      </w:r>
      <w:r w:rsidRPr="0031013D">
        <w:t>.</w:t>
      </w:r>
    </w:p>
    <w:p w14:paraId="49F0CB8D" w14:textId="77777777" w:rsidR="00CB78EE" w:rsidRPr="0031013D" w:rsidRDefault="00CB78EE" w:rsidP="00F63EC4">
      <w:pPr>
        <w:rPr>
          <w:lang w:val="en-US"/>
        </w:rPr>
      </w:pPr>
      <w:proofErr w:type="spellStart"/>
      <w:r w:rsidRPr="0031013D">
        <w:t>Dheensa</w:t>
      </w:r>
      <w:proofErr w:type="spellEnd"/>
      <w:r w:rsidRPr="0031013D">
        <w:t xml:space="preserve">, S. and Feder, G., (2022). Sharing information about domestic violence and abuse in healthcare: an analysis of English guidance and recommendations for good practice. </w:t>
      </w:r>
      <w:r w:rsidRPr="0031013D">
        <w:rPr>
          <w:i/>
          <w:iCs/>
        </w:rPr>
        <w:t>BMJ open</w:t>
      </w:r>
      <w:r w:rsidRPr="0031013D">
        <w:t xml:space="preserve">, </w:t>
      </w:r>
      <w:r w:rsidRPr="0031013D">
        <w:rPr>
          <w:i/>
          <w:iCs/>
        </w:rPr>
        <w:t>12</w:t>
      </w:r>
      <w:r w:rsidRPr="0031013D">
        <w:t>(6), p.e057022.</w:t>
      </w:r>
    </w:p>
    <w:p w14:paraId="35BDBCD6" w14:textId="77777777" w:rsidR="00CB78EE" w:rsidRPr="0031013D" w:rsidRDefault="00CB78EE" w:rsidP="00F63EC4">
      <w:pPr>
        <w:rPr>
          <w:lang w:val="en-US"/>
        </w:rPr>
      </w:pPr>
      <w:r w:rsidRPr="0031013D">
        <w:t xml:space="preserve">Kohrt, B.A., </w:t>
      </w:r>
      <w:proofErr w:type="spellStart"/>
      <w:r w:rsidRPr="0031013D">
        <w:t>Ojagbemi</w:t>
      </w:r>
      <w:proofErr w:type="spellEnd"/>
      <w:r w:rsidRPr="0031013D">
        <w:t xml:space="preserve">, A., Luitel, N.P., Bakolis, I., Bello, T., McCrone, P., Taylor Salisbury, T., Jordans, M.J., Votruba, N., Carswell, K. and Green, E., (2025). An app-based WHO mental health guide for depression detection: A cluster randomized clinical trial. </w:t>
      </w:r>
      <w:r w:rsidRPr="0031013D">
        <w:rPr>
          <w:i/>
          <w:iCs/>
        </w:rPr>
        <w:t>JAMA network open</w:t>
      </w:r>
      <w:r w:rsidRPr="0031013D">
        <w:t xml:space="preserve">, </w:t>
      </w:r>
      <w:r w:rsidRPr="0031013D">
        <w:rPr>
          <w:i/>
          <w:iCs/>
        </w:rPr>
        <w:t>8</w:t>
      </w:r>
      <w:r w:rsidRPr="0031013D">
        <w:t>(5), p.e2512064.</w:t>
      </w:r>
    </w:p>
    <w:p w14:paraId="4B0224B3" w14:textId="227E0E78" w:rsidR="00CB78EE" w:rsidRPr="0031013D" w:rsidRDefault="00CB78EE" w:rsidP="00F63EC4">
      <w:pPr>
        <w:rPr>
          <w:lang w:val="en-US"/>
        </w:rPr>
      </w:pPr>
      <w:r w:rsidRPr="0031013D">
        <w:rPr>
          <w:lang w:val="en-US"/>
        </w:rPr>
        <w:t xml:space="preserve">NHS, (2026). Hospital patients can now check appointments in the </w:t>
      </w:r>
      <w:r w:rsidR="0031013D">
        <w:rPr>
          <w:lang w:val="en-US"/>
        </w:rPr>
        <w:t>NHS application</w:t>
      </w:r>
      <w:r w:rsidRPr="0031013D">
        <w:rPr>
          <w:lang w:val="en-US"/>
        </w:rPr>
        <w:t>. Available at: https://www.england.nhs.uk/2026/04/hospital-patients-can-now-check-appointments-in-the-nhs-app/?utm (Accessed on: 04 October 2026)</w:t>
      </w:r>
    </w:p>
    <w:p w14:paraId="2C46C164" w14:textId="1D86324C" w:rsidR="00CB78EE" w:rsidRPr="0031013D" w:rsidRDefault="00CB78EE" w:rsidP="00F63EC4">
      <w:pPr>
        <w:rPr>
          <w:lang w:val="en-US"/>
        </w:rPr>
      </w:pPr>
      <w:r w:rsidRPr="0031013D">
        <w:rPr>
          <w:lang w:val="en-US"/>
        </w:rPr>
        <w:t xml:space="preserve">NHS, (2024). Digital prescriptions go live in </w:t>
      </w:r>
      <w:r w:rsidR="0031013D">
        <w:rPr>
          <w:lang w:val="en-US"/>
        </w:rPr>
        <w:t>NHS application</w:t>
      </w:r>
      <w:r w:rsidRPr="0031013D">
        <w:rPr>
          <w:lang w:val="en-US"/>
        </w:rPr>
        <w:t>. Available at: https://www.england.nhs.uk/2024/01/digital-prescriptions-go-live-in-nhs-app/?utm (Accessed on: 04 October 2026)</w:t>
      </w:r>
    </w:p>
    <w:p w14:paraId="3175F56B" w14:textId="77777777" w:rsidR="00CB78EE" w:rsidRPr="0031013D" w:rsidRDefault="00CB78EE" w:rsidP="00F63EC4">
      <w:pPr>
        <w:rPr>
          <w:lang w:val="en-US"/>
        </w:rPr>
      </w:pPr>
      <w:r w:rsidRPr="0031013D">
        <w:rPr>
          <w:lang w:val="en-US"/>
        </w:rPr>
        <w:lastRenderedPageBreak/>
        <w:t>NHS, (2024a). Online access to new GP health record information. Available at: https://www.england.nhs.uk/long-read/online-access-to-new-gp-health-record-information/?utm (Accessed on: 04 October 2026)</w:t>
      </w:r>
    </w:p>
    <w:p w14:paraId="1554C66B" w14:textId="77777777" w:rsidR="00CB78EE" w:rsidRPr="0031013D" w:rsidRDefault="00CB78EE" w:rsidP="00F63EC4">
      <w:pPr>
        <w:rPr>
          <w:lang w:val="en-US"/>
        </w:rPr>
      </w:pPr>
      <w:r w:rsidRPr="0031013D">
        <w:rPr>
          <w:lang w:val="en-US"/>
        </w:rPr>
        <w:t>NHS, (2025). Performance report. Available at: https://www.england.nhs.uk/long-read/performance-report-24-25/?utm (Accessed on: 04 October 2026)</w:t>
      </w:r>
    </w:p>
    <w:p w14:paraId="704CA15A" w14:textId="77777777" w:rsidR="00CB78EE" w:rsidRPr="0031013D" w:rsidRDefault="00CB78EE" w:rsidP="00F63EC4">
      <w:pPr>
        <w:rPr>
          <w:lang w:val="en-US"/>
        </w:rPr>
      </w:pPr>
      <w:r w:rsidRPr="0031013D">
        <w:rPr>
          <w:lang w:val="en-US"/>
        </w:rPr>
        <w:t>NHS, (2022). Creating a highly usable and accessible GP website for patients. Available at: https://www.england.nhs.uk/long-read/creating-a-highly-usable-and-accessible-gp-website-for-patients/?utm (Accessed on: 04 October 2026)</w:t>
      </w:r>
    </w:p>
    <w:p w14:paraId="46D6F986" w14:textId="77777777" w:rsidR="00CB78EE" w:rsidRPr="0031013D" w:rsidRDefault="00CB78EE" w:rsidP="00F63EC4">
      <w:pPr>
        <w:rPr>
          <w:lang w:val="en-US"/>
        </w:rPr>
      </w:pPr>
      <w:r w:rsidRPr="0031013D">
        <w:rPr>
          <w:lang w:val="en-US"/>
        </w:rPr>
        <w:t>NHS, (2023). Digital accessibility standards. Available at: https://www.england.nhs.uk/long-read/digital-accessibility/?utm (Accessed on: 04 October 2026)</w:t>
      </w:r>
    </w:p>
    <w:p w14:paraId="402F5F06" w14:textId="77777777" w:rsidR="00CB78EE" w:rsidRPr="0031013D" w:rsidRDefault="00CB78EE" w:rsidP="00F63EC4">
      <w:pPr>
        <w:rPr>
          <w:lang w:val="en-US"/>
        </w:rPr>
      </w:pPr>
      <w:r w:rsidRPr="0031013D">
        <w:rPr>
          <w:lang w:val="en-US"/>
        </w:rPr>
        <w:t>NHS, (2026a). Quality strategy for NHS-funded care in England. Available at: https://www.england.nhs.uk/long-read/quality-strategy-for-nhs-funded-care-in-england/?utm (Accessed on: 04 October 2026)</w:t>
      </w:r>
    </w:p>
    <w:p w14:paraId="745D3EBF" w14:textId="156ABBB4" w:rsidR="00CB78EE" w:rsidRPr="0031013D" w:rsidRDefault="00CB78EE" w:rsidP="00F63EC4">
      <w:pPr>
        <w:rPr>
          <w:lang w:val="en-US"/>
        </w:rPr>
      </w:pPr>
      <w:r w:rsidRPr="0031013D">
        <w:rPr>
          <w:lang w:val="en-US"/>
        </w:rPr>
        <w:t xml:space="preserve">NHS, (2025d). New family feature for </w:t>
      </w:r>
      <w:r w:rsidR="0031013D">
        <w:rPr>
          <w:lang w:val="en-US"/>
        </w:rPr>
        <w:t>NHS application</w:t>
      </w:r>
      <w:r w:rsidRPr="0031013D">
        <w:rPr>
          <w:lang w:val="en-US"/>
        </w:rPr>
        <w:t>. Available at: https://www.healthbusinessuk.net/news/29092025/new-family-feature-nhs-app (Accessed on: 04 October 2026)</w:t>
      </w:r>
    </w:p>
    <w:p w14:paraId="383D0FDC" w14:textId="77777777" w:rsidR="00CB78EE" w:rsidRPr="0031013D" w:rsidRDefault="00CB78EE" w:rsidP="00F63EC4">
      <w:pPr>
        <w:rPr>
          <w:lang w:val="en-US"/>
        </w:rPr>
      </w:pPr>
      <w:r w:rsidRPr="0031013D">
        <w:rPr>
          <w:lang w:val="en-US"/>
        </w:rPr>
        <w:t>NHS, (2026a). Health Survey for England, 2024. Available at: https://digital.nhs.uk/data-and-information/publications/statistical/health-survey-for-england/2024/social-care-receipt (Accessed on: 04 October 2026)</w:t>
      </w:r>
    </w:p>
    <w:p w14:paraId="1996491C" w14:textId="77777777" w:rsidR="00CB78EE" w:rsidRPr="0031013D" w:rsidRDefault="00CB78EE" w:rsidP="00F63EC4">
      <w:pPr>
        <w:rPr>
          <w:lang w:val="en-US"/>
        </w:rPr>
      </w:pPr>
      <w:r w:rsidRPr="0031013D">
        <w:rPr>
          <w:lang w:val="en-US"/>
        </w:rPr>
        <w:t>Richards, D., (2022). Acceptability, satisfaction and perceived efficacy of “Space from Depression” an internet-delivered treatment for depression. https://pmc.ncbi.nlm.nih.gov/articles/PMC6096253/?utm (Accessed on: 04 October 2026)</w:t>
      </w:r>
    </w:p>
    <w:p w14:paraId="357F7703" w14:textId="77777777" w:rsidR="00CB78EE" w:rsidRPr="0031013D" w:rsidRDefault="00CB78EE" w:rsidP="00F63EC4">
      <w:pPr>
        <w:rPr>
          <w:lang w:val="en-US"/>
        </w:rPr>
      </w:pPr>
      <w:r w:rsidRPr="0031013D">
        <w:rPr>
          <w:lang w:val="en-US"/>
        </w:rPr>
        <w:t>Ryan, S., Wallace, L., Tilley, E., Tuffrey-Wijne, I., Mikulak, M., Anderson, R., Vaid, A., Bebbington, P., Keagan-Bull, R., Morrissey, E. and Martin, A., (2024). Improving support and planning ahead for older people with learning disabilities and family carers: a mixed-methods study. Health and social care delivery research, 12(16), pp.1-161.</w:t>
      </w:r>
    </w:p>
    <w:p w14:paraId="76057EA3" w14:textId="77777777" w:rsidR="00CB78EE" w:rsidRPr="0031013D" w:rsidRDefault="00CB78EE" w:rsidP="00F63EC4">
      <w:pPr>
        <w:rPr>
          <w:lang w:val="en-US"/>
        </w:rPr>
      </w:pPr>
      <w:r w:rsidRPr="0031013D">
        <w:t xml:space="preserve">Snelling, P. and Quick, O., (2022). Confidentiality and public interest disclosure: A framework to evaluate UK healthcare professional regulatory guidance. </w:t>
      </w:r>
      <w:r w:rsidRPr="0031013D">
        <w:rPr>
          <w:i/>
          <w:iCs/>
        </w:rPr>
        <w:t>Medical Law International</w:t>
      </w:r>
      <w:r w:rsidRPr="0031013D">
        <w:t xml:space="preserve">, </w:t>
      </w:r>
      <w:r w:rsidRPr="0031013D">
        <w:rPr>
          <w:i/>
          <w:iCs/>
        </w:rPr>
        <w:t>22</w:t>
      </w:r>
      <w:r w:rsidRPr="0031013D">
        <w:t>(1), pp.3-32.</w:t>
      </w:r>
    </w:p>
    <w:p w14:paraId="4BD8172B" w14:textId="77777777" w:rsidR="00CB78EE" w:rsidRPr="0031013D" w:rsidRDefault="00CB78EE" w:rsidP="00F63EC4">
      <w:r w:rsidRPr="0031013D">
        <w:lastRenderedPageBreak/>
        <w:t xml:space="preserve">Xing, K., Wen, J., Xing, D. and Liang, B., (2026). Digital first primary care in NHS England: evaluating alignment with patient-centered care and implications for future practice. </w:t>
      </w:r>
      <w:r w:rsidRPr="0031013D">
        <w:rPr>
          <w:i/>
          <w:iCs/>
        </w:rPr>
        <w:t>Frontiers in Digital Health</w:t>
      </w:r>
      <w:r w:rsidRPr="0031013D">
        <w:t xml:space="preserve">, </w:t>
      </w:r>
      <w:r w:rsidRPr="0031013D">
        <w:rPr>
          <w:i/>
          <w:iCs/>
        </w:rPr>
        <w:t>8</w:t>
      </w:r>
      <w:r w:rsidRPr="0031013D">
        <w:t>, p.1723805.</w:t>
      </w:r>
    </w:p>
    <w:sectPr w:rsidR="00CB78EE" w:rsidRPr="0031013D" w:rsidSect="00B24D9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989ED" w14:textId="77777777" w:rsidR="004E1361" w:rsidRDefault="004E1361" w:rsidP="00B24D98">
      <w:pPr>
        <w:spacing w:after="0" w:line="240" w:lineRule="auto"/>
      </w:pPr>
      <w:r>
        <w:separator/>
      </w:r>
    </w:p>
  </w:endnote>
  <w:endnote w:type="continuationSeparator" w:id="0">
    <w:p w14:paraId="77BED102" w14:textId="77777777" w:rsidR="004E1361" w:rsidRDefault="004E1361" w:rsidP="00B24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0443478"/>
      <w:docPartObj>
        <w:docPartGallery w:val="Page Numbers (Bottom of Page)"/>
        <w:docPartUnique/>
      </w:docPartObj>
    </w:sdtPr>
    <w:sdtContent>
      <w:sdt>
        <w:sdtPr>
          <w:id w:val="-1769616900"/>
          <w:docPartObj>
            <w:docPartGallery w:val="Page Numbers (Top of Page)"/>
            <w:docPartUnique/>
          </w:docPartObj>
        </w:sdtPr>
        <w:sdtContent>
          <w:p w14:paraId="56DABC20" w14:textId="0474D28A" w:rsidR="00B24D98" w:rsidRDefault="00B24D9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5F2D65D2" w14:textId="77777777" w:rsidR="00B24D98" w:rsidRDefault="00B24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3F47D3" w14:textId="77777777" w:rsidR="004E1361" w:rsidRDefault="004E1361" w:rsidP="00B24D98">
      <w:pPr>
        <w:spacing w:after="0" w:line="240" w:lineRule="auto"/>
      </w:pPr>
      <w:r>
        <w:separator/>
      </w:r>
    </w:p>
  </w:footnote>
  <w:footnote w:type="continuationSeparator" w:id="0">
    <w:p w14:paraId="48967F78" w14:textId="77777777" w:rsidR="004E1361" w:rsidRDefault="004E1361" w:rsidP="00B24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F777BC"/>
    <w:multiLevelType w:val="hybridMultilevel"/>
    <w:tmpl w:val="ADB8EC6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3517605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127C3"/>
    <w:rsid w:val="000002B2"/>
    <w:rsid w:val="00000D6B"/>
    <w:rsid w:val="00003411"/>
    <w:rsid w:val="000040F0"/>
    <w:rsid w:val="000067A6"/>
    <w:rsid w:val="00006BB7"/>
    <w:rsid w:val="00010A42"/>
    <w:rsid w:val="00010F65"/>
    <w:rsid w:val="00013341"/>
    <w:rsid w:val="000141CE"/>
    <w:rsid w:val="00016199"/>
    <w:rsid w:val="000168A4"/>
    <w:rsid w:val="00017358"/>
    <w:rsid w:val="00021742"/>
    <w:rsid w:val="0002292A"/>
    <w:rsid w:val="00022E3F"/>
    <w:rsid w:val="00025976"/>
    <w:rsid w:val="0002717F"/>
    <w:rsid w:val="00032E46"/>
    <w:rsid w:val="000335CD"/>
    <w:rsid w:val="00034C5D"/>
    <w:rsid w:val="00035583"/>
    <w:rsid w:val="0003766F"/>
    <w:rsid w:val="0004009C"/>
    <w:rsid w:val="00045CB3"/>
    <w:rsid w:val="00046F3A"/>
    <w:rsid w:val="00051B3B"/>
    <w:rsid w:val="00052252"/>
    <w:rsid w:val="00054168"/>
    <w:rsid w:val="00055BA5"/>
    <w:rsid w:val="00061A60"/>
    <w:rsid w:val="0006238E"/>
    <w:rsid w:val="0006483D"/>
    <w:rsid w:val="00065B65"/>
    <w:rsid w:val="0006667E"/>
    <w:rsid w:val="00066E78"/>
    <w:rsid w:val="0006768E"/>
    <w:rsid w:val="000678C5"/>
    <w:rsid w:val="00071B63"/>
    <w:rsid w:val="00072087"/>
    <w:rsid w:val="00073447"/>
    <w:rsid w:val="00073AF8"/>
    <w:rsid w:val="000741BA"/>
    <w:rsid w:val="0007642E"/>
    <w:rsid w:val="000771AC"/>
    <w:rsid w:val="000843A0"/>
    <w:rsid w:val="000846BF"/>
    <w:rsid w:val="00085129"/>
    <w:rsid w:val="00085F82"/>
    <w:rsid w:val="000872CC"/>
    <w:rsid w:val="00087AE1"/>
    <w:rsid w:val="000904BA"/>
    <w:rsid w:val="0009059D"/>
    <w:rsid w:val="0009130D"/>
    <w:rsid w:val="00091348"/>
    <w:rsid w:val="00092C73"/>
    <w:rsid w:val="000941FF"/>
    <w:rsid w:val="00094BC2"/>
    <w:rsid w:val="00096255"/>
    <w:rsid w:val="00096D5A"/>
    <w:rsid w:val="000A191F"/>
    <w:rsid w:val="000A1F9B"/>
    <w:rsid w:val="000A49A1"/>
    <w:rsid w:val="000A53CC"/>
    <w:rsid w:val="000B35CE"/>
    <w:rsid w:val="000B368A"/>
    <w:rsid w:val="000B42B1"/>
    <w:rsid w:val="000B7771"/>
    <w:rsid w:val="000C2117"/>
    <w:rsid w:val="000C3485"/>
    <w:rsid w:val="000C43F6"/>
    <w:rsid w:val="000C684F"/>
    <w:rsid w:val="000D0D61"/>
    <w:rsid w:val="000D1C77"/>
    <w:rsid w:val="000D257C"/>
    <w:rsid w:val="000D3285"/>
    <w:rsid w:val="000D4A47"/>
    <w:rsid w:val="000D4AC8"/>
    <w:rsid w:val="000D5482"/>
    <w:rsid w:val="000E58FD"/>
    <w:rsid w:val="000E71F6"/>
    <w:rsid w:val="000F3F52"/>
    <w:rsid w:val="000F4338"/>
    <w:rsid w:val="000F5536"/>
    <w:rsid w:val="000F5D2B"/>
    <w:rsid w:val="000F709B"/>
    <w:rsid w:val="00102063"/>
    <w:rsid w:val="00103322"/>
    <w:rsid w:val="0010368B"/>
    <w:rsid w:val="001043C9"/>
    <w:rsid w:val="001111B4"/>
    <w:rsid w:val="001127C3"/>
    <w:rsid w:val="00117400"/>
    <w:rsid w:val="0011754B"/>
    <w:rsid w:val="00117BC3"/>
    <w:rsid w:val="00125C6C"/>
    <w:rsid w:val="001265B1"/>
    <w:rsid w:val="00127F26"/>
    <w:rsid w:val="001306D3"/>
    <w:rsid w:val="00130C90"/>
    <w:rsid w:val="001319A3"/>
    <w:rsid w:val="00131E3A"/>
    <w:rsid w:val="00141139"/>
    <w:rsid w:val="001424EC"/>
    <w:rsid w:val="001442DF"/>
    <w:rsid w:val="00145D88"/>
    <w:rsid w:val="0014636D"/>
    <w:rsid w:val="00146D5C"/>
    <w:rsid w:val="00151A85"/>
    <w:rsid w:val="001526FA"/>
    <w:rsid w:val="001534CA"/>
    <w:rsid w:val="00153FCA"/>
    <w:rsid w:val="00157756"/>
    <w:rsid w:val="00162344"/>
    <w:rsid w:val="00164C1B"/>
    <w:rsid w:val="0016548A"/>
    <w:rsid w:val="00167431"/>
    <w:rsid w:val="0017008C"/>
    <w:rsid w:val="00171A45"/>
    <w:rsid w:val="00171CC4"/>
    <w:rsid w:val="00172D76"/>
    <w:rsid w:val="00174BFD"/>
    <w:rsid w:val="00175BBF"/>
    <w:rsid w:val="00177061"/>
    <w:rsid w:val="00181FEC"/>
    <w:rsid w:val="0018435B"/>
    <w:rsid w:val="00186512"/>
    <w:rsid w:val="00187F79"/>
    <w:rsid w:val="0019049E"/>
    <w:rsid w:val="00190CFA"/>
    <w:rsid w:val="001916E4"/>
    <w:rsid w:val="0019585F"/>
    <w:rsid w:val="00197F2E"/>
    <w:rsid w:val="001A0BC7"/>
    <w:rsid w:val="001A18C4"/>
    <w:rsid w:val="001B6640"/>
    <w:rsid w:val="001B67FA"/>
    <w:rsid w:val="001C0B3B"/>
    <w:rsid w:val="001C181F"/>
    <w:rsid w:val="001C1C3B"/>
    <w:rsid w:val="001C219A"/>
    <w:rsid w:val="001C2AB8"/>
    <w:rsid w:val="001C32D3"/>
    <w:rsid w:val="001C4083"/>
    <w:rsid w:val="001C67CB"/>
    <w:rsid w:val="001C69EA"/>
    <w:rsid w:val="001C74F9"/>
    <w:rsid w:val="001D01B7"/>
    <w:rsid w:val="001D09D0"/>
    <w:rsid w:val="001D09FD"/>
    <w:rsid w:val="001D4E0B"/>
    <w:rsid w:val="001D65B7"/>
    <w:rsid w:val="001D7D11"/>
    <w:rsid w:val="001E16BC"/>
    <w:rsid w:val="001E23FC"/>
    <w:rsid w:val="001E4926"/>
    <w:rsid w:val="001E543B"/>
    <w:rsid w:val="001E54CC"/>
    <w:rsid w:val="001E6486"/>
    <w:rsid w:val="001E6A0A"/>
    <w:rsid w:val="001F2162"/>
    <w:rsid w:val="001F552F"/>
    <w:rsid w:val="001F61A9"/>
    <w:rsid w:val="001F641D"/>
    <w:rsid w:val="001F6CC7"/>
    <w:rsid w:val="0020109F"/>
    <w:rsid w:val="00212003"/>
    <w:rsid w:val="0021239D"/>
    <w:rsid w:val="002124E8"/>
    <w:rsid w:val="00215E33"/>
    <w:rsid w:val="00223AA6"/>
    <w:rsid w:val="00225B03"/>
    <w:rsid w:val="00226A4C"/>
    <w:rsid w:val="0023024C"/>
    <w:rsid w:val="002305EE"/>
    <w:rsid w:val="00234088"/>
    <w:rsid w:val="00234339"/>
    <w:rsid w:val="002349B5"/>
    <w:rsid w:val="002421F3"/>
    <w:rsid w:val="00244640"/>
    <w:rsid w:val="00247992"/>
    <w:rsid w:val="00252D8E"/>
    <w:rsid w:val="00253F4B"/>
    <w:rsid w:val="00263D95"/>
    <w:rsid w:val="00263F1A"/>
    <w:rsid w:val="00264267"/>
    <w:rsid w:val="00264CE7"/>
    <w:rsid w:val="00264F39"/>
    <w:rsid w:val="00265483"/>
    <w:rsid w:val="002667FC"/>
    <w:rsid w:val="00266DB6"/>
    <w:rsid w:val="00274F36"/>
    <w:rsid w:val="00276DD2"/>
    <w:rsid w:val="00276E1F"/>
    <w:rsid w:val="00280C59"/>
    <w:rsid w:val="0028174D"/>
    <w:rsid w:val="002825D9"/>
    <w:rsid w:val="00282DEA"/>
    <w:rsid w:val="00285195"/>
    <w:rsid w:val="002860EA"/>
    <w:rsid w:val="00287988"/>
    <w:rsid w:val="00291803"/>
    <w:rsid w:val="00293974"/>
    <w:rsid w:val="002953AB"/>
    <w:rsid w:val="00295A41"/>
    <w:rsid w:val="00295AEA"/>
    <w:rsid w:val="00297B8D"/>
    <w:rsid w:val="00297E8A"/>
    <w:rsid w:val="00297EB1"/>
    <w:rsid w:val="002A0618"/>
    <w:rsid w:val="002A14A1"/>
    <w:rsid w:val="002A2D77"/>
    <w:rsid w:val="002A389C"/>
    <w:rsid w:val="002A3C41"/>
    <w:rsid w:val="002A4016"/>
    <w:rsid w:val="002B07BB"/>
    <w:rsid w:val="002B1FEF"/>
    <w:rsid w:val="002B2151"/>
    <w:rsid w:val="002B2E81"/>
    <w:rsid w:val="002B3E4F"/>
    <w:rsid w:val="002B5809"/>
    <w:rsid w:val="002B6C5A"/>
    <w:rsid w:val="002B7226"/>
    <w:rsid w:val="002C1899"/>
    <w:rsid w:val="002C2E15"/>
    <w:rsid w:val="002C5C4A"/>
    <w:rsid w:val="002C5CD0"/>
    <w:rsid w:val="002D14A5"/>
    <w:rsid w:val="002D1A6E"/>
    <w:rsid w:val="002D23B5"/>
    <w:rsid w:val="002D56A6"/>
    <w:rsid w:val="002D6B30"/>
    <w:rsid w:val="002D784C"/>
    <w:rsid w:val="002E0F13"/>
    <w:rsid w:val="002E2395"/>
    <w:rsid w:val="002E2399"/>
    <w:rsid w:val="002F522D"/>
    <w:rsid w:val="002F709E"/>
    <w:rsid w:val="00302DE1"/>
    <w:rsid w:val="0030688E"/>
    <w:rsid w:val="00306D5E"/>
    <w:rsid w:val="00307EAF"/>
    <w:rsid w:val="0031013D"/>
    <w:rsid w:val="00310BAB"/>
    <w:rsid w:val="00310D4E"/>
    <w:rsid w:val="003136C0"/>
    <w:rsid w:val="0031461C"/>
    <w:rsid w:val="00314F0C"/>
    <w:rsid w:val="0031538B"/>
    <w:rsid w:val="003154F8"/>
    <w:rsid w:val="00324D02"/>
    <w:rsid w:val="00325412"/>
    <w:rsid w:val="0032645C"/>
    <w:rsid w:val="003273BF"/>
    <w:rsid w:val="00332667"/>
    <w:rsid w:val="0033273D"/>
    <w:rsid w:val="003329DB"/>
    <w:rsid w:val="00333274"/>
    <w:rsid w:val="0033383E"/>
    <w:rsid w:val="003347DE"/>
    <w:rsid w:val="00334F8D"/>
    <w:rsid w:val="00336935"/>
    <w:rsid w:val="00337919"/>
    <w:rsid w:val="00340513"/>
    <w:rsid w:val="0034395D"/>
    <w:rsid w:val="00344EA2"/>
    <w:rsid w:val="00346341"/>
    <w:rsid w:val="003473A3"/>
    <w:rsid w:val="00347A7E"/>
    <w:rsid w:val="00351D9D"/>
    <w:rsid w:val="00355F42"/>
    <w:rsid w:val="0035649F"/>
    <w:rsid w:val="00360940"/>
    <w:rsid w:val="00364209"/>
    <w:rsid w:val="00367A9D"/>
    <w:rsid w:val="003703EC"/>
    <w:rsid w:val="00372789"/>
    <w:rsid w:val="00374E51"/>
    <w:rsid w:val="003753A9"/>
    <w:rsid w:val="00376126"/>
    <w:rsid w:val="003803D6"/>
    <w:rsid w:val="0038152F"/>
    <w:rsid w:val="00382846"/>
    <w:rsid w:val="0038384A"/>
    <w:rsid w:val="0039059F"/>
    <w:rsid w:val="003A2E2F"/>
    <w:rsid w:val="003A34C0"/>
    <w:rsid w:val="003A3B23"/>
    <w:rsid w:val="003A6A0C"/>
    <w:rsid w:val="003B0058"/>
    <w:rsid w:val="003B0A31"/>
    <w:rsid w:val="003B2608"/>
    <w:rsid w:val="003B4740"/>
    <w:rsid w:val="003B795D"/>
    <w:rsid w:val="003B7C34"/>
    <w:rsid w:val="003C099D"/>
    <w:rsid w:val="003C1FE3"/>
    <w:rsid w:val="003C545D"/>
    <w:rsid w:val="003C552A"/>
    <w:rsid w:val="003C6174"/>
    <w:rsid w:val="003C6BB1"/>
    <w:rsid w:val="003C757F"/>
    <w:rsid w:val="003C7CB7"/>
    <w:rsid w:val="003C7FE0"/>
    <w:rsid w:val="003D3B1E"/>
    <w:rsid w:val="003D3C3B"/>
    <w:rsid w:val="003D74FB"/>
    <w:rsid w:val="003D7D7A"/>
    <w:rsid w:val="003D7D90"/>
    <w:rsid w:val="003E40F4"/>
    <w:rsid w:val="003F3559"/>
    <w:rsid w:val="003F4720"/>
    <w:rsid w:val="003F55DB"/>
    <w:rsid w:val="003F69CD"/>
    <w:rsid w:val="00400258"/>
    <w:rsid w:val="00402F45"/>
    <w:rsid w:val="00405D33"/>
    <w:rsid w:val="00407D52"/>
    <w:rsid w:val="00411257"/>
    <w:rsid w:val="004124D4"/>
    <w:rsid w:val="004125C7"/>
    <w:rsid w:val="004126F7"/>
    <w:rsid w:val="00412802"/>
    <w:rsid w:val="0041579B"/>
    <w:rsid w:val="004236F8"/>
    <w:rsid w:val="00426300"/>
    <w:rsid w:val="00426E8F"/>
    <w:rsid w:val="00427A25"/>
    <w:rsid w:val="00440C70"/>
    <w:rsid w:val="00441503"/>
    <w:rsid w:val="004420DC"/>
    <w:rsid w:val="00445213"/>
    <w:rsid w:val="004544EB"/>
    <w:rsid w:val="004545F3"/>
    <w:rsid w:val="00457DC5"/>
    <w:rsid w:val="00460D7E"/>
    <w:rsid w:val="0046118B"/>
    <w:rsid w:val="00461883"/>
    <w:rsid w:val="0046238E"/>
    <w:rsid w:val="00462CB2"/>
    <w:rsid w:val="00464D39"/>
    <w:rsid w:val="004653F6"/>
    <w:rsid w:val="004700C2"/>
    <w:rsid w:val="00471AB0"/>
    <w:rsid w:val="0047302C"/>
    <w:rsid w:val="00474ED5"/>
    <w:rsid w:val="00476A2B"/>
    <w:rsid w:val="0048155F"/>
    <w:rsid w:val="0048185F"/>
    <w:rsid w:val="00485049"/>
    <w:rsid w:val="00486870"/>
    <w:rsid w:val="00486AEC"/>
    <w:rsid w:val="00492CA7"/>
    <w:rsid w:val="00493637"/>
    <w:rsid w:val="0049384A"/>
    <w:rsid w:val="00494C19"/>
    <w:rsid w:val="004A29E1"/>
    <w:rsid w:val="004A2F29"/>
    <w:rsid w:val="004A426B"/>
    <w:rsid w:val="004A63F4"/>
    <w:rsid w:val="004A797E"/>
    <w:rsid w:val="004B0CFE"/>
    <w:rsid w:val="004B2733"/>
    <w:rsid w:val="004B2A34"/>
    <w:rsid w:val="004B3F2E"/>
    <w:rsid w:val="004B6ED7"/>
    <w:rsid w:val="004C14A7"/>
    <w:rsid w:val="004C2052"/>
    <w:rsid w:val="004C2F22"/>
    <w:rsid w:val="004C408B"/>
    <w:rsid w:val="004C5496"/>
    <w:rsid w:val="004C652F"/>
    <w:rsid w:val="004C7045"/>
    <w:rsid w:val="004D040B"/>
    <w:rsid w:val="004D0D10"/>
    <w:rsid w:val="004D2EFC"/>
    <w:rsid w:val="004D5425"/>
    <w:rsid w:val="004E1361"/>
    <w:rsid w:val="004E32FA"/>
    <w:rsid w:val="004E3395"/>
    <w:rsid w:val="004E3A9B"/>
    <w:rsid w:val="004F1013"/>
    <w:rsid w:val="004F10E9"/>
    <w:rsid w:val="004F246C"/>
    <w:rsid w:val="004F2AFC"/>
    <w:rsid w:val="004F3149"/>
    <w:rsid w:val="004F4DDB"/>
    <w:rsid w:val="004F5AB4"/>
    <w:rsid w:val="004F5F02"/>
    <w:rsid w:val="004F6845"/>
    <w:rsid w:val="004F779E"/>
    <w:rsid w:val="00500152"/>
    <w:rsid w:val="005026FB"/>
    <w:rsid w:val="0050282A"/>
    <w:rsid w:val="005045DC"/>
    <w:rsid w:val="0050558C"/>
    <w:rsid w:val="00506D91"/>
    <w:rsid w:val="0050754A"/>
    <w:rsid w:val="0051023D"/>
    <w:rsid w:val="005106F7"/>
    <w:rsid w:val="00510CB9"/>
    <w:rsid w:val="00513D50"/>
    <w:rsid w:val="00514771"/>
    <w:rsid w:val="00517824"/>
    <w:rsid w:val="00517F3A"/>
    <w:rsid w:val="00523799"/>
    <w:rsid w:val="005249E0"/>
    <w:rsid w:val="0052697B"/>
    <w:rsid w:val="005321E5"/>
    <w:rsid w:val="00532682"/>
    <w:rsid w:val="005326C4"/>
    <w:rsid w:val="00533222"/>
    <w:rsid w:val="0053764B"/>
    <w:rsid w:val="00541796"/>
    <w:rsid w:val="00543347"/>
    <w:rsid w:val="00544675"/>
    <w:rsid w:val="00551708"/>
    <w:rsid w:val="005526BF"/>
    <w:rsid w:val="00553338"/>
    <w:rsid w:val="005558A6"/>
    <w:rsid w:val="00556EE5"/>
    <w:rsid w:val="00557249"/>
    <w:rsid w:val="00557693"/>
    <w:rsid w:val="005616DC"/>
    <w:rsid w:val="00561C48"/>
    <w:rsid w:val="0056268D"/>
    <w:rsid w:val="005629B7"/>
    <w:rsid w:val="0057193E"/>
    <w:rsid w:val="005727F1"/>
    <w:rsid w:val="0057431D"/>
    <w:rsid w:val="0057456F"/>
    <w:rsid w:val="0057490D"/>
    <w:rsid w:val="00575D37"/>
    <w:rsid w:val="00576D50"/>
    <w:rsid w:val="00577530"/>
    <w:rsid w:val="00577F5B"/>
    <w:rsid w:val="00580B3F"/>
    <w:rsid w:val="00581E0D"/>
    <w:rsid w:val="005848BA"/>
    <w:rsid w:val="00585C58"/>
    <w:rsid w:val="0058644C"/>
    <w:rsid w:val="00586898"/>
    <w:rsid w:val="0059044C"/>
    <w:rsid w:val="00590E1B"/>
    <w:rsid w:val="00592561"/>
    <w:rsid w:val="00595613"/>
    <w:rsid w:val="005959E3"/>
    <w:rsid w:val="005A3EEF"/>
    <w:rsid w:val="005A421E"/>
    <w:rsid w:val="005A47C9"/>
    <w:rsid w:val="005A4D40"/>
    <w:rsid w:val="005A613E"/>
    <w:rsid w:val="005A74B7"/>
    <w:rsid w:val="005B1595"/>
    <w:rsid w:val="005B2A83"/>
    <w:rsid w:val="005B2F72"/>
    <w:rsid w:val="005B34DB"/>
    <w:rsid w:val="005B3A72"/>
    <w:rsid w:val="005B5F80"/>
    <w:rsid w:val="005C0B22"/>
    <w:rsid w:val="005C1482"/>
    <w:rsid w:val="005C5F6B"/>
    <w:rsid w:val="005C684B"/>
    <w:rsid w:val="005D4238"/>
    <w:rsid w:val="005E1D37"/>
    <w:rsid w:val="005E20C8"/>
    <w:rsid w:val="005E54FA"/>
    <w:rsid w:val="005E6598"/>
    <w:rsid w:val="005E7C19"/>
    <w:rsid w:val="005F00B9"/>
    <w:rsid w:val="005F3738"/>
    <w:rsid w:val="005F4C67"/>
    <w:rsid w:val="005F6C8D"/>
    <w:rsid w:val="006063F3"/>
    <w:rsid w:val="006109F0"/>
    <w:rsid w:val="0061164A"/>
    <w:rsid w:val="006116FB"/>
    <w:rsid w:val="006128F0"/>
    <w:rsid w:val="00612D3E"/>
    <w:rsid w:val="006138CE"/>
    <w:rsid w:val="006203BB"/>
    <w:rsid w:val="006207D6"/>
    <w:rsid w:val="006233D0"/>
    <w:rsid w:val="00623EF3"/>
    <w:rsid w:val="00625588"/>
    <w:rsid w:val="00631892"/>
    <w:rsid w:val="00633E7B"/>
    <w:rsid w:val="00635FF4"/>
    <w:rsid w:val="00641C3F"/>
    <w:rsid w:val="00642F87"/>
    <w:rsid w:val="00644CC3"/>
    <w:rsid w:val="006451E4"/>
    <w:rsid w:val="00645658"/>
    <w:rsid w:val="00646C06"/>
    <w:rsid w:val="00646CAB"/>
    <w:rsid w:val="0065121D"/>
    <w:rsid w:val="0065137C"/>
    <w:rsid w:val="006515FF"/>
    <w:rsid w:val="00656311"/>
    <w:rsid w:val="006565BB"/>
    <w:rsid w:val="00663288"/>
    <w:rsid w:val="006632A9"/>
    <w:rsid w:val="00664472"/>
    <w:rsid w:val="006654CB"/>
    <w:rsid w:val="006704B7"/>
    <w:rsid w:val="0067127A"/>
    <w:rsid w:val="0067189B"/>
    <w:rsid w:val="00672D0C"/>
    <w:rsid w:val="006734DA"/>
    <w:rsid w:val="00675AD7"/>
    <w:rsid w:val="00675B96"/>
    <w:rsid w:val="006774EE"/>
    <w:rsid w:val="00677ED6"/>
    <w:rsid w:val="00680855"/>
    <w:rsid w:val="0068445A"/>
    <w:rsid w:val="00686213"/>
    <w:rsid w:val="00687A2F"/>
    <w:rsid w:val="00692385"/>
    <w:rsid w:val="00693B1F"/>
    <w:rsid w:val="00695A1F"/>
    <w:rsid w:val="00696129"/>
    <w:rsid w:val="0069648D"/>
    <w:rsid w:val="006A04D3"/>
    <w:rsid w:val="006A07FD"/>
    <w:rsid w:val="006A08F8"/>
    <w:rsid w:val="006A1680"/>
    <w:rsid w:val="006A1D60"/>
    <w:rsid w:val="006A3A2C"/>
    <w:rsid w:val="006A5ED5"/>
    <w:rsid w:val="006A706E"/>
    <w:rsid w:val="006A75C0"/>
    <w:rsid w:val="006B11AD"/>
    <w:rsid w:val="006B1947"/>
    <w:rsid w:val="006B229F"/>
    <w:rsid w:val="006B2A41"/>
    <w:rsid w:val="006B330F"/>
    <w:rsid w:val="006B3D6A"/>
    <w:rsid w:val="006C240A"/>
    <w:rsid w:val="006C2552"/>
    <w:rsid w:val="006C753C"/>
    <w:rsid w:val="006D1ACE"/>
    <w:rsid w:val="006D5CAD"/>
    <w:rsid w:val="006D744F"/>
    <w:rsid w:val="006E164D"/>
    <w:rsid w:val="006E1BE9"/>
    <w:rsid w:val="006E213C"/>
    <w:rsid w:val="006E3D6F"/>
    <w:rsid w:val="006E5928"/>
    <w:rsid w:val="006E66FF"/>
    <w:rsid w:val="006E6FE0"/>
    <w:rsid w:val="006E7189"/>
    <w:rsid w:val="006F1327"/>
    <w:rsid w:val="006F294B"/>
    <w:rsid w:val="006F300A"/>
    <w:rsid w:val="006F3877"/>
    <w:rsid w:val="006F3EBD"/>
    <w:rsid w:val="006F44D8"/>
    <w:rsid w:val="0070009F"/>
    <w:rsid w:val="0070048B"/>
    <w:rsid w:val="00701859"/>
    <w:rsid w:val="00702B71"/>
    <w:rsid w:val="00703287"/>
    <w:rsid w:val="007068A8"/>
    <w:rsid w:val="0071142A"/>
    <w:rsid w:val="007124C4"/>
    <w:rsid w:val="007162D4"/>
    <w:rsid w:val="00716651"/>
    <w:rsid w:val="00717A46"/>
    <w:rsid w:val="0072032C"/>
    <w:rsid w:val="00722EC2"/>
    <w:rsid w:val="00727F75"/>
    <w:rsid w:val="00730751"/>
    <w:rsid w:val="0073166A"/>
    <w:rsid w:val="00743CBC"/>
    <w:rsid w:val="00743E1A"/>
    <w:rsid w:val="0074547B"/>
    <w:rsid w:val="00745899"/>
    <w:rsid w:val="00751259"/>
    <w:rsid w:val="00751BB8"/>
    <w:rsid w:val="00751BE6"/>
    <w:rsid w:val="007533C4"/>
    <w:rsid w:val="00753B99"/>
    <w:rsid w:val="00757313"/>
    <w:rsid w:val="00757356"/>
    <w:rsid w:val="007579DB"/>
    <w:rsid w:val="00760456"/>
    <w:rsid w:val="00767B68"/>
    <w:rsid w:val="007738ED"/>
    <w:rsid w:val="007751E5"/>
    <w:rsid w:val="0077633B"/>
    <w:rsid w:val="007764F3"/>
    <w:rsid w:val="00776C5E"/>
    <w:rsid w:val="0078040A"/>
    <w:rsid w:val="007814CF"/>
    <w:rsid w:val="00786292"/>
    <w:rsid w:val="00786F72"/>
    <w:rsid w:val="00787126"/>
    <w:rsid w:val="00790965"/>
    <w:rsid w:val="0079172C"/>
    <w:rsid w:val="00791E1C"/>
    <w:rsid w:val="007968ED"/>
    <w:rsid w:val="00797249"/>
    <w:rsid w:val="007A0782"/>
    <w:rsid w:val="007A2FE7"/>
    <w:rsid w:val="007A3850"/>
    <w:rsid w:val="007A5388"/>
    <w:rsid w:val="007A6FE8"/>
    <w:rsid w:val="007B0ACE"/>
    <w:rsid w:val="007B17CA"/>
    <w:rsid w:val="007B38BE"/>
    <w:rsid w:val="007B46AF"/>
    <w:rsid w:val="007B4C0D"/>
    <w:rsid w:val="007C0F9D"/>
    <w:rsid w:val="007C1D68"/>
    <w:rsid w:val="007D0046"/>
    <w:rsid w:val="007D0624"/>
    <w:rsid w:val="007D1D51"/>
    <w:rsid w:val="007D2467"/>
    <w:rsid w:val="007D382A"/>
    <w:rsid w:val="007D5CFD"/>
    <w:rsid w:val="007D72BD"/>
    <w:rsid w:val="007E59BD"/>
    <w:rsid w:val="007E7EC1"/>
    <w:rsid w:val="007F0B1B"/>
    <w:rsid w:val="007F1A2A"/>
    <w:rsid w:val="007F41DB"/>
    <w:rsid w:val="007F6D1E"/>
    <w:rsid w:val="00803DAE"/>
    <w:rsid w:val="00806D6C"/>
    <w:rsid w:val="00807B92"/>
    <w:rsid w:val="00810271"/>
    <w:rsid w:val="008118A9"/>
    <w:rsid w:val="0081447A"/>
    <w:rsid w:val="00816147"/>
    <w:rsid w:val="0081629A"/>
    <w:rsid w:val="008240F8"/>
    <w:rsid w:val="00825148"/>
    <w:rsid w:val="00825285"/>
    <w:rsid w:val="00825603"/>
    <w:rsid w:val="0082625F"/>
    <w:rsid w:val="00827DB0"/>
    <w:rsid w:val="008322AB"/>
    <w:rsid w:val="00834173"/>
    <w:rsid w:val="008343BB"/>
    <w:rsid w:val="00834EF0"/>
    <w:rsid w:val="008359D7"/>
    <w:rsid w:val="0083615E"/>
    <w:rsid w:val="008367DA"/>
    <w:rsid w:val="008376B2"/>
    <w:rsid w:val="008402E5"/>
    <w:rsid w:val="00842124"/>
    <w:rsid w:val="008422A9"/>
    <w:rsid w:val="00847C82"/>
    <w:rsid w:val="0085124C"/>
    <w:rsid w:val="0085188C"/>
    <w:rsid w:val="008523E1"/>
    <w:rsid w:val="00852689"/>
    <w:rsid w:val="0085307B"/>
    <w:rsid w:val="00856E53"/>
    <w:rsid w:val="008609C4"/>
    <w:rsid w:val="00862534"/>
    <w:rsid w:val="0086351F"/>
    <w:rsid w:val="0086442D"/>
    <w:rsid w:val="00864F68"/>
    <w:rsid w:val="008664AA"/>
    <w:rsid w:val="008703FD"/>
    <w:rsid w:val="00870650"/>
    <w:rsid w:val="0087155D"/>
    <w:rsid w:val="00874099"/>
    <w:rsid w:val="00880FF0"/>
    <w:rsid w:val="00882398"/>
    <w:rsid w:val="00887EE5"/>
    <w:rsid w:val="00891003"/>
    <w:rsid w:val="008912B7"/>
    <w:rsid w:val="008916AE"/>
    <w:rsid w:val="00891C93"/>
    <w:rsid w:val="00891FE7"/>
    <w:rsid w:val="00893A94"/>
    <w:rsid w:val="00896AE5"/>
    <w:rsid w:val="008A1357"/>
    <w:rsid w:val="008A2FD7"/>
    <w:rsid w:val="008A3E6D"/>
    <w:rsid w:val="008A6416"/>
    <w:rsid w:val="008B081C"/>
    <w:rsid w:val="008B0B1B"/>
    <w:rsid w:val="008B1177"/>
    <w:rsid w:val="008B4FC3"/>
    <w:rsid w:val="008B7C5C"/>
    <w:rsid w:val="008C08E7"/>
    <w:rsid w:val="008C17A7"/>
    <w:rsid w:val="008C59E9"/>
    <w:rsid w:val="008C6858"/>
    <w:rsid w:val="008C699E"/>
    <w:rsid w:val="008C7F1A"/>
    <w:rsid w:val="008D016D"/>
    <w:rsid w:val="008D042F"/>
    <w:rsid w:val="008D0BEC"/>
    <w:rsid w:val="008D1001"/>
    <w:rsid w:val="008D39D5"/>
    <w:rsid w:val="008D5A96"/>
    <w:rsid w:val="008E094C"/>
    <w:rsid w:val="008E2768"/>
    <w:rsid w:val="008E5A8E"/>
    <w:rsid w:val="008E6146"/>
    <w:rsid w:val="008E717D"/>
    <w:rsid w:val="008E755C"/>
    <w:rsid w:val="008F0ECA"/>
    <w:rsid w:val="008F56A1"/>
    <w:rsid w:val="008F5A99"/>
    <w:rsid w:val="008F7A34"/>
    <w:rsid w:val="009004A5"/>
    <w:rsid w:val="009008E5"/>
    <w:rsid w:val="009016A9"/>
    <w:rsid w:val="00902661"/>
    <w:rsid w:val="009060C3"/>
    <w:rsid w:val="00906678"/>
    <w:rsid w:val="009101F0"/>
    <w:rsid w:val="009126F3"/>
    <w:rsid w:val="0091429B"/>
    <w:rsid w:val="00914C04"/>
    <w:rsid w:val="00915D26"/>
    <w:rsid w:val="0091626C"/>
    <w:rsid w:val="0091690D"/>
    <w:rsid w:val="00917798"/>
    <w:rsid w:val="0092258A"/>
    <w:rsid w:val="0092268A"/>
    <w:rsid w:val="00922D7B"/>
    <w:rsid w:val="00924D0A"/>
    <w:rsid w:val="009254B3"/>
    <w:rsid w:val="009261AA"/>
    <w:rsid w:val="00932300"/>
    <w:rsid w:val="009326D9"/>
    <w:rsid w:val="00932A65"/>
    <w:rsid w:val="00933425"/>
    <w:rsid w:val="0093375B"/>
    <w:rsid w:val="00933845"/>
    <w:rsid w:val="00940E1D"/>
    <w:rsid w:val="00942173"/>
    <w:rsid w:val="009437D8"/>
    <w:rsid w:val="00944CBD"/>
    <w:rsid w:val="0094526E"/>
    <w:rsid w:val="00945C45"/>
    <w:rsid w:val="009501A4"/>
    <w:rsid w:val="00952075"/>
    <w:rsid w:val="00952F2E"/>
    <w:rsid w:val="009555A0"/>
    <w:rsid w:val="00956A21"/>
    <w:rsid w:val="00956A48"/>
    <w:rsid w:val="00960756"/>
    <w:rsid w:val="009615B9"/>
    <w:rsid w:val="00964620"/>
    <w:rsid w:val="009659A8"/>
    <w:rsid w:val="00967819"/>
    <w:rsid w:val="009703DA"/>
    <w:rsid w:val="00971F49"/>
    <w:rsid w:val="00973AC3"/>
    <w:rsid w:val="00976690"/>
    <w:rsid w:val="00977DB4"/>
    <w:rsid w:val="00983490"/>
    <w:rsid w:val="00983C55"/>
    <w:rsid w:val="00985B98"/>
    <w:rsid w:val="00986520"/>
    <w:rsid w:val="00986CD1"/>
    <w:rsid w:val="00990563"/>
    <w:rsid w:val="00990C29"/>
    <w:rsid w:val="00991CEE"/>
    <w:rsid w:val="00992AAB"/>
    <w:rsid w:val="009935D3"/>
    <w:rsid w:val="00994C8A"/>
    <w:rsid w:val="00994ED4"/>
    <w:rsid w:val="009A667B"/>
    <w:rsid w:val="009A738E"/>
    <w:rsid w:val="009B209C"/>
    <w:rsid w:val="009B7E27"/>
    <w:rsid w:val="009C3A43"/>
    <w:rsid w:val="009C587F"/>
    <w:rsid w:val="009D1438"/>
    <w:rsid w:val="009D3E10"/>
    <w:rsid w:val="009D4EE5"/>
    <w:rsid w:val="009D5956"/>
    <w:rsid w:val="009D6425"/>
    <w:rsid w:val="009E09E7"/>
    <w:rsid w:val="009E0F9F"/>
    <w:rsid w:val="009E59E6"/>
    <w:rsid w:val="00A01623"/>
    <w:rsid w:val="00A01725"/>
    <w:rsid w:val="00A0298F"/>
    <w:rsid w:val="00A0765D"/>
    <w:rsid w:val="00A078F7"/>
    <w:rsid w:val="00A1043F"/>
    <w:rsid w:val="00A12570"/>
    <w:rsid w:val="00A14EC3"/>
    <w:rsid w:val="00A1594A"/>
    <w:rsid w:val="00A178D6"/>
    <w:rsid w:val="00A21A8B"/>
    <w:rsid w:val="00A23F99"/>
    <w:rsid w:val="00A25BA6"/>
    <w:rsid w:val="00A3364E"/>
    <w:rsid w:val="00A347EC"/>
    <w:rsid w:val="00A357C5"/>
    <w:rsid w:val="00A35A0A"/>
    <w:rsid w:val="00A47678"/>
    <w:rsid w:val="00A47F51"/>
    <w:rsid w:val="00A50C52"/>
    <w:rsid w:val="00A53F8C"/>
    <w:rsid w:val="00A548D9"/>
    <w:rsid w:val="00A564C2"/>
    <w:rsid w:val="00A56B0E"/>
    <w:rsid w:val="00A66CD0"/>
    <w:rsid w:val="00A67444"/>
    <w:rsid w:val="00A71093"/>
    <w:rsid w:val="00A711E6"/>
    <w:rsid w:val="00A760A4"/>
    <w:rsid w:val="00A80B83"/>
    <w:rsid w:val="00A821A9"/>
    <w:rsid w:val="00A83A70"/>
    <w:rsid w:val="00A844EB"/>
    <w:rsid w:val="00A8762D"/>
    <w:rsid w:val="00A87B62"/>
    <w:rsid w:val="00A900AF"/>
    <w:rsid w:val="00A944A6"/>
    <w:rsid w:val="00A96F15"/>
    <w:rsid w:val="00AA0298"/>
    <w:rsid w:val="00AA0D8E"/>
    <w:rsid w:val="00AA111D"/>
    <w:rsid w:val="00AA3836"/>
    <w:rsid w:val="00AA3AFB"/>
    <w:rsid w:val="00AA5686"/>
    <w:rsid w:val="00AA5DCF"/>
    <w:rsid w:val="00AA6FD6"/>
    <w:rsid w:val="00AA7B57"/>
    <w:rsid w:val="00AA7E69"/>
    <w:rsid w:val="00AB3530"/>
    <w:rsid w:val="00AB49DD"/>
    <w:rsid w:val="00AB71B1"/>
    <w:rsid w:val="00AB79C3"/>
    <w:rsid w:val="00AC1349"/>
    <w:rsid w:val="00AC253A"/>
    <w:rsid w:val="00AC4091"/>
    <w:rsid w:val="00AC459B"/>
    <w:rsid w:val="00AC5E3F"/>
    <w:rsid w:val="00AC70B1"/>
    <w:rsid w:val="00AC7374"/>
    <w:rsid w:val="00AD107F"/>
    <w:rsid w:val="00AD22AE"/>
    <w:rsid w:val="00AD52D2"/>
    <w:rsid w:val="00AD5EBE"/>
    <w:rsid w:val="00AD7056"/>
    <w:rsid w:val="00AE5036"/>
    <w:rsid w:val="00AE6B5C"/>
    <w:rsid w:val="00AF0AAF"/>
    <w:rsid w:val="00AF1712"/>
    <w:rsid w:val="00AF20CE"/>
    <w:rsid w:val="00AF64A5"/>
    <w:rsid w:val="00AF64F4"/>
    <w:rsid w:val="00B02400"/>
    <w:rsid w:val="00B04594"/>
    <w:rsid w:val="00B046D2"/>
    <w:rsid w:val="00B04714"/>
    <w:rsid w:val="00B04CAE"/>
    <w:rsid w:val="00B063DD"/>
    <w:rsid w:val="00B0680A"/>
    <w:rsid w:val="00B133EA"/>
    <w:rsid w:val="00B13F00"/>
    <w:rsid w:val="00B14586"/>
    <w:rsid w:val="00B174DA"/>
    <w:rsid w:val="00B17A4E"/>
    <w:rsid w:val="00B17D33"/>
    <w:rsid w:val="00B21D9B"/>
    <w:rsid w:val="00B22667"/>
    <w:rsid w:val="00B22B44"/>
    <w:rsid w:val="00B23041"/>
    <w:rsid w:val="00B24006"/>
    <w:rsid w:val="00B2461B"/>
    <w:rsid w:val="00B24D98"/>
    <w:rsid w:val="00B27F1E"/>
    <w:rsid w:val="00B30A14"/>
    <w:rsid w:val="00B31B34"/>
    <w:rsid w:val="00B323E2"/>
    <w:rsid w:val="00B326B3"/>
    <w:rsid w:val="00B35069"/>
    <w:rsid w:val="00B4037A"/>
    <w:rsid w:val="00B41C40"/>
    <w:rsid w:val="00B428DD"/>
    <w:rsid w:val="00B4362B"/>
    <w:rsid w:val="00B44529"/>
    <w:rsid w:val="00B44877"/>
    <w:rsid w:val="00B46A22"/>
    <w:rsid w:val="00B50E37"/>
    <w:rsid w:val="00B52B9A"/>
    <w:rsid w:val="00B53896"/>
    <w:rsid w:val="00B5430F"/>
    <w:rsid w:val="00B54322"/>
    <w:rsid w:val="00B57B70"/>
    <w:rsid w:val="00B63367"/>
    <w:rsid w:val="00B65C9C"/>
    <w:rsid w:val="00B67725"/>
    <w:rsid w:val="00B71DD6"/>
    <w:rsid w:val="00B71E6A"/>
    <w:rsid w:val="00B72DF8"/>
    <w:rsid w:val="00B743BC"/>
    <w:rsid w:val="00B751A9"/>
    <w:rsid w:val="00B761AC"/>
    <w:rsid w:val="00B8223E"/>
    <w:rsid w:val="00B82D18"/>
    <w:rsid w:val="00B831BE"/>
    <w:rsid w:val="00B83CF0"/>
    <w:rsid w:val="00B85B3D"/>
    <w:rsid w:val="00B91D9F"/>
    <w:rsid w:val="00B92470"/>
    <w:rsid w:val="00B9518C"/>
    <w:rsid w:val="00B95759"/>
    <w:rsid w:val="00B95A71"/>
    <w:rsid w:val="00B96D51"/>
    <w:rsid w:val="00BA0BD8"/>
    <w:rsid w:val="00BA25B5"/>
    <w:rsid w:val="00BA559E"/>
    <w:rsid w:val="00BB08E5"/>
    <w:rsid w:val="00BB3137"/>
    <w:rsid w:val="00BB3CFA"/>
    <w:rsid w:val="00BB4B3E"/>
    <w:rsid w:val="00BB78B1"/>
    <w:rsid w:val="00BC5288"/>
    <w:rsid w:val="00BD024A"/>
    <w:rsid w:val="00BD07D7"/>
    <w:rsid w:val="00BD0CAE"/>
    <w:rsid w:val="00BD44DF"/>
    <w:rsid w:val="00BD6637"/>
    <w:rsid w:val="00BD7C47"/>
    <w:rsid w:val="00BE3CFD"/>
    <w:rsid w:val="00BE668F"/>
    <w:rsid w:val="00BE7C08"/>
    <w:rsid w:val="00BE7DA9"/>
    <w:rsid w:val="00BF3B8D"/>
    <w:rsid w:val="00BF62F7"/>
    <w:rsid w:val="00C013DC"/>
    <w:rsid w:val="00C016E3"/>
    <w:rsid w:val="00C02D8D"/>
    <w:rsid w:val="00C03335"/>
    <w:rsid w:val="00C03C6D"/>
    <w:rsid w:val="00C0649C"/>
    <w:rsid w:val="00C129BA"/>
    <w:rsid w:val="00C16537"/>
    <w:rsid w:val="00C16A79"/>
    <w:rsid w:val="00C2192B"/>
    <w:rsid w:val="00C22202"/>
    <w:rsid w:val="00C23D95"/>
    <w:rsid w:val="00C307A8"/>
    <w:rsid w:val="00C350AA"/>
    <w:rsid w:val="00C36F86"/>
    <w:rsid w:val="00C4078A"/>
    <w:rsid w:val="00C41A4B"/>
    <w:rsid w:val="00C42897"/>
    <w:rsid w:val="00C44BF9"/>
    <w:rsid w:val="00C457F8"/>
    <w:rsid w:val="00C5072A"/>
    <w:rsid w:val="00C50DDD"/>
    <w:rsid w:val="00C521B9"/>
    <w:rsid w:val="00C52A5C"/>
    <w:rsid w:val="00C54AE2"/>
    <w:rsid w:val="00C56643"/>
    <w:rsid w:val="00C57033"/>
    <w:rsid w:val="00C571BA"/>
    <w:rsid w:val="00C60A89"/>
    <w:rsid w:val="00C619FE"/>
    <w:rsid w:val="00C652AD"/>
    <w:rsid w:val="00C66FFA"/>
    <w:rsid w:val="00C71666"/>
    <w:rsid w:val="00C74433"/>
    <w:rsid w:val="00C80905"/>
    <w:rsid w:val="00C809D2"/>
    <w:rsid w:val="00C80D2F"/>
    <w:rsid w:val="00C8276E"/>
    <w:rsid w:val="00C843E7"/>
    <w:rsid w:val="00C85F76"/>
    <w:rsid w:val="00C91A5F"/>
    <w:rsid w:val="00C9319E"/>
    <w:rsid w:val="00C931E3"/>
    <w:rsid w:val="00C9401F"/>
    <w:rsid w:val="00C967BA"/>
    <w:rsid w:val="00C96F2F"/>
    <w:rsid w:val="00CA4B1A"/>
    <w:rsid w:val="00CA5537"/>
    <w:rsid w:val="00CA79D5"/>
    <w:rsid w:val="00CB111D"/>
    <w:rsid w:val="00CB4436"/>
    <w:rsid w:val="00CB5B82"/>
    <w:rsid w:val="00CB6AF7"/>
    <w:rsid w:val="00CB78EE"/>
    <w:rsid w:val="00CC3414"/>
    <w:rsid w:val="00CC658C"/>
    <w:rsid w:val="00CD0470"/>
    <w:rsid w:val="00CD2C49"/>
    <w:rsid w:val="00CD3C4C"/>
    <w:rsid w:val="00CD4598"/>
    <w:rsid w:val="00CD59CD"/>
    <w:rsid w:val="00CD76B7"/>
    <w:rsid w:val="00CE07DB"/>
    <w:rsid w:val="00CE68E2"/>
    <w:rsid w:val="00CE70EC"/>
    <w:rsid w:val="00CF0263"/>
    <w:rsid w:val="00CF0D5D"/>
    <w:rsid w:val="00CF10CD"/>
    <w:rsid w:val="00CF24D6"/>
    <w:rsid w:val="00CF343D"/>
    <w:rsid w:val="00CF5D3C"/>
    <w:rsid w:val="00D00D5D"/>
    <w:rsid w:val="00D01D06"/>
    <w:rsid w:val="00D01D1C"/>
    <w:rsid w:val="00D02FD1"/>
    <w:rsid w:val="00D07864"/>
    <w:rsid w:val="00D1046C"/>
    <w:rsid w:val="00D13C59"/>
    <w:rsid w:val="00D16730"/>
    <w:rsid w:val="00D1718B"/>
    <w:rsid w:val="00D171BF"/>
    <w:rsid w:val="00D17763"/>
    <w:rsid w:val="00D2099E"/>
    <w:rsid w:val="00D21A67"/>
    <w:rsid w:val="00D2608C"/>
    <w:rsid w:val="00D263A3"/>
    <w:rsid w:val="00D26932"/>
    <w:rsid w:val="00D269B0"/>
    <w:rsid w:val="00D323BE"/>
    <w:rsid w:val="00D333CA"/>
    <w:rsid w:val="00D35B9A"/>
    <w:rsid w:val="00D37580"/>
    <w:rsid w:val="00D445EB"/>
    <w:rsid w:val="00D457A3"/>
    <w:rsid w:val="00D45D8E"/>
    <w:rsid w:val="00D4635F"/>
    <w:rsid w:val="00D505D5"/>
    <w:rsid w:val="00D50AE8"/>
    <w:rsid w:val="00D53868"/>
    <w:rsid w:val="00D53C74"/>
    <w:rsid w:val="00D553E7"/>
    <w:rsid w:val="00D5726B"/>
    <w:rsid w:val="00D6085D"/>
    <w:rsid w:val="00D60C64"/>
    <w:rsid w:val="00D6140A"/>
    <w:rsid w:val="00D61582"/>
    <w:rsid w:val="00D61F3D"/>
    <w:rsid w:val="00D622B6"/>
    <w:rsid w:val="00D62314"/>
    <w:rsid w:val="00D624D8"/>
    <w:rsid w:val="00D65D5F"/>
    <w:rsid w:val="00D71264"/>
    <w:rsid w:val="00D71B16"/>
    <w:rsid w:val="00D71CA5"/>
    <w:rsid w:val="00D75632"/>
    <w:rsid w:val="00D77DC8"/>
    <w:rsid w:val="00D80E46"/>
    <w:rsid w:val="00D91F74"/>
    <w:rsid w:val="00D92839"/>
    <w:rsid w:val="00D936C6"/>
    <w:rsid w:val="00D938A5"/>
    <w:rsid w:val="00D946B8"/>
    <w:rsid w:val="00DA0A6C"/>
    <w:rsid w:val="00DA12A8"/>
    <w:rsid w:val="00DA1B01"/>
    <w:rsid w:val="00DA1CDD"/>
    <w:rsid w:val="00DA291F"/>
    <w:rsid w:val="00DA4203"/>
    <w:rsid w:val="00DA5F8A"/>
    <w:rsid w:val="00DA6993"/>
    <w:rsid w:val="00DB3470"/>
    <w:rsid w:val="00DB3F6F"/>
    <w:rsid w:val="00DC0F49"/>
    <w:rsid w:val="00DC1FE2"/>
    <w:rsid w:val="00DC2820"/>
    <w:rsid w:val="00DC4EF7"/>
    <w:rsid w:val="00DC590A"/>
    <w:rsid w:val="00DC6B5A"/>
    <w:rsid w:val="00DC72FC"/>
    <w:rsid w:val="00DC75FF"/>
    <w:rsid w:val="00DD0A06"/>
    <w:rsid w:val="00DD0CAD"/>
    <w:rsid w:val="00DD28A8"/>
    <w:rsid w:val="00DD3250"/>
    <w:rsid w:val="00DD4CE8"/>
    <w:rsid w:val="00DD4EED"/>
    <w:rsid w:val="00DD5936"/>
    <w:rsid w:val="00DD5E82"/>
    <w:rsid w:val="00DE1589"/>
    <w:rsid w:val="00DE15D8"/>
    <w:rsid w:val="00DE1D2C"/>
    <w:rsid w:val="00DE223D"/>
    <w:rsid w:val="00DE33FD"/>
    <w:rsid w:val="00DE4172"/>
    <w:rsid w:val="00DE59C0"/>
    <w:rsid w:val="00DE5D41"/>
    <w:rsid w:val="00DF02EE"/>
    <w:rsid w:val="00DF0A0B"/>
    <w:rsid w:val="00DF13E4"/>
    <w:rsid w:val="00DF25B2"/>
    <w:rsid w:val="00DF4537"/>
    <w:rsid w:val="00DF6BDA"/>
    <w:rsid w:val="00E03BC4"/>
    <w:rsid w:val="00E048EB"/>
    <w:rsid w:val="00E04D84"/>
    <w:rsid w:val="00E05F93"/>
    <w:rsid w:val="00E10FB1"/>
    <w:rsid w:val="00E1121F"/>
    <w:rsid w:val="00E16C76"/>
    <w:rsid w:val="00E203A2"/>
    <w:rsid w:val="00E220E8"/>
    <w:rsid w:val="00E25A6A"/>
    <w:rsid w:val="00E3068A"/>
    <w:rsid w:val="00E331EF"/>
    <w:rsid w:val="00E33DFC"/>
    <w:rsid w:val="00E3442C"/>
    <w:rsid w:val="00E3495C"/>
    <w:rsid w:val="00E37346"/>
    <w:rsid w:val="00E3772D"/>
    <w:rsid w:val="00E40AC0"/>
    <w:rsid w:val="00E414A6"/>
    <w:rsid w:val="00E41892"/>
    <w:rsid w:val="00E41BC9"/>
    <w:rsid w:val="00E41F3E"/>
    <w:rsid w:val="00E43760"/>
    <w:rsid w:val="00E4562A"/>
    <w:rsid w:val="00E45FC8"/>
    <w:rsid w:val="00E46A3E"/>
    <w:rsid w:val="00E506C8"/>
    <w:rsid w:val="00E5209F"/>
    <w:rsid w:val="00E52100"/>
    <w:rsid w:val="00E559D1"/>
    <w:rsid w:val="00E573ED"/>
    <w:rsid w:val="00E61E97"/>
    <w:rsid w:val="00E639F7"/>
    <w:rsid w:val="00E6590C"/>
    <w:rsid w:val="00E66F92"/>
    <w:rsid w:val="00E71BE6"/>
    <w:rsid w:val="00E71E1D"/>
    <w:rsid w:val="00E73CB8"/>
    <w:rsid w:val="00E771EA"/>
    <w:rsid w:val="00E83350"/>
    <w:rsid w:val="00E85246"/>
    <w:rsid w:val="00E86039"/>
    <w:rsid w:val="00E86CEB"/>
    <w:rsid w:val="00E87FB4"/>
    <w:rsid w:val="00E93183"/>
    <w:rsid w:val="00E958E5"/>
    <w:rsid w:val="00E97D19"/>
    <w:rsid w:val="00EA011D"/>
    <w:rsid w:val="00EA1301"/>
    <w:rsid w:val="00EA1B1F"/>
    <w:rsid w:val="00EA3C5D"/>
    <w:rsid w:val="00EA4E55"/>
    <w:rsid w:val="00EA7A40"/>
    <w:rsid w:val="00EB2176"/>
    <w:rsid w:val="00EB3B84"/>
    <w:rsid w:val="00EB3CF6"/>
    <w:rsid w:val="00EB4330"/>
    <w:rsid w:val="00EB5E77"/>
    <w:rsid w:val="00EB6218"/>
    <w:rsid w:val="00EB6FFB"/>
    <w:rsid w:val="00EC024E"/>
    <w:rsid w:val="00EC371C"/>
    <w:rsid w:val="00EC429E"/>
    <w:rsid w:val="00EC542A"/>
    <w:rsid w:val="00EC577B"/>
    <w:rsid w:val="00EC7C28"/>
    <w:rsid w:val="00ED06EB"/>
    <w:rsid w:val="00ED26D7"/>
    <w:rsid w:val="00ED381B"/>
    <w:rsid w:val="00EE29F7"/>
    <w:rsid w:val="00EE4127"/>
    <w:rsid w:val="00EE6CFF"/>
    <w:rsid w:val="00EE7441"/>
    <w:rsid w:val="00EE7875"/>
    <w:rsid w:val="00EF2C45"/>
    <w:rsid w:val="00EF4B19"/>
    <w:rsid w:val="00EF6712"/>
    <w:rsid w:val="00EF7316"/>
    <w:rsid w:val="00F00398"/>
    <w:rsid w:val="00F00763"/>
    <w:rsid w:val="00F00D20"/>
    <w:rsid w:val="00F00E44"/>
    <w:rsid w:val="00F01169"/>
    <w:rsid w:val="00F032B9"/>
    <w:rsid w:val="00F04591"/>
    <w:rsid w:val="00F055F9"/>
    <w:rsid w:val="00F07071"/>
    <w:rsid w:val="00F105F1"/>
    <w:rsid w:val="00F161CB"/>
    <w:rsid w:val="00F16E9E"/>
    <w:rsid w:val="00F2103F"/>
    <w:rsid w:val="00F221FB"/>
    <w:rsid w:val="00F229AC"/>
    <w:rsid w:val="00F252CA"/>
    <w:rsid w:val="00F25499"/>
    <w:rsid w:val="00F267AF"/>
    <w:rsid w:val="00F30B8B"/>
    <w:rsid w:val="00F32BF9"/>
    <w:rsid w:val="00F33B3E"/>
    <w:rsid w:val="00F42FA9"/>
    <w:rsid w:val="00F443A7"/>
    <w:rsid w:val="00F46BF6"/>
    <w:rsid w:val="00F470E4"/>
    <w:rsid w:val="00F508FA"/>
    <w:rsid w:val="00F5127C"/>
    <w:rsid w:val="00F51692"/>
    <w:rsid w:val="00F545D1"/>
    <w:rsid w:val="00F54E74"/>
    <w:rsid w:val="00F60272"/>
    <w:rsid w:val="00F602E7"/>
    <w:rsid w:val="00F6069B"/>
    <w:rsid w:val="00F61D3C"/>
    <w:rsid w:val="00F62EE5"/>
    <w:rsid w:val="00F63EC4"/>
    <w:rsid w:val="00F646F8"/>
    <w:rsid w:val="00F66DC0"/>
    <w:rsid w:val="00F70C1E"/>
    <w:rsid w:val="00F71F7A"/>
    <w:rsid w:val="00F7263A"/>
    <w:rsid w:val="00F74525"/>
    <w:rsid w:val="00F77661"/>
    <w:rsid w:val="00F77EAA"/>
    <w:rsid w:val="00F813BF"/>
    <w:rsid w:val="00F84364"/>
    <w:rsid w:val="00F84AF0"/>
    <w:rsid w:val="00F9235E"/>
    <w:rsid w:val="00F9415F"/>
    <w:rsid w:val="00F9559A"/>
    <w:rsid w:val="00F97751"/>
    <w:rsid w:val="00FA2BB0"/>
    <w:rsid w:val="00FA3120"/>
    <w:rsid w:val="00FA397C"/>
    <w:rsid w:val="00FA56BE"/>
    <w:rsid w:val="00FA6B37"/>
    <w:rsid w:val="00FA7B55"/>
    <w:rsid w:val="00FB2E3E"/>
    <w:rsid w:val="00FB48EF"/>
    <w:rsid w:val="00FB617A"/>
    <w:rsid w:val="00FC041F"/>
    <w:rsid w:val="00FC0A35"/>
    <w:rsid w:val="00FC0C0C"/>
    <w:rsid w:val="00FC1E80"/>
    <w:rsid w:val="00FC3A8B"/>
    <w:rsid w:val="00FC520F"/>
    <w:rsid w:val="00FC7122"/>
    <w:rsid w:val="00FC75BD"/>
    <w:rsid w:val="00FD042D"/>
    <w:rsid w:val="00FD060B"/>
    <w:rsid w:val="00FD34BA"/>
    <w:rsid w:val="00FD5121"/>
    <w:rsid w:val="00FD5988"/>
    <w:rsid w:val="00FD5D5F"/>
    <w:rsid w:val="00FD76C0"/>
    <w:rsid w:val="00FE1B41"/>
    <w:rsid w:val="00FE2A0E"/>
    <w:rsid w:val="00FE4B75"/>
    <w:rsid w:val="00FE5B68"/>
    <w:rsid w:val="00FE5E38"/>
    <w:rsid w:val="00FE5E9C"/>
    <w:rsid w:val="00FE5FE7"/>
    <w:rsid w:val="00FE70F7"/>
    <w:rsid w:val="00FE7772"/>
    <w:rsid w:val="00FF0C3F"/>
    <w:rsid w:val="00FF4B51"/>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4597E2"/>
  <w15:chartTrackingRefBased/>
  <w15:docId w15:val="{1D461ACF-E7D4-4095-A1CE-D89C21037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2839"/>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2839"/>
    <w:pPr>
      <w:keepNext/>
      <w:keepLines/>
      <w:spacing w:before="240" w:after="0"/>
      <w:outlineLvl w:val="0"/>
    </w:pPr>
    <w:rPr>
      <w:rFonts w:eastAsiaTheme="majorEastAsia" w:cstheme="majorBidi"/>
      <w:b/>
      <w:sz w:val="28"/>
      <w:szCs w:val="40"/>
    </w:rPr>
  </w:style>
  <w:style w:type="paragraph" w:styleId="Heading2">
    <w:name w:val="heading 2"/>
    <w:basedOn w:val="Normal"/>
    <w:next w:val="Normal"/>
    <w:link w:val="Heading2Char"/>
    <w:uiPriority w:val="9"/>
    <w:semiHidden/>
    <w:unhideWhenUsed/>
    <w:qFormat/>
    <w:rsid w:val="00D92839"/>
    <w:pPr>
      <w:keepNext/>
      <w:keepLines/>
      <w:spacing w:before="40" w:after="0"/>
      <w:outlineLvl w:val="1"/>
    </w:pPr>
    <w:rPr>
      <w:rFonts w:eastAsiaTheme="majorEastAsia" w:cstheme="majorBidi"/>
      <w:b/>
      <w:sz w:val="26"/>
      <w:szCs w:val="33"/>
    </w:rPr>
  </w:style>
  <w:style w:type="paragraph" w:styleId="Heading3">
    <w:name w:val="heading 3"/>
    <w:basedOn w:val="Normal"/>
    <w:next w:val="Normal"/>
    <w:link w:val="Heading3Char"/>
    <w:uiPriority w:val="9"/>
    <w:semiHidden/>
    <w:unhideWhenUsed/>
    <w:qFormat/>
    <w:rsid w:val="00D92839"/>
    <w:pPr>
      <w:keepNext/>
      <w:keepLines/>
      <w:spacing w:before="160" w:after="80"/>
      <w:outlineLvl w:val="2"/>
    </w:pPr>
    <w:rPr>
      <w:rFonts w:asciiTheme="minorHAnsi" w:eastAsiaTheme="majorEastAsia" w:hAnsiTheme="minorHAnsi" w:cstheme="majorBidi"/>
      <w:color w:val="2F5496" w:themeColor="accent1" w:themeShade="BF"/>
      <w:sz w:val="28"/>
      <w:szCs w:val="35"/>
    </w:rPr>
  </w:style>
  <w:style w:type="paragraph" w:styleId="Heading4">
    <w:name w:val="heading 4"/>
    <w:basedOn w:val="Normal"/>
    <w:next w:val="Normal"/>
    <w:link w:val="Heading4Char"/>
    <w:uiPriority w:val="9"/>
    <w:semiHidden/>
    <w:unhideWhenUsed/>
    <w:qFormat/>
    <w:rsid w:val="00D92839"/>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92839"/>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9283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9283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9283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9283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2839"/>
    <w:rPr>
      <w:rFonts w:ascii="Times New Roman" w:eastAsiaTheme="majorEastAsia" w:hAnsi="Times New Roman" w:cstheme="majorBidi"/>
      <w:b/>
      <w:sz w:val="28"/>
      <w:szCs w:val="40"/>
      <w:lang w:val="en-GB"/>
    </w:rPr>
  </w:style>
  <w:style w:type="character" w:customStyle="1" w:styleId="Heading2Char">
    <w:name w:val="Heading 2 Char"/>
    <w:basedOn w:val="DefaultParagraphFont"/>
    <w:link w:val="Heading2"/>
    <w:uiPriority w:val="9"/>
    <w:semiHidden/>
    <w:rsid w:val="00D92839"/>
    <w:rPr>
      <w:rFonts w:ascii="Times New Roman" w:eastAsiaTheme="majorEastAsia" w:hAnsi="Times New Roman" w:cstheme="majorBidi"/>
      <w:b/>
      <w:sz w:val="26"/>
      <w:szCs w:val="33"/>
      <w:lang w:val="en-GB"/>
    </w:rPr>
  </w:style>
  <w:style w:type="character" w:customStyle="1" w:styleId="Heading3Char">
    <w:name w:val="Heading 3 Char"/>
    <w:basedOn w:val="DefaultParagraphFont"/>
    <w:link w:val="Heading3"/>
    <w:uiPriority w:val="9"/>
    <w:semiHidden/>
    <w:rsid w:val="00D92839"/>
    <w:rPr>
      <w:rFonts w:eastAsiaTheme="majorEastAsia" w:cstheme="majorBidi"/>
      <w:color w:val="2F5496" w:themeColor="accent1" w:themeShade="BF"/>
      <w:sz w:val="28"/>
      <w:szCs w:val="35"/>
      <w:lang w:val="en-GB"/>
    </w:rPr>
  </w:style>
  <w:style w:type="character" w:customStyle="1" w:styleId="Heading4Char">
    <w:name w:val="Heading 4 Char"/>
    <w:basedOn w:val="DefaultParagraphFont"/>
    <w:link w:val="Heading4"/>
    <w:uiPriority w:val="9"/>
    <w:semiHidden/>
    <w:rsid w:val="00D92839"/>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D92839"/>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D92839"/>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D92839"/>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D92839"/>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D92839"/>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D92839"/>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D92839"/>
    <w:rPr>
      <w:rFonts w:asciiTheme="majorHAnsi" w:eastAsiaTheme="majorEastAsia" w:hAnsiTheme="majorHAnsi" w:cstheme="majorBidi"/>
      <w:spacing w:val="-10"/>
      <w:kern w:val="28"/>
      <w:sz w:val="56"/>
      <w:szCs w:val="71"/>
      <w:lang w:val="en-GB"/>
    </w:rPr>
  </w:style>
  <w:style w:type="paragraph" w:styleId="Subtitle">
    <w:name w:val="Subtitle"/>
    <w:basedOn w:val="Normal"/>
    <w:next w:val="Normal"/>
    <w:link w:val="SubtitleChar"/>
    <w:uiPriority w:val="11"/>
    <w:qFormat/>
    <w:rsid w:val="00D92839"/>
    <w:pPr>
      <w:numPr>
        <w:ilvl w:val="1"/>
      </w:numPr>
    </w:pPr>
    <w:rPr>
      <w:rFonts w:asciiTheme="minorHAnsi" w:eastAsiaTheme="majorEastAsia" w:hAnsiTheme="minorHAnsi"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D92839"/>
    <w:rPr>
      <w:rFonts w:eastAsiaTheme="majorEastAsia" w:cstheme="majorBidi"/>
      <w:color w:val="595959" w:themeColor="text1" w:themeTint="A6"/>
      <w:spacing w:val="15"/>
      <w:sz w:val="28"/>
      <w:szCs w:val="35"/>
      <w:lang w:val="en-GB"/>
    </w:rPr>
  </w:style>
  <w:style w:type="paragraph" w:styleId="ListParagraph">
    <w:name w:val="List Paragraph"/>
    <w:basedOn w:val="Normal"/>
    <w:uiPriority w:val="34"/>
    <w:qFormat/>
    <w:rsid w:val="00D92839"/>
    <w:pPr>
      <w:ind w:left="720"/>
      <w:contextualSpacing/>
    </w:pPr>
  </w:style>
  <w:style w:type="paragraph" w:styleId="Quote">
    <w:name w:val="Quote"/>
    <w:basedOn w:val="Normal"/>
    <w:next w:val="Normal"/>
    <w:link w:val="QuoteChar"/>
    <w:uiPriority w:val="29"/>
    <w:qFormat/>
    <w:rsid w:val="00D92839"/>
    <w:pPr>
      <w:spacing w:before="160"/>
      <w:jc w:val="center"/>
    </w:pPr>
    <w:rPr>
      <w:i/>
      <w:iCs/>
      <w:color w:val="404040" w:themeColor="text1" w:themeTint="BF"/>
    </w:rPr>
  </w:style>
  <w:style w:type="character" w:customStyle="1" w:styleId="QuoteChar">
    <w:name w:val="Quote Char"/>
    <w:basedOn w:val="DefaultParagraphFont"/>
    <w:link w:val="Quote"/>
    <w:uiPriority w:val="29"/>
    <w:rsid w:val="00D92839"/>
    <w:rPr>
      <w:rFonts w:ascii="Times New Roman" w:hAnsi="Times New Roman"/>
      <w:i/>
      <w:iCs/>
      <w:color w:val="404040" w:themeColor="text1" w:themeTint="BF"/>
      <w:sz w:val="24"/>
      <w:lang w:val="en-GB"/>
    </w:rPr>
  </w:style>
  <w:style w:type="paragraph" w:styleId="IntenseQuote">
    <w:name w:val="Intense Quote"/>
    <w:basedOn w:val="Normal"/>
    <w:next w:val="Normal"/>
    <w:link w:val="IntenseQuoteChar"/>
    <w:uiPriority w:val="30"/>
    <w:qFormat/>
    <w:rsid w:val="00D9283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92839"/>
    <w:rPr>
      <w:rFonts w:ascii="Times New Roman" w:hAnsi="Times New Roman"/>
      <w:i/>
      <w:iCs/>
      <w:color w:val="2F5496" w:themeColor="accent1" w:themeShade="BF"/>
      <w:sz w:val="24"/>
      <w:lang w:val="en-GB"/>
    </w:rPr>
  </w:style>
  <w:style w:type="character" w:styleId="IntenseEmphasis">
    <w:name w:val="Intense Emphasis"/>
    <w:basedOn w:val="DefaultParagraphFont"/>
    <w:uiPriority w:val="21"/>
    <w:qFormat/>
    <w:rsid w:val="00D92839"/>
    <w:rPr>
      <w:i/>
      <w:iCs/>
      <w:color w:val="2F5496" w:themeColor="accent1" w:themeShade="BF"/>
    </w:rPr>
  </w:style>
  <w:style w:type="character" w:styleId="IntenseReference">
    <w:name w:val="Intense Reference"/>
    <w:basedOn w:val="DefaultParagraphFont"/>
    <w:uiPriority w:val="32"/>
    <w:qFormat/>
    <w:rsid w:val="00D92839"/>
    <w:rPr>
      <w:b/>
      <w:bCs/>
      <w:smallCaps/>
      <w:color w:val="2F5496" w:themeColor="accent1" w:themeShade="BF"/>
      <w:spacing w:val="5"/>
    </w:rPr>
  </w:style>
  <w:style w:type="paragraph" w:styleId="Header">
    <w:name w:val="header"/>
    <w:basedOn w:val="Normal"/>
    <w:link w:val="HeaderChar"/>
    <w:uiPriority w:val="99"/>
    <w:unhideWhenUsed/>
    <w:rsid w:val="00B24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D98"/>
    <w:rPr>
      <w:rFonts w:ascii="Times New Roman" w:hAnsi="Times New Roman"/>
      <w:sz w:val="24"/>
      <w:lang w:val="en-GB"/>
    </w:rPr>
  </w:style>
  <w:style w:type="paragraph" w:styleId="Footer">
    <w:name w:val="footer"/>
    <w:basedOn w:val="Normal"/>
    <w:link w:val="FooterChar"/>
    <w:uiPriority w:val="99"/>
    <w:unhideWhenUsed/>
    <w:rsid w:val="00B24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D98"/>
    <w:rPr>
      <w:rFonts w:ascii="Times New Roman" w:hAnsi="Times New Roman"/>
      <w:sz w:val="24"/>
      <w:lang w:val="en-GB"/>
    </w:rPr>
  </w:style>
  <w:style w:type="table" w:styleId="TableGrid">
    <w:name w:val="Table Grid"/>
    <w:basedOn w:val="TableNormal"/>
    <w:uiPriority w:val="39"/>
    <w:rsid w:val="00B24D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24D98"/>
    <w:rPr>
      <w:color w:val="0563C1" w:themeColor="hyperlink"/>
      <w:u w:val="single"/>
    </w:rPr>
  </w:style>
  <w:style w:type="character" w:styleId="UnresolvedMention">
    <w:name w:val="Unresolved Mention"/>
    <w:basedOn w:val="DefaultParagraphFont"/>
    <w:uiPriority w:val="99"/>
    <w:semiHidden/>
    <w:unhideWhenUsed/>
    <w:rsid w:val="00B24D98"/>
    <w:rPr>
      <w:color w:val="605E5C"/>
      <w:shd w:val="clear" w:color="auto" w:fill="E1DFDD"/>
    </w:rPr>
  </w:style>
  <w:style w:type="paragraph" w:styleId="TOCHeading">
    <w:name w:val="TOC Heading"/>
    <w:basedOn w:val="Heading1"/>
    <w:next w:val="Normal"/>
    <w:uiPriority w:val="39"/>
    <w:unhideWhenUsed/>
    <w:qFormat/>
    <w:rsid w:val="00514771"/>
    <w:pPr>
      <w:spacing w:line="259" w:lineRule="auto"/>
      <w:jc w:val="left"/>
      <w:outlineLvl w:val="9"/>
    </w:pPr>
    <w:rPr>
      <w:rFonts w:asciiTheme="majorHAnsi" w:hAnsiTheme="majorHAnsi"/>
      <w:b w:val="0"/>
      <w:color w:val="2F5496" w:themeColor="accent1" w:themeShade="BF"/>
      <w:kern w:val="0"/>
      <w:sz w:val="32"/>
      <w:szCs w:val="32"/>
      <w:lang w:val="en-US" w:bidi="ar-SA"/>
    </w:rPr>
  </w:style>
  <w:style w:type="paragraph" w:styleId="TOC1">
    <w:name w:val="toc 1"/>
    <w:basedOn w:val="Normal"/>
    <w:next w:val="Normal"/>
    <w:autoRedefine/>
    <w:uiPriority w:val="39"/>
    <w:unhideWhenUsed/>
    <w:rsid w:val="00514771"/>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7C9C56-2157-41E4-8AD1-B5BFB02B85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3072</Words>
  <Characters>17512</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Diana Mihaela Briceag (2408209)</cp:lastModifiedBy>
  <cp:revision>2</cp:revision>
  <dcterms:created xsi:type="dcterms:W3CDTF">2026-10-04T11:01:00Z</dcterms:created>
  <dcterms:modified xsi:type="dcterms:W3CDTF">2026-10-18T20:40:00Z</dcterms:modified>
</cp:coreProperties>
</file>