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57B9A" w14:textId="77777777" w:rsidR="00385532" w:rsidRPr="00050B91" w:rsidRDefault="00385532" w:rsidP="003219BB">
      <w:pPr>
        <w:spacing w:line="360" w:lineRule="auto"/>
        <w:rPr>
          <w:rFonts w:ascii="Arial" w:hAnsi="Arial" w:cs="Arial"/>
          <w:b/>
          <w:bCs/>
          <w:sz w:val="22"/>
          <w:szCs w:val="22"/>
        </w:rPr>
      </w:pPr>
    </w:p>
    <w:p w14:paraId="067188FB" w14:textId="77777777" w:rsidR="00385532" w:rsidRPr="00050B91" w:rsidRDefault="00385532" w:rsidP="003219BB">
      <w:pPr>
        <w:spacing w:line="360" w:lineRule="auto"/>
        <w:rPr>
          <w:rFonts w:ascii="Arial" w:hAnsi="Arial" w:cs="Arial"/>
          <w:b/>
          <w:bCs/>
          <w:sz w:val="22"/>
          <w:szCs w:val="22"/>
        </w:rPr>
      </w:pPr>
    </w:p>
    <w:p w14:paraId="4DF59043" w14:textId="77777777" w:rsidR="00385532" w:rsidRPr="00050B91" w:rsidRDefault="00385532" w:rsidP="003219BB">
      <w:pPr>
        <w:spacing w:line="360" w:lineRule="auto"/>
        <w:rPr>
          <w:rFonts w:ascii="Arial" w:hAnsi="Arial" w:cs="Arial"/>
          <w:b/>
          <w:bCs/>
          <w:sz w:val="22"/>
          <w:szCs w:val="22"/>
        </w:rPr>
      </w:pPr>
    </w:p>
    <w:p w14:paraId="4B62E2F9" w14:textId="77777777" w:rsidR="00385532" w:rsidRPr="00050B91" w:rsidRDefault="00385532" w:rsidP="003219BB">
      <w:pPr>
        <w:spacing w:line="360" w:lineRule="auto"/>
        <w:rPr>
          <w:rFonts w:ascii="Arial" w:hAnsi="Arial" w:cs="Arial"/>
          <w:b/>
          <w:bCs/>
          <w:sz w:val="22"/>
          <w:szCs w:val="22"/>
        </w:rPr>
      </w:pPr>
    </w:p>
    <w:p w14:paraId="412CE533" w14:textId="77777777" w:rsidR="00385532" w:rsidRPr="00050B91" w:rsidRDefault="00385532" w:rsidP="003219BB">
      <w:pPr>
        <w:spacing w:line="360" w:lineRule="auto"/>
        <w:rPr>
          <w:rFonts w:ascii="Arial" w:hAnsi="Arial" w:cs="Arial"/>
          <w:b/>
          <w:bCs/>
          <w:sz w:val="22"/>
          <w:szCs w:val="22"/>
        </w:rPr>
      </w:pPr>
    </w:p>
    <w:p w14:paraId="28AB59A8" w14:textId="77777777" w:rsidR="00385532" w:rsidRPr="00050B91" w:rsidRDefault="00385532" w:rsidP="003219BB">
      <w:pPr>
        <w:spacing w:line="360" w:lineRule="auto"/>
        <w:rPr>
          <w:rFonts w:ascii="Arial" w:hAnsi="Arial" w:cs="Arial"/>
          <w:b/>
          <w:bCs/>
          <w:sz w:val="22"/>
          <w:szCs w:val="22"/>
        </w:rPr>
      </w:pPr>
    </w:p>
    <w:p w14:paraId="7342CA21" w14:textId="4EDCCEEA" w:rsidR="00385532" w:rsidRPr="00411289" w:rsidRDefault="00E331B2" w:rsidP="003219BB">
      <w:pPr>
        <w:spacing w:line="360" w:lineRule="auto"/>
        <w:rPr>
          <w:rFonts w:ascii="Arial" w:hAnsi="Arial" w:cs="Arial"/>
          <w:b/>
          <w:bCs/>
          <w:color w:val="EE0000"/>
          <w:sz w:val="36"/>
          <w:szCs w:val="36"/>
        </w:rPr>
      </w:pPr>
      <w:r w:rsidRPr="00411289">
        <w:rPr>
          <w:rFonts w:ascii="Arial" w:hAnsi="Arial" w:cs="Arial"/>
          <w:b/>
          <w:bCs/>
          <w:color w:val="EE0000"/>
          <w:sz w:val="36"/>
          <w:szCs w:val="36"/>
        </w:rPr>
        <w:t>Title Page</w:t>
      </w:r>
    </w:p>
    <w:p w14:paraId="3D2EEF30" w14:textId="1277C651" w:rsidR="00E331B2" w:rsidRPr="00411289" w:rsidRDefault="00E331B2" w:rsidP="003219BB">
      <w:pPr>
        <w:spacing w:line="360" w:lineRule="auto"/>
        <w:rPr>
          <w:rFonts w:ascii="Arial" w:hAnsi="Arial" w:cs="Arial"/>
          <w:b/>
          <w:bCs/>
        </w:rPr>
      </w:pPr>
      <w:r w:rsidRPr="00411289">
        <w:rPr>
          <w:rFonts w:ascii="Arial" w:hAnsi="Arial" w:cs="Arial"/>
          <w:b/>
          <w:bCs/>
        </w:rPr>
        <w:t xml:space="preserve">Student </w:t>
      </w:r>
      <w:r w:rsidR="00411289" w:rsidRPr="00411289">
        <w:rPr>
          <w:rFonts w:ascii="Arial" w:hAnsi="Arial" w:cs="Arial"/>
          <w:b/>
          <w:bCs/>
        </w:rPr>
        <w:t>name: Kingsley</w:t>
      </w:r>
      <w:r w:rsidRPr="00411289">
        <w:rPr>
          <w:rFonts w:ascii="Arial" w:hAnsi="Arial" w:cs="Arial"/>
          <w:b/>
          <w:bCs/>
        </w:rPr>
        <w:t xml:space="preserve"> Adu </w:t>
      </w:r>
      <w:proofErr w:type="spellStart"/>
      <w:r w:rsidRPr="00411289">
        <w:rPr>
          <w:rFonts w:ascii="Arial" w:hAnsi="Arial" w:cs="Arial"/>
          <w:b/>
          <w:bCs/>
        </w:rPr>
        <w:t>Brefo</w:t>
      </w:r>
      <w:proofErr w:type="spellEnd"/>
    </w:p>
    <w:p w14:paraId="78824F33" w14:textId="54E84A0B" w:rsidR="00B813DF" w:rsidRPr="00411289" w:rsidRDefault="00E331B2" w:rsidP="003219BB">
      <w:pPr>
        <w:spacing w:line="360" w:lineRule="auto"/>
        <w:rPr>
          <w:rFonts w:ascii="Arial" w:hAnsi="Arial" w:cs="Arial"/>
          <w:b/>
          <w:bCs/>
        </w:rPr>
      </w:pPr>
      <w:r w:rsidRPr="00411289">
        <w:rPr>
          <w:rFonts w:ascii="Arial" w:hAnsi="Arial" w:cs="Arial"/>
          <w:b/>
          <w:bCs/>
        </w:rPr>
        <w:t>Student ID:2424521</w:t>
      </w:r>
    </w:p>
    <w:p w14:paraId="42B25490" w14:textId="77777777" w:rsidR="00B813DF" w:rsidRPr="00411289" w:rsidRDefault="00B813DF" w:rsidP="003219BB">
      <w:pPr>
        <w:spacing w:line="360" w:lineRule="auto"/>
        <w:rPr>
          <w:rFonts w:ascii="Arial" w:hAnsi="Arial" w:cs="Arial"/>
          <w:b/>
          <w:bCs/>
        </w:rPr>
      </w:pPr>
      <w:r w:rsidRPr="00411289">
        <w:rPr>
          <w:rFonts w:ascii="Arial" w:hAnsi="Arial" w:cs="Arial"/>
          <w:b/>
          <w:bCs/>
        </w:rPr>
        <w:t xml:space="preserve">Module: Changemakers: Creativity and Value Creation </w:t>
      </w:r>
    </w:p>
    <w:p w14:paraId="1D5D0177" w14:textId="3A254419" w:rsidR="00385532" w:rsidRPr="00411289" w:rsidRDefault="00B813DF" w:rsidP="003219BB">
      <w:pPr>
        <w:spacing w:line="360" w:lineRule="auto"/>
        <w:rPr>
          <w:rFonts w:ascii="Arial" w:hAnsi="Arial" w:cs="Arial"/>
          <w:b/>
          <w:bCs/>
        </w:rPr>
      </w:pPr>
      <w:r w:rsidRPr="00411289">
        <w:rPr>
          <w:rFonts w:ascii="Arial" w:hAnsi="Arial" w:cs="Arial"/>
          <w:b/>
          <w:bCs/>
        </w:rPr>
        <w:t>Module code: BMHP5014</w:t>
      </w:r>
    </w:p>
    <w:p w14:paraId="78E2B2B9" w14:textId="55F0BCC6" w:rsidR="00E331B2" w:rsidRPr="00411289" w:rsidRDefault="00E331B2" w:rsidP="003219BB">
      <w:pPr>
        <w:spacing w:line="360" w:lineRule="auto"/>
        <w:rPr>
          <w:rFonts w:ascii="Arial" w:hAnsi="Arial" w:cs="Arial"/>
          <w:b/>
          <w:bCs/>
        </w:rPr>
      </w:pPr>
      <w:r w:rsidRPr="00411289">
        <w:rPr>
          <w:rFonts w:ascii="Arial" w:hAnsi="Arial" w:cs="Arial"/>
          <w:b/>
          <w:bCs/>
        </w:rPr>
        <w:t xml:space="preserve">Assignment </w:t>
      </w:r>
      <w:r w:rsidR="00411289" w:rsidRPr="00411289">
        <w:rPr>
          <w:rFonts w:ascii="Arial" w:hAnsi="Arial" w:cs="Arial"/>
          <w:b/>
          <w:bCs/>
        </w:rPr>
        <w:t>title: written</w:t>
      </w:r>
      <w:r w:rsidRPr="00411289">
        <w:rPr>
          <w:rFonts w:ascii="Arial" w:hAnsi="Arial" w:cs="Arial"/>
          <w:b/>
          <w:bCs/>
        </w:rPr>
        <w:t xml:space="preserve"> Report</w:t>
      </w:r>
    </w:p>
    <w:p w14:paraId="784B5338" w14:textId="77777777" w:rsidR="00385532" w:rsidRPr="00411289" w:rsidRDefault="00385532" w:rsidP="003219BB">
      <w:pPr>
        <w:spacing w:line="360" w:lineRule="auto"/>
        <w:rPr>
          <w:rFonts w:ascii="Arial" w:hAnsi="Arial" w:cs="Arial"/>
          <w:b/>
          <w:bCs/>
        </w:rPr>
      </w:pPr>
    </w:p>
    <w:p w14:paraId="19E57A4C" w14:textId="77777777" w:rsidR="00385532" w:rsidRPr="00050B91" w:rsidRDefault="00385532" w:rsidP="003219BB">
      <w:pPr>
        <w:spacing w:line="360" w:lineRule="auto"/>
        <w:rPr>
          <w:rFonts w:ascii="Arial" w:hAnsi="Arial" w:cs="Arial"/>
          <w:b/>
          <w:bCs/>
          <w:sz w:val="22"/>
          <w:szCs w:val="22"/>
        </w:rPr>
      </w:pPr>
    </w:p>
    <w:p w14:paraId="4F4DA213" w14:textId="77777777" w:rsidR="00385532" w:rsidRPr="00050B91" w:rsidRDefault="00385532" w:rsidP="003219BB">
      <w:pPr>
        <w:spacing w:line="360" w:lineRule="auto"/>
        <w:rPr>
          <w:rFonts w:ascii="Arial" w:hAnsi="Arial" w:cs="Arial"/>
          <w:b/>
          <w:bCs/>
          <w:sz w:val="22"/>
          <w:szCs w:val="22"/>
        </w:rPr>
      </w:pPr>
    </w:p>
    <w:p w14:paraId="365E6C21" w14:textId="77777777" w:rsidR="00385532" w:rsidRPr="00050B91" w:rsidRDefault="00385532" w:rsidP="003219BB">
      <w:pPr>
        <w:spacing w:line="360" w:lineRule="auto"/>
        <w:rPr>
          <w:rFonts w:ascii="Arial" w:hAnsi="Arial" w:cs="Arial"/>
          <w:b/>
          <w:bCs/>
          <w:sz w:val="22"/>
          <w:szCs w:val="22"/>
        </w:rPr>
      </w:pPr>
    </w:p>
    <w:p w14:paraId="0BC442CC" w14:textId="77777777" w:rsidR="00385532" w:rsidRPr="00050B91" w:rsidRDefault="00385532" w:rsidP="003219BB">
      <w:pPr>
        <w:spacing w:line="360" w:lineRule="auto"/>
        <w:rPr>
          <w:rFonts w:ascii="Arial" w:hAnsi="Arial" w:cs="Arial"/>
          <w:b/>
          <w:bCs/>
          <w:sz w:val="22"/>
          <w:szCs w:val="22"/>
        </w:rPr>
      </w:pPr>
    </w:p>
    <w:p w14:paraId="48B9CED5" w14:textId="77777777" w:rsidR="00385532" w:rsidRPr="00050B91" w:rsidRDefault="00385532" w:rsidP="003219BB">
      <w:pPr>
        <w:spacing w:line="360" w:lineRule="auto"/>
        <w:rPr>
          <w:rFonts w:ascii="Arial" w:hAnsi="Arial" w:cs="Arial"/>
          <w:b/>
          <w:bCs/>
          <w:sz w:val="22"/>
          <w:szCs w:val="22"/>
        </w:rPr>
      </w:pPr>
    </w:p>
    <w:p w14:paraId="1953133A" w14:textId="77777777" w:rsidR="00385532" w:rsidRPr="00050B91" w:rsidRDefault="00385532" w:rsidP="003219BB">
      <w:pPr>
        <w:spacing w:line="360" w:lineRule="auto"/>
        <w:rPr>
          <w:rFonts w:ascii="Arial" w:hAnsi="Arial" w:cs="Arial"/>
          <w:b/>
          <w:bCs/>
          <w:sz w:val="22"/>
          <w:szCs w:val="22"/>
        </w:rPr>
      </w:pPr>
    </w:p>
    <w:p w14:paraId="05924DEB" w14:textId="77777777" w:rsidR="00385532" w:rsidRPr="00050B91" w:rsidRDefault="00385532" w:rsidP="003219BB">
      <w:pPr>
        <w:spacing w:line="360" w:lineRule="auto"/>
        <w:rPr>
          <w:rFonts w:ascii="Arial" w:hAnsi="Arial" w:cs="Arial"/>
          <w:b/>
          <w:bCs/>
          <w:sz w:val="22"/>
          <w:szCs w:val="22"/>
        </w:rPr>
      </w:pPr>
    </w:p>
    <w:p w14:paraId="7044D3C4" w14:textId="77777777" w:rsidR="00385532" w:rsidRPr="00050B91" w:rsidRDefault="00385532" w:rsidP="003219BB">
      <w:pPr>
        <w:spacing w:line="360" w:lineRule="auto"/>
        <w:rPr>
          <w:rFonts w:ascii="Arial" w:hAnsi="Arial" w:cs="Arial"/>
          <w:b/>
          <w:bCs/>
          <w:sz w:val="22"/>
          <w:szCs w:val="22"/>
        </w:rPr>
      </w:pPr>
    </w:p>
    <w:p w14:paraId="242F8F31" w14:textId="77777777" w:rsidR="00385532" w:rsidRPr="00050B91" w:rsidRDefault="00385532" w:rsidP="003219BB">
      <w:pPr>
        <w:spacing w:line="360" w:lineRule="auto"/>
        <w:rPr>
          <w:rFonts w:ascii="Arial" w:hAnsi="Arial" w:cs="Arial"/>
          <w:b/>
          <w:bCs/>
          <w:sz w:val="22"/>
          <w:szCs w:val="22"/>
        </w:rPr>
      </w:pPr>
    </w:p>
    <w:p w14:paraId="24054348" w14:textId="77777777" w:rsidR="00385532" w:rsidRPr="00050B91" w:rsidRDefault="00385532" w:rsidP="003219BB">
      <w:pPr>
        <w:spacing w:line="360" w:lineRule="auto"/>
        <w:rPr>
          <w:rFonts w:ascii="Arial" w:hAnsi="Arial" w:cs="Arial"/>
          <w:b/>
          <w:bCs/>
          <w:sz w:val="22"/>
          <w:szCs w:val="22"/>
        </w:rPr>
      </w:pPr>
    </w:p>
    <w:p w14:paraId="1C0140E8" w14:textId="77777777" w:rsidR="00385532" w:rsidRPr="00050B91" w:rsidRDefault="00385532" w:rsidP="003219BB">
      <w:pPr>
        <w:spacing w:line="360" w:lineRule="auto"/>
        <w:rPr>
          <w:rFonts w:ascii="Arial" w:hAnsi="Arial" w:cs="Arial"/>
          <w:b/>
          <w:bCs/>
          <w:sz w:val="22"/>
          <w:szCs w:val="22"/>
        </w:rPr>
      </w:pPr>
    </w:p>
    <w:p w14:paraId="32FF401D" w14:textId="77777777" w:rsidR="00385532" w:rsidRPr="00050B91" w:rsidRDefault="00385532" w:rsidP="003219BB">
      <w:pPr>
        <w:spacing w:line="360" w:lineRule="auto"/>
        <w:rPr>
          <w:rFonts w:ascii="Arial" w:hAnsi="Arial" w:cs="Arial"/>
          <w:b/>
          <w:bCs/>
          <w:sz w:val="22"/>
          <w:szCs w:val="22"/>
        </w:rPr>
      </w:pPr>
    </w:p>
    <w:p w14:paraId="35E652CC" w14:textId="77777777" w:rsidR="00385532" w:rsidRPr="00050B91" w:rsidRDefault="00385532" w:rsidP="003219BB">
      <w:pPr>
        <w:spacing w:line="360" w:lineRule="auto"/>
        <w:rPr>
          <w:rFonts w:ascii="Arial" w:hAnsi="Arial" w:cs="Arial"/>
          <w:b/>
          <w:bCs/>
          <w:sz w:val="22"/>
          <w:szCs w:val="22"/>
        </w:rPr>
      </w:pPr>
    </w:p>
    <w:p w14:paraId="72B2E58E" w14:textId="77777777" w:rsidR="00385532" w:rsidRPr="00050B91" w:rsidRDefault="00385532" w:rsidP="003219BB">
      <w:pPr>
        <w:spacing w:line="360" w:lineRule="auto"/>
        <w:rPr>
          <w:rFonts w:ascii="Arial" w:hAnsi="Arial" w:cs="Arial"/>
          <w:b/>
          <w:bCs/>
          <w:sz w:val="22"/>
          <w:szCs w:val="22"/>
        </w:rPr>
      </w:pPr>
    </w:p>
    <w:p w14:paraId="11C054DB" w14:textId="77777777" w:rsidR="00385532" w:rsidRPr="00050B91" w:rsidRDefault="00385532" w:rsidP="003219BB">
      <w:pPr>
        <w:spacing w:line="360" w:lineRule="auto"/>
        <w:rPr>
          <w:rFonts w:ascii="Arial" w:hAnsi="Arial" w:cs="Arial"/>
          <w:b/>
          <w:bCs/>
          <w:sz w:val="22"/>
          <w:szCs w:val="22"/>
        </w:rPr>
      </w:pPr>
    </w:p>
    <w:p w14:paraId="1BB719A2" w14:textId="59E4E734" w:rsidR="003219BB" w:rsidRPr="00050B91" w:rsidRDefault="003219BB" w:rsidP="003219BB">
      <w:pPr>
        <w:spacing w:line="360" w:lineRule="auto"/>
        <w:rPr>
          <w:rFonts w:ascii="Arial" w:hAnsi="Arial" w:cs="Arial"/>
          <w:b/>
          <w:bCs/>
          <w:sz w:val="22"/>
          <w:szCs w:val="22"/>
        </w:rPr>
      </w:pPr>
      <w:proofErr w:type="spellStart"/>
      <w:r w:rsidRPr="00050B91">
        <w:rPr>
          <w:rFonts w:ascii="Arial" w:hAnsi="Arial" w:cs="Arial"/>
          <w:b/>
          <w:bCs/>
          <w:sz w:val="22"/>
          <w:szCs w:val="22"/>
        </w:rPr>
        <w:t>CareConnect</w:t>
      </w:r>
      <w:proofErr w:type="spellEnd"/>
      <w:r w:rsidRPr="00050B91">
        <w:rPr>
          <w:rFonts w:ascii="Arial" w:hAnsi="Arial" w:cs="Arial"/>
          <w:b/>
          <w:bCs/>
          <w:sz w:val="22"/>
          <w:szCs w:val="22"/>
        </w:rPr>
        <w:t xml:space="preserve"> UK</w:t>
      </w:r>
    </w:p>
    <w:p w14:paraId="0EC459B2" w14:textId="7461AD66" w:rsidR="003219BB" w:rsidRPr="00050B91" w:rsidRDefault="003219BB" w:rsidP="003219BB">
      <w:pPr>
        <w:spacing w:line="360" w:lineRule="auto"/>
        <w:rPr>
          <w:rFonts w:ascii="Arial" w:hAnsi="Arial" w:cs="Arial"/>
          <w:b/>
          <w:bCs/>
          <w:sz w:val="22"/>
          <w:szCs w:val="22"/>
        </w:rPr>
      </w:pPr>
      <w:r w:rsidRPr="00050B91">
        <w:rPr>
          <w:rFonts w:ascii="Arial" w:hAnsi="Arial" w:cs="Arial"/>
          <w:b/>
          <w:bCs/>
          <w:sz w:val="22"/>
          <w:szCs w:val="22"/>
        </w:rPr>
        <w:t>Connecting Communities, Enhancing Wellbeing: An AI-Enabled Social Prescribing Network for Older Adults</w:t>
      </w:r>
    </w:p>
    <w:p w14:paraId="4BEF3A18" w14:textId="79B37AEF" w:rsidR="003219BB" w:rsidRPr="00050B91" w:rsidRDefault="007A0B6D" w:rsidP="003219BB">
      <w:pPr>
        <w:spacing w:line="360" w:lineRule="auto"/>
        <w:rPr>
          <w:rFonts w:ascii="Arial" w:hAnsi="Arial" w:cs="Arial"/>
          <w:sz w:val="22"/>
          <w:szCs w:val="22"/>
        </w:rPr>
      </w:pPr>
      <w:r w:rsidRPr="00050B91">
        <w:rPr>
          <w:rFonts w:ascii="Arial" w:hAnsi="Arial" w:cs="Arial"/>
          <w:noProof/>
          <w:sz w:val="22"/>
          <w:szCs w:val="22"/>
        </w:rPr>
        <w:drawing>
          <wp:inline distT="0" distB="0" distL="0" distR="0" wp14:anchorId="4AA2C7CF" wp14:editId="66A3961F">
            <wp:extent cx="6334443" cy="6064250"/>
            <wp:effectExtent l="0" t="0" r="9525" b="0"/>
            <wp:docPr id="12247046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39938" cy="6069511"/>
                    </a:xfrm>
                    <a:prstGeom prst="rect">
                      <a:avLst/>
                    </a:prstGeom>
                    <a:noFill/>
                    <a:ln>
                      <a:noFill/>
                    </a:ln>
                  </pic:spPr>
                </pic:pic>
              </a:graphicData>
            </a:graphic>
          </wp:inline>
        </w:drawing>
      </w:r>
    </w:p>
    <w:p w14:paraId="5EF73BA7" w14:textId="6173CC29" w:rsidR="00637018" w:rsidRPr="00050B91" w:rsidRDefault="007A0B6D" w:rsidP="003219BB">
      <w:pPr>
        <w:spacing w:line="360" w:lineRule="auto"/>
        <w:rPr>
          <w:rFonts w:ascii="Arial" w:hAnsi="Arial" w:cs="Arial"/>
          <w:sz w:val="22"/>
          <w:szCs w:val="22"/>
        </w:rPr>
      </w:pPr>
      <w:r w:rsidRPr="00050B91">
        <w:rPr>
          <w:rFonts w:ascii="Arial" w:hAnsi="Arial" w:cs="Arial"/>
          <w:noProof/>
          <w:sz w:val="22"/>
          <w:szCs w:val="22"/>
        </w:rPr>
        <w:lastRenderedPageBreak/>
        <w:drawing>
          <wp:inline distT="0" distB="0" distL="0" distR="0" wp14:anchorId="1379CADD" wp14:editId="04AF28F3">
            <wp:extent cx="6444629" cy="6318250"/>
            <wp:effectExtent l="0" t="0" r="0" b="0"/>
            <wp:docPr id="7059684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48242" cy="6321792"/>
                    </a:xfrm>
                    <a:prstGeom prst="rect">
                      <a:avLst/>
                    </a:prstGeom>
                    <a:noFill/>
                    <a:ln>
                      <a:noFill/>
                    </a:ln>
                  </pic:spPr>
                </pic:pic>
              </a:graphicData>
            </a:graphic>
          </wp:inline>
        </w:drawing>
      </w:r>
    </w:p>
    <w:p w14:paraId="35F3DBB0" w14:textId="77777777" w:rsidR="00637018" w:rsidRPr="00050B91" w:rsidRDefault="00637018" w:rsidP="003219BB">
      <w:pPr>
        <w:spacing w:line="360" w:lineRule="auto"/>
        <w:rPr>
          <w:rFonts w:ascii="Arial" w:hAnsi="Arial" w:cs="Arial"/>
          <w:sz w:val="22"/>
          <w:szCs w:val="22"/>
        </w:rPr>
      </w:pPr>
    </w:p>
    <w:p w14:paraId="148211EB" w14:textId="77777777" w:rsidR="00637018" w:rsidRPr="00050B91" w:rsidRDefault="00637018" w:rsidP="003219BB">
      <w:pPr>
        <w:spacing w:line="360" w:lineRule="auto"/>
        <w:rPr>
          <w:rFonts w:ascii="Arial" w:hAnsi="Arial" w:cs="Arial"/>
          <w:sz w:val="22"/>
          <w:szCs w:val="22"/>
        </w:rPr>
      </w:pPr>
    </w:p>
    <w:p w14:paraId="67963628" w14:textId="77777777" w:rsidR="00637018" w:rsidRPr="00050B91" w:rsidRDefault="00637018" w:rsidP="003219BB">
      <w:pPr>
        <w:spacing w:line="360" w:lineRule="auto"/>
        <w:rPr>
          <w:rFonts w:ascii="Arial" w:hAnsi="Arial" w:cs="Arial"/>
          <w:sz w:val="22"/>
          <w:szCs w:val="22"/>
        </w:rPr>
      </w:pPr>
    </w:p>
    <w:p w14:paraId="46BCF38A" w14:textId="77777777" w:rsidR="00637018" w:rsidRPr="00050B91" w:rsidRDefault="00637018" w:rsidP="003219BB">
      <w:pPr>
        <w:spacing w:line="360" w:lineRule="auto"/>
        <w:rPr>
          <w:rFonts w:ascii="Arial" w:hAnsi="Arial" w:cs="Arial"/>
          <w:sz w:val="22"/>
          <w:szCs w:val="22"/>
        </w:rPr>
      </w:pPr>
    </w:p>
    <w:p w14:paraId="4BC82DBB" w14:textId="77777777" w:rsidR="007A0B6D" w:rsidRPr="00050B91" w:rsidRDefault="007A0B6D" w:rsidP="003219BB">
      <w:pPr>
        <w:spacing w:line="360" w:lineRule="auto"/>
        <w:rPr>
          <w:rFonts w:ascii="Arial" w:hAnsi="Arial" w:cs="Arial"/>
          <w:sz w:val="22"/>
          <w:szCs w:val="22"/>
        </w:rPr>
      </w:pPr>
    </w:p>
    <w:p w14:paraId="1AB441EE" w14:textId="77777777" w:rsidR="007A0B6D" w:rsidRPr="00050B91" w:rsidRDefault="007A0B6D" w:rsidP="003219BB">
      <w:pPr>
        <w:spacing w:line="360" w:lineRule="auto"/>
        <w:rPr>
          <w:rFonts w:ascii="Arial" w:hAnsi="Arial" w:cs="Arial"/>
          <w:sz w:val="22"/>
          <w:szCs w:val="22"/>
        </w:rPr>
      </w:pPr>
    </w:p>
    <w:p w14:paraId="1B679BE6" w14:textId="77777777" w:rsidR="00637018" w:rsidRPr="00050B91" w:rsidRDefault="00637018" w:rsidP="003219BB">
      <w:pPr>
        <w:spacing w:line="360" w:lineRule="auto"/>
        <w:rPr>
          <w:rFonts w:ascii="Arial" w:hAnsi="Arial" w:cs="Arial"/>
          <w:sz w:val="22"/>
          <w:szCs w:val="22"/>
        </w:rPr>
      </w:pPr>
    </w:p>
    <w:p w14:paraId="6F9EB0C8" w14:textId="0C59FDB8" w:rsidR="00385532" w:rsidRPr="00050B91" w:rsidRDefault="00385532" w:rsidP="00385532">
      <w:pPr>
        <w:spacing w:line="360" w:lineRule="auto"/>
        <w:jc w:val="center"/>
        <w:rPr>
          <w:rFonts w:ascii="Arial" w:hAnsi="Arial" w:cs="Arial"/>
          <w:b/>
          <w:bCs/>
          <w:sz w:val="22"/>
          <w:szCs w:val="22"/>
        </w:rPr>
      </w:pPr>
      <w:r w:rsidRPr="00050B91">
        <w:rPr>
          <w:rFonts w:ascii="Arial" w:hAnsi="Arial" w:cs="Arial"/>
          <w:b/>
          <w:bCs/>
          <w:sz w:val="22"/>
          <w:szCs w:val="22"/>
        </w:rPr>
        <w:lastRenderedPageBreak/>
        <w:t>Pitch</w:t>
      </w:r>
    </w:p>
    <w:p w14:paraId="526833F1" w14:textId="77777777" w:rsidR="00385532" w:rsidRPr="00050B91" w:rsidRDefault="00385532" w:rsidP="00385532">
      <w:pPr>
        <w:spacing w:line="360" w:lineRule="auto"/>
        <w:jc w:val="center"/>
        <w:rPr>
          <w:rFonts w:ascii="Arial" w:hAnsi="Arial" w:cs="Arial"/>
          <w:b/>
          <w:bCs/>
          <w:sz w:val="22"/>
          <w:szCs w:val="22"/>
        </w:rPr>
      </w:pPr>
      <w:proofErr w:type="spellStart"/>
      <w:r w:rsidRPr="00050B91">
        <w:rPr>
          <w:rFonts w:ascii="Arial" w:hAnsi="Arial" w:cs="Arial"/>
          <w:b/>
          <w:bCs/>
          <w:sz w:val="22"/>
          <w:szCs w:val="22"/>
        </w:rPr>
        <w:t>CareConnect</w:t>
      </w:r>
      <w:proofErr w:type="spellEnd"/>
      <w:r w:rsidRPr="00050B91">
        <w:rPr>
          <w:rFonts w:ascii="Arial" w:hAnsi="Arial" w:cs="Arial"/>
          <w:b/>
          <w:bCs/>
          <w:sz w:val="22"/>
          <w:szCs w:val="22"/>
        </w:rPr>
        <w:t xml:space="preserve"> UK: A Digital Solution to Combat Loneliness and Promote Healthy Ageing</w:t>
      </w:r>
    </w:p>
    <w:p w14:paraId="029D8AAF" w14:textId="1C932DC4" w:rsidR="00385532" w:rsidRPr="00050B91" w:rsidRDefault="00385532" w:rsidP="00385532">
      <w:pPr>
        <w:spacing w:line="360" w:lineRule="auto"/>
        <w:jc w:val="both"/>
        <w:rPr>
          <w:rFonts w:ascii="Arial" w:hAnsi="Arial" w:cs="Arial"/>
          <w:b/>
          <w:bCs/>
          <w:sz w:val="22"/>
          <w:szCs w:val="22"/>
        </w:rPr>
      </w:pPr>
      <w:r w:rsidRPr="00050B91">
        <w:rPr>
          <w:rFonts w:ascii="Arial" w:hAnsi="Arial" w:cs="Arial"/>
          <w:b/>
          <w:bCs/>
          <w:sz w:val="22"/>
          <w:szCs w:val="22"/>
        </w:rPr>
        <w:t>Introduction</w:t>
      </w:r>
      <w:r w:rsidR="00BF2B48">
        <w:rPr>
          <w:rFonts w:ascii="Arial" w:hAnsi="Arial" w:cs="Arial"/>
          <w:b/>
          <w:bCs/>
          <w:sz w:val="22"/>
          <w:szCs w:val="22"/>
        </w:rPr>
        <w:t xml:space="preserve"> </w:t>
      </w:r>
    </w:p>
    <w:p w14:paraId="70DDFECA"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Loneliness and social isolation are growing public health concerns affecting older adults across the United Kingdom. While advances in healthcare have increased life expectancy, many older people experience declining social connections due to retirement, bereavement, reduced mobility, and long-term health conditions. According to Age UK (2024), approximately 940,000 people aged 65 and over often feel lonely. Research has shown that loneliness is associated with poorer mental health, reduced quality of life, increased risk of chronic illness, and greater use of health and social care services (Holt-</w:t>
      </w:r>
      <w:proofErr w:type="spellStart"/>
      <w:r w:rsidRPr="00050B91">
        <w:rPr>
          <w:rFonts w:ascii="Arial" w:hAnsi="Arial" w:cs="Arial"/>
          <w:sz w:val="22"/>
          <w:szCs w:val="22"/>
        </w:rPr>
        <w:t>Lunstad</w:t>
      </w:r>
      <w:proofErr w:type="spellEnd"/>
      <w:r w:rsidRPr="00050B91">
        <w:rPr>
          <w:rFonts w:ascii="Arial" w:hAnsi="Arial" w:cs="Arial"/>
          <w:sz w:val="22"/>
          <w:szCs w:val="22"/>
        </w:rPr>
        <w:t>, 2021).</w:t>
      </w:r>
    </w:p>
    <w:p w14:paraId="0F847377"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 xml:space="preserve">As the UK population continues to age, health and social care services face increasing demand and financial pressures. Therefore, innovative approaches are needed to address the social determinants of health while supporting preventative care.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is a proposed AI-enabled social prescribing network designed to reduce loneliness, improve wellbeing, and strengthen community connections among older adults. By integrating digital technology with community-based support, the initiative creates value for service users, healthcare professionals, and society.</w:t>
      </w:r>
    </w:p>
    <w:p w14:paraId="674E4BCF" w14:textId="77777777" w:rsidR="00385532" w:rsidRPr="00050B91" w:rsidRDefault="00385532" w:rsidP="00385532">
      <w:pPr>
        <w:spacing w:line="360" w:lineRule="auto"/>
        <w:jc w:val="both"/>
        <w:rPr>
          <w:rFonts w:ascii="Arial" w:hAnsi="Arial" w:cs="Arial"/>
          <w:b/>
          <w:bCs/>
          <w:sz w:val="22"/>
          <w:szCs w:val="22"/>
        </w:rPr>
      </w:pPr>
      <w:r w:rsidRPr="00050B91">
        <w:rPr>
          <w:rFonts w:ascii="Arial" w:hAnsi="Arial" w:cs="Arial"/>
          <w:b/>
          <w:bCs/>
          <w:sz w:val="22"/>
          <w:szCs w:val="22"/>
        </w:rPr>
        <w:t xml:space="preserve">Why </w:t>
      </w:r>
      <w:proofErr w:type="spellStart"/>
      <w:r w:rsidRPr="00050B91">
        <w:rPr>
          <w:rFonts w:ascii="Arial" w:hAnsi="Arial" w:cs="Arial"/>
          <w:b/>
          <w:bCs/>
          <w:sz w:val="22"/>
          <w:szCs w:val="22"/>
        </w:rPr>
        <w:t>CareConnect</w:t>
      </w:r>
      <w:proofErr w:type="spellEnd"/>
      <w:r w:rsidRPr="00050B91">
        <w:rPr>
          <w:rFonts w:ascii="Arial" w:hAnsi="Arial" w:cs="Arial"/>
          <w:b/>
          <w:bCs/>
          <w:sz w:val="22"/>
          <w:szCs w:val="22"/>
        </w:rPr>
        <w:t xml:space="preserve"> UK Matters</w:t>
      </w:r>
    </w:p>
    <w:p w14:paraId="41BF2B27"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Loneliness is not simply an emotional issue; it is a significant health concern that can affect physical, mental, and social wellbeing. Studies have demonstrated that social isolation can increase the risk of depression, anxiety, cognitive decline, cardiovascular disease, and premature mortality (Holt-</w:t>
      </w:r>
      <w:proofErr w:type="spellStart"/>
      <w:r w:rsidRPr="00050B91">
        <w:rPr>
          <w:rFonts w:ascii="Arial" w:hAnsi="Arial" w:cs="Arial"/>
          <w:sz w:val="22"/>
          <w:szCs w:val="22"/>
        </w:rPr>
        <w:t>Lunstad</w:t>
      </w:r>
      <w:proofErr w:type="spellEnd"/>
      <w:r w:rsidRPr="00050B91">
        <w:rPr>
          <w:rFonts w:ascii="Arial" w:hAnsi="Arial" w:cs="Arial"/>
          <w:sz w:val="22"/>
          <w:szCs w:val="22"/>
        </w:rPr>
        <w:t xml:space="preserve"> et al., 2015). Furthermore, loneliness has been linked to increased use of primary care services and avoidable hospital admissions, creating additional pressure on the NHS (Courtin and Knapp, 2017).</w:t>
      </w:r>
    </w:p>
    <w:p w14:paraId="5DE740AC"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 xml:space="preserve">Although social prescribing schemes already exist within the UK, many older adults remain unaware of available support services or struggle to access them. Existing services can be fragmented, making it difficult for individuals to navigate available resources.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addresses this gap by providing a single, accessible platform that connects older adults to local services, support groups, community activities, and volunteer networks.</w:t>
      </w:r>
    </w:p>
    <w:p w14:paraId="0BA8E798"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 xml:space="preserve">The innovation moves beyond traditional service delivery by using artificial intelligence to personalise recommendations according to individual needs, preferences, and wellbeing </w:t>
      </w:r>
      <w:r w:rsidRPr="00050B91">
        <w:rPr>
          <w:rFonts w:ascii="Arial" w:hAnsi="Arial" w:cs="Arial"/>
          <w:sz w:val="22"/>
          <w:szCs w:val="22"/>
        </w:rPr>
        <w:lastRenderedPageBreak/>
        <w:t>goals. This person-centred approach increases the likelihood of meaningful engagement and positive outcomes.</w:t>
      </w:r>
    </w:p>
    <w:p w14:paraId="69C97547" w14:textId="77777777" w:rsidR="00385532" w:rsidRPr="00050B91" w:rsidRDefault="00385532" w:rsidP="00385532">
      <w:pPr>
        <w:spacing w:line="360" w:lineRule="auto"/>
        <w:jc w:val="both"/>
        <w:rPr>
          <w:rFonts w:ascii="Arial" w:hAnsi="Arial" w:cs="Arial"/>
          <w:b/>
          <w:bCs/>
          <w:sz w:val="22"/>
          <w:szCs w:val="22"/>
        </w:rPr>
      </w:pPr>
      <w:r w:rsidRPr="00050B91">
        <w:rPr>
          <w:rFonts w:ascii="Arial" w:hAnsi="Arial" w:cs="Arial"/>
          <w:b/>
          <w:bCs/>
          <w:sz w:val="22"/>
          <w:szCs w:val="22"/>
        </w:rPr>
        <w:t>How the Innovation Improves Health and Wellbeing</w:t>
      </w:r>
    </w:p>
    <w:p w14:paraId="36E5595D"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The primary beneficiaries of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are adults aged 65 years and above, particularly those living alone, experiencing social isolation, or managing long-term health conditions. Family carers may also benefit through increased support, improved access to community services, and reduced caring pressures (Courtin and Knapp, 2017).</w:t>
      </w:r>
    </w:p>
    <w:p w14:paraId="17A2261F"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Strong social relationships are recognised as an important determinant of health and wellbeing. Research shows that individuals with stronger social connections experience better physical health, improved mental wellbeing, and lower risks of premature mortality than those who are socially isolated (Holt-</w:t>
      </w:r>
      <w:proofErr w:type="spellStart"/>
      <w:r w:rsidRPr="00050B91">
        <w:rPr>
          <w:rFonts w:ascii="Arial" w:hAnsi="Arial" w:cs="Arial"/>
          <w:sz w:val="22"/>
          <w:szCs w:val="22"/>
        </w:rPr>
        <w:t>Lunstad</w:t>
      </w:r>
      <w:proofErr w:type="spellEnd"/>
      <w:r w:rsidRPr="00050B91">
        <w:rPr>
          <w:rFonts w:ascii="Arial" w:hAnsi="Arial" w:cs="Arial"/>
          <w:sz w:val="22"/>
          <w:szCs w:val="22"/>
        </w:rPr>
        <w:t>, Smith and Layton, 2010). More recently, Holt-</w:t>
      </w:r>
      <w:proofErr w:type="spellStart"/>
      <w:r w:rsidRPr="00050B91">
        <w:rPr>
          <w:rFonts w:ascii="Arial" w:hAnsi="Arial" w:cs="Arial"/>
          <w:sz w:val="22"/>
          <w:szCs w:val="22"/>
        </w:rPr>
        <w:t>Lunstad</w:t>
      </w:r>
      <w:proofErr w:type="spellEnd"/>
      <w:r w:rsidRPr="00050B91">
        <w:rPr>
          <w:rFonts w:ascii="Arial" w:hAnsi="Arial" w:cs="Arial"/>
          <w:sz w:val="22"/>
          <w:szCs w:val="22"/>
        </w:rPr>
        <w:t xml:space="preserve"> (2021) argues that social connection should be recognised as a public health priority because it contributes significantly to physical health, emotional wellbeing, resilience, and overall quality of life. By helping older adults participate in community activities and develop meaningful relationships,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promotes both mental and physical wellbeing (Levasseur et al., 2010).</w:t>
      </w:r>
    </w:p>
    <w:p w14:paraId="429D24DD"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The initiative encourages active ageing by supporting independence, social participation, and community engagement. Rather than waiting until individuals require intensive health or social care interventions,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adopts a preventative approach that focuses on maintaining wellbeing and reducing risk factors associated with loneliness. Evidence suggests that interventions promoting social participation can reduce loneliness and improve quality of life among older adults (Cattan et al., 2005; Gardiner, Geldenhuys and Gott, 2018).</w:t>
      </w:r>
    </w:p>
    <w:p w14:paraId="219C1591"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The platform also supports early intervention through regular wellbeing assessments and continuous engagement with users. This enables healthcare professionals to identify emerging physical, emotional, or social concerns before they develop into more serious health problems. Early identification and timely support have the potential to improve health outcomes while reducing avoidable healthcare utilisation and associated costs (Bickerdike et al., 2017; Drinkwater, Wildman and Moffatt, 2019).</w:t>
      </w:r>
    </w:p>
    <w:p w14:paraId="7BF42900" w14:textId="77777777" w:rsidR="00050B91" w:rsidRPr="00050B91" w:rsidRDefault="00050B91" w:rsidP="00050B91">
      <w:pPr>
        <w:spacing w:line="360" w:lineRule="auto"/>
        <w:jc w:val="both"/>
        <w:rPr>
          <w:rFonts w:ascii="Arial" w:hAnsi="Arial" w:cs="Arial"/>
          <w:b/>
          <w:bCs/>
          <w:sz w:val="22"/>
          <w:szCs w:val="22"/>
        </w:rPr>
      </w:pPr>
      <w:r w:rsidRPr="00050B91">
        <w:rPr>
          <w:rFonts w:ascii="Arial" w:hAnsi="Arial" w:cs="Arial"/>
          <w:b/>
          <w:bCs/>
          <w:sz w:val="22"/>
          <w:szCs w:val="22"/>
        </w:rPr>
        <w:t>Policy and Legislative Framework</w:t>
      </w:r>
    </w:p>
    <w:p w14:paraId="60D5D039" w14:textId="77777777" w:rsidR="00050B91" w:rsidRPr="00050B91" w:rsidRDefault="00050B91" w:rsidP="00050B91">
      <w:pPr>
        <w:spacing w:line="360" w:lineRule="auto"/>
        <w:jc w:val="both"/>
        <w:rPr>
          <w:rFonts w:ascii="Arial" w:hAnsi="Arial" w:cs="Arial"/>
          <w:sz w:val="22"/>
          <w:szCs w:val="22"/>
        </w:rPr>
      </w:pP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aligns closely with current UK health and social care policy. The NHS Long Term Plan (NHS England, 2019) highlights the importance of prevention, personalised care, integrated services, and community-based support. Social prescribing has become a key component of this strategy, recognising that many health conditions are influenced by social, economic, and environmental factors. Research demonstrates that social prescribing can </w:t>
      </w:r>
      <w:r w:rsidRPr="00050B91">
        <w:rPr>
          <w:rFonts w:ascii="Arial" w:hAnsi="Arial" w:cs="Arial"/>
          <w:sz w:val="22"/>
          <w:szCs w:val="22"/>
        </w:rPr>
        <w:lastRenderedPageBreak/>
        <w:t xml:space="preserve">improve wellbeing, reduce loneliness, and strengthen links between healthcare services and community organisations (Bickerdike et al., 2017; </w:t>
      </w:r>
      <w:proofErr w:type="spellStart"/>
      <w:r w:rsidRPr="00050B91">
        <w:rPr>
          <w:rFonts w:ascii="Arial" w:hAnsi="Arial" w:cs="Arial"/>
          <w:sz w:val="22"/>
          <w:szCs w:val="22"/>
        </w:rPr>
        <w:t>Pescheny</w:t>
      </w:r>
      <w:proofErr w:type="spellEnd"/>
      <w:r w:rsidRPr="00050B91">
        <w:rPr>
          <w:rFonts w:ascii="Arial" w:hAnsi="Arial" w:cs="Arial"/>
          <w:sz w:val="22"/>
          <w:szCs w:val="22"/>
        </w:rPr>
        <w:t>, Randhawa and Pappas, 2018).</w:t>
      </w:r>
    </w:p>
    <w:p w14:paraId="05A1F1DA"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The initiative also supports the principles outlined within the Care Act 2014, which places wellbeing, prevention, and individual empowerment at the centre of adult social care. By enabling older adults to maintain independence, access local support networks, and remain active within their communities,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contributes directly to these statutory objectives (Care Act 2014).</w:t>
      </w:r>
    </w:p>
    <w:p w14:paraId="30C7F530"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Several legislative frameworks must also be considered during implementation. As the platform collects, stores, and processes personal information, compliance with the Data Protection Act 2018 and the UK General Data Protection Regulation (UK GDPR) is essential. Secure data storage, encryption, user authentication, and strict access controls will help ensure that personal information remains confidential and protected (Data Protection Act 2018; UK GDPR, 2021).</w:t>
      </w:r>
    </w:p>
    <w:p w14:paraId="021606BC"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The Equality Act 2010 is equally important.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should be designed to ensure accessibility for all users regardless of age, disability, ethnicity, religion, gender, or socioeconomic background. Features such as simplified interfaces, adjustable text sizes, voice-assisted navigation, multilingual support, and compatibility with assistive technologies can help promote equal access and reduce digital exclusion (Equality Act 2010).</w:t>
      </w:r>
    </w:p>
    <w:p w14:paraId="220D1B09" w14:textId="77777777" w:rsidR="00050B91" w:rsidRPr="00050B91" w:rsidRDefault="00050B91" w:rsidP="00050B91">
      <w:pPr>
        <w:spacing w:line="360" w:lineRule="auto"/>
        <w:jc w:val="both"/>
        <w:rPr>
          <w:rFonts w:ascii="Arial" w:hAnsi="Arial" w:cs="Arial"/>
          <w:b/>
          <w:bCs/>
          <w:sz w:val="22"/>
          <w:szCs w:val="22"/>
        </w:rPr>
      </w:pPr>
      <w:r w:rsidRPr="00050B91">
        <w:rPr>
          <w:rFonts w:ascii="Arial" w:hAnsi="Arial" w:cs="Arial"/>
          <w:b/>
          <w:bCs/>
          <w:sz w:val="22"/>
          <w:szCs w:val="22"/>
        </w:rPr>
        <w:t>Professional Services Involved</w:t>
      </w:r>
    </w:p>
    <w:p w14:paraId="6BD2FFB6"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The successful implementation of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requires effective collaboration between multiple health and social care professionals. General practitioners (GPs) can identify individuals experiencing loneliness and social isolation during routine consultations and refer them to the service through social prescribing pathways. Community nurses can undertake ongoing wellbeing assessments and monitor changes in physical and mental health, while social workers can identify wider support needs, safeguarding concerns, and appropriate community services.</w:t>
      </w:r>
    </w:p>
    <w:p w14:paraId="18A8D8FD"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Occupational therapists can encourage participation in meaningful daily activities that promote independence, confidence, and wellbeing. Social prescribing link workers will play a particularly important role by connecting users with local community resources, voluntary organisations, exercise programmes, and peer-support opportunities (Drinkwater, Wildman and Moffatt, 2019).</w:t>
      </w:r>
    </w:p>
    <w:p w14:paraId="20991CBB"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The voluntary and community sector will also be essential partners in delivering the initiative. Organisations such as Age UK, local charities, community groups, faith organisations, and volunteer networks can provide befriending services, social activities, and practical support for </w:t>
      </w:r>
      <w:r w:rsidRPr="00050B91">
        <w:rPr>
          <w:rFonts w:ascii="Arial" w:hAnsi="Arial" w:cs="Arial"/>
          <w:sz w:val="22"/>
          <w:szCs w:val="22"/>
        </w:rPr>
        <w:lastRenderedPageBreak/>
        <w:t xml:space="preserve">older adults. This collaborative approach reflects the principles of integrated care, ensuring that support addresses the wider social determinants of health rather than focusing solely on medical treatment (Goodwin, 2016; Southby and </w:t>
      </w:r>
      <w:proofErr w:type="spellStart"/>
      <w:r w:rsidRPr="00050B91">
        <w:rPr>
          <w:rFonts w:ascii="Arial" w:hAnsi="Arial" w:cs="Arial"/>
          <w:sz w:val="22"/>
          <w:szCs w:val="22"/>
        </w:rPr>
        <w:t>Gamsu</w:t>
      </w:r>
      <w:proofErr w:type="spellEnd"/>
      <w:r w:rsidRPr="00050B91">
        <w:rPr>
          <w:rFonts w:ascii="Arial" w:hAnsi="Arial" w:cs="Arial"/>
          <w:sz w:val="22"/>
          <w:szCs w:val="22"/>
        </w:rPr>
        <w:t>, 2018).</w:t>
      </w:r>
    </w:p>
    <w:p w14:paraId="2CEFFBF7" w14:textId="77777777" w:rsidR="00050B91" w:rsidRPr="00050B91" w:rsidRDefault="00050B91" w:rsidP="00050B91">
      <w:pPr>
        <w:spacing w:line="360" w:lineRule="auto"/>
        <w:jc w:val="both"/>
        <w:rPr>
          <w:rFonts w:ascii="Arial" w:hAnsi="Arial" w:cs="Arial"/>
          <w:b/>
          <w:bCs/>
          <w:sz w:val="22"/>
          <w:szCs w:val="22"/>
        </w:rPr>
      </w:pPr>
      <w:r w:rsidRPr="00050B91">
        <w:rPr>
          <w:rFonts w:ascii="Arial" w:hAnsi="Arial" w:cs="Arial"/>
          <w:b/>
          <w:bCs/>
          <w:sz w:val="22"/>
          <w:szCs w:val="22"/>
        </w:rPr>
        <w:t>Why the Public Should Get Involved</w:t>
      </w:r>
    </w:p>
    <w:p w14:paraId="0DA1F7E5"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 xml:space="preserve">Public participation is fundamental to the success of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Loneliness cannot be addressed by healthcare services alone; it requires a coordinated response involving communities, voluntary organisations, families, and individuals. Members of the public can contribute by volunteering as befrienders, supporting local community activities, raising awareness through social media campaigns, and participating in fundraising initiatives.</w:t>
      </w:r>
    </w:p>
    <w:p w14:paraId="19AFB268" w14:textId="77777777" w:rsidR="00050B91" w:rsidRPr="00050B91" w:rsidRDefault="00050B91" w:rsidP="00050B91">
      <w:pPr>
        <w:spacing w:line="360" w:lineRule="auto"/>
        <w:jc w:val="both"/>
        <w:rPr>
          <w:rFonts w:ascii="Arial" w:hAnsi="Arial" w:cs="Arial"/>
          <w:sz w:val="22"/>
          <w:szCs w:val="22"/>
        </w:rPr>
      </w:pPr>
      <w:r w:rsidRPr="00050B91">
        <w:rPr>
          <w:rFonts w:ascii="Arial" w:hAnsi="Arial" w:cs="Arial"/>
          <w:sz w:val="22"/>
          <w:szCs w:val="22"/>
        </w:rPr>
        <w:t>Community involvement strengthens social networks and creates opportunities for meaningful intergenerational relationships. Volunteers not only improve the lives of older adults but also experience personal benefits, including improved wellbeing, greater social connectedness, and increased life satisfaction (Jenkinson et al., 2013).</w:t>
      </w:r>
    </w:p>
    <w:p w14:paraId="6D373F9F" w14:textId="023B62B1" w:rsidR="00385532" w:rsidRPr="00050B91" w:rsidRDefault="00050B91" w:rsidP="00385532">
      <w:pPr>
        <w:spacing w:line="360" w:lineRule="auto"/>
        <w:jc w:val="both"/>
        <w:rPr>
          <w:rFonts w:ascii="Arial" w:hAnsi="Arial" w:cs="Arial"/>
          <w:sz w:val="22"/>
          <w:szCs w:val="22"/>
        </w:rPr>
      </w:pPr>
      <w:r w:rsidRPr="00050B91">
        <w:rPr>
          <w:rFonts w:ascii="Arial" w:hAnsi="Arial" w:cs="Arial"/>
          <w:sz w:val="22"/>
          <w:szCs w:val="22"/>
        </w:rPr>
        <w:t xml:space="preserve">The public should support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because loneliness affects entire communities, not just individuals. When older adults are connected, supported, and actively engaged in society, communities become healthier, stronger, and more inclusive. Encouraging collective responsibility for wellbeing reflects the principles of social value, community resilience, and the common good that underpin contemporary health and social care practice (Holt-</w:t>
      </w:r>
      <w:proofErr w:type="spellStart"/>
      <w:r w:rsidRPr="00050B91">
        <w:rPr>
          <w:rFonts w:ascii="Arial" w:hAnsi="Arial" w:cs="Arial"/>
          <w:sz w:val="22"/>
          <w:szCs w:val="22"/>
        </w:rPr>
        <w:t>Lunstad</w:t>
      </w:r>
      <w:proofErr w:type="spellEnd"/>
      <w:r w:rsidRPr="00050B91">
        <w:rPr>
          <w:rFonts w:ascii="Arial" w:hAnsi="Arial" w:cs="Arial"/>
          <w:sz w:val="22"/>
          <w:szCs w:val="22"/>
        </w:rPr>
        <w:t>, 2021; Goodwin, 2016).</w:t>
      </w:r>
    </w:p>
    <w:p w14:paraId="7B909817" w14:textId="77777777" w:rsidR="00385532" w:rsidRPr="00050B91" w:rsidRDefault="00385532" w:rsidP="00385532">
      <w:pPr>
        <w:spacing w:line="360" w:lineRule="auto"/>
        <w:jc w:val="both"/>
        <w:rPr>
          <w:rFonts w:ascii="Arial" w:hAnsi="Arial" w:cs="Arial"/>
          <w:b/>
          <w:bCs/>
          <w:sz w:val="22"/>
          <w:szCs w:val="22"/>
        </w:rPr>
      </w:pPr>
      <w:r w:rsidRPr="00050B91">
        <w:rPr>
          <w:rFonts w:ascii="Arial" w:hAnsi="Arial" w:cs="Arial"/>
          <w:b/>
          <w:bCs/>
          <w:sz w:val="22"/>
          <w:szCs w:val="22"/>
        </w:rPr>
        <w:t>Conclusion</w:t>
      </w:r>
    </w:p>
    <w:p w14:paraId="7527A8C2" w14:textId="77777777" w:rsidR="00385532" w:rsidRPr="00050B91" w:rsidRDefault="00385532" w:rsidP="00385532">
      <w:pPr>
        <w:spacing w:line="360" w:lineRule="auto"/>
        <w:jc w:val="both"/>
        <w:rPr>
          <w:rFonts w:ascii="Arial" w:hAnsi="Arial" w:cs="Arial"/>
          <w:sz w:val="22"/>
          <w:szCs w:val="22"/>
        </w:rPr>
      </w:pP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represents an innovative and sustainable solution to one of the most pressing health and social care challenges facing the UK today. By combining artificial intelligence, social prescribing, and community engagement, the initiative addresses loneliness among older adults while promoting wellbeing, independence, and social inclusion.</w:t>
      </w:r>
    </w:p>
    <w:p w14:paraId="0D8204CE"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 xml:space="preserve">The innovation aligns with national health and social care priorities, supports preventative healthcare, and creates value for service users, healthcare professionals, and wider society. Through improved access to support, stronger community connections, and personalised wellbeing interventions,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has the potential to transform how loneliness is addressed within health and social care settings.</w:t>
      </w:r>
    </w:p>
    <w:p w14:paraId="4FFEFCB8" w14:textId="77777777" w:rsidR="00385532" w:rsidRPr="00050B91" w:rsidRDefault="00385532" w:rsidP="00385532">
      <w:pPr>
        <w:spacing w:line="360" w:lineRule="auto"/>
        <w:jc w:val="both"/>
        <w:rPr>
          <w:rFonts w:ascii="Arial" w:hAnsi="Arial" w:cs="Arial"/>
          <w:sz w:val="22"/>
          <w:szCs w:val="22"/>
        </w:rPr>
      </w:pPr>
      <w:r w:rsidRPr="00050B91">
        <w:rPr>
          <w:rFonts w:ascii="Arial" w:hAnsi="Arial" w:cs="Arial"/>
          <w:sz w:val="22"/>
          <w:szCs w:val="22"/>
        </w:rPr>
        <w:t xml:space="preserve">Ultimately, </w:t>
      </w:r>
      <w:proofErr w:type="spellStart"/>
      <w:r w:rsidRPr="00050B91">
        <w:rPr>
          <w:rFonts w:ascii="Arial" w:hAnsi="Arial" w:cs="Arial"/>
          <w:sz w:val="22"/>
          <w:szCs w:val="22"/>
        </w:rPr>
        <w:t>CareConnect</w:t>
      </w:r>
      <w:proofErr w:type="spellEnd"/>
      <w:r w:rsidRPr="00050B91">
        <w:rPr>
          <w:rFonts w:ascii="Arial" w:hAnsi="Arial" w:cs="Arial"/>
          <w:sz w:val="22"/>
          <w:szCs w:val="22"/>
        </w:rPr>
        <w:t xml:space="preserve"> UK demonstrates how creativity and innovation can be applied to improve health outcomes, strengthen communities, and contribute to a more sustainable and person-centred health and social care system.</w:t>
      </w:r>
    </w:p>
    <w:p w14:paraId="79752B32" w14:textId="77777777" w:rsidR="00385532" w:rsidRPr="00050B91" w:rsidRDefault="00385532" w:rsidP="003219BB">
      <w:pPr>
        <w:spacing w:line="360" w:lineRule="auto"/>
        <w:rPr>
          <w:rFonts w:ascii="Arial" w:hAnsi="Arial" w:cs="Arial"/>
          <w:sz w:val="22"/>
          <w:szCs w:val="22"/>
        </w:rPr>
      </w:pPr>
    </w:p>
    <w:p w14:paraId="1DA126C8" w14:textId="77777777" w:rsidR="00E15EE0" w:rsidRPr="00050B91" w:rsidRDefault="00637018" w:rsidP="00637018">
      <w:pPr>
        <w:spacing w:line="360" w:lineRule="auto"/>
        <w:rPr>
          <w:rFonts w:ascii="Arial" w:hAnsi="Arial" w:cs="Arial"/>
          <w:b/>
          <w:bCs/>
          <w:sz w:val="22"/>
          <w:szCs w:val="22"/>
        </w:rPr>
      </w:pPr>
      <w:r w:rsidRPr="00050B91">
        <w:rPr>
          <w:rFonts w:ascii="Arial" w:hAnsi="Arial" w:cs="Arial"/>
          <w:b/>
          <w:bCs/>
          <w:sz w:val="22"/>
          <w:szCs w:val="22"/>
        </w:rPr>
        <w:lastRenderedPageBreak/>
        <w:t>References:</w:t>
      </w:r>
    </w:p>
    <w:p w14:paraId="3F24E583"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Age U.K. (2021) </w:t>
      </w:r>
      <w:r w:rsidRPr="00050B91">
        <w:rPr>
          <w:rFonts w:ascii="Arial" w:hAnsi="Arial" w:cs="Arial"/>
          <w:i/>
          <w:iCs/>
          <w:sz w:val="22"/>
          <w:szCs w:val="22"/>
        </w:rPr>
        <w:t>Loneliness research and resources</w:t>
      </w:r>
      <w:r w:rsidRPr="00050B91">
        <w:rPr>
          <w:rFonts w:ascii="Arial" w:hAnsi="Arial" w:cs="Arial"/>
          <w:sz w:val="22"/>
          <w:szCs w:val="22"/>
        </w:rPr>
        <w:t> [online]</w:t>
      </w:r>
      <w:r w:rsidRPr="00050B91">
        <w:rPr>
          <w:rFonts w:ascii="Arial" w:hAnsi="Arial" w:cs="Arial"/>
          <w:sz w:val="22"/>
          <w:szCs w:val="22"/>
        </w:rPr>
        <w:br/>
        <w:t xml:space="preserve">Cacioppo, J.T. and Cacioppo, S. (2018) ‘The growing problem of loneliness’, </w:t>
      </w:r>
      <w:r w:rsidRPr="00050B91">
        <w:rPr>
          <w:rFonts w:ascii="Arial" w:hAnsi="Arial" w:cs="Arial"/>
          <w:i/>
          <w:iCs/>
          <w:sz w:val="22"/>
          <w:szCs w:val="22"/>
        </w:rPr>
        <w:t>The Lancet</w:t>
      </w:r>
      <w:r w:rsidRPr="00050B91">
        <w:rPr>
          <w:rFonts w:ascii="Arial" w:hAnsi="Arial" w:cs="Arial"/>
          <w:sz w:val="22"/>
          <w:szCs w:val="22"/>
        </w:rPr>
        <w:t xml:space="preserve">, 391(10119), pp. 426–427. </w:t>
      </w:r>
    </w:p>
    <w:p w14:paraId="05859B6D"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Bickerdike, L., Booth, A., Wilson, P.M., Farley, K. and Wright, K. (2017) 'Social prescribing: Less rhetoric and more reality. A systematic review of the evidence', </w:t>
      </w:r>
      <w:r w:rsidRPr="00695BB7">
        <w:rPr>
          <w:rFonts w:ascii="Arial" w:hAnsi="Arial" w:cs="Arial"/>
          <w:i/>
          <w:iCs/>
          <w:sz w:val="22"/>
          <w:szCs w:val="22"/>
        </w:rPr>
        <w:t>BMJ Open</w:t>
      </w:r>
      <w:r w:rsidRPr="00695BB7">
        <w:rPr>
          <w:rFonts w:ascii="Arial" w:hAnsi="Arial" w:cs="Arial"/>
          <w:sz w:val="22"/>
          <w:szCs w:val="22"/>
        </w:rPr>
        <w:t xml:space="preserve">, 7(4), e013384. Available at: </w:t>
      </w:r>
      <w:hyperlink r:id="rId7" w:tgtFrame="_new" w:history="1">
        <w:r w:rsidRPr="00695BB7">
          <w:rPr>
            <w:rStyle w:val="Hyperlink"/>
            <w:rFonts w:ascii="Arial" w:hAnsi="Arial" w:cs="Arial"/>
            <w:sz w:val="22"/>
            <w:szCs w:val="22"/>
          </w:rPr>
          <w:t>https://doi.org/10.1136/bmjopen-2016-013384</w:t>
        </w:r>
      </w:hyperlink>
    </w:p>
    <w:p w14:paraId="71A846FD"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Cattan, M., White, M., Bond, J. and Learmouth, A. (2005) 'Preventing social isolation and loneliness among older people: A systematic review of health promotion interventions', </w:t>
      </w:r>
      <w:r w:rsidRPr="00695BB7">
        <w:rPr>
          <w:rFonts w:ascii="Arial" w:hAnsi="Arial" w:cs="Arial"/>
          <w:i/>
          <w:iCs/>
          <w:sz w:val="22"/>
          <w:szCs w:val="22"/>
        </w:rPr>
        <w:t>Ageing &amp; Society</w:t>
      </w:r>
      <w:r w:rsidRPr="00695BB7">
        <w:rPr>
          <w:rFonts w:ascii="Arial" w:hAnsi="Arial" w:cs="Arial"/>
          <w:sz w:val="22"/>
          <w:szCs w:val="22"/>
        </w:rPr>
        <w:t>, 25(1), pp. 41–67. Available at: https://doi.org/10.1017/S0144686X04002594</w:t>
      </w:r>
    </w:p>
    <w:p w14:paraId="5FB8400F"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 xml:space="preserve">Courtin, E. and Knapp, M. (2017) ‘Social isolation, loneliness and health in old age’, </w:t>
      </w:r>
      <w:r w:rsidRPr="00050B91">
        <w:rPr>
          <w:rFonts w:ascii="Arial" w:hAnsi="Arial" w:cs="Arial"/>
          <w:i/>
          <w:iCs/>
          <w:sz w:val="22"/>
          <w:szCs w:val="22"/>
        </w:rPr>
        <w:t>Health &amp; Social Care in the Community</w:t>
      </w:r>
      <w:r w:rsidRPr="00050B91">
        <w:rPr>
          <w:rFonts w:ascii="Arial" w:hAnsi="Arial" w:cs="Arial"/>
          <w:sz w:val="22"/>
          <w:szCs w:val="22"/>
        </w:rPr>
        <w:t xml:space="preserve">, 25(3), pp. 799–812. </w:t>
      </w:r>
    </w:p>
    <w:p w14:paraId="3A7E6BDF"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Courtin, E. and Knapp, M. (2017) 'Social isolation, loneliness and health in old age: A scoping review', </w:t>
      </w:r>
      <w:r w:rsidRPr="00695BB7">
        <w:rPr>
          <w:rFonts w:ascii="Arial" w:hAnsi="Arial" w:cs="Arial"/>
          <w:i/>
          <w:iCs/>
          <w:sz w:val="22"/>
          <w:szCs w:val="22"/>
        </w:rPr>
        <w:t>Health &amp; Social Care in the Community</w:t>
      </w:r>
      <w:r w:rsidRPr="00695BB7">
        <w:rPr>
          <w:rFonts w:ascii="Arial" w:hAnsi="Arial" w:cs="Arial"/>
          <w:sz w:val="22"/>
          <w:szCs w:val="22"/>
        </w:rPr>
        <w:t xml:space="preserve">, 25(3), pp. 799–812. Available at: </w:t>
      </w:r>
      <w:hyperlink r:id="rId8" w:tgtFrame="_new" w:history="1">
        <w:r w:rsidRPr="00695BB7">
          <w:rPr>
            <w:rStyle w:val="Hyperlink"/>
            <w:rFonts w:ascii="Arial" w:hAnsi="Arial" w:cs="Arial"/>
            <w:sz w:val="22"/>
            <w:szCs w:val="22"/>
          </w:rPr>
          <w:t>https://doi.org/10.1111/hsc.12311</w:t>
        </w:r>
      </w:hyperlink>
    </w:p>
    <w:p w14:paraId="1EFD1D7C"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 xml:space="preserve">Drinkwater, C., Wildman, J. and Moffatt, S. (2019) ‘Social prescribing’, </w:t>
      </w:r>
      <w:r w:rsidRPr="00050B91">
        <w:rPr>
          <w:rFonts w:ascii="Arial" w:hAnsi="Arial" w:cs="Arial"/>
          <w:i/>
          <w:iCs/>
          <w:sz w:val="22"/>
          <w:szCs w:val="22"/>
        </w:rPr>
        <w:t>BMJ</w:t>
      </w:r>
      <w:r w:rsidRPr="00050B91">
        <w:rPr>
          <w:rFonts w:ascii="Arial" w:hAnsi="Arial" w:cs="Arial"/>
          <w:sz w:val="22"/>
          <w:szCs w:val="22"/>
        </w:rPr>
        <w:t xml:space="preserve">, 364, l1285. </w:t>
      </w:r>
    </w:p>
    <w:p w14:paraId="6F60DEDB"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Drinkwater, C., Wildman, J. and Moffatt, S. (2019) 'Social prescribing', </w:t>
      </w:r>
      <w:r w:rsidRPr="00695BB7">
        <w:rPr>
          <w:rFonts w:ascii="Arial" w:hAnsi="Arial" w:cs="Arial"/>
          <w:i/>
          <w:iCs/>
          <w:sz w:val="22"/>
          <w:szCs w:val="22"/>
        </w:rPr>
        <w:t>BMJ</w:t>
      </w:r>
      <w:r w:rsidRPr="00695BB7">
        <w:rPr>
          <w:rFonts w:ascii="Arial" w:hAnsi="Arial" w:cs="Arial"/>
          <w:sz w:val="22"/>
          <w:szCs w:val="22"/>
        </w:rPr>
        <w:t>, 364, l1285. Available at: https://doi.org/10.1136/bmj.l1285</w:t>
      </w:r>
    </w:p>
    <w:p w14:paraId="72527C54"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Gardiner, C., Geldenhuys, G. and Gott, M. (2018) 'Interventions to reduce social isolation and loneliness among older people: An integrative review', </w:t>
      </w:r>
      <w:r w:rsidRPr="00695BB7">
        <w:rPr>
          <w:rFonts w:ascii="Arial" w:hAnsi="Arial" w:cs="Arial"/>
          <w:i/>
          <w:iCs/>
          <w:sz w:val="22"/>
          <w:szCs w:val="22"/>
        </w:rPr>
        <w:t>Health &amp; Social Care in the Community</w:t>
      </w:r>
      <w:r w:rsidRPr="00695BB7">
        <w:rPr>
          <w:rFonts w:ascii="Arial" w:hAnsi="Arial" w:cs="Arial"/>
          <w:sz w:val="22"/>
          <w:szCs w:val="22"/>
        </w:rPr>
        <w:t xml:space="preserve">, 26(2), pp. 147–157. Available at: </w:t>
      </w:r>
      <w:hyperlink r:id="rId9" w:tgtFrame="_new" w:history="1">
        <w:r w:rsidRPr="00695BB7">
          <w:rPr>
            <w:rStyle w:val="Hyperlink"/>
            <w:rFonts w:ascii="Arial" w:hAnsi="Arial" w:cs="Arial"/>
            <w:sz w:val="22"/>
            <w:szCs w:val="22"/>
          </w:rPr>
          <w:t>https://doi.org/10.1111/hsc.12367</w:t>
        </w:r>
      </w:hyperlink>
    </w:p>
    <w:p w14:paraId="61789D9F"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Goodwin, N. (2016) 'Understanding integrated care', </w:t>
      </w:r>
      <w:r w:rsidRPr="00695BB7">
        <w:rPr>
          <w:rFonts w:ascii="Arial" w:hAnsi="Arial" w:cs="Arial"/>
          <w:i/>
          <w:iCs/>
          <w:sz w:val="22"/>
          <w:szCs w:val="22"/>
        </w:rPr>
        <w:t>International Journal of Integrated Care</w:t>
      </w:r>
      <w:r w:rsidRPr="00695BB7">
        <w:rPr>
          <w:rFonts w:ascii="Arial" w:hAnsi="Arial" w:cs="Arial"/>
          <w:sz w:val="22"/>
          <w:szCs w:val="22"/>
        </w:rPr>
        <w:t xml:space="preserve">, 16(4), p. 6. Available at: </w:t>
      </w:r>
      <w:hyperlink r:id="rId10" w:tgtFrame="_new" w:history="1">
        <w:r w:rsidRPr="00695BB7">
          <w:rPr>
            <w:rStyle w:val="Hyperlink"/>
            <w:rFonts w:ascii="Arial" w:hAnsi="Arial" w:cs="Arial"/>
            <w:sz w:val="22"/>
            <w:szCs w:val="22"/>
          </w:rPr>
          <w:t>https://doi.org/10.5334/ijic.2530</w:t>
        </w:r>
      </w:hyperlink>
    </w:p>
    <w:p w14:paraId="6B43C762"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Hawkley, L.C. and Cacioppo, J.T. (2007) 'Aging and loneliness: Downhill quickly?', </w:t>
      </w:r>
      <w:r w:rsidRPr="00695BB7">
        <w:rPr>
          <w:rFonts w:ascii="Arial" w:hAnsi="Arial" w:cs="Arial"/>
          <w:i/>
          <w:iCs/>
          <w:sz w:val="22"/>
          <w:szCs w:val="22"/>
        </w:rPr>
        <w:t>Current Directions in Psychological Science</w:t>
      </w:r>
      <w:r w:rsidRPr="00695BB7">
        <w:rPr>
          <w:rFonts w:ascii="Arial" w:hAnsi="Arial" w:cs="Arial"/>
          <w:sz w:val="22"/>
          <w:szCs w:val="22"/>
        </w:rPr>
        <w:t>, 16(4), pp. 187–191. Available at: https://doi.org/10.1111/j.1467-8721.2007.00501.x</w:t>
      </w:r>
    </w:p>
    <w:p w14:paraId="2244E6A6"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Holt-</w:t>
      </w:r>
      <w:proofErr w:type="spellStart"/>
      <w:r w:rsidRPr="00050B91">
        <w:rPr>
          <w:rFonts w:ascii="Arial" w:hAnsi="Arial" w:cs="Arial"/>
          <w:sz w:val="22"/>
          <w:szCs w:val="22"/>
        </w:rPr>
        <w:t>Lunstad</w:t>
      </w:r>
      <w:proofErr w:type="spellEnd"/>
      <w:r w:rsidRPr="00050B91">
        <w:rPr>
          <w:rFonts w:ascii="Arial" w:hAnsi="Arial" w:cs="Arial"/>
          <w:sz w:val="22"/>
          <w:szCs w:val="22"/>
        </w:rPr>
        <w:t xml:space="preserve">, J. (2021) ‘The major health implications of social connection’, </w:t>
      </w:r>
      <w:r w:rsidRPr="00050B91">
        <w:rPr>
          <w:rFonts w:ascii="Arial" w:hAnsi="Arial" w:cs="Arial"/>
          <w:i/>
          <w:iCs/>
          <w:sz w:val="22"/>
          <w:szCs w:val="22"/>
        </w:rPr>
        <w:t>Current Directions in Psychological Science</w:t>
      </w:r>
      <w:r w:rsidRPr="00050B91">
        <w:rPr>
          <w:rFonts w:ascii="Arial" w:hAnsi="Arial" w:cs="Arial"/>
          <w:sz w:val="22"/>
          <w:szCs w:val="22"/>
        </w:rPr>
        <w:t xml:space="preserve">, 30(3), pp. 251–259. </w:t>
      </w:r>
    </w:p>
    <w:p w14:paraId="48514572"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Holt-</w:t>
      </w:r>
      <w:proofErr w:type="spellStart"/>
      <w:r w:rsidRPr="00695BB7">
        <w:rPr>
          <w:rFonts w:ascii="Arial" w:hAnsi="Arial" w:cs="Arial"/>
          <w:sz w:val="22"/>
          <w:szCs w:val="22"/>
        </w:rPr>
        <w:t>Lunstad</w:t>
      </w:r>
      <w:proofErr w:type="spellEnd"/>
      <w:r w:rsidRPr="00695BB7">
        <w:rPr>
          <w:rFonts w:ascii="Arial" w:hAnsi="Arial" w:cs="Arial"/>
          <w:sz w:val="22"/>
          <w:szCs w:val="22"/>
        </w:rPr>
        <w:t xml:space="preserve">, J. (2021) 'The major health implications of social connection', </w:t>
      </w:r>
      <w:r w:rsidRPr="00695BB7">
        <w:rPr>
          <w:rFonts w:ascii="Arial" w:hAnsi="Arial" w:cs="Arial"/>
          <w:i/>
          <w:iCs/>
          <w:sz w:val="22"/>
          <w:szCs w:val="22"/>
        </w:rPr>
        <w:t>Current Directions in Psychological Science</w:t>
      </w:r>
      <w:r w:rsidRPr="00695BB7">
        <w:rPr>
          <w:rFonts w:ascii="Arial" w:hAnsi="Arial" w:cs="Arial"/>
          <w:sz w:val="22"/>
          <w:szCs w:val="22"/>
        </w:rPr>
        <w:t>, 30(3), pp. 251–259. Available at: https://doi.org/10.1177/0963721421999639</w:t>
      </w:r>
    </w:p>
    <w:p w14:paraId="70E209C4" w14:textId="77777777" w:rsidR="00695BB7" w:rsidRDefault="00695BB7" w:rsidP="00637018">
      <w:pPr>
        <w:spacing w:line="360" w:lineRule="auto"/>
        <w:rPr>
          <w:rFonts w:ascii="Arial" w:hAnsi="Arial" w:cs="Arial"/>
          <w:sz w:val="22"/>
          <w:szCs w:val="22"/>
        </w:rPr>
      </w:pPr>
      <w:r w:rsidRPr="00050B91">
        <w:rPr>
          <w:rFonts w:ascii="Arial" w:hAnsi="Arial" w:cs="Arial"/>
          <w:sz w:val="22"/>
          <w:szCs w:val="22"/>
        </w:rPr>
        <w:lastRenderedPageBreak/>
        <w:t>Holt-</w:t>
      </w:r>
      <w:proofErr w:type="spellStart"/>
      <w:r w:rsidRPr="00050B91">
        <w:rPr>
          <w:rFonts w:ascii="Arial" w:hAnsi="Arial" w:cs="Arial"/>
          <w:sz w:val="22"/>
          <w:szCs w:val="22"/>
        </w:rPr>
        <w:t>Lunstad</w:t>
      </w:r>
      <w:proofErr w:type="spellEnd"/>
      <w:r w:rsidRPr="00050B91">
        <w:rPr>
          <w:rFonts w:ascii="Arial" w:hAnsi="Arial" w:cs="Arial"/>
          <w:sz w:val="22"/>
          <w:szCs w:val="22"/>
        </w:rPr>
        <w:t xml:space="preserve">, J., Smith, T. B., Baker, M., Harris, T., &amp; Stephenson, D. (2015) ‘Loneliness and social isolation as risk factors for mortality’, </w:t>
      </w:r>
      <w:r w:rsidRPr="00050B91">
        <w:rPr>
          <w:rFonts w:ascii="Arial" w:hAnsi="Arial" w:cs="Arial"/>
          <w:i/>
          <w:iCs/>
          <w:sz w:val="22"/>
          <w:szCs w:val="22"/>
        </w:rPr>
        <w:t>Perspectives on Psychological Science</w:t>
      </w:r>
      <w:r w:rsidRPr="00050B91">
        <w:rPr>
          <w:rFonts w:ascii="Arial" w:hAnsi="Arial" w:cs="Arial"/>
          <w:sz w:val="22"/>
          <w:szCs w:val="22"/>
        </w:rPr>
        <w:t xml:space="preserve">, 10(2), pp. 227–237. </w:t>
      </w:r>
    </w:p>
    <w:p w14:paraId="2A9D9EDD"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Holt-</w:t>
      </w:r>
      <w:proofErr w:type="spellStart"/>
      <w:r w:rsidRPr="00695BB7">
        <w:rPr>
          <w:rFonts w:ascii="Arial" w:hAnsi="Arial" w:cs="Arial"/>
          <w:sz w:val="22"/>
          <w:szCs w:val="22"/>
        </w:rPr>
        <w:t>Lunstad</w:t>
      </w:r>
      <w:proofErr w:type="spellEnd"/>
      <w:r w:rsidRPr="00695BB7">
        <w:rPr>
          <w:rFonts w:ascii="Arial" w:hAnsi="Arial" w:cs="Arial"/>
          <w:sz w:val="22"/>
          <w:szCs w:val="22"/>
        </w:rPr>
        <w:t xml:space="preserve">, J., Smith, T.B. and Layton, J.B. (2010) 'Social relationships and mortality risk: A meta-analytic review', </w:t>
      </w:r>
      <w:proofErr w:type="spellStart"/>
      <w:r w:rsidRPr="00695BB7">
        <w:rPr>
          <w:rFonts w:ascii="Arial" w:hAnsi="Arial" w:cs="Arial"/>
          <w:i/>
          <w:iCs/>
          <w:sz w:val="22"/>
          <w:szCs w:val="22"/>
        </w:rPr>
        <w:t>PLoS</w:t>
      </w:r>
      <w:proofErr w:type="spellEnd"/>
      <w:r w:rsidRPr="00695BB7">
        <w:rPr>
          <w:rFonts w:ascii="Arial" w:hAnsi="Arial" w:cs="Arial"/>
          <w:i/>
          <w:iCs/>
          <w:sz w:val="22"/>
          <w:szCs w:val="22"/>
        </w:rPr>
        <w:t xml:space="preserve"> Medicine</w:t>
      </w:r>
      <w:r w:rsidRPr="00695BB7">
        <w:rPr>
          <w:rFonts w:ascii="Arial" w:hAnsi="Arial" w:cs="Arial"/>
          <w:sz w:val="22"/>
          <w:szCs w:val="22"/>
        </w:rPr>
        <w:t xml:space="preserve">, 7(7), e1000316. Available at: </w:t>
      </w:r>
      <w:hyperlink r:id="rId11" w:tgtFrame="_new" w:history="1">
        <w:r w:rsidRPr="00695BB7">
          <w:rPr>
            <w:rStyle w:val="Hyperlink"/>
            <w:rFonts w:ascii="Arial" w:hAnsi="Arial" w:cs="Arial"/>
            <w:sz w:val="22"/>
            <w:szCs w:val="22"/>
          </w:rPr>
          <w:t>https://doi.org/10.1371/journal.pmed.1000316</w:t>
        </w:r>
      </w:hyperlink>
    </w:p>
    <w:p w14:paraId="7BE44518"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Jenkinson, C.E., Dickens, A.P., Jones, K., Thompson-Coon, J., Taylor, R.S., Rogers, M., Bambra, C.L., Lang, I. and Richards, S.H. (2013) 'Is volunteering a public health intervention? A systematic review and meta-analysis of the health and survival of volunteers', </w:t>
      </w:r>
      <w:r w:rsidRPr="00695BB7">
        <w:rPr>
          <w:rFonts w:ascii="Arial" w:hAnsi="Arial" w:cs="Arial"/>
          <w:i/>
          <w:iCs/>
          <w:sz w:val="22"/>
          <w:szCs w:val="22"/>
        </w:rPr>
        <w:t>BMC Public Health</w:t>
      </w:r>
      <w:r w:rsidRPr="00695BB7">
        <w:rPr>
          <w:rFonts w:ascii="Arial" w:hAnsi="Arial" w:cs="Arial"/>
          <w:sz w:val="22"/>
          <w:szCs w:val="22"/>
        </w:rPr>
        <w:t xml:space="preserve">, 13, 773. Available at: </w:t>
      </w:r>
      <w:hyperlink r:id="rId12" w:tgtFrame="_new" w:history="1">
        <w:r w:rsidRPr="00695BB7">
          <w:rPr>
            <w:rStyle w:val="Hyperlink"/>
            <w:rFonts w:ascii="Arial" w:hAnsi="Arial" w:cs="Arial"/>
            <w:sz w:val="22"/>
            <w:szCs w:val="22"/>
          </w:rPr>
          <w:t>https://doi.org/10.1186/1471-2458-13-773</w:t>
        </w:r>
      </w:hyperlink>
    </w:p>
    <w:p w14:paraId="7F3BAE7D" w14:textId="77777777" w:rsidR="00695BB7" w:rsidRPr="00695BB7" w:rsidRDefault="00695BB7" w:rsidP="00695BB7">
      <w:pPr>
        <w:spacing w:line="360" w:lineRule="auto"/>
        <w:rPr>
          <w:rFonts w:ascii="Arial" w:hAnsi="Arial" w:cs="Arial"/>
          <w:sz w:val="22"/>
          <w:szCs w:val="22"/>
        </w:rPr>
      </w:pPr>
      <w:r w:rsidRPr="00695BB7">
        <w:rPr>
          <w:rFonts w:ascii="Arial" w:hAnsi="Arial" w:cs="Arial"/>
          <w:sz w:val="22"/>
          <w:szCs w:val="22"/>
        </w:rPr>
        <w:t xml:space="preserve">Levasseur, M., Richard, L., Gauvin, L. and Raymond, É. (2010) 'Inventory and analysis of definitions of social participation found in the aging literature: Proposed taxonomy of social activities', </w:t>
      </w:r>
      <w:r w:rsidRPr="00695BB7">
        <w:rPr>
          <w:rFonts w:ascii="Arial" w:hAnsi="Arial" w:cs="Arial"/>
          <w:i/>
          <w:iCs/>
          <w:sz w:val="22"/>
          <w:szCs w:val="22"/>
        </w:rPr>
        <w:t>Social Science &amp; Medicine</w:t>
      </w:r>
      <w:r w:rsidRPr="00695BB7">
        <w:rPr>
          <w:rFonts w:ascii="Arial" w:hAnsi="Arial" w:cs="Arial"/>
          <w:sz w:val="22"/>
          <w:szCs w:val="22"/>
        </w:rPr>
        <w:t>, 71(12), pp. 2141–2149. Available at: https://doi.org/10.1016/j.socscimed.2010.09.041</w:t>
      </w:r>
    </w:p>
    <w:p w14:paraId="2FA1EC85"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 xml:space="preserve">NHS England (n.d.) </w:t>
      </w:r>
      <w:r w:rsidRPr="00050B91">
        <w:rPr>
          <w:rFonts w:ascii="Arial" w:hAnsi="Arial" w:cs="Arial"/>
          <w:i/>
          <w:iCs/>
          <w:sz w:val="22"/>
          <w:szCs w:val="22"/>
        </w:rPr>
        <w:t>Social prescribing</w:t>
      </w:r>
      <w:r w:rsidRPr="00050B91">
        <w:rPr>
          <w:rFonts w:ascii="Arial" w:hAnsi="Arial" w:cs="Arial"/>
          <w:sz w:val="22"/>
          <w:szCs w:val="22"/>
        </w:rPr>
        <w:t xml:space="preserve">. Available at: </w:t>
      </w:r>
      <w:hyperlink r:id="rId13" w:tgtFrame="_new" w:history="1">
        <w:r w:rsidRPr="00050B91">
          <w:rPr>
            <w:rStyle w:val="Hyperlink"/>
            <w:rFonts w:ascii="Arial" w:hAnsi="Arial" w:cs="Arial"/>
            <w:sz w:val="22"/>
            <w:szCs w:val="22"/>
          </w:rPr>
          <w:t>https://www.england.nhs.uk/personalisedcare/social-prescribing/</w:t>
        </w:r>
      </w:hyperlink>
      <w:r w:rsidRPr="00050B91">
        <w:rPr>
          <w:rFonts w:ascii="Arial" w:hAnsi="Arial" w:cs="Arial"/>
          <w:sz w:val="22"/>
          <w:szCs w:val="22"/>
        </w:rPr>
        <w:t xml:space="preserve"> (Accessed: 8 June 2026).</w:t>
      </w:r>
    </w:p>
    <w:p w14:paraId="71FB6E93"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 xml:space="preserve">Office for National Statistics (2023) </w:t>
      </w:r>
      <w:r w:rsidRPr="00050B91">
        <w:rPr>
          <w:rFonts w:ascii="Arial" w:hAnsi="Arial" w:cs="Arial"/>
          <w:i/>
          <w:iCs/>
          <w:sz w:val="22"/>
          <w:szCs w:val="22"/>
        </w:rPr>
        <w:t>Public opinions and social trends, Great Britain: 1 to 11 June 2023</w:t>
      </w:r>
      <w:r w:rsidRPr="00050B91">
        <w:rPr>
          <w:rFonts w:ascii="Arial" w:hAnsi="Arial" w:cs="Arial"/>
          <w:sz w:val="22"/>
          <w:szCs w:val="22"/>
        </w:rPr>
        <w:t xml:space="preserve">. Newport: ONS. Available at: </w:t>
      </w:r>
      <w:hyperlink r:id="rId14" w:tgtFrame="_new" w:history="1">
        <w:r w:rsidRPr="00050B91">
          <w:rPr>
            <w:rStyle w:val="Hyperlink"/>
            <w:rFonts w:ascii="Arial" w:hAnsi="Arial" w:cs="Arial"/>
            <w:sz w:val="22"/>
            <w:szCs w:val="22"/>
          </w:rPr>
          <w:t>https://www.ons.gov.uk/peoplepopulationandcommunity/wellbeing/bulletins/publicopinionsandsocialtrendsgreatbritain/1to11june2023</w:t>
        </w:r>
      </w:hyperlink>
      <w:r w:rsidRPr="00050B91">
        <w:rPr>
          <w:rFonts w:ascii="Arial" w:hAnsi="Arial" w:cs="Arial"/>
          <w:sz w:val="22"/>
          <w:szCs w:val="22"/>
        </w:rPr>
        <w:t xml:space="preserve"> (Accessed: 8 June 2026).</w:t>
      </w:r>
    </w:p>
    <w:p w14:paraId="55CDE973" w14:textId="77777777" w:rsidR="00695BB7" w:rsidRPr="00695BB7" w:rsidRDefault="00695BB7" w:rsidP="00695BB7">
      <w:pPr>
        <w:spacing w:line="360" w:lineRule="auto"/>
        <w:rPr>
          <w:rFonts w:ascii="Arial" w:hAnsi="Arial" w:cs="Arial"/>
          <w:sz w:val="22"/>
          <w:szCs w:val="22"/>
        </w:rPr>
      </w:pPr>
      <w:proofErr w:type="spellStart"/>
      <w:r w:rsidRPr="00695BB7">
        <w:rPr>
          <w:rFonts w:ascii="Arial" w:hAnsi="Arial" w:cs="Arial"/>
          <w:sz w:val="22"/>
          <w:szCs w:val="22"/>
        </w:rPr>
        <w:t>Pescheny</w:t>
      </w:r>
      <w:proofErr w:type="spellEnd"/>
      <w:r w:rsidRPr="00695BB7">
        <w:rPr>
          <w:rFonts w:ascii="Arial" w:hAnsi="Arial" w:cs="Arial"/>
          <w:sz w:val="22"/>
          <w:szCs w:val="22"/>
        </w:rPr>
        <w:t xml:space="preserve">, J.V., Randhawa, G. and Pappas, Y. (2018) 'The impact of social prescribing services on service users: A systematic review of the evidence', </w:t>
      </w:r>
      <w:r w:rsidRPr="00695BB7">
        <w:rPr>
          <w:rFonts w:ascii="Arial" w:hAnsi="Arial" w:cs="Arial"/>
          <w:i/>
          <w:iCs/>
          <w:sz w:val="22"/>
          <w:szCs w:val="22"/>
        </w:rPr>
        <w:t>European Journal of Public Health</w:t>
      </w:r>
      <w:r w:rsidRPr="00695BB7">
        <w:rPr>
          <w:rFonts w:ascii="Arial" w:hAnsi="Arial" w:cs="Arial"/>
          <w:sz w:val="22"/>
          <w:szCs w:val="22"/>
        </w:rPr>
        <w:t>, 28(Suppl. 4), cky214. Available at: https://doi.org/10.1093/eurpub/cky214.601</w:t>
      </w:r>
    </w:p>
    <w:p w14:paraId="5781B7EB" w14:textId="77777777" w:rsidR="00695BB7" w:rsidRPr="00050B91" w:rsidRDefault="00695BB7" w:rsidP="00637018">
      <w:pPr>
        <w:spacing w:line="360" w:lineRule="auto"/>
        <w:rPr>
          <w:rFonts w:ascii="Arial" w:hAnsi="Arial" w:cs="Arial"/>
          <w:sz w:val="22"/>
          <w:szCs w:val="22"/>
        </w:rPr>
      </w:pPr>
      <w:r w:rsidRPr="00695BB7">
        <w:rPr>
          <w:rFonts w:ascii="Arial" w:hAnsi="Arial" w:cs="Arial"/>
          <w:sz w:val="22"/>
          <w:szCs w:val="22"/>
        </w:rPr>
        <w:t xml:space="preserve">Southby, K. and </w:t>
      </w:r>
      <w:proofErr w:type="spellStart"/>
      <w:r w:rsidRPr="00695BB7">
        <w:rPr>
          <w:rFonts w:ascii="Arial" w:hAnsi="Arial" w:cs="Arial"/>
          <w:sz w:val="22"/>
          <w:szCs w:val="22"/>
        </w:rPr>
        <w:t>Gamsu</w:t>
      </w:r>
      <w:proofErr w:type="spellEnd"/>
      <w:r w:rsidRPr="00695BB7">
        <w:rPr>
          <w:rFonts w:ascii="Arial" w:hAnsi="Arial" w:cs="Arial"/>
          <w:sz w:val="22"/>
          <w:szCs w:val="22"/>
        </w:rPr>
        <w:t xml:space="preserve">, M. (2018) 'Factors affecting general practice collaboration with voluntary and community sector organisations', </w:t>
      </w:r>
      <w:r w:rsidRPr="00695BB7">
        <w:rPr>
          <w:rFonts w:ascii="Arial" w:hAnsi="Arial" w:cs="Arial"/>
          <w:i/>
          <w:iCs/>
          <w:sz w:val="22"/>
          <w:szCs w:val="22"/>
        </w:rPr>
        <w:t>Health &amp; Social Care in the Community</w:t>
      </w:r>
      <w:r w:rsidRPr="00695BB7">
        <w:rPr>
          <w:rFonts w:ascii="Arial" w:hAnsi="Arial" w:cs="Arial"/>
          <w:sz w:val="22"/>
          <w:szCs w:val="22"/>
        </w:rPr>
        <w:t>, 26(3), pp. e437–e446. Available at: https://doi.org/10.1111/hsc.12531</w:t>
      </w:r>
    </w:p>
    <w:p w14:paraId="267995BA"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 xml:space="preserve">The King's Fund (2026) </w:t>
      </w:r>
      <w:r w:rsidRPr="00050B91">
        <w:rPr>
          <w:rFonts w:ascii="Arial" w:hAnsi="Arial" w:cs="Arial"/>
          <w:i/>
          <w:iCs/>
          <w:sz w:val="22"/>
          <w:szCs w:val="22"/>
        </w:rPr>
        <w:t>What is social prescribing?</w:t>
      </w:r>
      <w:r w:rsidRPr="00050B91">
        <w:rPr>
          <w:rFonts w:ascii="Arial" w:hAnsi="Arial" w:cs="Arial"/>
          <w:sz w:val="22"/>
          <w:szCs w:val="22"/>
        </w:rPr>
        <w:t xml:space="preserve"> Available at: </w:t>
      </w:r>
      <w:hyperlink r:id="rId15" w:tgtFrame="_new" w:history="1">
        <w:r w:rsidRPr="00050B91">
          <w:rPr>
            <w:rStyle w:val="Hyperlink"/>
            <w:rFonts w:ascii="Arial" w:hAnsi="Arial" w:cs="Arial"/>
            <w:sz w:val="22"/>
            <w:szCs w:val="22"/>
          </w:rPr>
          <w:t>https://www.kingsfund.org.uk/insight-and-analysis/long-reads/social-prescribing</w:t>
        </w:r>
      </w:hyperlink>
      <w:r w:rsidRPr="00050B91">
        <w:rPr>
          <w:rFonts w:ascii="Arial" w:hAnsi="Arial" w:cs="Arial"/>
          <w:sz w:val="22"/>
          <w:szCs w:val="22"/>
        </w:rPr>
        <w:t xml:space="preserve"> (Accessed: 8 June 2026).</w:t>
      </w:r>
    </w:p>
    <w:p w14:paraId="2171D4DE"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t>Victor, C. and Sullivan, M.P. (2015) ‘Loneliness and isolation’. In </w:t>
      </w:r>
      <w:r w:rsidRPr="00050B91">
        <w:rPr>
          <w:rFonts w:ascii="Arial" w:hAnsi="Arial" w:cs="Arial"/>
          <w:i/>
          <w:iCs/>
          <w:sz w:val="22"/>
          <w:szCs w:val="22"/>
        </w:rPr>
        <w:t>Routledge handbook of cultural gerontology</w:t>
      </w:r>
      <w:r w:rsidRPr="00050B91">
        <w:rPr>
          <w:rFonts w:ascii="Arial" w:hAnsi="Arial" w:cs="Arial"/>
          <w:sz w:val="22"/>
          <w:szCs w:val="22"/>
        </w:rPr>
        <w:t> (pp. 252-260). Routledge.</w:t>
      </w:r>
    </w:p>
    <w:p w14:paraId="27000963" w14:textId="77777777" w:rsidR="00695BB7" w:rsidRPr="00050B91" w:rsidRDefault="00695BB7" w:rsidP="00637018">
      <w:pPr>
        <w:spacing w:line="360" w:lineRule="auto"/>
        <w:rPr>
          <w:rFonts w:ascii="Arial" w:hAnsi="Arial" w:cs="Arial"/>
          <w:sz w:val="22"/>
          <w:szCs w:val="22"/>
        </w:rPr>
      </w:pPr>
      <w:r w:rsidRPr="00050B91">
        <w:rPr>
          <w:rFonts w:ascii="Arial" w:hAnsi="Arial" w:cs="Arial"/>
          <w:sz w:val="22"/>
          <w:szCs w:val="22"/>
        </w:rPr>
        <w:lastRenderedPageBreak/>
        <w:t xml:space="preserve">World Health Organization (2021) </w:t>
      </w:r>
      <w:r w:rsidRPr="00050B91">
        <w:rPr>
          <w:rFonts w:ascii="Arial" w:hAnsi="Arial" w:cs="Arial"/>
          <w:i/>
          <w:iCs/>
          <w:sz w:val="22"/>
          <w:szCs w:val="22"/>
        </w:rPr>
        <w:t>Global strategy on digital health 2020–2025</w:t>
      </w:r>
      <w:r w:rsidRPr="00050B91">
        <w:rPr>
          <w:rFonts w:ascii="Arial" w:hAnsi="Arial" w:cs="Arial"/>
          <w:sz w:val="22"/>
          <w:szCs w:val="22"/>
        </w:rPr>
        <w:t xml:space="preserve">. Geneva: World Health Organization. Available at: </w:t>
      </w:r>
      <w:hyperlink r:id="rId16" w:tgtFrame="_new" w:history="1">
        <w:r w:rsidRPr="00050B91">
          <w:rPr>
            <w:rStyle w:val="Hyperlink"/>
            <w:rFonts w:ascii="Arial" w:hAnsi="Arial" w:cs="Arial"/>
            <w:sz w:val="22"/>
            <w:szCs w:val="22"/>
          </w:rPr>
          <w:t>https://www.who.int/publications/i/item/9789240020924</w:t>
        </w:r>
      </w:hyperlink>
      <w:r w:rsidRPr="00050B91">
        <w:rPr>
          <w:rFonts w:ascii="Arial" w:hAnsi="Arial" w:cs="Arial"/>
          <w:sz w:val="22"/>
          <w:szCs w:val="22"/>
        </w:rPr>
        <w:t xml:space="preserve"> (Accessed: 8 June 2026).</w:t>
      </w:r>
    </w:p>
    <w:sectPr w:rsidR="00695BB7" w:rsidRPr="00050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19C"/>
    <w:multiLevelType w:val="hybridMultilevel"/>
    <w:tmpl w:val="73C84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40CFE"/>
    <w:multiLevelType w:val="hybridMultilevel"/>
    <w:tmpl w:val="61569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910FA"/>
    <w:multiLevelType w:val="multilevel"/>
    <w:tmpl w:val="D102E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493C1F"/>
    <w:multiLevelType w:val="hybridMultilevel"/>
    <w:tmpl w:val="8570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921F3B"/>
    <w:multiLevelType w:val="hybridMultilevel"/>
    <w:tmpl w:val="BC4C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BF6071"/>
    <w:multiLevelType w:val="hybridMultilevel"/>
    <w:tmpl w:val="3AC6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6B07C5"/>
    <w:multiLevelType w:val="hybridMultilevel"/>
    <w:tmpl w:val="87565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3231AC"/>
    <w:multiLevelType w:val="hybridMultilevel"/>
    <w:tmpl w:val="82A45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FB4959"/>
    <w:multiLevelType w:val="hybridMultilevel"/>
    <w:tmpl w:val="42A2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C86140"/>
    <w:multiLevelType w:val="hybridMultilevel"/>
    <w:tmpl w:val="4112C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267C2"/>
    <w:multiLevelType w:val="hybridMultilevel"/>
    <w:tmpl w:val="B49EB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F866DB"/>
    <w:multiLevelType w:val="hybridMultilevel"/>
    <w:tmpl w:val="70B8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875194">
    <w:abstractNumId w:val="2"/>
  </w:num>
  <w:num w:numId="2" w16cid:durableId="2072072679">
    <w:abstractNumId w:val="3"/>
  </w:num>
  <w:num w:numId="3" w16cid:durableId="972953002">
    <w:abstractNumId w:val="4"/>
  </w:num>
  <w:num w:numId="4" w16cid:durableId="370808945">
    <w:abstractNumId w:val="8"/>
  </w:num>
  <w:num w:numId="5" w16cid:durableId="1204827616">
    <w:abstractNumId w:val="0"/>
  </w:num>
  <w:num w:numId="6" w16cid:durableId="1739401875">
    <w:abstractNumId w:val="11"/>
  </w:num>
  <w:num w:numId="7" w16cid:durableId="1632856473">
    <w:abstractNumId w:val="6"/>
  </w:num>
  <w:num w:numId="8" w16cid:durableId="723680670">
    <w:abstractNumId w:val="10"/>
  </w:num>
  <w:num w:numId="9" w16cid:durableId="1994404388">
    <w:abstractNumId w:val="7"/>
  </w:num>
  <w:num w:numId="10" w16cid:durableId="135225869">
    <w:abstractNumId w:val="9"/>
  </w:num>
  <w:num w:numId="11" w16cid:durableId="1326087280">
    <w:abstractNumId w:val="1"/>
  </w:num>
  <w:num w:numId="12" w16cid:durableId="11695204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9BB"/>
    <w:rsid w:val="00050B91"/>
    <w:rsid w:val="00303603"/>
    <w:rsid w:val="003219BB"/>
    <w:rsid w:val="00385532"/>
    <w:rsid w:val="00411289"/>
    <w:rsid w:val="00413C12"/>
    <w:rsid w:val="004A14DB"/>
    <w:rsid w:val="004B3018"/>
    <w:rsid w:val="00637018"/>
    <w:rsid w:val="00695BB7"/>
    <w:rsid w:val="007A0B6D"/>
    <w:rsid w:val="008F31A8"/>
    <w:rsid w:val="009773D7"/>
    <w:rsid w:val="00AA379A"/>
    <w:rsid w:val="00B813DF"/>
    <w:rsid w:val="00BF2B48"/>
    <w:rsid w:val="00C140A3"/>
    <w:rsid w:val="00C53E7D"/>
    <w:rsid w:val="00CB5945"/>
    <w:rsid w:val="00E15EE0"/>
    <w:rsid w:val="00E33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855CE"/>
  <w15:chartTrackingRefBased/>
  <w15:docId w15:val="{A5C83546-D6E8-44AE-A9A4-577E8E495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9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19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9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9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9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9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9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9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9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9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19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9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9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9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9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9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9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9BB"/>
    <w:rPr>
      <w:rFonts w:eastAsiaTheme="majorEastAsia" w:cstheme="majorBidi"/>
      <w:color w:val="272727" w:themeColor="text1" w:themeTint="D8"/>
    </w:rPr>
  </w:style>
  <w:style w:type="paragraph" w:styleId="Title">
    <w:name w:val="Title"/>
    <w:basedOn w:val="Normal"/>
    <w:next w:val="Normal"/>
    <w:link w:val="TitleChar"/>
    <w:uiPriority w:val="10"/>
    <w:qFormat/>
    <w:rsid w:val="003219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9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9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9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9BB"/>
    <w:pPr>
      <w:spacing w:before="160"/>
      <w:jc w:val="center"/>
    </w:pPr>
    <w:rPr>
      <w:i/>
      <w:iCs/>
      <w:color w:val="404040" w:themeColor="text1" w:themeTint="BF"/>
    </w:rPr>
  </w:style>
  <w:style w:type="character" w:customStyle="1" w:styleId="QuoteChar">
    <w:name w:val="Quote Char"/>
    <w:basedOn w:val="DefaultParagraphFont"/>
    <w:link w:val="Quote"/>
    <w:uiPriority w:val="29"/>
    <w:rsid w:val="003219BB"/>
    <w:rPr>
      <w:i/>
      <w:iCs/>
      <w:color w:val="404040" w:themeColor="text1" w:themeTint="BF"/>
    </w:rPr>
  </w:style>
  <w:style w:type="paragraph" w:styleId="ListParagraph">
    <w:name w:val="List Paragraph"/>
    <w:basedOn w:val="Normal"/>
    <w:uiPriority w:val="34"/>
    <w:qFormat/>
    <w:rsid w:val="003219BB"/>
    <w:pPr>
      <w:ind w:left="720"/>
      <w:contextualSpacing/>
    </w:pPr>
  </w:style>
  <w:style w:type="character" w:styleId="IntenseEmphasis">
    <w:name w:val="Intense Emphasis"/>
    <w:basedOn w:val="DefaultParagraphFont"/>
    <w:uiPriority w:val="21"/>
    <w:qFormat/>
    <w:rsid w:val="003219BB"/>
    <w:rPr>
      <w:i/>
      <w:iCs/>
      <w:color w:val="0F4761" w:themeColor="accent1" w:themeShade="BF"/>
    </w:rPr>
  </w:style>
  <w:style w:type="paragraph" w:styleId="IntenseQuote">
    <w:name w:val="Intense Quote"/>
    <w:basedOn w:val="Normal"/>
    <w:next w:val="Normal"/>
    <w:link w:val="IntenseQuoteChar"/>
    <w:uiPriority w:val="30"/>
    <w:qFormat/>
    <w:rsid w:val="003219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9BB"/>
    <w:rPr>
      <w:i/>
      <w:iCs/>
      <w:color w:val="0F4761" w:themeColor="accent1" w:themeShade="BF"/>
    </w:rPr>
  </w:style>
  <w:style w:type="character" w:styleId="IntenseReference">
    <w:name w:val="Intense Reference"/>
    <w:basedOn w:val="DefaultParagraphFont"/>
    <w:uiPriority w:val="32"/>
    <w:qFormat/>
    <w:rsid w:val="003219BB"/>
    <w:rPr>
      <w:b/>
      <w:bCs/>
      <w:smallCaps/>
      <w:color w:val="0F4761" w:themeColor="accent1" w:themeShade="BF"/>
      <w:spacing w:val="5"/>
    </w:rPr>
  </w:style>
  <w:style w:type="paragraph" w:styleId="NormalWeb">
    <w:name w:val="Normal (Web)"/>
    <w:basedOn w:val="Normal"/>
    <w:uiPriority w:val="99"/>
    <w:semiHidden/>
    <w:unhideWhenUsed/>
    <w:rsid w:val="00CB59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53E7D"/>
    <w:rPr>
      <w:color w:val="467886" w:themeColor="hyperlink"/>
      <w:u w:val="single"/>
    </w:rPr>
  </w:style>
  <w:style w:type="character" w:styleId="UnresolvedMention">
    <w:name w:val="Unresolved Mention"/>
    <w:basedOn w:val="DefaultParagraphFont"/>
    <w:uiPriority w:val="99"/>
    <w:semiHidden/>
    <w:unhideWhenUsed/>
    <w:rsid w:val="00C53E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sc.12311" TargetMode="External"/><Relationship Id="rId13" Type="http://schemas.openxmlformats.org/officeDocument/2006/relationships/hyperlink" Target="https://www.england.nhs.uk/personalisedcare/social-prescrib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36/bmjopen-2016-013384" TargetMode="External"/><Relationship Id="rId12" Type="http://schemas.openxmlformats.org/officeDocument/2006/relationships/hyperlink" Target="https://doi.org/10.1186/1471-2458-13-77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publications/i/item/9789240020924" TargetMode="Externa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doi.org/10.1371/journal.pmed.1000316" TargetMode="External"/><Relationship Id="rId5" Type="http://schemas.openxmlformats.org/officeDocument/2006/relationships/image" Target="media/image1.emf"/><Relationship Id="rId15" Type="http://schemas.openxmlformats.org/officeDocument/2006/relationships/hyperlink" Target="https://www.kingsfund.org.uk/insight-and-analysis/long-reads/social-prescribing" TargetMode="External"/><Relationship Id="rId10" Type="http://schemas.openxmlformats.org/officeDocument/2006/relationships/hyperlink" Target="https://doi.org/10.5334/ijic.2530" TargetMode="External"/><Relationship Id="rId4" Type="http://schemas.openxmlformats.org/officeDocument/2006/relationships/webSettings" Target="webSettings.xml"/><Relationship Id="rId9" Type="http://schemas.openxmlformats.org/officeDocument/2006/relationships/hyperlink" Target="https://doi.org/10.1111/hsc.12367" TargetMode="External"/><Relationship Id="rId14" Type="http://schemas.openxmlformats.org/officeDocument/2006/relationships/hyperlink" Target="https://www.ons.gov.uk/peoplepopulationandcommunity/wellbeing/bulletins/publicopinionsandsocialtrendsgreatbritain/1to11june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10</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2</cp:revision>
  <dcterms:created xsi:type="dcterms:W3CDTF">2026-07-19T00:49:00Z</dcterms:created>
  <dcterms:modified xsi:type="dcterms:W3CDTF">2026-07-19T00:49:00Z</dcterms:modified>
</cp:coreProperties>
</file>