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word/document.xml" ContentType="application/vnd.openxmlformats-officedocument.wordprocessingml.document.main+xml"/>
  <Override PartName="/word/charts/chart9.xml" ContentType="application/vnd.openxmlformats-officedocument.drawingml.chart+xml"/>
  <Override PartName="/word/charts/chart12.xml" ContentType="application/vnd.openxmlformats-officedocument.drawingml.chart+xml"/>
  <Override PartName="/word/charts/chart7.xml" ContentType="application/vnd.openxmlformats-officedocument.drawingml.chart+xml"/>
  <Override PartName="/word/charts/chart6.xml" ContentType="application/vnd.openxmlformats-officedocument.drawingml.chart+xml"/>
  <Override PartName="/word/charts/chart10.xml" ContentType="application/vnd.openxmlformats-officedocument.drawingml.chart+xml"/>
  <Override PartName="/word/charts/chart5.xml" ContentType="application/vnd.openxmlformats-officedocument.drawingml.chart+xml"/>
  <Override PartName="/word/charts/chart4.xml" ContentType="application/vnd.openxmlformats-officedocument.drawingml.chart+xml"/>
  <Override PartName="/word/charts/chart3.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11.xml" ContentType="application/vnd.openxmlformats-officedocument.drawingml.chart+xml"/>
  <Override PartName="/word/charts/chart15.xml" ContentType="application/vnd.openxmlformats-officedocument.drawingml.chart+xml"/>
  <Override PartName="/word/charts/chart18.xml" ContentType="application/vnd.openxmlformats-officedocument.drawingml.chart+xml"/>
  <Override PartName="/word/charts/chart13.xml" ContentType="application/vnd.openxmlformats-officedocument.drawingml.chart+xml"/>
  <Override PartName="/word/charts/chart16.xml" ContentType="application/vnd.openxmlformats-officedocument.drawingml.chart+xml"/>
  <Override PartName="/word/charts/chart21.xml" ContentType="application/vnd.openxmlformats-officedocument.drawingml.chart+xml"/>
  <Override PartName="/word/charts/chart17.xml" ContentType="application/vnd.openxmlformats-officedocument.drawingml.chart+xml"/>
  <Override PartName="/word/charts/chart14.xml" ContentType="application/vnd.openxmlformats-officedocument.drawingml.chart+xml"/>
  <Override PartName="/word/charts/chart1.xml" ContentType="application/vnd.openxmlformats-officedocument.drawingml.chart+xml"/>
  <Override PartName="/word/charts/chart8.xml" ContentType="application/vnd.openxmlformats-officedocument.drawingml.chart+xml"/>
  <Override PartName="/word/charts/chart2.xml" ContentType="application/vnd.openxmlformats-officedocument.drawingml.chart+xml"/>
  <Override PartName="/word/theme/theme1.xml" ContentType="application/vnd.openxmlformats-officedocument.theme+xml"/>
  <Override PartName="/word/footer3.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settings.xml" ContentType="application/vnd.openxmlformats-officedocument.wordprocessingml.settings+xml"/>
  <Override PartName="/word/footer1.xml" ContentType="application/vnd.openxmlformats-officedocument.wordprocessingml.footer+xml"/>
  <Override PartName="/word/header3.xml" ContentType="application/vnd.openxmlformats-officedocument.wordprocessingml.header+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rPr>
      </w:pPr>
      <w:r>
        <w:rPr>
          <w:rFonts w:eastAsia="Times New Roman" w:cs="Times New Roman"/>
          <w:b/>
          <w:sz w:val="24"/>
          <w:szCs w:val="24"/>
        </w:rPr>
        <w:t>UNIVERSITY OF WALES TRINITY SAINT DAVID</w:t>
      </w:r>
    </w:p>
    <w:p>
      <w:pPr>
        <w:pStyle w:val="Normal"/>
        <w:bidi w:val="0"/>
        <w:spacing w:lineRule="auto" w:line="276" w:before="0" w:after="200"/>
        <w:jc w:val="center"/>
        <w:rPr>
          <w:rFonts w:ascii="Arial" w:hAnsi="Arial"/>
        </w:rPr>
      </w:pPr>
      <w:r>
        <w:rPr/>
      </w:r>
    </w:p>
    <w:p>
      <w:pPr>
        <w:pStyle w:val="Normal"/>
        <w:bidi w:val="0"/>
        <w:spacing w:lineRule="auto" w:line="276" w:before="0" w:after="200"/>
        <w:jc w:val="center"/>
        <w:rPr>
          <w:rFonts w:ascii="Arial" w:hAnsi="Arial"/>
        </w:rPr>
      </w:pPr>
      <w:r>
        <w:rPr>
          <w:rFonts w:eastAsia="Times New Roman" w:cs="Times New Roman"/>
          <w:b/>
          <w:sz w:val="24"/>
          <w:szCs w:val="24"/>
        </w:rPr>
        <w:t>Master of Business Administration (MBA)</w:t>
      </w:r>
    </w:p>
    <w:p>
      <w:pPr>
        <w:pStyle w:val="Normal"/>
        <w:bidi w:val="0"/>
        <w:spacing w:lineRule="auto" w:line="276" w:before="0" w:after="200"/>
        <w:jc w:val="center"/>
        <w:rPr>
          <w:rFonts w:ascii="Arial" w:hAnsi="Arial"/>
        </w:rPr>
      </w:pPr>
      <w:r>
        <w:rPr>
          <w:rFonts w:eastAsia="Times New Roman" w:cs="Times New Roman"/>
          <w:b/>
          <w:sz w:val="24"/>
          <w:szCs w:val="24"/>
        </w:rPr>
        <w:t>Assessment component:</w:t>
      </w:r>
    </w:p>
    <w:p>
      <w:pPr>
        <w:pStyle w:val="Normal"/>
        <w:bidi w:val="0"/>
        <w:spacing w:lineRule="auto" w:line="276" w:before="0" w:after="200"/>
        <w:jc w:val="center"/>
        <w:rPr>
          <w:rFonts w:ascii="Arial" w:hAnsi="Arial"/>
        </w:rPr>
      </w:pPr>
      <w:r>
        <w:rPr>
          <w:rFonts w:eastAsia="Times New Roman" w:cs="Times New Roman"/>
          <w:b/>
          <w:sz w:val="24"/>
          <w:szCs w:val="24"/>
        </w:rPr>
        <w:t>Financial performance and management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rPr>
      </w:pPr>
      <w:r>
        <w:rPr>
          <w:rFonts w:eastAsia="Times New Roman" w:cs="Times New Roman"/>
          <w:b/>
          <w:sz w:val="24"/>
          <w:szCs w:val="24"/>
        </w:rPr>
        <w:t xml:space="preserve">Student Name : </w:t>
      </w:r>
      <w:r>
        <w:rPr>
          <w:rFonts w:eastAsia="Times New Roman" w:cs="Times New Roman"/>
          <w:b w:val="false"/>
          <w:bCs w:val="false"/>
          <w:sz w:val="24"/>
          <w:szCs w:val="24"/>
        </w:rPr>
        <w:t>Krishna Lakhu Khunti</w:t>
      </w:r>
    </w:p>
    <w:p>
      <w:pPr>
        <w:pStyle w:val="Normal"/>
        <w:bidi w:val="0"/>
        <w:spacing w:lineRule="auto" w:line="276" w:before="0" w:after="200"/>
        <w:jc w:val="center"/>
        <w:rPr>
          <w:rFonts w:ascii="Arial" w:hAnsi="Arial"/>
        </w:rPr>
      </w:pPr>
      <w:r>
        <w:rPr>
          <w:rFonts w:eastAsia="Times New Roman" w:cs="Times New Roman"/>
          <w:b/>
          <w:sz w:val="24"/>
          <w:szCs w:val="24"/>
        </w:rPr>
        <w:t xml:space="preserve">Student ID : </w:t>
      </w:r>
      <w:r>
        <w:rPr>
          <w:rFonts w:eastAsia="Times New Roman" w:cs="Times New Roman"/>
          <w:b w:val="false"/>
          <w:bCs w:val="false"/>
          <w:sz w:val="24"/>
          <w:szCs w:val="24"/>
        </w:rPr>
        <w:t>2515605</w:t>
      </w:r>
      <w:r>
        <w:rPr>
          <w:rFonts w:eastAsia="Times New Roman" w:cs="Times New Roman"/>
          <w:b/>
          <w:sz w:val="24"/>
          <w:szCs w:val="24"/>
        </w:rPr>
        <w:br/>
        <w:t>Module Name:</w:t>
      </w:r>
      <w:r>
        <w:rPr>
          <w:rFonts w:eastAsia="Times New Roman" w:cs="Times New Roman"/>
          <w:b w:val="false"/>
          <w:bCs w:val="false"/>
          <w:sz w:val="24"/>
          <w:szCs w:val="24"/>
        </w:rPr>
        <w:t xml:space="preserve"> Financial Management</w:t>
      </w:r>
    </w:p>
    <w:p>
      <w:pPr>
        <w:pStyle w:val="Normal"/>
        <w:spacing w:lineRule="auto" w:line="276" w:before="0" w:after="200"/>
        <w:jc w:val="center"/>
        <w:rPr>
          <w:rFonts w:ascii="Arial" w:hAnsi="Arial"/>
        </w:rPr>
      </w:pPr>
      <w:r>
        <w:rPr>
          <w:rFonts w:eastAsia="Times New Roman" w:cs="Times New Roman"/>
          <w:b/>
          <w:sz w:val="24"/>
          <w:szCs w:val="24"/>
        </w:rPr>
        <w:t xml:space="preserve">Module Code: </w:t>
      </w:r>
      <w:r>
        <w:rPr>
          <w:rFonts w:eastAsia="Times New Roman" w:cs="Times New Roman"/>
          <w:b w:val="false"/>
          <w:bCs w:val="false"/>
          <w:sz w:val="24"/>
          <w:szCs w:val="24"/>
        </w:rPr>
        <w:t>LCMB7002</w:t>
      </w:r>
    </w:p>
    <w:p>
      <w:pPr>
        <w:pStyle w:val="Normal"/>
        <w:spacing w:lineRule="auto" w:line="276" w:before="0" w:after="200"/>
        <w:jc w:val="center"/>
        <w:rPr>
          <w:rFonts w:ascii="Arial" w:hAnsi="Arial"/>
        </w:rPr>
      </w:pPr>
      <w:r>
        <w:rPr>
          <w:rFonts w:eastAsia="Times New Roman" w:cs="Times New Roman"/>
          <w:b/>
          <w:sz w:val="24"/>
          <w:szCs w:val="24"/>
        </w:rPr>
        <w:t>Lecturers:</w:t>
      </w:r>
      <w:r>
        <w:rPr>
          <w:sz w:val="24"/>
          <w:szCs w:val="24"/>
        </w:rPr>
        <w:t xml:space="preserve"> Shengfeng Mei</w:t>
      </w:r>
    </w:p>
    <w:p>
      <w:pPr>
        <w:pStyle w:val="Normal"/>
        <w:spacing w:lineRule="auto" w:line="276" w:before="0" w:after="200"/>
        <w:jc w:val="center"/>
        <w:rPr>
          <w:rFonts w:ascii="Arial" w:hAnsi="Arial"/>
        </w:rPr>
      </w:pPr>
      <w:r>
        <w:rPr>
          <w:sz w:val="24"/>
          <w:szCs w:val="24"/>
        </w:rPr>
        <w:t>Patrick Yeboah</w:t>
      </w:r>
    </w:p>
    <w:p>
      <w:pPr>
        <w:pStyle w:val="Normal"/>
        <w:spacing w:lineRule="auto" w:line="276" w:before="0" w:after="200"/>
        <w:jc w:val="center"/>
        <w:rPr>
          <w:rFonts w:ascii="Arial" w:hAnsi="Arial"/>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rPr>
      </w:pPr>
      <w:r>
        <w:rPr>
          <w:rFonts w:eastAsia="Times New Roman" w:cs="Times New Roman"/>
          <w:b w:val="false"/>
          <w:bCs w:val="false"/>
          <w:sz w:val="24"/>
          <w:szCs w:val="24"/>
        </w:rPr>
        <w:t>Term 1</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rPr>
      </w:pPr>
      <w:r>
        <w:rPr>
          <w:rFonts w:eastAsia="Times New Roman" w:cs="Times New Roman"/>
          <w:b/>
          <w:sz w:val="24"/>
          <w:szCs w:val="24"/>
        </w:rPr>
        <w:t>Table of contents</w:t>
      </w:r>
    </w:p>
    <w:sdt>
      <w:sdtPr>
        <w:docPartObj>
          <w:docPartGallery w:val="Table of Contents"/>
          <w:docPartUnique w:val="true"/>
        </w:docPartObj>
      </w:sdtPr>
      <w:sdtContent>
        <w:p>
          <w:pPr>
            <w:pStyle w:val="TOC1"/>
            <w:tabs>
              <w:tab w:val="clear" w:pos="720"/>
              <w:tab w:val="right" w:pos="9350" w:leader="dot"/>
            </w:tabs>
            <w:spacing w:lineRule="auto" w:line="360"/>
            <w:jc w:val="both"/>
            <w:rPr>
              <w:rFonts w:ascii="Cambria" w:hAnsi="Cambria"/>
              <w:sz w:val="24"/>
              <w:lang w:val="en-IN"/>
            </w:rPr>
          </w:pPr>
          <w:r>
            <w:fldChar w:fldCharType="begin"/>
          </w:r>
          <w:r>
            <w:rPr>
              <w:vanish w:val="false"/>
              <w:sz w:val="24"/>
            </w:rPr>
            <w:instrText xml:space="preserve"> TOC \z \o "1-9" \u \t "heading 1,1,heading 2,2,heading 3,3,heading 4,4,heading 5,5,heading 6,6" \h</w:instrText>
          </w:r>
          <w:r>
            <w:rPr>
              <w:vanish w:val="false"/>
              <w:sz w:val="24"/>
            </w:rPr>
            <w:fldChar w:fldCharType="separate"/>
          </w:r>
          <w:r>
            <w:rPr>
              <w:vanish w:val="false"/>
              <w:sz w:val="24"/>
            </w:rPr>
            <w:t>1</w:t>
          </w:r>
          <w:hyperlink w:anchor="_Toc213703055">
            <w:r>
              <w:rPr>
                <w:rStyle w:val="IndexLink"/>
                <w:vanish w:val="false"/>
                <w:webHidden/>
                <w:sz w:val="24"/>
              </w:rPr>
              <w:t>. Financial Health Check</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6">
            <w:r>
              <w:rPr>
                <w:rStyle w:val="IndexLink"/>
                <w:vanish w:val="false"/>
                <w:webHidden/>
                <w:sz w:val="24"/>
              </w:rPr>
              <w:t>.1 Analysis of the Firm’s Financial Statements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7">
            <w:r>
              <w:rPr>
                <w:rStyle w:val="IndexLink"/>
                <w:vanish w:val="false"/>
                <w:webHidden/>
                <w:sz w:val="24"/>
              </w:rPr>
              <w:t>.2 Ratio Analysis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8">
            <w:r>
              <w:rPr>
                <w:rStyle w:val="IndexLink"/>
                <w:vanish w:val="false"/>
                <w:webHidden/>
                <w:sz w:val="24"/>
              </w:rPr>
              <w:t>.3 Identification of Trends, Strengths and Threats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1</w:t>
          </w:r>
          <w:hyperlink w:anchor="_Toc213703059">
            <w:r>
              <w:rPr>
                <w:rStyle w:val="IndexLink"/>
                <w:vanish w:val="false"/>
                <w:webHidden/>
                <w:sz w:val="24"/>
              </w:rPr>
              <w:t>.4 Use of corporate failure prediction models</w:t>
            </w:r>
          </w:hyperlink>
          <w:r>
            <w:rPr>
              <w:vanish w:val="false"/>
              <w:sz w:val="24"/>
            </w:rPr>
            <w:t xml:space="preserve"> .....................................................</w:t>
          </w:r>
        </w:p>
        <w:p>
          <w:pPr>
            <w:pStyle w:val="TOC1"/>
            <w:tabs>
              <w:tab w:val="clear" w:pos="720"/>
              <w:tab w:val="right" w:pos="9350" w:leader="dot"/>
            </w:tabs>
            <w:spacing w:lineRule="auto" w:line="360"/>
            <w:jc w:val="both"/>
            <w:rPr>
              <w:rFonts w:ascii="Cambria" w:hAnsi="Cambria"/>
              <w:sz w:val="24"/>
              <w:lang w:val="en-IN"/>
            </w:rPr>
          </w:pPr>
          <w:r>
            <w:rPr>
              <w:vanish w:val="false"/>
              <w:sz w:val="24"/>
            </w:rPr>
            <w:t>2</w:t>
          </w:r>
          <w:hyperlink w:anchor="_Toc213703060">
            <w:r>
              <w:rPr>
                <w:rStyle w:val="IndexLink"/>
                <w:vanish w:val="false"/>
                <w:webHidden/>
                <w:sz w:val="24"/>
              </w:rPr>
              <w:t>. Working Capital Management Analysis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2</w:t>
          </w:r>
          <w:hyperlink w:anchor="_Toc213703061">
            <w:r>
              <w:rPr>
                <w:rStyle w:val="IndexLink"/>
                <w:vanish w:val="false"/>
                <w:webHidden/>
                <w:sz w:val="24"/>
              </w:rPr>
              <w:t>.1 Assessment of Cash Operating Cycle</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2</w:t>
          </w:r>
          <w:hyperlink w:anchor="_Toc213703062">
            <w:r>
              <w:rPr>
                <w:rStyle w:val="IndexLink"/>
                <w:vanish w:val="false"/>
                <w:webHidden/>
                <w:sz w:val="24"/>
              </w:rPr>
              <w:t>.2 Recommended Strategies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2</w:t>
          </w:r>
          <w:hyperlink w:anchor="_Toc213703063">
            <w:r>
              <w:rPr>
                <w:rStyle w:val="IndexLink"/>
                <w:vanish w:val="false"/>
                <w:webHidden/>
                <w:sz w:val="24"/>
              </w:rPr>
              <w:t>.3 Comparison of Short-Term and Long-Term Financing Options</w:t>
            </w:r>
          </w:hyperlink>
          <w:r>
            <w:rPr>
              <w:vanish w:val="false"/>
              <w:sz w:val="24"/>
            </w:rPr>
            <w:t xml:space="preserve"> .....................</w:t>
          </w:r>
        </w:p>
        <w:p>
          <w:pPr>
            <w:pStyle w:val="TOC1"/>
            <w:tabs>
              <w:tab w:val="clear" w:pos="720"/>
              <w:tab w:val="right" w:pos="9350" w:leader="dot"/>
            </w:tabs>
            <w:spacing w:lineRule="auto" w:line="360"/>
            <w:jc w:val="both"/>
            <w:rPr>
              <w:rFonts w:ascii="Cambria" w:hAnsi="Cambria"/>
              <w:sz w:val="24"/>
              <w:lang w:val="en-IN"/>
            </w:rPr>
          </w:pPr>
          <w:r>
            <w:rPr>
              <w:vanish w:val="false"/>
              <w:sz w:val="24"/>
            </w:rPr>
            <w:t>3</w:t>
          </w:r>
          <w:hyperlink w:anchor="_Toc213703064">
            <w:r>
              <w:rPr>
                <w:rStyle w:val="IndexLink"/>
                <w:vanish w:val="false"/>
                <w:webHidden/>
                <w:sz w:val="24"/>
              </w:rPr>
              <w:t>. Strategic Financial Restructuring Plan</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3</w:t>
          </w:r>
          <w:hyperlink w:anchor="_Toc213703065">
            <w:r>
              <w:rPr>
                <w:rStyle w:val="IndexLink"/>
                <w:vanish w:val="false"/>
                <w:webHidden/>
                <w:sz w:val="24"/>
              </w:rPr>
              <w:t>.1 Recommended Options for Financial Restructuring</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3</w:t>
          </w:r>
          <w:hyperlink w:anchor="_Toc213703066">
            <w:r>
              <w:rPr>
                <w:rStyle w:val="IndexLink"/>
                <w:vanish w:val="false"/>
                <w:webHidden/>
                <w:sz w:val="24"/>
              </w:rPr>
              <w:t>.2 Impact on Debt Structure, Shareholder Value and Operational Flexibility</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3</w:t>
          </w:r>
          <w:hyperlink w:anchor="_Toc213703067">
            <w:r>
              <w:rPr>
                <w:rStyle w:val="IndexLink"/>
                <w:vanish w:val="false"/>
                <w:webHidden/>
                <w:sz w:val="24"/>
              </w:rPr>
              <w:t>.3 International and Ethical Considerations</w:t>
            </w:r>
          </w:hyperlink>
          <w:r>
            <w:rPr>
              <w:vanish w:val="false"/>
              <w:sz w:val="24"/>
            </w:rPr>
            <w:t xml:space="preserve"> .......................................................</w:t>
          </w:r>
        </w:p>
        <w:p>
          <w:pPr>
            <w:pStyle w:val="TOC1"/>
            <w:tabs>
              <w:tab w:val="clear" w:pos="720"/>
              <w:tab w:val="right" w:pos="9350" w:leader="dot"/>
            </w:tabs>
            <w:spacing w:lineRule="auto" w:line="360"/>
            <w:jc w:val="both"/>
            <w:rPr>
              <w:rFonts w:ascii="Cambria" w:hAnsi="Cambria"/>
              <w:sz w:val="24"/>
              <w:lang w:val="en-IN"/>
            </w:rPr>
          </w:pPr>
          <w:r>
            <w:rPr>
              <w:vanish w:val="false"/>
              <w:sz w:val="24"/>
            </w:rPr>
            <w:t>4</w:t>
          </w:r>
          <w:hyperlink w:anchor="_Toc213703068">
            <w:r>
              <w:rPr>
                <w:rStyle w:val="IndexLink"/>
                <w:vanish w:val="false"/>
                <w:webHidden/>
                <w:sz w:val="24"/>
              </w:rPr>
              <w:t>. Investment Appraisal and Capital Budgeting</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4</w:t>
          </w:r>
          <w:hyperlink w:anchor="_Toc213703069">
            <w:r>
              <w:rPr>
                <w:rStyle w:val="IndexLink"/>
                <w:vanish w:val="false"/>
                <w:webHidden/>
                <w:sz w:val="24"/>
              </w:rPr>
              <w:t>.1 Evaluation of Three Proposed Investment Projects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r>
            <w:rPr>
              <w:vanish w:val="false"/>
              <w:sz w:val="24"/>
            </w:rPr>
            <w:t>4</w:t>
          </w:r>
          <w:hyperlink w:anchor="_Toc213703070">
            <w:r>
              <w:rPr>
                <w:rStyle w:val="IndexLink"/>
                <w:vanish w:val="false"/>
                <w:webHidden/>
                <w:sz w:val="24"/>
              </w:rPr>
              <w:t>.2 Final Investment Recommendation and Justification</w:t>
            </w:r>
          </w:hyperlink>
          <w:r>
            <w:rPr>
              <w:vanish w:val="false"/>
              <w:sz w:val="24"/>
            </w:rPr>
            <w:t xml:space="preserve"> ...................................</w:t>
          </w:r>
        </w:p>
        <w:p>
          <w:pPr>
            <w:pStyle w:val="TOC1"/>
            <w:tabs>
              <w:tab w:val="clear" w:pos="720"/>
              <w:tab w:val="right" w:pos="9350" w:leader="dot"/>
            </w:tabs>
            <w:spacing w:lineRule="auto" w:line="360"/>
            <w:jc w:val="both"/>
            <w:rPr>
              <w:rFonts w:ascii="Cambria" w:hAnsi="Cambria"/>
              <w:sz w:val="24"/>
              <w:lang w:val="en-IN"/>
            </w:rPr>
          </w:pPr>
          <w:hyperlink w:anchor="_Toc213703071">
            <w:r>
              <w:rPr>
                <w:rStyle w:val="IndexLink"/>
                <w:vanish w:val="false"/>
                <w:webHidden/>
                <w:sz w:val="24"/>
              </w:rPr>
              <w:t>Conclusion</w:t>
            </w:r>
          </w:hyperlink>
          <w:r>
            <w:rPr>
              <w:vanish w:val="false"/>
              <w:sz w:val="24"/>
            </w:rPr>
            <w:t xml:space="preserve"> ............................................................................................................</w:t>
          </w:r>
        </w:p>
        <w:p>
          <w:pPr>
            <w:pStyle w:val="TOC1"/>
            <w:tabs>
              <w:tab w:val="clear" w:pos="720"/>
              <w:tab w:val="right" w:pos="9350" w:leader="dot"/>
            </w:tabs>
            <w:spacing w:lineRule="auto" w:line="360"/>
            <w:jc w:val="both"/>
            <w:rPr>
              <w:rFonts w:ascii="Cambria" w:hAnsi="Cambria"/>
              <w:sz w:val="24"/>
              <w:lang w:val="en-IN"/>
            </w:rPr>
          </w:pPr>
          <w:hyperlink w:anchor="_Toc213703072">
            <w:r>
              <w:rPr>
                <w:rStyle w:val="IndexLink"/>
                <w:vanish w:val="false"/>
                <w:webHidden/>
                <w:sz w:val="24"/>
              </w:rPr>
              <w:t>References</w:t>
            </w:r>
          </w:hyperlink>
          <w:r>
            <w:rPr>
              <w:vanish w:val="false"/>
              <w:sz w:val="24"/>
            </w:rPr>
            <w:t xml:space="preserve"> ...........................................................................................................</w:t>
          </w:r>
        </w:p>
        <w:p>
          <w:pPr>
            <w:pStyle w:val="TOC1"/>
            <w:tabs>
              <w:tab w:val="clear" w:pos="720"/>
              <w:tab w:val="right" w:pos="9350" w:leader="dot"/>
            </w:tabs>
            <w:spacing w:lineRule="auto" w:line="360"/>
            <w:jc w:val="both"/>
            <w:rPr>
              <w:rFonts w:ascii="Cambria" w:hAnsi="Cambria"/>
              <w:sz w:val="24"/>
              <w:lang w:val="en-IN"/>
            </w:rPr>
          </w:pPr>
          <w:hyperlink w:anchor="_Toc213703073">
            <w:r>
              <w:rPr>
                <w:rStyle w:val="IndexLink"/>
                <w:vanish w:val="false"/>
                <w:webHidden/>
                <w:sz w:val="24"/>
              </w:rPr>
              <w:t>Appendices</w:t>
            </w:r>
          </w:hyperlink>
          <w:r>
            <w:rPr>
              <w:vanish w:val="false"/>
              <w:sz w:val="24"/>
            </w:rPr>
            <w:t xml:space="preserve"> ...........................................................................................................</w:t>
          </w:r>
        </w:p>
        <w:p>
          <w:pPr>
            <w:pStyle w:val="TOC2"/>
            <w:tabs>
              <w:tab w:val="clear" w:pos="720"/>
              <w:tab w:val="right" w:pos="9350" w:leader="dot"/>
            </w:tabs>
            <w:spacing w:lineRule="auto" w:line="360"/>
            <w:jc w:val="both"/>
            <w:rPr>
              <w:rFonts w:ascii="Cambria" w:hAnsi="Cambria"/>
              <w:sz w:val="24"/>
              <w:lang w:val="en-IN"/>
            </w:rPr>
          </w:pPr>
          <w:hyperlink w:anchor="_Toc213703074">
            <w:r>
              <w:rPr>
                <w:rStyle w:val="IndexLink"/>
                <w:vanish w:val="false"/>
                <w:webHidden/>
                <w:sz w:val="24"/>
              </w:rPr>
              <w:t>Appendix 1: Ratio analysis</w:t>
            </w:r>
          </w:hyperlink>
          <w:r>
            <w:rPr>
              <w:vanish w:val="false"/>
              <w:sz w:val="24"/>
            </w:rPr>
            <w:t xml:space="preserve"> ................................................................................</w:t>
          </w:r>
        </w:p>
        <w:p>
          <w:pPr>
            <w:pStyle w:val="TOC2"/>
            <w:tabs>
              <w:tab w:val="clear" w:pos="720"/>
              <w:tab w:val="right" w:pos="9350" w:leader="dot"/>
            </w:tabs>
            <w:spacing w:lineRule="auto" w:line="360"/>
            <w:jc w:val="both"/>
            <w:rPr>
              <w:rFonts w:ascii="Cambria" w:hAnsi="Cambria"/>
              <w:lang w:val="en-IN"/>
            </w:rPr>
          </w:pPr>
          <w:hyperlink w:anchor="_Toc213703087">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rPr>
              <w:t>Appendix 2: Investment analysis</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t xml:space="preserve"> .......................................................................</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rPr>
            <w:fldChar w:fldCharType="end"/>
          </w:r>
        </w:p>
      </w:sdtContent>
    </w:sdt>
    <w:p>
      <w:pPr>
        <w:pStyle w:val="Heading1"/>
        <w:spacing w:lineRule="auto" w:line="360" w:before="0" w:after="200"/>
        <w:jc w:val="both"/>
        <w:rPr>
          <w:rFonts w:ascii="Arial" w:hAnsi="Arial"/>
          <w:sz w:val="24"/>
          <w:szCs w:val="24"/>
        </w:rPr>
      </w:pPr>
      <w:r>
        <w:rPr>
          <w:rFonts w:ascii="Arial" w:hAnsi="Arial"/>
          <w:sz w:val="24"/>
          <w:szCs w:val="24"/>
        </w:rPr>
      </w:r>
      <w:r>
        <w:br w:type="page"/>
      </w:r>
    </w:p>
    <w:p>
      <w:pPr>
        <w:pStyle w:val="Heading1"/>
        <w:spacing w:lineRule="auto" w:line="360" w:before="0" w:after="200"/>
        <w:jc w:val="both"/>
        <w:rPr>
          <w:rFonts w:ascii="Arial" w:hAnsi="Arial"/>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rPr>
      </w:pPr>
      <w:r>
        <w:rPr>
          <w:rFonts w:eastAsia="Arial" w:cs="Arial" w:ascii="Arial" w:hAnsi="Arial"/>
          <w:b w:val="false"/>
          <w:i w:val="false"/>
          <w:caps w:val="false"/>
          <w:smallCaps w:val="false"/>
          <w:strike w:val="false"/>
          <w:dstrike w:val="false"/>
          <w:color w:val="000000"/>
          <w:sz w:val="24"/>
          <w:szCs w:val="24"/>
          <w:u w:val="none"/>
          <w:shd w:fill="auto" w:val="clear"/>
        </w:rPr>
        <w:tab/>
        <w:t xml:space="preserve">Volkswagen Group (VW)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 xml:space="preserve">n </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 xml:space="preserve">n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 xml:space="preserve">r </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r </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n Wolfsburg, Germany.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 xml:space="preserve">rand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 xml:space="preserve">ortfolio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 xml:space="preserve">overs passenger cars (VW, Audi, Porsche, Bentley, Lamborghini, Škoda, SEAT, Cupra), motorcycles (Ducati) and commercial vehicles (MAN, Scania).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he firm </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 xml:space="preserve">revenue of €321.9 billion in 2025 </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g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t </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d </w:t>
      </w:r>
      <w:r>
        <w:rPr>
          <w:rFonts w:eastAsia="Arial" w:cs="Arial" w:ascii="Arial" w:hAnsi="Arial"/>
          <w:b w:val="false"/>
          <w:i w:val="false"/>
          <w:caps w:val="false"/>
          <w:smallCaps w:val="false"/>
          <w:strike w:val="false"/>
          <w:dstrike w:val="false"/>
          <w:color w:val="000000"/>
          <w:sz w:val="24"/>
          <w:szCs w:val="24"/>
          <w:u w:val="none"/>
          <w:shd w:fill="auto" w:val="clear"/>
        </w:rPr>
        <w:t>5</w:t>
      </w:r>
      <w:r>
        <w:rPr>
          <w:rFonts w:eastAsia="Arial" w:cs="Arial" w:ascii="Arial" w:hAnsi="Arial"/>
          <w:b w:val="false"/>
          <w:i w:val="false"/>
          <w:caps w:val="false"/>
          <w:smallCaps w:val="false"/>
          <w:strike w:val="false"/>
          <w:dstrike w:val="false"/>
          <w:color w:val="000000"/>
          <w:sz w:val="24"/>
          <w:szCs w:val="24"/>
          <w:u w:val="none"/>
          <w:shd w:fill="auto" w:val="clear"/>
        </w:rPr>
        <w:t xml:space="preserve">3%. </w:t>
      </w:r>
      <w:r>
        <w:rPr>
          <w:rFonts w:eastAsia="Arial" w:cs="Arial" w:ascii="Arial" w:hAnsi="Arial"/>
          <w:b w:val="false"/>
          <w:i w:val="false"/>
          <w:caps w:val="false"/>
          <w:smallCaps w:val="false"/>
          <w:strike w:val="false"/>
          <w:dstrike w:val="false"/>
          <w:color w:val="000000"/>
          <w:sz w:val="24"/>
          <w:szCs w:val="24"/>
          <w:u w:val="none"/>
          <w:shd w:fill="auto" w:val="clear"/>
        </w:rPr>
        <w:t>D</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h</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g </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 xml:space="preserve">e, </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k</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w</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g</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 xml:space="preserve"> is currently experiencing severe margin compression and massive capital expenditure burdens.</w:t>
      </w:r>
    </w:p>
    <w:p>
      <w:pPr>
        <w:pStyle w:val="normal2"/>
        <w:widowControl/>
        <w:bidi w:val="0"/>
        <w:spacing w:lineRule="auto" w:line="360" w:before="0" w:after="200"/>
        <w:ind w:hanging="0" w:start="0" w:end="0"/>
        <w:jc w:val="both"/>
        <w:rPr>
          <w:rFonts w:ascii="Arial" w:hAnsi="Arial"/>
        </w:rPr>
      </w:pPr>
      <w:r>
        <w:rPr>
          <w:rFonts w:eastAsia="Arial" w:cs="Arial" w:ascii="Arial" w:hAnsi="Arial"/>
          <w:b w:val="false"/>
          <w:i w:val="false"/>
          <w:caps w:val="false"/>
          <w:smallCaps w:val="false"/>
          <w:strike w:val="false"/>
          <w:dstrike w:val="false"/>
          <w:color w:val="000000"/>
          <w:sz w:val="24"/>
          <w:szCs w:val="24"/>
          <w:u w:val="none"/>
          <w:shd w:fill="auto" w:val="clear"/>
        </w:rPr>
        <w:t xml:space="preserve">Assuming the role of the newly appointed Chief Financial Officer (CFO), this report presents a comprehensive </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y</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xml:space="preserve"> of Volkswagen’s current financial health and proposes a strategic roadmap to stabilize operations and secure long-term shareholder value. The report is structured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 xml:space="preserve">n </w:t>
      </w:r>
      <w:r>
        <w:rPr>
          <w:rFonts w:eastAsia="Arial" w:cs="Arial" w:ascii="Arial" w:hAnsi="Arial"/>
          <w:b w:val="false"/>
          <w:i w:val="false"/>
          <w:caps w:val="false"/>
          <w:smallCaps w:val="false"/>
          <w:strike w:val="false"/>
          <w:dstrike w:val="false"/>
          <w:color w:val="000000"/>
          <w:sz w:val="24"/>
          <w:szCs w:val="24"/>
          <w:u w:val="none"/>
          <w:shd w:fill="auto" w:val="clear"/>
        </w:rPr>
        <w:t xml:space="preserve">4 </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 pillars. First, a rigorous five-year ratio analysis (2021–2025) is pinpoint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g</w:t>
      </w:r>
      <w:r>
        <w:rPr>
          <w:rFonts w:eastAsia="Arial" w:cs="Arial" w:ascii="Arial" w:hAnsi="Arial"/>
          <w:b w:val="false"/>
          <w:i w:val="false"/>
          <w:caps w:val="false"/>
          <w:smallCaps w:val="false"/>
          <w:strike w:val="false"/>
          <w:dstrike w:val="false"/>
          <w:color w:val="000000"/>
          <w:sz w:val="24"/>
          <w:szCs w:val="24"/>
          <w:u w:val="none"/>
          <w:shd w:fill="auto" w:val="clear"/>
        </w:rPr>
        <w:t xml:space="preserve"> underlying profitability and solvency vulnerabilities. Second, </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v</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u</w:t>
      </w:r>
      <w:r>
        <w:rPr>
          <w:rFonts w:eastAsia="Arial" w:cs="Arial" w:ascii="Arial" w:hAnsi="Arial"/>
          <w:b w:val="false"/>
          <w:i w:val="false"/>
          <w:caps w:val="false"/>
          <w:smallCaps w:val="false"/>
          <w:strike w:val="false"/>
          <w:dstrike w:val="false"/>
          <w:color w:val="000000"/>
          <w:sz w:val="24"/>
          <w:szCs w:val="24"/>
          <w:u w:val="none"/>
          <w:shd w:fill="auto" w:val="clear"/>
        </w:rPr>
        <w:t>a</w:t>
      </w:r>
      <w:r>
        <w:rPr>
          <w:rFonts w:eastAsia="Arial" w:cs="Arial" w:ascii="Arial" w:hAnsi="Arial"/>
          <w:b w:val="false"/>
          <w:i w:val="false"/>
          <w:caps w:val="false"/>
          <w:smallCaps w:val="false"/>
          <w:strike w:val="false"/>
          <w:dstrike w:val="false"/>
          <w:color w:val="000000"/>
          <w:sz w:val="24"/>
          <w:szCs w:val="24"/>
          <w:u w:val="none"/>
          <w:shd w:fill="auto" w:val="clear"/>
        </w:rPr>
        <w:t>t</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n </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 xml:space="preserve">f </w:t>
      </w:r>
      <w:r>
        <w:rPr>
          <w:rFonts w:eastAsia="Arial" w:cs="Arial" w:ascii="Arial" w:hAnsi="Arial"/>
          <w:b w:val="false"/>
          <w:i w:val="false"/>
          <w:caps w:val="false"/>
          <w:smallCaps w:val="false"/>
          <w:strike w:val="false"/>
          <w:dstrike w:val="false"/>
          <w:color w:val="000000"/>
          <w:sz w:val="24"/>
          <w:szCs w:val="24"/>
          <w:u w:val="none"/>
          <w:shd w:fill="auto" w:val="clear"/>
        </w:rPr>
        <w:t xml:space="preserve">firm’s working capital management to address cash cycles </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f</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n</w:t>
      </w:r>
      <w:r>
        <w:rPr>
          <w:rFonts w:eastAsia="Arial" w:cs="Arial" w:ascii="Arial" w:hAnsi="Arial"/>
          <w:b w:val="false"/>
          <w:i w:val="false"/>
          <w:caps w:val="false"/>
          <w:smallCaps w:val="false"/>
          <w:strike w:val="false"/>
          <w:dstrike w:val="false"/>
          <w:color w:val="000000"/>
          <w:sz w:val="24"/>
          <w:szCs w:val="24"/>
          <w:u w:val="none"/>
          <w:shd w:fill="auto" w:val="clear"/>
        </w:rPr>
        <w:t>c</w:t>
      </w:r>
      <w:r>
        <w:rPr>
          <w:rFonts w:eastAsia="Arial" w:cs="Arial" w:ascii="Arial" w:hAnsi="Arial"/>
          <w:b w:val="false"/>
          <w:i w:val="false"/>
          <w:caps w:val="false"/>
          <w:smallCaps w:val="false"/>
          <w:strike w:val="false"/>
          <w:dstrike w:val="false"/>
          <w:color w:val="000000"/>
          <w:sz w:val="24"/>
          <w:szCs w:val="24"/>
          <w:u w:val="none"/>
          <w:shd w:fill="auto" w:val="clear"/>
        </w:rPr>
        <w:t>i</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 xml:space="preserve">s </w:t>
      </w:r>
      <w:r>
        <w:rPr>
          <w:rFonts w:eastAsia="Arial" w:cs="Arial" w:ascii="Arial" w:hAnsi="Arial"/>
          <w:b w:val="false"/>
          <w:i w:val="false"/>
          <w:caps w:val="false"/>
          <w:smallCaps w:val="false"/>
          <w:strike w:val="false"/>
          <w:dstrike w:val="false"/>
          <w:color w:val="000000"/>
          <w:sz w:val="24"/>
          <w:szCs w:val="24"/>
          <w:u w:val="none"/>
          <w:shd w:fill="auto" w:val="clear"/>
        </w:rPr>
        <w:t xml:space="preserve">and short-term liquidity </w:t>
      </w:r>
      <w:r>
        <w:rPr>
          <w:rFonts w:eastAsia="Arial" w:cs="Arial" w:ascii="Arial" w:hAnsi="Arial"/>
          <w:b w:val="false"/>
          <w:i w:val="false"/>
          <w:caps w:val="false"/>
          <w:smallCaps w:val="false"/>
          <w:strike w:val="false"/>
          <w:dstrike w:val="false"/>
          <w:color w:val="000000"/>
          <w:sz w:val="24"/>
          <w:szCs w:val="24"/>
          <w:u w:val="none"/>
          <w:shd w:fill="auto" w:val="clear"/>
        </w:rPr>
        <w:t>p</w:t>
      </w:r>
      <w:r>
        <w:rPr>
          <w:rFonts w:eastAsia="Arial" w:cs="Arial" w:ascii="Arial" w:hAnsi="Arial"/>
          <w:b w:val="false"/>
          <w:i w:val="false"/>
          <w:caps w:val="false"/>
          <w:smallCaps w:val="false"/>
          <w:strike w:val="false"/>
          <w:dstrike w:val="false"/>
          <w:color w:val="000000"/>
          <w:sz w:val="24"/>
          <w:szCs w:val="24"/>
          <w:u w:val="none"/>
          <w:shd w:fill="auto" w:val="clear"/>
        </w:rPr>
        <w:t>r</w:t>
      </w:r>
      <w:r>
        <w:rPr>
          <w:rFonts w:eastAsia="Arial" w:cs="Arial" w:ascii="Arial" w:hAnsi="Arial"/>
          <w:b w:val="false"/>
          <w:i w:val="false"/>
          <w:caps w:val="false"/>
          <w:smallCaps w:val="false"/>
          <w:strike w:val="false"/>
          <w:dstrike w:val="false"/>
          <w:color w:val="000000"/>
          <w:sz w:val="24"/>
          <w:szCs w:val="24"/>
          <w:u w:val="none"/>
          <w:shd w:fill="auto" w:val="clear"/>
        </w:rPr>
        <w:t>o</w:t>
      </w:r>
      <w:r>
        <w:rPr>
          <w:rFonts w:eastAsia="Arial" w:cs="Arial" w:ascii="Arial" w:hAnsi="Arial"/>
          <w:b w:val="false"/>
          <w:i w:val="false"/>
          <w:caps w:val="false"/>
          <w:smallCaps w:val="false"/>
          <w:strike w:val="false"/>
          <w:dstrike w:val="false"/>
          <w:color w:val="000000"/>
          <w:sz w:val="24"/>
          <w:szCs w:val="24"/>
          <w:u w:val="none"/>
          <w:shd w:fill="auto" w:val="clear"/>
        </w:rPr>
        <w:t>b</w:t>
      </w:r>
      <w:r>
        <w:rPr>
          <w:rFonts w:eastAsia="Arial" w:cs="Arial" w:ascii="Arial" w:hAnsi="Arial"/>
          <w:b w:val="false"/>
          <w:i w:val="false"/>
          <w:caps w:val="false"/>
          <w:smallCaps w:val="false"/>
          <w:strike w:val="false"/>
          <w:dstrike w:val="false"/>
          <w:color w:val="000000"/>
          <w:sz w:val="24"/>
          <w:szCs w:val="24"/>
          <w:u w:val="none"/>
          <w:shd w:fill="auto" w:val="clear"/>
        </w:rPr>
        <w:t>l</w:t>
      </w:r>
      <w:r>
        <w:rPr>
          <w:rFonts w:eastAsia="Arial" w:cs="Arial" w:ascii="Arial" w:hAnsi="Arial"/>
          <w:b w:val="false"/>
          <w:i w:val="false"/>
          <w:caps w:val="false"/>
          <w:smallCaps w:val="false"/>
          <w:strike w:val="false"/>
          <w:dstrike w:val="false"/>
          <w:color w:val="000000"/>
          <w:sz w:val="24"/>
          <w:szCs w:val="24"/>
          <w:u w:val="none"/>
          <w:shd w:fill="auto" w:val="clear"/>
        </w:rPr>
        <w:t>e</w:t>
      </w:r>
      <w:r>
        <w:rPr>
          <w:rFonts w:eastAsia="Arial" w:cs="Arial" w:ascii="Arial" w:hAnsi="Arial"/>
          <w:b w:val="false"/>
          <w:i w:val="false"/>
          <w:caps w:val="false"/>
          <w:smallCaps w:val="false"/>
          <w:strike w:val="false"/>
          <w:dstrike w:val="false"/>
          <w:color w:val="000000"/>
          <w:sz w:val="24"/>
          <w:szCs w:val="24"/>
          <w:u w:val="none"/>
          <w:shd w:fill="auto" w:val="clear"/>
        </w:rPr>
        <w:t>m</w:t>
      </w:r>
      <w:r>
        <w:rPr>
          <w:rFonts w:eastAsia="Arial" w:cs="Arial" w:ascii="Arial" w:hAnsi="Arial"/>
          <w:b w:val="false"/>
          <w:i w:val="false"/>
          <w:caps w:val="false"/>
          <w:smallCaps w:val="false"/>
          <w:strike w:val="false"/>
          <w:dstrike w:val="false"/>
          <w:color w:val="000000"/>
          <w:sz w:val="24"/>
          <w:szCs w:val="24"/>
          <w:u w:val="none"/>
          <w:shd w:fill="auto" w:val="clear"/>
        </w:rPr>
        <w:t>s</w:t>
      </w:r>
      <w:r>
        <w:rPr>
          <w:rFonts w:eastAsia="Arial" w:cs="Arial" w:ascii="Arial" w:hAnsi="Arial"/>
          <w:b w:val="false"/>
          <w:i w:val="false"/>
          <w:caps w:val="false"/>
          <w:smallCaps w:val="false"/>
          <w:strike w:val="false"/>
          <w:dstrike w:val="false"/>
          <w:color w:val="000000"/>
          <w:sz w:val="24"/>
          <w:szCs w:val="24"/>
          <w:u w:val="none"/>
          <w:shd w:fill="auto" w:val="clear"/>
        </w:rPr>
        <w:t>. Third, a strategic financial restructuring plan is proposed to mitigate fixed costs and navigate international market risks. Finally, a rigorous investment appraisal is executed under strict capital rationing constraints to determine the optimal allocation of a £100 million budget, ensuring the firm capitalizes on high-yield innovations essential for dominating the future electric vehicle landscape.</w:t>
      </w:r>
      <w:r>
        <w:br w:type="page"/>
      </w:r>
    </w:p>
    <w:p>
      <w:pPr>
        <w:pStyle w:val="BodyText"/>
        <w:bidi w:val="0"/>
        <w:spacing w:lineRule="auto" w:line="360" w:before="0" w:after="0"/>
        <w:ind w:hanging="0" w:start="0" w:end="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 Financial Health Check</w:t>
      </w:r>
    </w:p>
    <w:p>
      <w:pPr>
        <w:pStyle w:val="BodyText"/>
        <w:bidi w:val="0"/>
        <w:spacing w:lineRule="auto" w:line="360" w:before="0" w:after="0"/>
        <w:ind w:hanging="0" w:start="0" w:end="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ind w:hanging="0" w:start="0" w:end="0"/>
        <w:jc w:val="both"/>
        <w:rPr>
          <w:rFonts w:ascii="Arial" w:hAnsi="Arial"/>
        </w:rPr>
      </w:pPr>
      <w:r>
        <w:rPr>
          <w:rFonts w:eastAsia="Times New Roman" w:cs="Times New Roman"/>
          <w:b/>
          <w:bCs/>
          <w:i w:val="false"/>
          <w:caps w:val="false"/>
          <w:smallCaps w:val="false"/>
          <w:strike w:val="false"/>
          <w:dstrike w:val="false"/>
          <w:color w:val="000000"/>
          <w:position w:val="0"/>
          <w:sz w:val="24"/>
          <w:szCs w:val="24"/>
          <w:u w:val="none"/>
          <w:effect w:val="none"/>
          <w:shd w:fill="auto" w:val="clear"/>
          <w:vertAlign w:val="baseline"/>
        </w:rPr>
        <w:t>1.1 Analysis of Firm’s Financial Statements</w:t>
      </w:r>
    </w:p>
    <w:p>
      <w:pPr>
        <w:pStyle w:val="Normal"/>
        <w:bidi w:val="0"/>
        <w:spacing w:lineRule="auto" w:line="360" w:before="0" w:after="200"/>
        <w:jc w:val="both"/>
        <w:rPr>
          <w:rFonts w:ascii="Arial" w:hAnsi="Arial"/>
        </w:rPr>
      </w:pPr>
      <w:r>
        <w:rPr>
          <w:rFonts w:eastAsia="Times New Roman" w:cs="Times New Roman"/>
          <w:b w:val="false"/>
          <w:bCs w:val="false"/>
          <w:sz w:val="24"/>
          <w:szCs w:val="24"/>
        </w:rPr>
        <w:t>Volkswagen Group (VW) is currently facing a severe profitability crisis despite despite showing a strong revenue growth year over year. While it’s business volume expanded 28.6% Over the period of 2021 to 2025, the firm reported just €6,904 million net profit in 2025, which is massive decline compared to a strong net profit of €15,428 million in 2021. Firm’s operating income  has contracted to 54% with reported income of €8,868 million in 2025. These factors reveal that firm’s margin is severly compressed, it is struggling with escalating capital expenditures, and fixed cost management. Hence, Volkswagen desperately requires a strategic intervention and restructuring plan to maintain its competitive position in the automobile market.</w:t>
      </w:r>
    </w:p>
    <w:p>
      <w:pPr>
        <w:pStyle w:val="Normal"/>
        <w:bidi w:val="0"/>
        <w:spacing w:lineRule="auto" w:line="360" w:before="0" w:after="200"/>
        <w:jc w:val="both"/>
        <w:rPr>
          <w:rFonts w:ascii="Arial" w:hAnsi="Arial"/>
        </w:rPr>
      </w:pPr>
      <w:r>
        <w:rPr>
          <w:rFonts w:eastAsia="Times New Roman" w:cs="Times New Roman"/>
          <w:b w:val="false"/>
          <w:bCs w:val="false"/>
          <w:sz w:val="24"/>
          <w:szCs w:val="24"/>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1.2 Full Ratio Analysis</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For profitability, Net Profit Margin (NPM), Operating Profit Margin, and Return on Equity (ROE) are analysed the income statement and balance sheet because they provide a holistic "top-to-bottom" view of a company's financial efficiency across different layers.</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 Operating Profit Margin</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Operating profit margin shows core business health. It shows if company’s day-to-day operations are profitable or not before the taxes or debt interest. </w:t>
      </w:r>
    </w:p>
    <w:p>
      <w:pPr>
        <w:pStyle w:val="BodyText"/>
        <w:numPr>
          <w:ilvl w:val="0"/>
          <w:numId w:val="1"/>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Operating profit margins are declining from 7.70% in 2021 to 2.75% in 2025.which can be seen in consolidated income statement as it dropped from £182,861 million in 2023 to £129,291 million in 2024.</w:t>
      </w:r>
    </w:p>
    <w:p>
      <w:pPr>
        <w:pStyle w:val="BodyText"/>
        <w:numPr>
          <w:ilvl w:val="0"/>
          <w:numId w:val="1"/>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a high-level warning that the operational efficiency needs to be improved (Brealey, Myers and Allen, 2022).</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ii) Net Profit Margin</w:t>
      </w:r>
    </w:p>
    <w:p>
      <w:pPr>
        <w:pStyle w:val="BodyText"/>
        <w:bidi w:val="0"/>
        <w:spacing w:lineRule="auto" w:line="360" w:before="0" w:after="0"/>
        <w:jc w:val="both"/>
        <w:rPr>
          <w:rFonts w:ascii="Arial" w:hAnsi="Arial"/>
        </w:rPr>
      </w:pPr>
      <w:r>
        <w:rPr/>
      </w:r>
    </w:p>
    <w:p>
      <w:pPr>
        <w:pStyle w:val="BodyText"/>
        <w:numPr>
          <w:ilvl w:val="0"/>
          <w:numId w:val="2"/>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NPM is the ultimate measure of survival because it considers everything from operating costs, interest on loans to taxes. it shows the pure profit that remains in the firm. </w:t>
      </w:r>
    </w:p>
    <w:p>
      <w:pPr>
        <w:pStyle w:val="BodyText"/>
        <w:numPr>
          <w:ilvl w:val="0"/>
          <w:numId w:val="2"/>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Net profit margins are at 5 years low with only 2.14% in 2025. The firm had healthy profit margin of 6.17% in 2021. Deteriorating net profit margins despite increasing revenu shows bottom line inefficiencies in the firm.</w:t>
      </w:r>
    </w:p>
    <w:p>
      <w:pPr>
        <w:pStyle w:val="BodyText"/>
        <w:numPr>
          <w:ilvl w:val="0"/>
          <w:numId w:val="2"/>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This increasingly thin margin leaves almost no buffer to absorb external market shocks and the firm becomes vulnerable to future supply chain disruptions or global tariff hikes. </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iii) Return on Equity</w:t>
      </w:r>
    </w:p>
    <w:p>
      <w:pPr>
        <w:pStyle w:val="BodyText"/>
        <w:bidi w:val="0"/>
        <w:spacing w:lineRule="auto" w:line="360" w:before="0" w:after="0"/>
        <w:jc w:val="both"/>
        <w:rPr>
          <w:rFonts w:ascii="Arial" w:hAnsi="Arial"/>
        </w:rPr>
      </w:pPr>
      <w:r>
        <w:rPr/>
      </w:r>
    </w:p>
    <w:p>
      <w:pPr>
        <w:pStyle w:val="BodyText"/>
        <w:numPr>
          <w:ilvl w:val="0"/>
          <w:numId w:val="3"/>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ROE shows the efficiency of the management in translating shareholder’s investments into returns. It shows staggering drop from 10.56% in 2021 to 3.41% in 2025U+002e</w:t>
      </w:r>
    </w:p>
    <w:p>
      <w:pPr>
        <w:pStyle w:val="BodyText"/>
        <w:numPr>
          <w:ilvl w:val="0"/>
          <w:numId w:val="3"/>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Shareholder’s Equity has continuously expanded (up to €202,400 million) through retained earnings, but the actual returns generated on this larger equity base have shrunk, meaning shareholders are seeing a significant decline in their investment value. Which can heavily penalize the firm's valuation and weaken its appeal to institutional investors (Hillier et al., 2020).</w:t>
      </w:r>
    </w:p>
    <w:p>
      <w:pPr>
        <w:pStyle w:val="Normal"/>
        <w:bidi w:val="0"/>
        <w:spacing w:lineRule="auto" w:line="360" w:before="0" w:after="200"/>
        <w:jc w:val="both"/>
        <w:rPr>
          <w:rFonts w:ascii="Arial" w:hAnsi="Arial"/>
          <w:sz w:val="24"/>
          <w:szCs w:val="24"/>
        </w:rPr>
      </w:pPr>
      <w:r>
        <w:rPr>
          <w:sz w:val="24"/>
          <w:szCs w:val="24"/>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Liquidity</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The current ratio and quick ratio were selected as they provide dual view of the safety net for Volkswegan. These 2 will be able to provide us the broad view as well as the crisis view.</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 Current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also known as working capital ratio as it shows if Volkswegan has enough current assets to cover its total current liabilities. This ratio slightly dropped from 11.17 in 2021 to 1.15 in 2025 but it has halted at 1.15 for the past four years.</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The firm has €242,100 million in current assets and short-term debt of €210,500 million as of  2025. Technically it has sufficient resources to comfortably clear its short-term debt and prevent any immediate liquidity crisis in worstcase.</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Both the numbers over time also suggests that a massive volume of capital is trapped in the working capital cycle, which can limit Volkswagen’s agility as it iwill be difficult to fund sudden strategic pivots.</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 Quick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This shows if Volkswegan has enough current assets to cover its total current liabilities without considering the inventory. Hence, it is also known as working capital ratio. This ratio dropped from 0.90 in 2021 to 0.86 in 2025.</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Meaning firm’s liabilities have increased more than the assets over the 5 years and safety margins have become thinner. It also indicates that liquid cash and equivalents are growing at a slower pace than it’s immediate financial obligations.</w:t>
      </w:r>
    </w:p>
    <w:p>
      <w:pPr>
        <w:pStyle w:val="BodyText"/>
        <w:numPr>
          <w:ilvl w:val="0"/>
          <w:numId w:val="4"/>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Moreover, the quick ratio consistently below the traditional 1.0 benchmark reveals that the firm is unabile to cover it’s short-term liabilities without relying on the assumed future inventory sales. if global car sales were to stall, the available liquid cash and receivables would be insufficient to meet immediate obligations.</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Efficiency</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 Receivable turnover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6"/>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It measures how many times Volkswegan collects its average accounts receivable every year.</w:t>
      </w:r>
    </w:p>
    <w:p>
      <w:pPr>
        <w:pStyle w:val="BodyText"/>
        <w:numPr>
          <w:ilvl w:val="0"/>
          <w:numId w:val="6"/>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receivable turnover ratio has steadily dropped from 13.82 to 11.33. which shows that Volkswegan is taking significantly longer to collect payments from its customers and the collection period has stretched from roughly 79 days to 82 days.</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ii) Inventory turnover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7"/>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Inventory Turnover Ratio shows how often the firm's stock is sold and replaced.</w:t>
      </w:r>
    </w:p>
    <w:p>
      <w:pPr>
        <w:pStyle w:val="BodyText"/>
        <w:numPr>
          <w:ilvl w:val="0"/>
          <w:numId w:val="7"/>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inventory value was £120,430 million in 2020, which has significantly dropped to £79,355 million in 2024. Along with that, the fall in cost of sales can also be seen. Which was £438,424 million in 2020 and now it is £280,885 million in 2024. Hence, the inventory turnover ratio was 4.59 in 2021 and now in 2025 it is 4.44.</w:t>
      </w:r>
    </w:p>
    <w:p>
      <w:pPr>
        <w:pStyle w:val="BodyText"/>
        <w:numPr>
          <w:ilvl w:val="0"/>
          <w:numId w:val="7"/>
        </w:numPr>
        <w:bidi w:val="0"/>
        <w:spacing w:lineRule="auto" w:line="360" w:before="0" w:after="0"/>
        <w:jc w:val="both"/>
        <w:rPr>
          <w:rFonts w:ascii="Arial" w:hAnsi="Arial"/>
        </w:rPr>
      </w:pPr>
      <w:r>
        <w:rPr>
          <w:rFonts w:eastAsia="Times New Roman" w:cs="Times New Roman"/>
          <w:b w:val="false"/>
          <w:i w:val="false"/>
          <w:caps w:val="false"/>
          <w:smallCaps w:val="false"/>
          <w:strike w:val="false"/>
          <w:dstrike w:val="false"/>
          <w:color w:val="000000"/>
          <w:sz w:val="24"/>
          <w:szCs w:val="24"/>
          <w:u w:val="none"/>
          <w:effect w:val="none"/>
          <w:shd w:fill="auto" w:val="clear"/>
        </w:rPr>
        <w:t>The decreasing ratio suggests that firm might face challenges like decreased demand, over-stocking and delays in supplier payments.</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Gearing</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 Debt to equity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8"/>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It is the ratio between total liabilities of the firm and shareholder equity.</w:t>
      </w:r>
    </w:p>
    <w:p>
      <w:pPr>
        <w:pStyle w:val="BodyText"/>
        <w:numPr>
          <w:ilvl w:val="0"/>
          <w:numId w:val="8"/>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Total shareholders' equity has increased from £146,154 million to £202,400 million over the five-year period. The Debt-to-Equity (D/E) ratio has steadily decreased from 2.62 in 2021 to 2.22 in 2025.</w:t>
      </w:r>
    </w:p>
    <w:p>
      <w:pPr>
        <w:pStyle w:val="BodyText"/>
        <w:numPr>
          <w:ilvl w:val="0"/>
          <w:numId w:val="8"/>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indicates that the firm is funding most of its asset base through internally generated equity rather than taking on new, highly leveraged long-term loans.</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ii) Interest coverage ratio</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9"/>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 xml:space="preserve">The firm has operating income of £19,275 million in 2021, which dropped to £8,868 million in 2025. on the other side, firm’s expanses have increased from £1,304 million in 2021 to £3,245 million in 2025. </w:t>
      </w:r>
    </w:p>
    <w:p>
      <w:pPr>
        <w:pStyle w:val="BodyText"/>
        <w:numPr>
          <w:ilvl w:val="0"/>
          <w:numId w:val="9"/>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Perhaps the most alarming metric in this report as the Interest Coverage Ratio has collapsed from 14.78 in 2021 to 2.73 in 2025.</w:t>
      </w:r>
    </w:p>
    <w:p>
      <w:pPr>
        <w:pStyle w:val="BodyText"/>
        <w:numPr>
          <w:ilvl w:val="0"/>
          <w:numId w:val="9"/>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This dramatic drop increases financial vulnerability and default risk for the firm and that might result in credit downgrades; which makes future debt issuance for EV infrastructure significantly more expensive.</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Investment</w:t>
      </w:r>
    </w:p>
    <w:p>
      <w:pPr>
        <w:pStyle w:val="BodyText"/>
        <w:bidi w:val="0"/>
        <w:spacing w:lineRule="auto" w:line="360" w:before="0" w:after="0"/>
        <w:jc w:val="both"/>
        <w:rPr>
          <w:rFonts w:ascii="Arial" w:hAnsi="Arial"/>
        </w:rPr>
      </w:pPr>
      <w: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i) Earning Per Share</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0"/>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EPS represents the portion of a company's profit allocated to each outstanding share of common stock.</w:t>
      </w:r>
    </w:p>
    <w:p>
      <w:pPr>
        <w:pStyle w:val="BodyText"/>
        <w:numPr>
          <w:ilvl w:val="0"/>
          <w:numId w:val="10"/>
        </w:numPr>
        <w:bidi w:val="0"/>
        <w:spacing w:lineRule="auto" w:line="360" w:before="0" w:after="0"/>
        <w:jc w:val="both"/>
        <w:rPr/>
      </w:pPr>
      <w:r>
        <w:rPr>
          <w:rFonts w:eastAsia="Times New Roman" w:cs="Times New Roman"/>
          <w:b w:val="false"/>
          <w:i w:val="false"/>
          <w:caps w:val="false"/>
          <w:smallCaps w:val="false"/>
          <w:strike w:val="false"/>
          <w:dstrike w:val="false"/>
          <w:color w:val="000000"/>
          <w:sz w:val="24"/>
          <w:szCs w:val="24"/>
          <w:u w:val="none"/>
          <w:effect w:val="none"/>
          <w:shd w:fill="auto" w:val="clear"/>
        </w:rPr>
        <w:t>The EPS has been falling from €29.59 in 2021 to €11.50 in 2025. This drop in earnings per share indicates that future dividend payouts will need to be cut  to preserve capital. This can create negative perception for investors, which might increase the difficulty of Equity Injection (Mahendra, 2023).</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Cashflow</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 Operating Cash Flow Margin</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1"/>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It measures how many times GE collects its average accounts receivable every year.</w:t>
      </w:r>
    </w:p>
    <w:p>
      <w:pPr>
        <w:pStyle w:val="BodyText"/>
        <w:numPr>
          <w:ilvl w:val="0"/>
          <w:numId w:val="11"/>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The net sales were £250,200 million in 2021, which has increased to £321,913 million in 2025. An operating cashflow has decreased from £32,402 million in 2021 to £31,406 million in 2025. Hence, the operating cash flow margin has dropped from 12.95% in 2020 to 9.76% in 2024.</w:t>
      </w:r>
    </w:p>
    <w:p>
      <w:pPr>
        <w:pStyle w:val="BodyText"/>
        <w:numPr>
          <w:ilvl w:val="0"/>
          <w:numId w:val="11"/>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It suggests that Volkswegan’s core automotive operations are becoming structurally less efficient and shrinking margins are reducing the pool of internally generated funds available to organically finance the massive, ongoing structural transitions in the business model.</w:t>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ii) Free Cash Flow Margin</w:t>
      </w:r>
    </w:p>
    <w:p>
      <w:pPr>
        <w:pStyle w:val="BodyText"/>
        <w:bidi w:val="0"/>
        <w:spacing w:lineRule="auto" w:line="360" w:before="0" w:after="0"/>
        <w:jc w:val="both"/>
        <w:rPr>
          <w:rFonts w:ascii="Arial" w:hAnsi="Arial" w:eastAsia="Times New Roman" w:cs="Times New Roman"/>
          <w:b w:val="false"/>
          <w:i w:val="false"/>
          <w:caps w:val="false"/>
          <w:smallCaps w:val="false"/>
          <w:strike w:val="false"/>
          <w:dstrike w:val="false"/>
          <w:color w:val="000000"/>
          <w:sz w:val="24"/>
          <w:szCs w:val="24"/>
          <w:u w:val="none"/>
          <w:effect w:val="none"/>
          <w:shd w:fill="auto" w:val="clear"/>
        </w:rPr>
      </w:pPr>
      <w:r>
        <w:rPr>
          <w:rFonts w:eastAsia="Times New Roman" w:cs="Times New Roman"/>
          <w:b w:val="false"/>
          <w:i w:val="false"/>
          <w:caps w:val="false"/>
          <w:smallCaps w:val="false"/>
          <w:strike w:val="false"/>
          <w:dstrike w:val="false"/>
          <w:color w:val="000000"/>
          <w:sz w:val="24"/>
          <w:szCs w:val="24"/>
          <w:u w:val="none"/>
          <w:effect w:val="none"/>
          <w:shd w:fill="auto" w:val="clear"/>
        </w:rPr>
      </w:r>
    </w:p>
    <w:p>
      <w:pPr>
        <w:pStyle w:val="BodyText"/>
        <w:numPr>
          <w:ilvl w:val="0"/>
          <w:numId w:val="12"/>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This is cash remaining after the firm has paid for the capital expenditures (CapEx) needed to maintain its assets.</w:t>
      </w:r>
    </w:p>
    <w:p>
      <w:pPr>
        <w:pStyle w:val="BodyText"/>
        <w:numPr>
          <w:ilvl w:val="0"/>
          <w:numId w:val="12"/>
        </w:numPr>
        <w:bidi w:val="0"/>
        <w:spacing w:lineRule="auto" w:line="360" w:before="0" w:after="0"/>
        <w:jc w:val="both"/>
        <w:rPr>
          <w:sz w:val="24"/>
          <w:szCs w:val="24"/>
        </w:rPr>
      </w:pPr>
      <w:r>
        <w:rPr>
          <w:rFonts w:eastAsia="Times New Roman" w:cs="Times New Roman"/>
          <w:b w:val="false"/>
          <w:i w:val="false"/>
          <w:caps w:val="false"/>
          <w:smallCaps w:val="false"/>
          <w:strike w:val="false"/>
          <w:dstrike w:val="false"/>
          <w:color w:val="000000"/>
          <w:sz w:val="24"/>
          <w:szCs w:val="24"/>
          <w:u w:val="none"/>
          <w:effect w:val="none"/>
          <w:shd w:fill="auto" w:val="clear"/>
        </w:rPr>
        <w:t>Firm’s capital expenditure increased from £10,496 million in 2021 to £19,400 million in 2025. Net sales have only increased from £250,200 million in 2020 to £321,913 million in 2024. Hence, the free cash flow margin dropped from 8.76% in 2021 to 0.59% in 2025</w:t>
      </w:r>
    </w:p>
    <w:p>
      <w:pPr>
        <w:pStyle w:val="BodyText"/>
        <w:numPr>
          <w:ilvl w:val="0"/>
          <w:numId w:val="12"/>
        </w:numPr>
        <w:bidi w:val="0"/>
        <w:spacing w:lineRule="auto" w:line="360" w:before="0" w:after="0"/>
        <w:jc w:val="both"/>
        <w:rPr>
          <w:sz w:val="24"/>
          <w:szCs w:val="24"/>
        </w:rPr>
      </w:pPr>
      <w:r>
        <w:rPr>
          <w:sz w:val="24"/>
          <w:szCs w:val="24"/>
        </w:rPr>
        <w:t>This shows immense, unyielding cost of modernizing manufacturing facilities and EV infrastructure.</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1.3 Identification of Trends, Strengths and Threats</w:t>
      </w:r>
    </w:p>
    <w:p>
      <w:pPr>
        <w:pStyle w:val="BodyText"/>
        <w:bidi w:val="0"/>
        <w:spacing w:lineRule="auto" w:line="360" w:before="0" w:after="0"/>
        <w:jc w:val="both"/>
        <w:rPr>
          <w:rFonts w:ascii="Arial" w:hAnsi="Arial"/>
          <w:sz w:val="24"/>
          <w:szCs w:val="24"/>
        </w:rPr>
      </w:pPr>
      <w:r>
        <w:rPr>
          <w:sz w:val="24"/>
          <w:szCs w:val="24"/>
        </w:rPr>
      </w:r>
    </w:p>
    <w:tbl>
      <w:tblPr>
        <w:tblW w:w="5000" w:type="pct"/>
        <w:jc w:val="start"/>
        <w:tblInd w:w="-5" w:type="dxa"/>
        <w:tblLayout w:type="fixed"/>
        <w:tblCellMar>
          <w:top w:w="55" w:type="dxa"/>
          <w:start w:w="55" w:type="dxa"/>
          <w:bottom w:w="55" w:type="dxa"/>
          <w:end w:w="55" w:type="dxa"/>
        </w:tblCellMar>
      </w:tblPr>
      <w:tblGrid>
        <w:gridCol w:w="2130"/>
        <w:gridCol w:w="2382"/>
        <w:gridCol w:w="2020"/>
        <w:gridCol w:w="2494"/>
      </w:tblGrid>
      <w:tr>
        <w:trPr>
          <w:trHeight w:val="861" w:hRule="atLeast"/>
        </w:trPr>
        <w:tc>
          <w:tcPr>
            <w:tcW w:w="2130"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Area</w:t>
            </w:r>
          </w:p>
        </w:tc>
        <w:tc>
          <w:tcPr>
            <w:tcW w:w="2382"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 xml:space="preserve">5 Year Trend </w:t>
            </w:r>
          </w:p>
          <w:p>
            <w:pPr>
              <w:pStyle w:val="TableContents"/>
              <w:jc w:val="center"/>
              <w:rPr>
                <w:sz w:val="24"/>
                <w:szCs w:val="24"/>
              </w:rPr>
            </w:pPr>
            <w:r>
              <w:rPr>
                <w:b/>
                <w:bCs/>
                <w:sz w:val="24"/>
                <w:szCs w:val="24"/>
              </w:rPr>
              <w:t>(2020-2024)</w:t>
            </w:r>
          </w:p>
        </w:tc>
        <w:tc>
          <w:tcPr>
            <w:tcW w:w="2020" w:type="dxa"/>
            <w:tcBorders>
              <w:top w:val="single" w:sz="4" w:space="0" w:color="000000"/>
              <w:start w:val="single" w:sz="4" w:space="0" w:color="000000"/>
              <w:bottom w:val="single" w:sz="4" w:space="0" w:color="000000"/>
            </w:tcBorders>
          </w:tcPr>
          <w:p>
            <w:pPr>
              <w:pStyle w:val="TableContents"/>
              <w:jc w:val="center"/>
              <w:rPr>
                <w:sz w:val="24"/>
                <w:szCs w:val="24"/>
              </w:rPr>
            </w:pPr>
            <w:r>
              <w:rPr>
                <w:b/>
                <w:bCs/>
                <w:sz w:val="24"/>
                <w:szCs w:val="24"/>
              </w:rPr>
              <w:t>Classification</w:t>
            </w:r>
          </w:p>
        </w:tc>
        <w:tc>
          <w:tcPr>
            <w:tcW w:w="2494" w:type="dxa"/>
            <w:tcBorders>
              <w:top w:val="single" w:sz="4" w:space="0" w:color="000000"/>
              <w:start w:val="single" w:sz="4" w:space="0" w:color="000000"/>
              <w:bottom w:val="single" w:sz="4" w:space="0" w:color="000000"/>
              <w:end w:val="single" w:sz="4" w:space="0" w:color="000000"/>
            </w:tcBorders>
          </w:tcPr>
          <w:p>
            <w:pPr>
              <w:pStyle w:val="TableContents"/>
              <w:jc w:val="center"/>
              <w:rPr>
                <w:sz w:val="24"/>
                <w:szCs w:val="24"/>
              </w:rPr>
            </w:pPr>
            <w:r>
              <w:rPr>
                <w:b/>
                <w:bCs/>
                <w:sz w:val="24"/>
                <w:szCs w:val="24"/>
              </w:rPr>
              <w:t>Interpretation</w:t>
            </w:r>
          </w:p>
        </w:tc>
      </w:tr>
      <w:tr>
        <w:trPr>
          <w:trHeight w:val="1052"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Market Share</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Flat :</w:t>
            </w:r>
          </w:p>
          <w:p>
            <w:pPr>
              <w:pStyle w:val="TableContents"/>
              <w:bidi w:val="0"/>
              <w:rPr>
                <w:sz w:val="24"/>
                <w:szCs w:val="24"/>
              </w:rPr>
            </w:pPr>
            <w:r>
              <w:rPr>
                <w:sz w:val="24"/>
                <w:szCs w:val="24"/>
              </w:rPr>
              <w:t>Vehicle deliveries fluctuated slightly but remained flat overall (8.88m units in 2021 to 8.98m units in 2025).</w:t>
            </w:r>
          </w:p>
        </w:tc>
        <w:tc>
          <w:tcPr>
            <w:tcW w:w="2020" w:type="dxa"/>
            <w:tcBorders>
              <w:start w:val="single" w:sz="4" w:space="0" w:color="000000"/>
              <w:bottom w:val="single" w:sz="4" w:space="0" w:color="000000"/>
            </w:tcBorders>
          </w:tcPr>
          <w:p>
            <w:pPr>
              <w:pStyle w:val="TableContents"/>
              <w:rPr>
                <w:sz w:val="24"/>
                <w:szCs w:val="24"/>
              </w:rPr>
            </w:pPr>
            <w:r>
              <w:rPr>
                <w:sz w:val="24"/>
                <w:szCs w:val="24"/>
              </w:rPr>
              <w:t>Threat</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While revenue grew due to pricing, market share growth has stalled. The firm is facing intense international competitive pressure ( from Chinese manufacturers) and geopolitical trade tariffs, forcing costly price wars just to defend its current global volume.</w:t>
            </w:r>
          </w:p>
        </w:tc>
      </w:tr>
      <w:tr>
        <w:trPr>
          <w:trHeight w:val="2754"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Profitability</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 xml:space="preserve">Severe Decline: </w:t>
            </w:r>
          </w:p>
          <w:p>
            <w:pPr>
              <w:pStyle w:val="TableContents"/>
              <w:bidi w:val="0"/>
              <w:rPr>
                <w:sz w:val="24"/>
                <w:szCs w:val="24"/>
              </w:rPr>
            </w:pPr>
            <w:r>
              <w:rPr>
                <w:sz w:val="24"/>
                <w:szCs w:val="24"/>
              </w:rPr>
              <w:t xml:space="preserve">Net Profit Margin dropped from 6.17% to 2.14%; </w:t>
            </w:r>
          </w:p>
          <w:p>
            <w:pPr>
              <w:pStyle w:val="TableContents"/>
              <w:bidi w:val="0"/>
              <w:rPr>
                <w:sz w:val="24"/>
                <w:szCs w:val="24"/>
              </w:rPr>
            </w:pPr>
            <w:r>
              <w:rPr>
                <w:sz w:val="24"/>
                <w:szCs w:val="24"/>
              </w:rPr>
              <w:t>Operating Profit Margin also crashed from 7.70% to 2.75%.</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Weakness</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The core business model is highly inefficient. the firm is not able to convert stable revenue into profits.</w:t>
            </w:r>
          </w:p>
        </w:tc>
      </w:tr>
      <w:tr>
        <w:trPr>
          <w:trHeight w:val="879" w:hRule="atLeast"/>
        </w:trPr>
        <w:tc>
          <w:tcPr>
            <w:tcW w:w="2130" w:type="dxa"/>
            <w:tcBorders>
              <w:start w:val="single" w:sz="4" w:space="0" w:color="000000"/>
              <w:bottom w:val="single" w:sz="4" w:space="0" w:color="000000"/>
            </w:tcBorders>
          </w:tcPr>
          <w:p>
            <w:pPr>
              <w:pStyle w:val="TableContents"/>
              <w:rPr>
                <w:sz w:val="24"/>
                <w:szCs w:val="24"/>
              </w:rPr>
            </w:pPr>
            <w:r>
              <w:rPr>
                <w:sz w:val="24"/>
                <w:szCs w:val="24"/>
              </w:rPr>
              <w:t>Liquidity</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Current Ratio flatlined at 1.15; Quick Ratio dropped to 0.86 (sub-optimal)</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Weakness</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Healthy for now but It lacks the agility because of low immediate cash/receivables buffer</w:t>
            </w:r>
          </w:p>
        </w:tc>
      </w:tr>
      <w:tr>
        <w:trPr>
          <w:trHeight w:val="878"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Solvency</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Debt/Equity slightly improved (2.62 down to 2.22), but Interest Coverage collapsed dangerously from 14.78 to 2.73.</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Threat</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The firm is now generating barely enough profit to service its ongoing interest obligations, sharply elevating its long-term financial risk profile and potentially increasing future borrowing costs.</w:t>
            </w:r>
          </w:p>
        </w:tc>
      </w:tr>
      <w:tr>
        <w:trPr>
          <w:trHeight w:val="3083" w:hRule="atLeast"/>
        </w:trPr>
        <w:tc>
          <w:tcPr>
            <w:tcW w:w="2130" w:type="dxa"/>
            <w:tcBorders>
              <w:start w:val="single" w:sz="4" w:space="0" w:color="000000"/>
              <w:bottom w:val="single" w:sz="4" w:space="0" w:color="000000"/>
            </w:tcBorders>
          </w:tcPr>
          <w:p>
            <w:pPr>
              <w:pStyle w:val="TableContents"/>
              <w:rPr>
                <w:sz w:val="24"/>
                <w:szCs w:val="24"/>
              </w:rPr>
            </w:pPr>
            <w:r>
              <w:rPr>
                <w:sz w:val="24"/>
                <w:szCs w:val="24"/>
              </w:rPr>
              <w:t>Efficiency</w:t>
            </w:r>
          </w:p>
        </w:tc>
        <w:tc>
          <w:tcPr>
            <w:tcW w:w="2382" w:type="dxa"/>
            <w:tcBorders>
              <w:start w:val="single" w:sz="4" w:space="0" w:color="000000"/>
              <w:bottom w:val="single" w:sz="4" w:space="0" w:color="000000"/>
            </w:tcBorders>
          </w:tcPr>
          <w:p>
            <w:pPr>
              <w:pStyle w:val="TableContents"/>
              <w:rPr>
                <w:sz w:val="24"/>
                <w:szCs w:val="24"/>
              </w:rPr>
            </w:pPr>
            <w:r>
              <w:rPr>
                <w:sz w:val="24"/>
                <w:szCs w:val="24"/>
              </w:rPr>
              <w:t>Inventory Turnover slowed from 4.59 to 4.44; Receivable Turnover dropped from 13.82 to 11.33.</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Weakness</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Capital is increasingly trapped within the operating cycle. Vehicles are taking longer to sale,firm is taking longer to collect cash (overall velocity of capital generation is slowing down).</w:t>
            </w:r>
          </w:p>
        </w:tc>
      </w:tr>
      <w:tr>
        <w:trPr>
          <w:trHeight w:val="2050" w:hRule="atLeast"/>
        </w:trPr>
        <w:tc>
          <w:tcPr>
            <w:tcW w:w="2130" w:type="dxa"/>
            <w:tcBorders>
              <w:start w:val="single" w:sz="4" w:space="0" w:color="000000"/>
              <w:bottom w:val="single" w:sz="4" w:space="0" w:color="000000"/>
            </w:tcBorders>
          </w:tcPr>
          <w:p>
            <w:pPr>
              <w:pStyle w:val="TableContents"/>
              <w:bidi w:val="0"/>
              <w:rPr>
                <w:sz w:val="24"/>
                <w:szCs w:val="24"/>
              </w:rPr>
            </w:pPr>
            <w:r>
              <w:rPr>
                <w:sz w:val="24"/>
                <w:szCs w:val="24"/>
              </w:rPr>
              <w:t>Cash Flow</w:t>
            </w:r>
          </w:p>
        </w:tc>
        <w:tc>
          <w:tcPr>
            <w:tcW w:w="2382" w:type="dxa"/>
            <w:tcBorders>
              <w:start w:val="single" w:sz="4" w:space="0" w:color="000000"/>
              <w:bottom w:val="single" w:sz="4" w:space="0" w:color="000000"/>
            </w:tcBorders>
          </w:tcPr>
          <w:p>
            <w:pPr>
              <w:pStyle w:val="TableContents"/>
              <w:bidi w:val="0"/>
              <w:rPr>
                <w:sz w:val="24"/>
                <w:szCs w:val="24"/>
              </w:rPr>
            </w:pPr>
            <w:r>
              <w:rPr>
                <w:sz w:val="24"/>
                <w:szCs w:val="24"/>
              </w:rPr>
              <w:t>Free Cash Flow Margin plunged from a healthy 8.76% to a near-zero 0.59%</w:t>
            </w:r>
          </w:p>
        </w:tc>
        <w:tc>
          <w:tcPr>
            <w:tcW w:w="2020" w:type="dxa"/>
            <w:tcBorders>
              <w:start w:val="single" w:sz="4" w:space="0" w:color="000000"/>
              <w:bottom w:val="single" w:sz="4" w:space="0" w:color="000000"/>
            </w:tcBorders>
          </w:tcPr>
          <w:p>
            <w:pPr>
              <w:pStyle w:val="TableContents"/>
              <w:bidi w:val="0"/>
              <w:rPr>
                <w:sz w:val="24"/>
                <w:szCs w:val="24"/>
              </w:rPr>
            </w:pPr>
            <w:r>
              <w:rPr>
                <w:sz w:val="24"/>
                <w:szCs w:val="24"/>
              </w:rPr>
              <w:t>Threat</w:t>
            </w:r>
          </w:p>
        </w:tc>
        <w:tc>
          <w:tcPr>
            <w:tcW w:w="2494" w:type="dxa"/>
            <w:tcBorders>
              <w:start w:val="single" w:sz="4" w:space="0" w:color="000000"/>
              <w:bottom w:val="single" w:sz="4" w:space="0" w:color="000000"/>
              <w:end w:val="single" w:sz="4" w:space="0" w:color="000000"/>
            </w:tcBorders>
          </w:tcPr>
          <w:p>
            <w:pPr>
              <w:pStyle w:val="TableContents"/>
              <w:bidi w:val="0"/>
              <w:rPr>
                <w:sz w:val="24"/>
                <w:szCs w:val="24"/>
              </w:rPr>
            </w:pPr>
            <w:r>
              <w:rPr>
                <w:sz w:val="24"/>
                <w:szCs w:val="24"/>
              </w:rPr>
              <w:t>Virtually no discretionary capital for emergency reserves, strategic acquisitions or debt reduction. Because EV infrastructure transition are consuming almost 100% of the cash generated by operations (€19.5 billion in 2025).</w:t>
            </w:r>
          </w:p>
        </w:tc>
      </w:tr>
    </w:tbl>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rFonts w:ascii="Arial" w:hAnsi="Arial"/>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1.4 Default Risk Assessment via corporate failure prediciton models</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Altman Z-Score combines five key financial ratios : measuring liquidity, solvency, profitability, and activity to provide a single score that can be used to categorize a firm's financial stability. Using the data VW’s Statement of Financial Position and Income Statement, here is the calculation for the same.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tbl>
      <w:tblPr>
        <w:tblW w:w="5000" w:type="pct"/>
        <w:jc w:val="start"/>
        <w:tblInd w:w="-5" w:type="dxa"/>
        <w:tblLayout w:type="fixed"/>
        <w:tblCellMar>
          <w:top w:w="55" w:type="dxa"/>
          <w:start w:w="55" w:type="dxa"/>
          <w:bottom w:w="55" w:type="dxa"/>
          <w:end w:w="55" w:type="dxa"/>
        </w:tblCellMar>
      </w:tblPr>
      <w:tblGrid>
        <w:gridCol w:w="9026"/>
      </w:tblGrid>
      <w:tr>
        <w:trPr/>
        <w:tc>
          <w:tcPr>
            <w:tcW w:w="9026" w:type="dxa"/>
            <w:tcBorders>
              <w:top w:val="single" w:sz="4" w:space="0" w:color="000000"/>
              <w:start w:val="single" w:sz="4" w:space="0" w:color="000000"/>
              <w:bottom w:val="single" w:sz="4" w:space="0" w:color="000000"/>
              <w:end w:val="single" w:sz="4" w:space="0" w:color="000000"/>
            </w:tcBorders>
          </w:tcPr>
          <w:p>
            <w:pPr>
              <w:pStyle w:val="BodyText"/>
              <w:bidi w:val="0"/>
              <w:spacing w:lineRule="auto" w:line="360" w:before="0" w:after="0"/>
              <w:jc w:val="center"/>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Z = 1.2(Working Capital / Total Assets​) + 1.4(Retained Earnings / Total Assets​) + 3.3(EBIT / Total Assets​) + 0.6(Market Value of Equity / Total Liabilities​) + 1.0(Sales / Total Assets​) </w:t>
            </w:r>
          </w:p>
        </w:tc>
      </w:tr>
    </w:tbl>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tbl>
      <w:tblPr>
        <w:tblW w:w="5000" w:type="pct"/>
        <w:jc w:val="start"/>
        <w:tblInd w:w="-5" w:type="dxa"/>
        <w:tblLayout w:type="fixed"/>
        <w:tblCellMar>
          <w:top w:w="55" w:type="dxa"/>
          <w:start w:w="55" w:type="dxa"/>
          <w:bottom w:w="55" w:type="dxa"/>
          <w:end w:w="55" w:type="dxa"/>
        </w:tblCellMar>
      </w:tblPr>
      <w:tblGrid>
        <w:gridCol w:w="4512"/>
        <w:gridCol w:w="4514"/>
      </w:tblGrid>
      <w:tr>
        <w:trPr/>
        <w:tc>
          <w:tcPr>
            <w:tcW w:w="4512" w:type="dxa"/>
            <w:tcBorders>
              <w:top w:val="single" w:sz="4" w:space="0" w:color="000000"/>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WC (Working capital)</w:t>
            </w:r>
          </w:p>
        </w:tc>
        <w:tc>
          <w:tcPr>
            <w:tcW w:w="4514" w:type="dxa"/>
            <w:tcBorders>
              <w:top w:val="single" w:sz="4" w:space="0" w:color="000000"/>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£31,600m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Total Assets</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£650,900m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Retained Earnings (RE)</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£202,400m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EBIT</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£8,868m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Market Value of Equity</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£55,200m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Total Liabilities</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£448,500m</w:t>
            </w:r>
          </w:p>
        </w:tc>
      </w:tr>
      <w:tr>
        <w:trPr/>
        <w:tc>
          <w:tcPr>
            <w:tcW w:w="4512"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Sales</w:t>
            </w:r>
          </w:p>
        </w:tc>
        <w:tc>
          <w:tcPr>
            <w:tcW w:w="4514"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£321,913m</w:t>
            </w:r>
          </w:p>
        </w:tc>
      </w:tr>
    </w:tbl>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Using these numbers, The calculated Z-score for VolksWegan is 1.11.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According to the standard interpretation of the model, Here is what it means :</w:t>
      </w:r>
    </w:p>
    <w:tbl>
      <w:tblPr>
        <w:tblW w:w="5000" w:type="pct"/>
        <w:jc w:val="start"/>
        <w:tblInd w:w="-5" w:type="dxa"/>
        <w:tblLayout w:type="fixed"/>
        <w:tblCellMar>
          <w:top w:w="55" w:type="dxa"/>
          <w:start w:w="55" w:type="dxa"/>
          <w:bottom w:w="55" w:type="dxa"/>
          <w:end w:w="55" w:type="dxa"/>
        </w:tblCellMar>
      </w:tblPr>
      <w:tblGrid>
        <w:gridCol w:w="2213"/>
        <w:gridCol w:w="6813"/>
      </w:tblGrid>
      <w:tr>
        <w:trPr/>
        <w:tc>
          <w:tcPr>
            <w:tcW w:w="2213" w:type="dxa"/>
            <w:tcBorders>
              <w:top w:val="single" w:sz="4" w:space="0" w:color="000000"/>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Z &gt; 2.99</w:t>
            </w:r>
          </w:p>
        </w:tc>
        <w:tc>
          <w:tcPr>
            <w:tcW w:w="6813" w:type="dxa"/>
            <w:tcBorders>
              <w:top w:val="single" w:sz="4" w:space="0" w:color="000000"/>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"Safe Zone" (Low risk of bankruptcy)</w:t>
            </w:r>
          </w:p>
        </w:tc>
      </w:tr>
      <w:tr>
        <w:trPr/>
        <w:tc>
          <w:tcPr>
            <w:tcW w:w="2213"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1.81 &lt; Z &lt; 2.99</w:t>
            </w:r>
          </w:p>
        </w:tc>
        <w:tc>
          <w:tcPr>
            <w:tcW w:w="6813"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"Gray Zone" (Probable risk of failure)</w:t>
            </w:r>
          </w:p>
        </w:tc>
      </w:tr>
      <w:tr>
        <w:trPr/>
        <w:tc>
          <w:tcPr>
            <w:tcW w:w="2213" w:type="dxa"/>
            <w:tcBorders>
              <w:start w:val="single" w:sz="4" w:space="0" w:color="000000"/>
              <w:bottom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Z &lt; 1.81</w:t>
            </w:r>
          </w:p>
        </w:tc>
        <w:tc>
          <w:tcPr>
            <w:tcW w:w="6813" w:type="dxa"/>
            <w:tcBorders>
              <w:start w:val="single" w:sz="4" w:space="0" w:color="000000"/>
              <w:bottom w:val="single" w:sz="4" w:space="0" w:color="000000"/>
              <w:end w:val="single" w:sz="4" w:space="0" w:color="000000"/>
            </w:tcBorders>
          </w:tcPr>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"Distress Zone" (High probability of bankruptcy within 24 months)</w:t>
            </w:r>
          </w:p>
        </w:tc>
      </w:tr>
    </w:tbl>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 is firmly in the Distress Zone based on a score of 1.11. Which means that the company requires financial restructuring or it will no longer be able to suppor its operations without a radical capital injection.</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 Working Capital Management Analysis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2.1 Cash Operating Cycle Assessment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Cash Operating Cycle shows the duration of converting inventory investment into cash flow through sales.</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Inventory Conversion Period (ICP) for each year is: 79 days (2021), 83 days (2022), 77 days (2023), 80 days (2024), and 82 days (2025).</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Similarly, the Receivable Collection Period (RCP) for each year is: 26 days (2021), 28 days (2022), 27 days (2023), 30 days (2024), and 32 days (2025).</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Payables Deferral Period (PDP) for each year is: 42 days (2021), 46 days (2022), 43 days (2023), 41 days (2024), and 41 days (2025). This indicates that the firm's payment window to its suppliers has slightly tightened recently compared to its peak in 2022.</w:t>
      </w:r>
    </w:p>
    <w:p>
      <w:pPr>
        <w:pStyle w:val="BodyText"/>
        <w:numPr>
          <w:ilvl w:val="0"/>
          <w:numId w:val="5"/>
        </w:numPr>
        <w:bidi w:val="0"/>
        <w:spacing w:lineRule="auto" w:line="360" w:before="0" w:after="0"/>
        <w:jc w:val="both"/>
        <w:rPr>
          <w:rFonts w:ascii="Arial" w:hAnsi="Arial"/>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Now we can calculate the Cash Operating Cycle (COC) sing ICP, RCP and PDP. </w:t>
      </w:r>
    </w:p>
    <w:p>
      <w:pPr>
        <w:pStyle w:val="BodyText"/>
        <w:bidi w:val="0"/>
        <w:spacing w:lineRule="auto" w:line="360" w:before="0" w:after="0"/>
        <w:ind w:hanging="0" w:start="72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Formula  : </w:t>
      </w:r>
      <w:r>
        <w:rPr>
          <w:rFonts w:eastAsia="Times New Roman" w:cs="Times New Roman"/>
          <w:b w:val="false"/>
          <w:bCs w:val="false"/>
          <w:i/>
          <w:iCs/>
          <w:caps w:val="false"/>
          <w:smallCaps w:val="false"/>
          <w:strike w:val="false"/>
          <w:dstrike w:val="false"/>
          <w:color w:val="000000"/>
          <w:sz w:val="24"/>
          <w:szCs w:val="24"/>
          <w:u w:val="none"/>
          <w:effect w:val="none"/>
          <w:shd w:fill="auto" w:val="clear"/>
        </w:rPr>
        <w:t>COC = ICP + RCP − PDP</w:t>
      </w:r>
    </w:p>
    <w:p>
      <w:pPr>
        <w:pStyle w:val="BodyText"/>
        <w:numPr>
          <w:ilvl w:val="0"/>
          <w:numId w:val="5"/>
        </w:numPr>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COC were 63 days, 65 days, 61 days, 69 days, and 73 days in 2021, 2022, 2023, 2024, and 2025 respectively.</w:t>
      </w:r>
    </w:p>
    <w:p>
      <w:pPr>
        <w:pStyle w:val="BodyText"/>
        <w:numPr>
          <w:ilvl w:val="0"/>
          <w:numId w:val="5"/>
        </w:numPr>
        <w:bidi w:val="0"/>
        <w:spacing w:lineRule="auto" w:line="360" w:before="0" w:after="0"/>
        <w:jc w:val="both"/>
        <w:rPr>
          <w:sz w:val="24"/>
          <w:szCs w:val="24"/>
        </w:rPr>
      </w:pPr>
      <w:r>
        <w:rPr>
          <w:sz w:val="24"/>
          <w:szCs w:val="24"/>
        </w:rPr>
        <w:t>We can say that the firm needs over 2 months (up to 73 days by 2025) to recover the funds tied up in production and operations. The cycle has noticeably lengthened since 2023, driven by a combination of slower inventory turnover and longer collection times from customers/dealerships. This increasing delay in cash recovery is directly contributing to the tightening of operational liquidity highlighted in the broader financial analysis.</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2.2 Recommended Strategies and working capital reforms to improve liquidity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Firm has to fix the problem of liquidity and it requires a working capital reform program.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Cash Operating Cycle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x</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73 days,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immediate working capital reforms. Efficient working capital management is crucial for maintaining corporate liquidity and firm profitability;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during periods of macroeconomic transition and high capital expenditure (Deloof, 2003).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following targeted strategies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restore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operational liquidity.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three core components of the cash cycle.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Receivables</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collection period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is gradually drifting towards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32 days,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which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indicates lenient credit management.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Here are the suggested reforms 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 accelerate cash inflows :</w:t>
      </w:r>
    </w:p>
    <w:p>
      <w:pPr>
        <w:pStyle w:val="BodyText"/>
        <w:numPr>
          <w:ilvl w:val="0"/>
          <w:numId w:val="13"/>
        </w:numPr>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 firm should introduce dynamic early-payment discount structures (e.g., 2/10 Net 30 terms).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This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heavily incentivize immediate cash settlement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from large corporate fleet buyers and franchise dealerships.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ffering effective cash discounts can substantially reduce receivable cycles and lower the risk of default from buyers (Petersen and Rajan, 1997).</w:t>
      </w:r>
    </w:p>
    <w:p>
      <w:pPr>
        <w:pStyle w:val="BodyText"/>
        <w:numPr>
          <w:ilvl w:val="0"/>
          <w:numId w:val="13"/>
        </w:numPr>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Furthermore, the firm should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secure more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of its automotive financing receivables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bundling and selling these dealership obligations to third-party financial institutions at a slight discount.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This way,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firm can secure immediate liquidity injections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transfer the underlying default risk off its balance sheet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at the same time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Inventory</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 </w:t>
      </w:r>
      <w:r>
        <w:rPr>
          <w:rFonts w:eastAsia="Times New Roman" w:cs="Times New Roman"/>
          <w:b/>
          <w:bCs/>
          <w:i w:val="false"/>
          <w:caps w:val="false"/>
          <w:smallCaps w:val="false"/>
          <w:strike w:val="false"/>
          <w:dstrike w:val="false"/>
          <w:color w:val="000000"/>
          <w:sz w:val="24"/>
          <w:szCs w:val="24"/>
          <w:u w:val="none"/>
          <w:effect w:val="none"/>
          <w:shd w:fill="auto" w:val="clear"/>
        </w:rPr>
        <w:t xml:space="preserve">&amp; </w:t>
      </w:r>
      <w:r>
        <w:rPr>
          <w:rFonts w:eastAsia="Times New Roman" w:cs="Times New Roman"/>
          <w:b/>
          <w:bCs/>
          <w:i w:val="false"/>
          <w:caps w:val="false"/>
          <w:smallCaps w:val="false"/>
          <w:strike w:val="false"/>
          <w:dstrike w:val="false"/>
          <w:color w:val="000000"/>
          <w:sz w:val="24"/>
          <w:szCs w:val="24"/>
          <w:u w:val="none"/>
          <w:effect w:val="none"/>
          <w:shd w:fill="auto" w:val="clear"/>
        </w:rPr>
        <w:t>Supply chain finance</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2</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2</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5,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82-day inventory conversion period represents a staggering €61 billion in idle, frozen capital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inventory holding periods inherently increase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storage, insurance, opportunity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directly  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overall corporate profitability (Richards and Laughlin, 1980). To mitigate this, a dual-pronged inventory reduction strategy must be executed :</w:t>
      </w:r>
    </w:p>
    <w:p>
      <w:pPr>
        <w:pStyle w:val="BodyText"/>
        <w:numPr>
          <w:ilvl w:val="0"/>
          <w:numId w:val="14"/>
        </w:numPr>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First, the firm must implement an ‘accelerated liquidation program’ for legacy Internal Combustion Engine (ICE) vehicles.</w:t>
      </w:r>
    </w:p>
    <w:p>
      <w:pPr>
        <w:pStyle w:val="BodyText"/>
        <w:numPr>
          <w:ilvl w:val="0"/>
          <w:numId w:val="14"/>
        </w:numPr>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Second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ly for high-cost EV components such as battery cells and semiconductors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manufacturing logistics must integrate more rigorous, Just-In-Time (JIT) procurement models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minimize the costly over-accumulation of raw materials and streamline production efficiency.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This model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also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vital for preserving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Volkswegan’s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liquidity in capital-intensive manufacturing environments (Womack, Jones and Roos, 1990).</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Cash Flow</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to retain cash internally for longer durations.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payables deferral period down to 41 days must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x</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firm must leverage its immense global procurement scale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negotiate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exten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standard 60-to-90-day payment terms with its Tier-1 suppliers. However,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this aggressive extension does not bankrupt critical, smaller suppliers in the EV supply chain.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 firm must drastically scale up its existing supply chain finance  initiatives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Under this framework, suppliers receive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discounted payments from partner banks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while the firm repays the bank at the end of the extended term. This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x</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payables period without destabilizing vendor relationships (Gelsomino et al., 2016).</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2.3 Short-Term vs Long-Term Financing</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Beyond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internal cycle optimization,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 must support liquidity through it’s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external financing strategies. According to the hedging principle of corporate finance : firms should align the maturity of their liabilities with the life of their assets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in order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 minimize refinancing risk (Berk and DeMarzo, 2020).</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 Short-Term Financing: Flexibility and Risk</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In order to manage it’s daily operations and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q</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Here are important things to consider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Short-term financing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is highly effective for bridging temporary working capital gaps.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commercial paper or revolving credit facilities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initial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offer extreme flexibility and lowe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interest rates. However, relying on short-term debt to fund long-term assets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introduces severe rollover risk; if credit markets suddenly tighten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macroeconomic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the firm could face immediate insolvency upon debt maturity.</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ii) Long-Term Financing: Stability and Restructuring</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1</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long-term financing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 higher interest premium but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provides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remov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immediate repayment pressure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It lock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in capital for extended periods.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€19.5 billion annual capital expenditure requirement to build gigafactories and software architectures. these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structural assets must be matched with long-term capital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optimal financing strategy is strict segregation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between it’s long term EV infrastructure financing and short term liquidity buffer.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ong-term, fixed-rate "Green Bonds" to exclusively finance the physical EV infrastructure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its short-term commercial credit lines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strictly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as a liquid buffer for day-to-day working capital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requirements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 Strategic Financial Restructuring Plan</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3.1 Recommended Financial Restructuring  Options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53% decline in operating profit to €8.8 billion in 2025. Return on Equity (ROE) has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contracted to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3.41%,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 severely inefficient.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that Volkswagen Group’s current conglomerate structure is no longer financially sustainable.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 massive €19.5 billion annual capital expenditure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transition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core brands to electric vehicles (EV) is being suffocated by the bloated fixed costs of legacy operations.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reverse this value destruction and restore the precarious 2.73 interest coverage ratio.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following financial restructuring options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Option 1: </w:t>
      </w:r>
      <w:r>
        <w:rPr>
          <w:rFonts w:eastAsia="Times New Roman" w:cs="Times New Roman"/>
          <w:b/>
          <w:bCs/>
          <w:i w:val="false"/>
          <w:caps w:val="false"/>
          <w:smallCaps w:val="false"/>
          <w:strike w:val="false"/>
          <w:dstrike w:val="false"/>
          <w:color w:val="000000"/>
          <w:sz w:val="24"/>
          <w:szCs w:val="24"/>
          <w:u w:val="none"/>
          <w:effect w:val="none"/>
          <w:shd w:fill="auto" w:val="clear"/>
        </w:rPr>
        <w:t>D</w:t>
      </w:r>
      <w:r>
        <w:rPr>
          <w:rFonts w:eastAsia="Times New Roman" w:cs="Times New Roman"/>
          <w:b/>
          <w:bCs/>
          <w:i w:val="false"/>
          <w:caps w:val="false"/>
          <w:smallCaps w:val="false"/>
          <w:strike w:val="false"/>
          <w:dstrike w:val="false"/>
          <w:color w:val="000000"/>
          <w:sz w:val="24"/>
          <w:szCs w:val="24"/>
          <w:u w:val="none"/>
          <w:effect w:val="none"/>
          <w:shd w:fill="auto" w:val="clear"/>
        </w:rPr>
        <w:t>ivestment of Non-Core Assets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 corporate restructuring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through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divestment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peripheral business units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will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unlock capital and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also allow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executive management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to refocus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on core strategic operations (Markides, 1992). Volkswagen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has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overly complex  portfolio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niche luxury brands (such as Ducati and Lamborghini)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mixed with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heavy commercial vehicles (Traton). The firm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should either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execute a complete divestiture or outright sale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non-core motorcycle and ultra-luxury internal combustion engine (ICE) divisions.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Option 2: </w:t>
      </w:r>
      <w:r>
        <w:rPr>
          <w:rFonts w:eastAsia="Times New Roman" w:cs="Times New Roman"/>
          <w:b/>
          <w:bCs/>
          <w:i w:val="false"/>
          <w:caps w:val="false"/>
          <w:smallCaps w:val="false"/>
          <w:strike w:val="false"/>
          <w:dstrike w:val="false"/>
          <w:color w:val="000000"/>
          <w:sz w:val="24"/>
          <w:szCs w:val="24"/>
          <w:u w:val="none"/>
          <w:effect w:val="none"/>
          <w:shd w:fill="auto" w:val="clear"/>
        </w:rPr>
        <w:t>Strategic Joint Ventures and R&amp;D Mergers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 has 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ree Cash Flow margin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0.59% in 2025,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which means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Volkswagen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is not financially capable for solely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developing proprietary EV software (Cariad) and battery cell manufacturing (PowerCo) from scratch.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 firm should pursue strategic R&amp;D joint ventures or horizontal mergers with established global tech firms and rival automakers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particularly in the Chinese market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instead of complete acquisitions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Option 3: </w:t>
      </w:r>
      <w:r>
        <w:rPr>
          <w:rFonts w:eastAsia="Times New Roman" w:cs="Times New Roman"/>
          <w:b/>
          <w:bCs/>
          <w:i w:val="false"/>
          <w:caps w:val="false"/>
          <w:smallCaps w:val="false"/>
          <w:strike w:val="false"/>
          <w:dstrike w:val="false"/>
          <w:color w:val="000000"/>
          <w:sz w:val="24"/>
          <w:szCs w:val="24"/>
          <w:u w:val="none"/>
          <w:effect w:val="none"/>
          <w:shd w:fill="auto" w:val="clear"/>
        </w:rPr>
        <w:t>Equity Carve-Outs and Subsidiary IPOs</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Building upon the highly successful Initial Public Offering (IPO) of Porsche AG in 2022, Volkswagen should execute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further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equity carve-outs for its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other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most profitable remaining divisions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Audi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or its future-facing battery division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PowerCo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 can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sell a minority stake of a subsidiary to the public markets while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keeping the controlling stake to itself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(Schipper and Smith, 1986).</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3.2 Evaluation of Restructuring Impact</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Impact on Shareholder Value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Divestment of Non-Core Assets’ will instantly improve the firm's liquidity ratios  because 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iquidating these highly valued, niche assets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provide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 massive cash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inflow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which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can be direct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ed to settle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short-term commercial liabilities. Furthermore,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this narrower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total asset base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instantly setteled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debt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mathematically improve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ROE and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firms will not have additional burden to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fund non-synergistic product lines.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This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directly enhanc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Volkswegan’s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intrinsic shareholder value.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Impact on Debt Structure</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Resource pooling through ‘s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trategic alliances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and joint ventures’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will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allow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volkswegan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to share massive sunk costs and technological risks without the debt-heavy financing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for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traditional M&amp;A activity (Dyer, Kale and Singh, 2004). This directly protects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firm’s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balance sheet from taking on highly leveraged long-term debt, preserving credit ratings and ensuring that future cash flows can be returned to shareholders as dividends rather than being consumed by R&amp;D.</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Impact on Operational Flexibility</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Equity Carve-Outs and Subsidiary IPOs’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is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zero-debt capital generation strategy.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raditionally,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These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high-performing or high-growth subsidiaries trade at higher multiples than legacy automotive conglomerates. The capital raised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through this will act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as a direct equity injection into the parent company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lower the overall Debt-to-Equity ratio, provide billions in fresh capital to fund the EV rollout without severe interest rate penalties.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This way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firm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can fix it’s current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degraded interest coverage ratio.</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3.3 International &amp; Ethical Considerations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While executing the proposed financial restructuring, 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he firm must carefully navigate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international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and moral obligations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 avoid potential liabilities.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 International Financial Considerations</w:t>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Currency Risk: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firm’s aggressive expansion into the United States and its heavy reliance on joint ventures in China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severe currency translation risks. Fluctuations between the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can instantly erode the financial benefits of international alliances (Madura, 2020).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k</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using aggressive financial hedging instruments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such as forward contracts and currency swaps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Trade Policy and Tariff Vulnerabilities: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G</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obal EV supply chains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highly vulnerable to geopolitical friction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rising threat of retaliatory trade tariffs on electric vehicles and imported battery components between major economic blocs (US, EU, and China).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could inflate the cost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trategic restructuring must prioritize localized production hubs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x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ii) Ethical and CSR Considerations</w:t>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Labor and Organizational Ethics (CSR):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Plant closures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downsizing legacy Internal Combustion Engine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and the shift to highly automated EV manufacturing will inevitably trigger widespread workforce redundancies. To maintain corporate legitimacy and comply with rigorous European labor standards, Volkswagen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dedicat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 portion of the restructured capital toward robust employee retraining programs, generous severance packages.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transparent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negotiat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with labor unions to mitigate catastrophic social friction within its core manufacturing hubs (Carroll, 1991).</w:t>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b/>
          <w:bCs/>
          <w:sz w:val="24"/>
          <w:szCs w:val="24"/>
        </w:rPr>
        <w:t xml:space="preserve">Sustainability </w:t>
      </w:r>
      <w:r>
        <w:rPr>
          <w:b/>
          <w:bCs/>
          <w:sz w:val="24"/>
          <w:szCs w:val="24"/>
        </w:rPr>
        <w:t xml:space="preserve">and Human Rights </w:t>
      </w:r>
      <w:r>
        <w:rPr>
          <w:b/>
          <w:bCs/>
          <w:sz w:val="24"/>
          <w:szCs w:val="24"/>
        </w:rPr>
        <w:t>:</w:t>
      </w:r>
      <w:r>
        <w:rPr>
          <w:sz w:val="24"/>
          <w:szCs w:val="24"/>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firm must rigorously audit its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j</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V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partners to ensure that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strictly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to international human rights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4. Investment Appraisal and Capital Budgeting</w:t>
      </w:r>
    </w:p>
    <w:p>
      <w:pPr>
        <w:pStyle w:val="BodyText"/>
        <w:bidi w:val="0"/>
        <w:spacing w:lineRule="auto" w:line="360" w:before="0" w:after="0"/>
        <w:jc w:val="both"/>
        <w:rPr>
          <w:sz w:val="24"/>
          <w:szCs w:val="24"/>
        </w:rPr>
      </w:pPr>
      <w:r>
        <w:rPr>
          <w:sz w:val="24"/>
          <w:szCs w:val="24"/>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4.1 Evaluation of Three Proposed Investment Projects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w:t>
      </w:r>
      <w:r>
        <w:rPr>
          <w:rFonts w:eastAsia="Times New Roman" w:cs="Times New Roman"/>
          <w:b/>
          <w:bCs/>
          <w:i w:val="false"/>
          <w:caps w:val="false"/>
          <w:smallCaps w:val="false"/>
          <w:strike w:val="false"/>
          <w:dstrike w:val="false"/>
          <w:color w:val="000000"/>
          <w:sz w:val="24"/>
          <w:szCs w:val="24"/>
          <w:u w:val="none"/>
          <w:effect w:val="none"/>
          <w:shd w:fill="auto" w:val="clear"/>
        </w:rPr>
        <w:t>Project A”</w:t>
      </w:r>
    </w:p>
    <w:p>
      <w:pPr>
        <w:pStyle w:val="BodyText"/>
        <w:bidi w:val="0"/>
        <w:spacing w:lineRule="auto" w:line="360" w:before="0" w:after="0"/>
        <w:jc w:val="both"/>
        <w:rPr>
          <w:rFonts w:ascii="Arial" w:hAnsi="Arial" w:eastAsia="Times New Roman" w:cs="Times New Roman"/>
          <w:b/>
          <w:bCs/>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iCs/>
          <w:caps w:val="false"/>
          <w:smallCaps w:val="false"/>
          <w:strike w:val="false"/>
          <w:dstrike w:val="false"/>
          <w:color w:val="000000"/>
          <w:sz w:val="24"/>
          <w:szCs w:val="24"/>
          <w:u w:val="none"/>
          <w:effect w:val="none"/>
          <w:shd w:fill="auto" w:val="clear"/>
        </w:rPr>
        <w:t>Payback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has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initial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total investment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5</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0 million, and at the end of Year 4, 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CCI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cumulative cash inflows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are identified as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4</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6 million. The remaining amount (£4 million) can be recovered at the beginning of Year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5</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So the total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pay 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will be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4</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years and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6</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months.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For a firm that has 73 day cash operating cycle, this long payback period introduces severe liquidity risk.</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Accounting Rate of Return: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has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an ARR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1.6</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on the invested capital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after accounting for straight-line depreciation,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which means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it offers very low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profitability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and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deteriorate the operating margins further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Net Present Value (NPV):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already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has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very negative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NPV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8.686</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million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10% discount rate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on annual bases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indicates that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project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degrade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value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rather than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surpass the initial investment with time.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Persuing this project will de-stabilise the firm`s financial condition and will also decrease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wealth of the shareholders.</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 Index (PI):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PI value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0.826</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Which 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below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1. This confirms that project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depreciate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marginal value. It will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return only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83</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for every pound invested, to be exact. Given the firm’s financial position, 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A is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safe investment opportunity that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will surely destory the firm`s value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Internal Rate of Return (IRR):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A” has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2.72</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IRR, which 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far below the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10% cost of capital. Because of 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very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low IRR, this is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high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-risk project that can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recover it’s investment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 favorable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time so the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firm should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reject this project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b/>
          <w:bCs/>
        </w:rPr>
      </w:pPr>
      <w:r>
        <w:rPr>
          <w:b/>
          <w:bCs/>
        </w:rPr>
        <w:t>“</w:t>
      </w:r>
      <w:r>
        <w:rPr>
          <w:b/>
          <w:bCs/>
        </w:rPr>
        <w:t>Project B”</w:t>
      </w:r>
    </w:p>
    <w:p>
      <w:pPr>
        <w:pStyle w:val="BodyText"/>
        <w:bidi w:val="0"/>
        <w:spacing w:lineRule="auto" w:line="360" w:before="0" w:after="0"/>
        <w:jc w:val="both"/>
        <w:rPr>
          <w:rFonts w:ascii="Arial" w:hAnsi="Arial"/>
          <w:b/>
          <w:bCs/>
        </w:rPr>
      </w:pPr>
      <w:r>
        <w:rPr>
          <w:b/>
          <w:bCs/>
        </w:rPr>
      </w:r>
    </w:p>
    <w:p>
      <w:pPr>
        <w:pStyle w:val="BodyText"/>
        <w:bidi w:val="0"/>
        <w:spacing w:lineRule="auto" w:line="360" w:before="0" w:after="0"/>
        <w:jc w:val="both"/>
        <w:rPr>
          <w:rFonts w:ascii="Arial" w:hAnsi="Arial"/>
        </w:rPr>
      </w:pPr>
      <w:r>
        <w:rPr>
          <w:rFonts w:eastAsia="Times New Roman" w:cs="Times New Roman"/>
          <w:b/>
          <w:bCs/>
          <w:i/>
          <w:iCs/>
          <w:caps w:val="false"/>
          <w:smallCaps w:val="false"/>
          <w:strike w:val="false"/>
          <w:dstrike w:val="false"/>
          <w:color w:val="000000"/>
          <w:sz w:val="24"/>
          <w:szCs w:val="24"/>
          <w:u w:val="none"/>
          <w:effect w:val="none"/>
          <w:shd w:fill="auto" w:val="clear"/>
        </w:rPr>
        <w:t>Payback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j</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B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 potential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annual cash inflow of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11</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million.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Which means PBP of</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4.55</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years. This project has slower capita recovery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of all the proposed projects but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predictib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steady cash flow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Accounting Rate of Return: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ARR of 2.0%. This project can offer some financial stability but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it remains fundamentally insufficient for capital deployent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 xml:space="preserve">Net Present Value (NPV):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NPV 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8.31</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million at the 10%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discount rate.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m</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project is value destructive and not capable of recovering the investment. For a struggling firm like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volkswagen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can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crease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shareholder wealth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 Index (PI):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profitability index of 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834</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which is lower than 1.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Therefore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B” will not be able to generate sufficient returns and tighten the liquidity problem and shareholder value can fall even further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as it will only return £0.83 for every pound invested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Internal Rate of Return (IRR):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With a IRR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3.26</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is unviable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and can not improve the liquidity problems of financially weakened firm. This project is not a profitable investment.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b/>
          <w:bCs/>
        </w:rPr>
      </w:pPr>
      <w:r>
        <w:rPr>
          <w:b/>
          <w:bCs/>
        </w:rPr>
        <w:t>“</w:t>
      </w:r>
      <w:r>
        <w:rPr>
          <w:b/>
          <w:bCs/>
        </w:rPr>
        <w:t>Project C”</w:t>
      </w:r>
    </w:p>
    <w:p>
      <w:pPr>
        <w:pStyle w:val="BodyText"/>
        <w:bidi w:val="0"/>
        <w:spacing w:lineRule="auto" w:line="360" w:before="0" w:after="0"/>
        <w:jc w:val="both"/>
        <w:rPr>
          <w:rFonts w:ascii="Arial" w:hAnsi="Arial"/>
          <w:b/>
          <w:bCs/>
        </w:rPr>
      </w:pPr>
      <w:r>
        <w:rPr>
          <w:b/>
          <w:bCs/>
        </w:rPr>
      </w:r>
    </w:p>
    <w:p>
      <w:pPr>
        <w:pStyle w:val="BodyText"/>
        <w:bidi w:val="0"/>
        <w:spacing w:lineRule="auto" w:line="360" w:before="0" w:after="0"/>
        <w:jc w:val="both"/>
        <w:rPr>
          <w:rFonts w:ascii="Arial" w:hAnsi="Arial"/>
        </w:rPr>
      </w:pPr>
      <w:r>
        <w:rPr>
          <w:rFonts w:eastAsia="Times New Roman" w:cs="Times New Roman"/>
          <w:b/>
          <w:bCs/>
          <w:i/>
          <w:iCs/>
          <w:caps w:val="false"/>
          <w:smallCaps w:val="false"/>
          <w:strike w:val="false"/>
          <w:dstrike w:val="false"/>
          <w:color w:val="000000"/>
          <w:sz w:val="24"/>
          <w:szCs w:val="24"/>
          <w:u w:val="none"/>
          <w:effect w:val="none"/>
          <w:shd w:fill="auto" w:val="clear"/>
        </w:rPr>
        <w:t>Payback Period: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With an initial capital investment of £50 million, “project C” will generate cumulative cash inflow of £35 million by the end of Year 3. with recovery of  additional £15 million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during year 4</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the project has PBP of 3.</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6 years (3 years and 7 months)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in total. These numbers ensure better liquidity to the firm with the promise of future growth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compared to the alternatives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Accounting Rate of Return: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While slightly better than Project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an ARR of 2.0%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insufficient to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mprove the firm's distressed profitability metrics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justify the deployment of 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rPr>
      </w:pPr>
      <w:r>
        <w:rPr>
          <w:rFonts w:eastAsia="Times New Roman" w:cs="Times New Roman"/>
          <w:b/>
          <w:bCs/>
          <w:i w:val="false"/>
          <w:caps w:val="false"/>
          <w:smallCaps w:val="false"/>
          <w:strike w:val="false"/>
          <w:dstrike w:val="false"/>
          <w:color w:val="000000"/>
          <w:sz w:val="24"/>
          <w:szCs w:val="24"/>
          <w:u w:val="none"/>
          <w:effect w:val="none"/>
          <w:shd w:fill="auto" w:val="clear"/>
        </w:rPr>
        <w:t>Net Present Value (NPV):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C” has a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negative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NPV of nearly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1.99</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million. Which shows that project can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destroy the value when calculated at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discount rate of 10%.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But compared to the other options, this project offers least damaging NPV</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Profitability Index (PI):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has highest PI among all the 3. With a PI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0.960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project C can generate  £0.</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96</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for each pound that is invested within discounted inflows.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which is slightly lower then the threshold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Although it requires highest capital investment, it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is the most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capital efficiently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option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bCs/>
          <w:i w:val="false"/>
          <w:caps w:val="false"/>
          <w:smallCaps w:val="false"/>
          <w:strike w:val="false"/>
          <w:dstrike w:val="false"/>
          <w:color w:val="000000"/>
          <w:sz w:val="24"/>
          <w:szCs w:val="24"/>
          <w:u w:val="none"/>
          <w:effect w:val="none"/>
          <w:shd w:fill="auto" w:val="clear"/>
        </w:rPr>
        <w:t>Internal Rate of Return (IRR):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“project C” has estimated IRR of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8.59</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which 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the closest 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“10% discounted rate”. When considered with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lower negative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NPV and 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near break even returns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this project indicates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optimal strategic option if the board determines that EV investment is absolutely mandatory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4.2 Final Investment Recommendation and Justification</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While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roject C’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NPV is marginally negative (-£1.98m), it is significantly less destructive than Project A (-£8.68m) and B (-£8.30m). Furthermore, it possesses the highest IRR (8.59%) an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attractive ARR (12%).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u</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l</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y</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Volkswagen’s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C</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has dangerously lengthened to 73 days.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Project C has the fastest Payback Period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o</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3.6 years,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nearly a full year faster than the alternative projects.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provides a critical liquidity buffer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n</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minimiz</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e</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the firm's reliance on expensive short-term financing.</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bCs/>
          <w:i w:val="false"/>
          <w:caps w:val="false"/>
          <w:smallCaps w:val="false"/>
          <w:strike w:val="false"/>
          <w:dstrike w:val="false"/>
          <w:color w:val="000000"/>
          <w:sz w:val="24"/>
          <w:szCs w:val="24"/>
          <w:u w:val="none"/>
          <w:effect w:val="none"/>
          <w:shd w:fill="auto" w:val="clear"/>
        </w:rPr>
        <w:t>4.3 Conclusion</w:t>
      </w:r>
    </w:p>
    <w:p>
      <w:pPr>
        <w:pStyle w:val="BodyText"/>
        <w:bidi w:val="0"/>
        <w:spacing w:lineRule="auto" w:line="360" w:before="0" w:after="0"/>
        <w:jc w:val="both"/>
        <w:rPr>
          <w:rFonts w:ascii="Arial" w:hAnsi="Arial" w:eastAsia="Times New Roman" w:cs="Times New Roman"/>
          <w:b w:val="false"/>
          <w:bCs w:val="false"/>
          <w:i w:val="false"/>
          <w:caps w:val="false"/>
          <w:smallCaps w:val="false"/>
          <w:strike w:val="false"/>
          <w:dstrike w:val="false"/>
          <w:color w:val="000000"/>
          <w:sz w:val="24"/>
          <w:szCs w:val="24"/>
          <w:u w:val="none"/>
          <w:effect w:val="none"/>
          <w:shd w:fill="auto" w:val="clear"/>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r>
    </w:p>
    <w:p>
      <w:pPr>
        <w:pStyle w:val="BodyText"/>
        <w:bidi w:val="0"/>
        <w:spacing w:lineRule="auto" w:line="360" w:before="0" w:after="0"/>
        <w:jc w:val="both"/>
        <w:rPr>
          <w:sz w:val="24"/>
          <w:szCs w:val="24"/>
        </w:rPr>
      </w:pP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In conclusion, Volkswagen Group’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s five year financial analysis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revealed that firm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currently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has a strong revenue but operating profit has contracted 53% and cash cycle has increased to 73 days. These numbers</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highlight the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firm has burden of managing legacy operations at the same time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unsustainable financial burden of funding the electric vehicle transition.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his report has proposed a comprehensive, multi-faceted financial turnaround strategy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t</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o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avoid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a prolonged profitability crisis.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By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aggressively optimizing working capital to unlock trapped liquidity, divesting non-core internal combustion assets, and forming strategic joint ventures, the firm can rapidly restore its profit margins and secure its interest coverage capabilities. Finally, by deploying capital rationing to high-growth potential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p</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roject C, Volkswagen can efficiently fund its </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R&amp;D</w:t>
      </w:r>
      <w:r>
        <w:rPr>
          <w:rFonts w:eastAsia="Times New Roman" w:cs="Times New Roman"/>
          <w:b w:val="false"/>
          <w:bCs w:val="false"/>
          <w:i w:val="false"/>
          <w:caps w:val="false"/>
          <w:smallCaps w:val="false"/>
          <w:strike w:val="false"/>
          <w:dstrike w:val="false"/>
          <w:color w:val="000000"/>
          <w:sz w:val="24"/>
          <w:szCs w:val="24"/>
          <w:u w:val="none"/>
          <w:effect w:val="none"/>
          <w:shd w:fill="auto" w:val="clear"/>
        </w:rPr>
        <w:t xml:space="preserve"> without over-leveraging its balance sheet. If executed with ethical rigor and geopolitical foresight, these targeted financial interventions will successfully bridge the current profitability gap, ensuring the Group's long-term competitive dominance and restoring shareholder value in the new era of electric mobility.</w:t>
      </w:r>
      <w:r>
        <w:br w:type="page"/>
      </w:r>
    </w:p>
    <w:p>
      <w:pPr>
        <w:pStyle w:val="Heading1"/>
        <w:spacing w:lineRule="auto" w:line="360" w:before="0" w:after="200"/>
        <w:jc w:val="both"/>
        <w:rPr>
          <w:rFonts w:ascii="Arial" w:hAnsi="Arial"/>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Annual Report (2025). </w:t>
      </w:r>
      <w:r>
        <w:rPr>
          <w:rStyle w:val="Hyperlink"/>
          <w:rFonts w:eastAsia="Times New Roman" w:cs="Times New Roman"/>
          <w:sz w:val="24"/>
          <w:szCs w:val="24"/>
        </w:rPr>
        <w:t>https://www.volkswagen-group.com/en/annual-report-and-full-year-results-2025-20174</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Annual Report (2024). </w:t>
      </w:r>
      <w:r>
        <w:rPr>
          <w:rStyle w:val="Hyperlink"/>
          <w:rFonts w:eastAsia="Times New Roman" w:cs="Times New Roman"/>
          <w:sz w:val="24"/>
          <w:szCs w:val="24"/>
        </w:rPr>
        <w:t>https://annualreport2024.volkswagen-group.com/services/downloads.html</w:t>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3. Annual Report (2023). </w:t>
      </w:r>
      <w:hyperlink r:id="rId2">
        <w:r>
          <w:rPr>
            <w:rStyle w:val="Hyperlink"/>
            <w:rFonts w:eastAsia="Times New Roman" w:cs="Times New Roman"/>
            <w:sz w:val="24"/>
            <w:szCs w:val="24"/>
          </w:rPr>
          <w:t>https://www.volkswagen-group.com/en/publications/more/annual-report-2023-2671</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4. Annual Report (2022). </w:t>
      </w:r>
      <w:hyperlink r:id="rId3">
        <w:r>
          <w:rPr>
            <w:rStyle w:val="Hyperlink"/>
            <w:rFonts w:eastAsia="Times New Roman" w:cs="Times New Roman"/>
            <w:sz w:val="24"/>
            <w:szCs w:val="24"/>
          </w:rPr>
          <w:t>https://www.volkswagen-group.com/en/annual-report-and-full-year-results-2022-16098</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5. Annual Report (2021). </w:t>
      </w:r>
      <w:hyperlink r:id="rId4">
        <w:r>
          <w:rPr>
            <w:rStyle w:val="Hyperlink"/>
            <w:rFonts w:eastAsia="Times New Roman" w:cs="Times New Roman"/>
            <w:sz w:val="24"/>
            <w:szCs w:val="24"/>
          </w:rPr>
          <w:t>https://www.volkswagen-group.com/en/publications/more/annual-report-2021-1791</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6. Brealey, R.A., Myers, S.C. and Allen, F. (2022) Principles of Corporate Finance. 14th edn. New York: McGraw-Hill Education. </w:t>
      </w:r>
      <w:hyperlink r:id="rId5">
        <w:r>
          <w:rPr>
            <w:rStyle w:val="Hyperlink"/>
            <w:rFonts w:eastAsia="Times New Roman" w:cs="Times New Roman"/>
            <w:sz w:val="24"/>
            <w:szCs w:val="24"/>
          </w:rPr>
          <w:t>https://www.mheducation.com/content/dam/mhe/blog/higher-ed/2025/pdfs/brealey-principles-of-corporate-finance-evergreen-2025.pdf</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7. Hillier, D., Ross, S.A., Westerfield, R.W., Jaffe, J. and Jordan, B.D. (2020) Corporate Finance. 4th edn. London: McGraw-Hill.</w:t>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8. Berk, J. and DeMarzo, P. (2020). Corporate Finance. 5th ed. Pearson Education. </w:t>
      </w:r>
      <w:hyperlink r:id="rId6">
        <w:r>
          <w:rPr>
            <w:rStyle w:val="Hyperlink"/>
            <w:rFonts w:eastAsia="Times New Roman" w:cs="Times New Roman"/>
            <w:sz w:val="24"/>
            <w:szCs w:val="24"/>
          </w:rPr>
          <w:t>https://www.pearson.com/se/Nordics-Higher-Education/subject-catalogue/finance/corporate-finance-5e-berk-and-demarzo.html</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9. Deloof, M. (2003). Does Working Capital Management Affect Profitability of Belgian Firms? Journal of Business Finance &amp; Accounting, 30(3‐4), pp.573-588. </w:t>
      </w:r>
      <w:hyperlink r:id="rId7">
        <w:r>
          <w:rPr>
            <w:rStyle w:val="Hyperlink"/>
            <w:rFonts w:eastAsia="Times New Roman" w:cs="Times New Roman"/>
            <w:sz w:val="24"/>
            <w:szCs w:val="24"/>
          </w:rPr>
          <w:t>https://doi.org/10.1111/1468-5957.00008</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10. Gelsomino, L.M., Mangiaracina, R., Perego, A. and Tumino, A. (2016). Supply chain finance: a literature review. International Journal of Physical Distribution &amp; Logistics Management. </w:t>
      </w:r>
      <w:hyperlink r:id="rId8">
        <w:r>
          <w:rPr>
            <w:rStyle w:val="Hyperlink"/>
            <w:rFonts w:eastAsia="Times New Roman" w:cs="Times New Roman"/>
            <w:sz w:val="24"/>
            <w:szCs w:val="24"/>
          </w:rPr>
          <w:t>https://doi.org/10.1108/IJPDLM-08-2014-0173</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11. Petersen, M.A. and Rajan, R.G. (1997). Trade Credit: Theories and Evidence. The Review of Financial Studies. </w:t>
      </w:r>
      <w:hyperlink r:id="rId9">
        <w:r>
          <w:rPr>
            <w:rStyle w:val="Hyperlink"/>
            <w:rFonts w:eastAsia="Times New Roman" w:cs="Times New Roman"/>
            <w:sz w:val="24"/>
            <w:szCs w:val="24"/>
          </w:rPr>
          <w:t>https://doi.org/10.1093/rfs/10.3.661</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12. Richards, V.D. and Laughlin, E.J. (1980). A Cash Conversion Cycle Approach to Liquidity Analysis. Financial Management. </w:t>
      </w:r>
      <w:hyperlink r:id="rId10">
        <w:r>
          <w:rPr>
            <w:rStyle w:val="Hyperlink"/>
            <w:rFonts w:eastAsia="Times New Roman" w:cs="Times New Roman"/>
            <w:sz w:val="24"/>
            <w:szCs w:val="24"/>
          </w:rPr>
          <w:t>https://www.jstor.org/stable/3665310</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13. Womack, J.P., Jones, D.T. and Roos, D. (1990). The Machine That Changed the World. Rawson Associates. </w:t>
      </w:r>
      <w:hyperlink r:id="rId11">
        <w:r>
          <w:rPr>
            <w:rStyle w:val="Hyperlink"/>
            <w:rFonts w:eastAsia="Times New Roman" w:cs="Times New Roman"/>
            <w:sz w:val="24"/>
            <w:szCs w:val="24"/>
          </w:rPr>
          <w:t>https://archive.org/details/machinethatchang0000woma</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14. Dyer, J.H., Kale, P. and Singh, H. (2004). When to Ally and When to Acquire. Harvard Business Review. </w:t>
      </w:r>
      <w:hyperlink r:id="rId12">
        <w:r>
          <w:rPr>
            <w:rStyle w:val="Hyperlink"/>
            <w:rFonts w:eastAsia="Times New Roman" w:cs="Times New Roman"/>
            <w:sz w:val="24"/>
            <w:szCs w:val="24"/>
          </w:rPr>
          <w:t>https://hbr.org/2004/07/when-to-ally-and-when-to-acquire</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15. Markides, C.C. (1992). Consequences of Corporate Refocusing: Ex Ante Evidence. Academy of Management Journal. </w:t>
      </w:r>
      <w:hyperlink r:id="rId13">
        <w:r>
          <w:rPr>
            <w:rStyle w:val="Hyperlink"/>
            <w:rFonts w:eastAsia="Times New Roman" w:cs="Times New Roman"/>
            <w:sz w:val="24"/>
            <w:szCs w:val="24"/>
          </w:rPr>
          <w:t>https://www.jstor.org/stable/256379</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16. Schipper, K. and Smith, A. (1986). A comparison of equity carve-outs and seasoned equity offerings: Share price effects and corporate restructuring. Journal of Financial Economics. </w:t>
      </w:r>
      <w:hyperlink r:id="rId14">
        <w:r>
          <w:rPr>
            <w:rStyle w:val="Hyperlink"/>
            <w:rFonts w:eastAsia="Times New Roman" w:cs="Times New Roman"/>
            <w:sz w:val="24"/>
            <w:szCs w:val="24"/>
          </w:rPr>
          <w:t>https://www.sciencedirect.com/science/article/abs/pii/0304405X8690053X</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17. Carroll, A.B. (1991). The pyramid of corporate social responsibility: Toward the moral management of organizational stakeholders. Business Horizons. </w:t>
      </w:r>
      <w:hyperlink r:id="rId15">
        <w:r>
          <w:rPr>
            <w:rStyle w:val="Hyperlink"/>
            <w:rFonts w:eastAsia="Times New Roman" w:cs="Times New Roman"/>
            <w:sz w:val="24"/>
            <w:szCs w:val="24"/>
          </w:rPr>
          <w:t>https://www.sciencedirect.com/science/article/abs/pii/000768139190005G</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t xml:space="preserve">18. Madura, J. (2020). International Financial Management. 14th ed. Cengage Learning. </w:t>
      </w:r>
      <w:hyperlink r:id="rId16">
        <w:r>
          <w:rPr>
            <w:rStyle w:val="Hyperlink"/>
            <w:rFonts w:eastAsia="Times New Roman" w:cs="Times New Roman"/>
            <w:sz w:val="24"/>
            <w:szCs w:val="24"/>
          </w:rPr>
          <w:t>https://www.cengage.com/c/international-financial-management-14e-madura/9780357130544/</w:t>
        </w:r>
      </w:hyperlink>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Style w:val="Hyperlink"/>
          <w:rFonts w:ascii="Arial" w:hAnsi="Arial" w:eastAsia="Times New Roman" w:cs="Times New Roman"/>
          <w:sz w:val="24"/>
          <w:szCs w:val="24"/>
        </w:rPr>
      </w:pPr>
      <w:r>
        <w:rPr>
          <w:rFonts w:eastAsia="Times New Roman" w:cs="Times New Roman"/>
          <w:sz w:val="24"/>
          <w:szCs w:val="24"/>
        </w:rPr>
      </w:r>
      <w:r>
        <w:br w:type="page"/>
      </w:r>
    </w:p>
    <w:p>
      <w:pPr>
        <w:pStyle w:val="Normal"/>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 xml:space="preserve">Appendices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Appendix 1: Ratio analysis</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 Profitability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Net Profit Margin:</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 xml:space="preserve">Formula : Net Profit = (Net Income / </w:t>
      </w:r>
      <w:r>
        <w:rPr/>
        <w:t>Net Sales</w:t>
      </w:r>
      <w:r>
        <w:rPr>
          <w:rFonts w:eastAsia="Times New Roman" w:cs="Times New Roman"/>
          <w:sz w:val="24"/>
          <w:szCs w:val="24"/>
        </w:rPr>
        <w:t>) × 100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(15,428 / 250,200) × 100 = 6.17%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(15,836 / 279,232) × 100 = 5.67%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(17,928 / 322,284) × 100 = 5.56%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(12,394 / 324,656) × 100 = 3.82%</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 (6,904 / 321,913) × 100 = 2.14%</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64" behindDoc="0" locked="0" layoutInCell="0" allowOverlap="1">
            <wp:simplePos x="0" y="0"/>
            <wp:positionH relativeFrom="column">
              <wp:posOffset>979805</wp:posOffset>
            </wp:positionH>
            <wp:positionV relativeFrom="paragraph">
              <wp:posOffset>2580005</wp:posOffset>
            </wp:positionV>
            <wp:extent cx="3607435" cy="2115820"/>
            <wp:effectExtent l="0" t="0" r="0" b="0"/>
            <wp:wrapTopAndBottom/>
            <wp:docPr id="1" name="Object13"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p>
    <w:p>
      <w:pPr>
        <w:pStyle w:val="Normal"/>
        <w:bidi w:val="0"/>
        <w:spacing w:lineRule="auto" w:line="360" w:before="0" w:after="200"/>
        <w:jc w:val="both"/>
        <w:rPr>
          <w:rFonts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42" behindDoc="0" locked="0" layoutInCell="0" allowOverlap="1">
            <wp:simplePos x="0" y="0"/>
            <wp:positionH relativeFrom="column">
              <wp:posOffset>665480</wp:posOffset>
            </wp:positionH>
            <wp:positionV relativeFrom="paragraph">
              <wp:posOffset>-152400</wp:posOffset>
            </wp:positionV>
            <wp:extent cx="3667125" cy="2149475"/>
            <wp:effectExtent l="0" t="0" r="0" b="0"/>
            <wp:wrapTopAndBottom/>
            <wp:docPr id="2" name="Object1"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Operating Profit Margin:</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 xml:space="preserve">Formula : Operating Profit = (Operating Income / </w:t>
      </w:r>
      <w:r>
        <w:rPr/>
        <w:t>Net Sales</w:t>
      </w:r>
      <w:r>
        <w:rPr>
          <w:rFonts w:eastAsia="Times New Roman" w:cs="Times New Roman"/>
          <w:sz w:val="24"/>
          <w:szCs w:val="24"/>
        </w:rPr>
        <w:t>) × 100</w:t>
      </w:r>
    </w:p>
    <w:p>
      <w:pPr>
        <w:pStyle w:val="Normal"/>
        <w:bidi w:val="0"/>
        <w:spacing w:lineRule="auto" w:line="360" w:before="0" w:after="200"/>
        <w:jc w:val="both"/>
        <w:rPr/>
      </w:pPr>
      <w:r>
        <w:rPr>
          <w:rFonts w:eastAsia="Times New Roman" w:cs="Times New Roman"/>
          <w:sz w:val="24"/>
          <w:szCs w:val="24"/>
        </w:rPr>
        <w:t>2021: (19,275 / 250,200) × 100 = 7.70%</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2022: (22,124 / 279,232) × 100 = 7.92%</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2023: (22,576 / 322,284) × 100 = 7.00%</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2024: (19,060 / 324,656) × 100 = 5.87%</w:t>
      </w:r>
    </w:p>
    <w:p>
      <w:pPr>
        <w:pStyle w:val="Normal"/>
        <w:bidi w:val="0"/>
        <w:spacing w:lineRule="auto" w:line="360" w:before="0" w:after="200"/>
        <w:jc w:val="both"/>
        <w:rPr>
          <w:rFonts w:eastAsia="Times New Roman" w:cs="Times New Roman"/>
          <w:sz w:val="24"/>
          <w:szCs w:val="24"/>
        </w:rPr>
      </w:pPr>
      <w:r>
        <w:rPr>
          <w:rFonts w:eastAsia="Times New Roman" w:cs="Times New Roman"/>
          <w:sz w:val="24"/>
          <w:szCs w:val="24"/>
        </w:rPr>
        <w:t>2025: (8,868 / 321,913) × 100 = 2.75%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63" behindDoc="0" locked="0" layoutInCell="0" allowOverlap="1">
            <wp:simplePos x="0" y="0"/>
            <wp:positionH relativeFrom="column">
              <wp:align>center</wp:align>
            </wp:positionH>
            <wp:positionV relativeFrom="paragraph">
              <wp:posOffset>635</wp:posOffset>
            </wp:positionV>
            <wp:extent cx="4690110" cy="2638425"/>
            <wp:effectExtent l="0" t="0" r="0" b="0"/>
            <wp:wrapTopAndBottom/>
            <wp:docPr id="3" name="Object2"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62" behindDoc="0" locked="0" layoutInCell="0" allowOverlap="1">
            <wp:simplePos x="0" y="0"/>
            <wp:positionH relativeFrom="column">
              <wp:align>center</wp:align>
            </wp:positionH>
            <wp:positionV relativeFrom="paragraph">
              <wp:posOffset>635</wp:posOffset>
            </wp:positionV>
            <wp:extent cx="4042410" cy="2273935"/>
            <wp:effectExtent l="0" t="0" r="0" b="0"/>
            <wp:wrapTopAndBottom/>
            <wp:docPr id="4" name="Object14"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 xml:space="preserve">Return On Equity: </w:t>
      </w:r>
    </w:p>
    <w:p>
      <w:pPr>
        <w:pStyle w:val="Normal"/>
        <w:bidi w:val="0"/>
        <w:spacing w:lineRule="auto" w:line="360" w:before="0" w:after="200"/>
        <w:jc w:val="both"/>
        <w:rPr>
          <w:rFonts w:ascii="Arial" w:hAnsi="Arial"/>
        </w:rPr>
      </w:pPr>
      <w:r>
        <w:rPr>
          <w:rFonts w:eastAsia="Times New Roman" w:cs="Times New Roman"/>
          <w:sz w:val="24"/>
          <w:szCs w:val="24"/>
        </w:rPr>
        <w:t>Formula : Return on Equity = (Net</w:t>
      </w:r>
      <w:r>
        <w:rPr>
          <w:rFonts w:eastAsia="Times New Roman" w:cs="Times New Roman"/>
          <w:color w:val="000000"/>
          <w:sz w:val="24"/>
          <w:szCs w:val="24"/>
        </w:rPr>
        <w:t xml:space="preserve"> income</w:t>
      </w:r>
      <w:r>
        <w:rPr>
          <w:rFonts w:eastAsia="Times New Roman" w:cs="Times New Roman"/>
          <w:sz w:val="24"/>
          <w:szCs w:val="24"/>
        </w:rPr>
        <w:t xml:space="preserve"> / </w:t>
      </w:r>
      <w:r>
        <w:rPr>
          <w:rFonts w:eastAsia="Times New Roman" w:cs="Times New Roman"/>
          <w:color w:val="000000"/>
          <w:sz w:val="24"/>
          <w:szCs w:val="24"/>
        </w:rPr>
        <w:t>Shareholder’s Equity) x 100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(15,428 / 146,154) × 100 = 10.56%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(15,836 / 178,328) × 100 = 8.88%</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(17,928 / 189,186) × 100 = 9.48%</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(12,394 / 196,731) × 100 = 6.30%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 (6,904 / 202,400) × 100 = 3.41%</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61" behindDoc="0" locked="0" layoutInCell="0" allowOverlap="1">
            <wp:simplePos x="0" y="0"/>
            <wp:positionH relativeFrom="column">
              <wp:align>center</wp:align>
            </wp:positionH>
            <wp:positionV relativeFrom="paragraph">
              <wp:posOffset>635</wp:posOffset>
            </wp:positionV>
            <wp:extent cx="4896485" cy="2754630"/>
            <wp:effectExtent l="0" t="0" r="0" b="0"/>
            <wp:wrapTopAndBottom/>
            <wp:docPr id="5" name="Object3"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60" behindDoc="0" locked="0" layoutInCell="0" allowOverlap="1">
            <wp:simplePos x="0" y="0"/>
            <wp:positionH relativeFrom="column">
              <wp:align>center</wp:align>
            </wp:positionH>
            <wp:positionV relativeFrom="paragraph">
              <wp:align>top</wp:align>
            </wp:positionV>
            <wp:extent cx="4611370" cy="2593975"/>
            <wp:effectExtent l="0" t="0" r="0" b="0"/>
            <wp:wrapTopAndBottom/>
            <wp:docPr id="6" name="Object15"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ii) Liquidity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Current Ratio:</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Formula : Current Ratio = (Total Current Assets / Total Current Liabilities)</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189,500 / 162,100 = 1.17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211,400 / 184,300 = 1.15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224,100 / 195,600 = 1.15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236,500 / 206,100 = 1.15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 242,100 / 210,500 = 1.15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9" behindDoc="0" locked="0" layoutInCell="0" allowOverlap="1">
            <wp:simplePos x="0" y="0"/>
            <wp:positionH relativeFrom="column">
              <wp:align>center</wp:align>
            </wp:positionH>
            <wp:positionV relativeFrom="paragraph">
              <wp:posOffset>635</wp:posOffset>
            </wp:positionV>
            <wp:extent cx="4605655" cy="2590800"/>
            <wp:effectExtent l="0" t="0" r="0" b="0"/>
            <wp:wrapTopAndBottom/>
            <wp:docPr id="7" name="Object11"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8" behindDoc="0" locked="0" layoutInCell="0" allowOverlap="1">
            <wp:simplePos x="0" y="0"/>
            <wp:positionH relativeFrom="column">
              <wp:align>center</wp:align>
            </wp:positionH>
            <wp:positionV relativeFrom="paragraph">
              <wp:align>top</wp:align>
            </wp:positionV>
            <wp:extent cx="4380230" cy="2464435"/>
            <wp:effectExtent l="0" t="0" r="0" b="0"/>
            <wp:wrapTopAndBottom/>
            <wp:docPr id="8" name="Object16"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Quick Ratio:</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Formula : Quick Ratio = (Total Current Assets - Inventories) / Total Current Liabilities</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(189,500 - 44,200) / 162,100 = 0.90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(211,400 - 51,300) / 184,300 = 0.87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(224,100 - 55,400) / 195,600 = 0.86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(236,500 - 58,100) / 206,100 = 0.87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 (242,100 - 61,000) / 210,500 = 0.86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7" behindDoc="0" locked="0" layoutInCell="0" allowOverlap="1">
            <wp:simplePos x="0" y="0"/>
            <wp:positionH relativeFrom="column">
              <wp:align>center</wp:align>
            </wp:positionH>
            <wp:positionV relativeFrom="paragraph">
              <wp:posOffset>635</wp:posOffset>
            </wp:positionV>
            <wp:extent cx="3978275" cy="2236470"/>
            <wp:effectExtent l="0" t="0" r="0" b="0"/>
            <wp:wrapTopAndBottom/>
            <wp:docPr id="9" name="Object10"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6" behindDoc="0" locked="0" layoutInCell="0" allowOverlap="1">
            <wp:simplePos x="0" y="0"/>
            <wp:positionH relativeFrom="column">
              <wp:align>center</wp:align>
            </wp:positionH>
            <wp:positionV relativeFrom="paragraph">
              <wp:align>top</wp:align>
            </wp:positionV>
            <wp:extent cx="3978275" cy="2236470"/>
            <wp:effectExtent l="0" t="0" r="0" b="0"/>
            <wp:wrapTopAndBottom/>
            <wp:docPr id="10" name="Object17"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Iii) Efficiency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Inventory Turnover Ratio:</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Formula : Inventory Turnover Ratio = Cost of sales / Inventory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202,959 / 44,200 = 4.59</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226,866 / 51,300 = 4.42</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261,299 / 55,400 = 4.72</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265,184 / 58,100 = 4.56</w:t>
      </w:r>
    </w:p>
    <w:p>
      <w:pPr>
        <w:pStyle w:val="Normal"/>
        <w:bidi w:val="0"/>
        <w:spacing w:lineRule="auto" w:line="360" w:before="0" w:after="200"/>
        <w:jc w:val="both"/>
        <w:rPr/>
      </w:pPr>
      <w:r>
        <w:rPr>
          <w:rFonts w:eastAsia="Times New Roman" w:cs="Times New Roman"/>
          <w:b w:val="false"/>
          <w:bCs w:val="false"/>
          <w:sz w:val="24"/>
          <w:szCs w:val="24"/>
        </w:rPr>
        <w:t>2025: 270,671 / 61,000 = 4.44</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5" behindDoc="0" locked="0" layoutInCell="0" allowOverlap="1">
            <wp:simplePos x="0" y="0"/>
            <wp:positionH relativeFrom="column">
              <wp:posOffset>634365</wp:posOffset>
            </wp:positionH>
            <wp:positionV relativeFrom="paragraph">
              <wp:posOffset>635</wp:posOffset>
            </wp:positionV>
            <wp:extent cx="4006215" cy="2252980"/>
            <wp:effectExtent l="0" t="0" r="0" b="0"/>
            <wp:wrapTopAndBottom/>
            <wp:docPr id="11" name="Object9"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4" behindDoc="0" locked="0" layoutInCell="0" allowOverlap="1">
            <wp:simplePos x="0" y="0"/>
            <wp:positionH relativeFrom="column">
              <wp:align>center</wp:align>
            </wp:positionH>
            <wp:positionV relativeFrom="paragraph">
              <wp:posOffset>635</wp:posOffset>
            </wp:positionV>
            <wp:extent cx="4145915" cy="2332990"/>
            <wp:effectExtent l="0" t="0" r="0" b="0"/>
            <wp:wrapTopAndBottom/>
            <wp:docPr id="12" name="Object18"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Receivable Turnover Ratio:</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 xml:space="preserve">Formula : Receivable Turnover Ratio = Net sales / </w:t>
      </w:r>
      <w:r>
        <w:rPr>
          <w:rFonts w:eastAsia="Times New Roman" w:cs="Times New Roman"/>
          <w:color w:val="000000"/>
          <w:sz w:val="24"/>
          <w:szCs w:val="24"/>
        </w:rPr>
        <w:t>Account receivable</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250,200 / 18,100 = 13.82</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279,232 / 21,500 = 12.99</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322,284 / 24,100 = 13.37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324,656 / 26,300 = 12.34</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color w:val="000000"/>
          <w:sz w:val="24"/>
          <w:szCs w:val="24"/>
        </w:rPr>
        <w:t>2025: 321,913 / 28,400 = 11.33</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3" behindDoc="0" locked="0" layoutInCell="0" allowOverlap="1">
            <wp:simplePos x="0" y="0"/>
            <wp:positionH relativeFrom="column">
              <wp:align>center</wp:align>
            </wp:positionH>
            <wp:positionV relativeFrom="paragraph">
              <wp:posOffset>635</wp:posOffset>
            </wp:positionV>
            <wp:extent cx="4726305" cy="2658745"/>
            <wp:effectExtent l="0" t="0" r="0" b="0"/>
            <wp:wrapTopAndBottom/>
            <wp:docPr id="13" name="Object8"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52" behindDoc="0" locked="0" layoutInCell="0" allowOverlap="1">
            <wp:simplePos x="0" y="0"/>
            <wp:positionH relativeFrom="column">
              <wp:align>center</wp:align>
            </wp:positionH>
            <wp:positionV relativeFrom="paragraph">
              <wp:posOffset>635</wp:posOffset>
            </wp:positionV>
            <wp:extent cx="4440555" cy="2497455"/>
            <wp:effectExtent l="0" t="0" r="0" b="0"/>
            <wp:wrapTopAndBottom/>
            <wp:docPr id="14" name="Object19"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iv) Gearning</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Debt to Equity Ratio:</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 xml:space="preserve">Formula : Debt to Equity Ratio = </w:t>
      </w:r>
      <w:r>
        <w:rPr>
          <w:rFonts w:eastAsia="Times New Roman" w:cs="Times New Roman"/>
          <w:color w:val="000000"/>
          <w:sz w:val="24"/>
          <w:szCs w:val="24"/>
        </w:rPr>
        <w:t>Total Liabilities</w:t>
      </w:r>
      <w:r>
        <w:rPr>
          <w:rFonts w:eastAsia="Times New Roman" w:cs="Times New Roman"/>
          <w:sz w:val="24"/>
          <w:szCs w:val="24"/>
        </w:rPr>
        <w:t xml:space="preserve"> / </w:t>
      </w:r>
      <w:r>
        <w:rPr>
          <w:rFonts w:eastAsia="Times New Roman" w:cs="Times New Roman"/>
          <w:color w:val="000000"/>
          <w:sz w:val="24"/>
          <w:szCs w:val="24"/>
        </w:rPr>
        <w:t>Shareholders Equity</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382,455 / 146,154 = 2.62</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385,685 / 178,328 = 2.16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411,463 / 189,186 = 2.17</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436,174 / 196,731 = 2.22</w:t>
      </w:r>
    </w:p>
    <w:p>
      <w:pPr>
        <w:pStyle w:val="Normal"/>
        <w:bidi w:val="0"/>
        <w:spacing w:lineRule="auto" w:line="360" w:before="0" w:after="200"/>
        <w:jc w:val="both"/>
        <w:rPr>
          <w:sz w:val="24"/>
          <w:szCs w:val="24"/>
        </w:rPr>
      </w:pPr>
      <w:r>
        <w:rPr>
          <w:color w:val="000000"/>
          <w:sz w:val="24"/>
          <w:szCs w:val="24"/>
        </w:rPr>
        <w:t>2025: 448,500 / 202,400 = 2.22</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1" behindDoc="0" locked="0" layoutInCell="0" allowOverlap="1">
            <wp:simplePos x="0" y="0"/>
            <wp:positionH relativeFrom="column">
              <wp:align>center</wp:align>
            </wp:positionH>
            <wp:positionV relativeFrom="paragraph">
              <wp:posOffset>635</wp:posOffset>
            </wp:positionV>
            <wp:extent cx="4497705" cy="2529840"/>
            <wp:effectExtent l="0" t="0" r="0" b="0"/>
            <wp:wrapTopAndBottom/>
            <wp:docPr id="15" name="Object7"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50" behindDoc="0" locked="0" layoutInCell="0" allowOverlap="1">
            <wp:simplePos x="0" y="0"/>
            <wp:positionH relativeFrom="column">
              <wp:align>center</wp:align>
            </wp:positionH>
            <wp:positionV relativeFrom="paragraph">
              <wp:posOffset>635</wp:posOffset>
            </wp:positionV>
            <wp:extent cx="4173220" cy="2346960"/>
            <wp:effectExtent l="0" t="0" r="0" b="0"/>
            <wp:wrapTopAndBottom/>
            <wp:docPr id="16" name="Object20"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Interest Coverage Ratio:</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 xml:space="preserve">Formula : Interest Coverage Ratio = </w:t>
      </w:r>
      <w:r>
        <w:rPr>
          <w:rFonts w:eastAsia="Times New Roman" w:cs="Times New Roman"/>
          <w:color w:val="000000"/>
          <w:sz w:val="24"/>
          <w:szCs w:val="24"/>
        </w:rPr>
        <w:t>Operating income</w:t>
      </w:r>
      <w:r>
        <w:rPr>
          <w:rFonts w:eastAsia="Times New Roman" w:cs="Times New Roman"/>
          <w:sz w:val="24"/>
          <w:szCs w:val="24"/>
        </w:rPr>
        <w:t xml:space="preserve"> / </w:t>
      </w:r>
      <w:r>
        <w:rPr>
          <w:rFonts w:eastAsia="Times New Roman" w:cs="Times New Roman"/>
          <w:color w:val="000000"/>
          <w:sz w:val="24"/>
          <w:szCs w:val="24"/>
        </w:rPr>
        <w:t>Interest expense</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19,275 / 1,304 = 14.78</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22,124 / 1,842 = 12.01</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22,576 / 3,640 = 6.20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19,060 / 3,446 = 5.53</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color w:val="000000"/>
          <w:sz w:val="24"/>
          <w:szCs w:val="24"/>
        </w:rPr>
        <w:t>2025: 8,868 / 3,245 = 2.73</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9" behindDoc="0" locked="0" layoutInCell="0" allowOverlap="1">
            <wp:simplePos x="0" y="0"/>
            <wp:positionH relativeFrom="column">
              <wp:posOffset>-233045</wp:posOffset>
            </wp:positionH>
            <wp:positionV relativeFrom="paragraph">
              <wp:posOffset>-46990</wp:posOffset>
            </wp:positionV>
            <wp:extent cx="5251450" cy="2954655"/>
            <wp:effectExtent l="0" t="0" r="0" b="0"/>
            <wp:wrapTopAndBottom/>
            <wp:docPr id="17" name="Object6"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48" behindDoc="0" locked="0" layoutInCell="0" allowOverlap="1">
            <wp:simplePos x="0" y="0"/>
            <wp:positionH relativeFrom="column">
              <wp:posOffset>109855</wp:posOffset>
            </wp:positionH>
            <wp:positionV relativeFrom="paragraph">
              <wp:posOffset>-121920</wp:posOffset>
            </wp:positionV>
            <wp:extent cx="4651375" cy="2615565"/>
            <wp:effectExtent l="0" t="0" r="0" b="0"/>
            <wp:wrapTopAndBottom/>
            <wp:docPr id="18" name="Object21"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v) Investment</w:t>
      </w:r>
    </w:p>
    <w:p>
      <w:pPr>
        <w:pStyle w:val="Normal"/>
        <w:bidi w:val="0"/>
        <w:spacing w:lineRule="auto" w:line="360" w:before="0" w:after="200"/>
        <w:jc w:val="both"/>
        <w:rPr/>
      </w:pPr>
      <w:r>
        <w:rPr>
          <w:rFonts w:eastAsia="Times New Roman" w:cs="Times New Roman"/>
          <w:b/>
          <w:bCs/>
          <w:sz w:val="24"/>
          <w:szCs w:val="24"/>
        </w:rPr>
        <w:t>Earnings per Share:</w:t>
      </w:r>
      <w:r>
        <w:rPr>
          <w:rFonts w:eastAsia="Times New Roman" w:cs="Times New Roman"/>
          <w:sz w:val="24"/>
          <w:szCs w:val="24"/>
        </w:rPr>
        <w:t xml:space="preserve"> </w:t>
      </w:r>
    </w:p>
    <w:tbl>
      <w:tblPr>
        <w:tblW w:w="5000" w:type="pct"/>
        <w:jc w:val="start"/>
        <w:tblInd w:w="-5" w:type="dxa"/>
        <w:tblLayout w:type="fixed"/>
        <w:tblCellMar>
          <w:top w:w="55" w:type="dxa"/>
          <w:start w:w="55" w:type="dxa"/>
          <w:bottom w:w="55" w:type="dxa"/>
          <w:end w:w="55" w:type="dxa"/>
        </w:tblCellMar>
      </w:tblPr>
      <w:tblGrid>
        <w:gridCol w:w="1504"/>
        <w:gridCol w:w="1504"/>
        <w:gridCol w:w="1504"/>
        <w:gridCol w:w="1505"/>
        <w:gridCol w:w="1504"/>
        <w:gridCol w:w="1505"/>
      </w:tblGrid>
      <w:tr>
        <w:trPr/>
        <w:tc>
          <w:tcPr>
            <w:tcW w:w="1504" w:type="dxa"/>
            <w:tcBorders>
              <w:top w:val="single" w:sz="4" w:space="0" w:color="000000"/>
              <w:start w:val="single" w:sz="4" w:space="0" w:color="000000"/>
              <w:bottom w:val="single" w:sz="4" w:space="0" w:color="000000"/>
            </w:tcBorders>
          </w:tcPr>
          <w:p>
            <w:pPr>
              <w:pStyle w:val="TableContents"/>
              <w:rPr>
                <w:rFonts w:ascii="Arial" w:hAnsi="Arial"/>
                <w:b/>
                <w:bCs/>
              </w:rPr>
            </w:pPr>
            <w:r>
              <w:rPr>
                <w:b/>
                <w:bCs/>
              </w:rPr>
              <w:t>Particulars</w:t>
            </w:r>
          </w:p>
        </w:tc>
        <w:tc>
          <w:tcPr>
            <w:tcW w:w="1504"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 xml:space="preserve">2021 </w:t>
            </w:r>
          </w:p>
        </w:tc>
        <w:tc>
          <w:tcPr>
            <w:tcW w:w="1504"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 xml:space="preserve">2022 </w:t>
            </w:r>
          </w:p>
        </w:tc>
        <w:tc>
          <w:tcPr>
            <w:tcW w:w="1505"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2023</w:t>
            </w:r>
          </w:p>
        </w:tc>
        <w:tc>
          <w:tcPr>
            <w:tcW w:w="1504" w:type="dxa"/>
            <w:tcBorders>
              <w:top w:val="single" w:sz="4" w:space="0" w:color="000000"/>
              <w:start w:val="single" w:sz="4" w:space="0" w:color="000000"/>
              <w:bottom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2024</w:t>
            </w:r>
          </w:p>
        </w:tc>
        <w:tc>
          <w:tcPr>
            <w:tcW w:w="1505" w:type="dxa"/>
            <w:tcBorders>
              <w:top w:val="single" w:sz="4" w:space="0" w:color="000000"/>
              <w:start w:val="single" w:sz="4" w:space="0" w:color="000000"/>
              <w:bottom w:val="single" w:sz="4" w:space="0" w:color="000000"/>
              <w:end w:val="single" w:sz="4" w:space="0" w:color="000000"/>
            </w:tcBorders>
          </w:tcPr>
          <w:p>
            <w:pPr>
              <w:pStyle w:val="Normal"/>
              <w:spacing w:lineRule="auto" w:line="240"/>
              <w:jc w:val="center"/>
              <w:rPr>
                <w:rFonts w:ascii="Arial" w:hAnsi="Arial"/>
              </w:rPr>
            </w:pPr>
            <w:r>
              <w:rPr>
                <w:rFonts w:eastAsia="Times New Roman" w:cs="Times New Roman"/>
                <w:b/>
                <w:bCs/>
                <w:color w:val="000000"/>
                <w:sz w:val="24"/>
                <w:szCs w:val="24"/>
                <w:lang w:val="en-IN"/>
              </w:rPr>
              <w:t xml:space="preserve">2025 </w:t>
            </w:r>
          </w:p>
        </w:tc>
      </w:tr>
      <w:tr>
        <w:trPr/>
        <w:tc>
          <w:tcPr>
            <w:tcW w:w="1504" w:type="dxa"/>
            <w:tcBorders>
              <w:start w:val="single" w:sz="4" w:space="0" w:color="000000"/>
              <w:bottom w:val="single" w:sz="4" w:space="0" w:color="000000"/>
            </w:tcBorders>
          </w:tcPr>
          <w:p>
            <w:pPr>
              <w:pStyle w:val="Normal"/>
              <w:rPr>
                <w:b/>
                <w:bCs/>
                <w:color w:val="000000"/>
              </w:rPr>
            </w:pPr>
            <w:r>
              <w:rPr>
                <w:b/>
                <w:bCs/>
                <w:color w:val="000000"/>
              </w:rPr>
              <w:t>Earnings per share</w:t>
            </w:r>
          </w:p>
        </w:tc>
        <w:tc>
          <w:tcPr>
            <w:tcW w:w="1504" w:type="dxa"/>
            <w:tcBorders>
              <w:start w:val="single" w:sz="4" w:space="0" w:color="000000"/>
              <w:bottom w:val="single" w:sz="4" w:space="0" w:color="000000"/>
            </w:tcBorders>
          </w:tcPr>
          <w:p>
            <w:pPr>
              <w:pStyle w:val="Normal"/>
              <w:jc w:val="center"/>
              <w:rPr>
                <w:b/>
                <w:bCs/>
                <w:color w:val="000000"/>
              </w:rPr>
            </w:pPr>
            <w:r>
              <w:rPr>
                <w:b/>
                <w:bCs/>
                <w:color w:val="000000"/>
              </w:rPr>
              <w:t>29.59</w:t>
            </w:r>
          </w:p>
        </w:tc>
        <w:tc>
          <w:tcPr>
            <w:tcW w:w="1504" w:type="dxa"/>
            <w:tcBorders>
              <w:start w:val="single" w:sz="4" w:space="0" w:color="000000"/>
              <w:bottom w:val="single" w:sz="4" w:space="0" w:color="000000"/>
            </w:tcBorders>
          </w:tcPr>
          <w:p>
            <w:pPr>
              <w:pStyle w:val="Normal"/>
              <w:jc w:val="center"/>
              <w:rPr>
                <w:b/>
                <w:bCs/>
                <w:color w:val="000000"/>
              </w:rPr>
            </w:pPr>
            <w:r>
              <w:rPr>
                <w:b/>
                <w:bCs/>
                <w:color w:val="000000"/>
              </w:rPr>
              <w:t>30.01</w:t>
            </w:r>
          </w:p>
        </w:tc>
        <w:tc>
          <w:tcPr>
            <w:tcW w:w="1505" w:type="dxa"/>
            <w:tcBorders>
              <w:start w:val="single" w:sz="4" w:space="0" w:color="000000"/>
              <w:bottom w:val="single" w:sz="4" w:space="0" w:color="000000"/>
            </w:tcBorders>
          </w:tcPr>
          <w:p>
            <w:pPr>
              <w:pStyle w:val="Normal"/>
              <w:jc w:val="center"/>
              <w:rPr>
                <w:b/>
                <w:bCs/>
                <w:color w:val="000000"/>
              </w:rPr>
            </w:pPr>
            <w:r>
              <w:rPr>
                <w:b/>
                <w:bCs/>
                <w:color w:val="000000"/>
              </w:rPr>
              <w:t>31.79</w:t>
            </w:r>
          </w:p>
        </w:tc>
        <w:tc>
          <w:tcPr>
            <w:tcW w:w="1504" w:type="dxa"/>
            <w:tcBorders>
              <w:start w:val="single" w:sz="4" w:space="0" w:color="000000"/>
              <w:bottom w:val="single" w:sz="4" w:space="0" w:color="000000"/>
            </w:tcBorders>
          </w:tcPr>
          <w:p>
            <w:pPr>
              <w:pStyle w:val="Normal"/>
              <w:jc w:val="center"/>
              <w:rPr>
                <w:b/>
                <w:bCs/>
                <w:color w:val="000000"/>
              </w:rPr>
            </w:pPr>
            <w:r>
              <w:rPr>
                <w:b/>
                <w:bCs/>
                <w:color w:val="000000"/>
              </w:rPr>
              <w:t>21.36</w:t>
            </w:r>
          </w:p>
        </w:tc>
        <w:tc>
          <w:tcPr>
            <w:tcW w:w="1505" w:type="dxa"/>
            <w:tcBorders>
              <w:start w:val="single" w:sz="4" w:space="0" w:color="000000"/>
              <w:bottom w:val="single" w:sz="4" w:space="0" w:color="000000"/>
              <w:end w:val="single" w:sz="4" w:space="0" w:color="000000"/>
            </w:tcBorders>
          </w:tcPr>
          <w:p>
            <w:pPr>
              <w:pStyle w:val="Normal"/>
              <w:jc w:val="center"/>
              <w:rPr>
                <w:b/>
                <w:bCs/>
                <w:color w:val="000000"/>
              </w:rPr>
            </w:pPr>
            <w:r>
              <w:rPr>
                <w:b/>
                <w:bCs/>
                <w:color w:val="000000"/>
              </w:rPr>
              <w:t>11.50</w:t>
            </w:r>
          </w:p>
        </w:tc>
      </w:tr>
    </w:tbl>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7" behindDoc="0" locked="0" layoutInCell="0" allowOverlap="1">
            <wp:simplePos x="0" y="0"/>
            <wp:positionH relativeFrom="column">
              <wp:align>center</wp:align>
            </wp:positionH>
            <wp:positionV relativeFrom="paragraph">
              <wp:posOffset>635</wp:posOffset>
            </wp:positionV>
            <wp:extent cx="5759450" cy="3239770"/>
            <wp:effectExtent l="0" t="0" r="0" b="0"/>
            <wp:wrapTopAndBottom/>
            <wp:docPr id="19" name="Object12"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anchor>
        </w:drawing>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VI) Cashflow</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Operating Cash Flow Margin:</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Formula : Operating Cash Flow Margin = (</w:t>
      </w:r>
      <w:r>
        <w:rPr>
          <w:rFonts w:eastAsia="Times New Roman" w:cs="Times New Roman"/>
          <w:color w:val="000000"/>
          <w:sz w:val="24"/>
          <w:szCs w:val="24"/>
        </w:rPr>
        <w:t>Operating Cash Flow</w:t>
      </w:r>
      <w:r>
        <w:rPr>
          <w:rFonts w:eastAsia="Times New Roman" w:cs="Times New Roman"/>
          <w:sz w:val="24"/>
          <w:szCs w:val="24"/>
        </w:rPr>
        <w:t xml:space="preserve"> / </w:t>
      </w:r>
      <w:r>
        <w:rPr>
          <w:rFonts w:eastAsia="Times New Roman" w:cs="Times New Roman"/>
          <w:color w:val="000000"/>
          <w:sz w:val="24"/>
          <w:szCs w:val="24"/>
        </w:rPr>
        <w:t>Net Sales) x 100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(32,402 / 250,200) × 100 = 12.95%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(29,865 / 279,232) × 100 = 10.70%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(37,851 / 322,284) × 100 = 11.74%</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(34,263 / 324,656) × 100 = 10.55%</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2025: (31,406 / 321,913) × 100 = 9.76%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6" behindDoc="0" locked="0" layoutInCell="0" allowOverlap="1">
            <wp:simplePos x="0" y="0"/>
            <wp:positionH relativeFrom="column">
              <wp:posOffset>-9525</wp:posOffset>
            </wp:positionH>
            <wp:positionV relativeFrom="paragraph">
              <wp:posOffset>3810</wp:posOffset>
            </wp:positionV>
            <wp:extent cx="5098415" cy="3183255"/>
            <wp:effectExtent l="0" t="0" r="0" b="0"/>
            <wp:wrapTopAndBottom/>
            <wp:docPr id="20" name="Object5"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5" behindDoc="0" locked="0" layoutInCell="0" allowOverlap="1">
            <wp:simplePos x="0" y="0"/>
            <wp:positionH relativeFrom="column">
              <wp:posOffset>209550</wp:posOffset>
            </wp:positionH>
            <wp:positionV relativeFrom="paragraph">
              <wp:posOffset>3810</wp:posOffset>
            </wp:positionV>
            <wp:extent cx="5123815" cy="3199130"/>
            <wp:effectExtent l="0" t="0" r="0" b="0"/>
            <wp:wrapTopAndBottom/>
            <wp:docPr id="21" name="Object22"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anchor>
        </w:drawing>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b/>
          <w:bCs/>
          <w:sz w:val="24"/>
          <w:szCs w:val="24"/>
        </w:rPr>
        <w:t>Free Cash Flow Margin:</w:t>
      </w:r>
      <w:r>
        <w:rPr>
          <w:rFonts w:eastAsia="Times New Roman" w:cs="Times New Roman"/>
          <w:sz w:val="24"/>
          <w:szCs w:val="24"/>
        </w:rPr>
        <w:t xml:space="preserve"> </w:t>
      </w:r>
    </w:p>
    <w:p>
      <w:pPr>
        <w:pStyle w:val="Normal"/>
        <w:bidi w:val="0"/>
        <w:spacing w:lineRule="auto" w:line="360" w:before="0" w:after="200"/>
        <w:jc w:val="both"/>
        <w:rPr>
          <w:rFonts w:ascii="Arial" w:hAnsi="Arial"/>
        </w:rPr>
      </w:pPr>
      <w:r>
        <w:rPr>
          <w:rFonts w:eastAsia="Times New Roman" w:cs="Times New Roman"/>
          <w:sz w:val="24"/>
          <w:szCs w:val="24"/>
        </w:rPr>
        <w:t xml:space="preserve">Formula : Operating Cash Flow Margin = </w:t>
      </w:r>
      <w:r>
        <w:rPr>
          <w:rFonts w:eastAsia="Times New Roman" w:cs="Times New Roman"/>
          <w:color w:val="000000"/>
          <w:sz w:val="24"/>
          <w:szCs w:val="24"/>
        </w:rPr>
        <w:t>((Operating Cash Flow - Capital Expenditure) / Net sales) x 100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2021: ((32,402 - 10,496) / 250,200) × 100 = 8.76%</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2022: ((29,865 - 12,731) / 279,232) × 100 = 6.14%</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2023: ((37,851 - 14,371) / 322,284) × 100 = 7.29%</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t>2024: ((34,263 - 21,300) / 324,656) × 100 = 3.99%</w:t>
      </w:r>
    </w:p>
    <w:p>
      <w:pPr>
        <w:pStyle w:val="Normal"/>
        <w:bidi w:val="0"/>
        <w:spacing w:lineRule="auto" w:line="360" w:before="0" w:after="200"/>
        <w:jc w:val="both"/>
        <w:rPr>
          <w:sz w:val="24"/>
          <w:szCs w:val="24"/>
        </w:rPr>
      </w:pPr>
      <w:r>
        <w:rPr>
          <w:sz w:val="24"/>
          <w:szCs w:val="24"/>
        </w:rPr>
        <w:t>2025: ((31,406 - 19,500) / 321,913) × 100 = 3.70%</w:t>
      </w:r>
    </w:p>
    <w:p>
      <w:pPr>
        <w:pStyle w:val="Normal"/>
        <w:bidi w:val="0"/>
        <w:spacing w:lineRule="auto" w:line="360" w:before="0" w:after="200"/>
        <w:jc w:val="both"/>
        <w:rPr>
          <w:rFonts w:ascii="Arial" w:hAnsi="Arial" w:eastAsia="Times New Roman" w:cs="Times New Roman"/>
          <w:sz w:val="24"/>
          <w:szCs w:val="24"/>
        </w:rPr>
      </w:pPr>
      <w:r>
        <w:rPr>
          <w:rFonts w:eastAsia="Times New Roman" w:cs="Times New Roman"/>
          <w:sz w:val="24"/>
          <w:szCs w:val="24"/>
        </w:rPr>
        <w:drawing>
          <wp:anchor distT="0" distB="0" distL="0" distR="0" simplePos="0" relativeHeight="44" behindDoc="0" locked="0" layoutInCell="0" allowOverlap="1">
            <wp:simplePos x="0" y="0"/>
            <wp:positionH relativeFrom="column">
              <wp:align>center</wp:align>
            </wp:positionH>
            <wp:positionV relativeFrom="paragraph">
              <wp:posOffset>635</wp:posOffset>
            </wp:positionV>
            <wp:extent cx="5013960" cy="2820035"/>
            <wp:effectExtent l="0" t="0" r="0" b="0"/>
            <wp:wrapTopAndBottom/>
            <wp:docPr id="22" name="Object4"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p>
    <w:p>
      <w:pPr>
        <w:pStyle w:val="BodyText"/>
        <w:bidi w:val="0"/>
        <w:spacing w:before="0" w:after="140"/>
        <w:ind w:hanging="0" w:start="0" w:end="0"/>
        <w:jc w:val="start"/>
        <w:rPr>
          <w:rFonts w:eastAsia="Times New Roman" w:cs="Times New Roman"/>
          <w:sz w:val="24"/>
          <w:szCs w:val="24"/>
        </w:rPr>
      </w:pPr>
      <w:r>
        <w:rPr>
          <w:rFonts w:eastAsia="Times New Roman" w:cs="Times New Roman"/>
          <w:sz w:val="24"/>
          <w:szCs w:val="24"/>
        </w:rPr>
        <w:drawing>
          <wp:anchor distT="0" distB="0" distL="0" distR="0" simplePos="0" relativeHeight="43" behindDoc="0" locked="0" layoutInCell="0" allowOverlap="1">
            <wp:simplePos x="0" y="0"/>
            <wp:positionH relativeFrom="column">
              <wp:align>center</wp:align>
            </wp:positionH>
            <wp:positionV relativeFrom="paragraph">
              <wp:posOffset>635</wp:posOffset>
            </wp:positionV>
            <wp:extent cx="5137785" cy="2889885"/>
            <wp:effectExtent l="0" t="0" r="0" b="0"/>
            <wp:wrapTopAndBottom/>
            <wp:docPr id="23" name="Object23" descr="chart"/>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anchor>
        </w:drawing>
      </w:r>
      <w:r>
        <w:br w:type="page"/>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Appendix 2: Investment analysis</w:t>
      </w:r>
    </w:p>
    <w:p>
      <w:pPr>
        <w:pStyle w:val="Normal"/>
        <w:spacing w:lineRule="auto" w:line="360"/>
        <w:rPr>
          <w:b/>
          <w:bCs/>
          <w:color w:themeColor="dark1" w:val="000000"/>
          <w:sz w:val="24"/>
          <w:szCs w:val="24"/>
        </w:rPr>
      </w:pPr>
      <w:r>
        <w:rPr>
          <w:b/>
          <w:bCs/>
          <w:color w:themeColor="dark1" w:val="000000"/>
          <w:sz w:val="24"/>
          <w:szCs w:val="24"/>
        </w:rPr>
        <w:t>1. Project A (Initial Investment: £50,000,000)</w:t>
      </w:r>
    </w:p>
    <w:p>
      <w:pPr>
        <w:pStyle w:val="Normal"/>
        <w:spacing w:lineRule="auto" w:line="360"/>
        <w:rPr>
          <w:b/>
          <w:bCs/>
          <w:color w:themeColor="dark1" w:val="000000"/>
          <w:sz w:val="24"/>
          <w:szCs w:val="24"/>
        </w:rPr>
      </w:pPr>
      <w:r>
        <w:rPr>
          <w:b/>
          <w:bCs/>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Cash Inflows: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1: £10m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2: £12m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3: £14m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 £10m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 £8m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Accounting Rate of Return (ARR):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Cash Inflow: £10m+£12m+£14m+£10m+£8m = £54,000,000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Average Annual Cash Inflow: £54,000,000/5 years = £10,800,000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Average Annual Profit (Less £10m straight-line depreciation): £10,800,000 - £10,000,000 = £800,000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(£800,000/£50,000,000)×100 = 1.6%</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Payback Period (PBP):</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Cumulative Cash Flow (Year 3): £10m+£12m+£14m+£10m=£46,000,000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Remaining to recover at start of Year 5: £50m−£46m=£4,000,000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Recovery Fraction: £4,000,000/£8,000,000 (Year 5 Inflow)=0.5 years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 years+0.5 years=4.5 years (4 years, 6 months)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Net Present Value (NPV) @ 10%: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 PV: £10,000,000×0.909=£9,090,000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 PV: £12,000,000×0.826=£9,912,000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 PV: £14,000,000×0.751=£10,514,000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 PV: £10,000,000×0.683=£6,830,000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 PV: £8,000,000×0.621=£4,968,000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Present Value (PV): £41,314,000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£41,314,000−£50,000,000= -£8,686,000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Profitability Index (PI):</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£41,314,000/£50,000,000=0.826</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Internal Rate of Return (IRR):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Since NPV is positive at 10%, IRR must be higher than the discount rate.</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2.72%</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2. Project B (Initial Investment: £50,000,000)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bCs/>
          <w:color w:themeColor="dark1" w:val="000000"/>
          <w:sz w:val="24"/>
          <w:szCs w:val="24"/>
        </w:rPr>
        <w:t>Cash Inflows:</w:t>
      </w:r>
      <w:r>
        <w:rPr>
          <w:b w:val="false"/>
          <w:bCs w:val="false"/>
          <w:color w:themeColor="dark1" w:val="000000"/>
          <w:sz w:val="24"/>
          <w:szCs w:val="24"/>
        </w:rPr>
        <w:t xml:space="preserve">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 £11m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 £11m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 £11m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 £11m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 £11m</w:t>
      </w:r>
    </w:p>
    <w:p>
      <w:pPr>
        <w:pStyle w:val="Normal"/>
        <w:bidi w:val="0"/>
        <w:spacing w:lineRule="auto" w:line="360"/>
        <w:rPr>
          <w:b/>
          <w:bCs/>
          <w:color w:themeColor="dark1" w:val="000000"/>
          <w:sz w:val="24"/>
          <w:szCs w:val="24"/>
        </w:rPr>
      </w:pPr>
      <w:r>
        <w:rPr>
          <w:b/>
          <w:bCs/>
          <w:color w:themeColor="dark1" w:val="000000"/>
          <w:sz w:val="24"/>
          <w:szCs w:val="24"/>
        </w:rPr>
        <w:t>Accounting Rate of Return (ARR):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Cash Inflow: £11m×5=£55,000,000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Average Annual Cash Inflow: £55,000,000/5 years=£11,000,000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Average Annual Profit (Less £10m straight-line depreciation): £11,000,000 - £10,000,000 = £1,000,000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(£1,000,000/£50,000,000)×100=2.0%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Payback Period (PBP):</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£50,000,000/£11,000,000=4.545 years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4.545 years = 4.55 years (4 years, 6.6 months)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Net Present Value (NPV) @ 10%: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PV: £41,690,000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£41,690,000−£50,000,000=−£8,310,000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 xml:space="preserve"> </w:t>
      </w:r>
      <w:r>
        <w:rPr>
          <w:b/>
          <w:bCs/>
          <w:color w:themeColor="dark1" w:val="000000"/>
          <w:sz w:val="24"/>
          <w:szCs w:val="24"/>
        </w:rPr>
        <w:t>Profitability Index (PI):</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£41,690,000/£50,000,000=0.834</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Internal Rate of Return (IRR):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Since NPV is negative at 10%, IRR must be lower than the discount rate.</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3.26%</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3. Project C (Initial Investment: £50,000,000)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val="false"/>
          <w:bCs w:val="false"/>
          <w:color w:themeColor="dark1" w:val="000000"/>
          <w:sz w:val="24"/>
          <w:szCs w:val="24"/>
        </w:rPr>
      </w:pPr>
      <w:r>
        <w:rPr>
          <w:b/>
          <w:bCs/>
          <w:color w:themeColor="dark1" w:val="000000"/>
          <w:sz w:val="24"/>
          <w:szCs w:val="24"/>
        </w:rPr>
        <w:t>Cash Inflows:</w:t>
      </w:r>
      <w:r>
        <w:rPr>
          <w:b w:val="false"/>
          <w:bCs w:val="false"/>
          <w:color w:themeColor="dark1" w:val="000000"/>
          <w:sz w:val="24"/>
          <w:szCs w:val="24"/>
        </w:rPr>
        <w:t xml:space="preserve">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1: £5m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2: £10m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3: £20m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Year 4: £25m </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 £5m</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Accounting Rate of Return (ARR):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Cash Inflow: £5m+£10m+£20m+£25m+£5m=£65,000,000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Average Annual Cash Inflow: £65,000,000/5 years=£13,000,000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Average Annual Profit (Less £10m straight-line depreciation): £13,000,000 - £10,000,000 = £3,000,000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Calculation: (£3,000,000/£50,000,000)×100=6.0%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Payback Period (PBP):</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Cumulative Cash Flow (Year 3): £5m+£10m+£20m=£35,000,000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Remaining to recover at start of Year 4: £50m−£35m=£15,000,000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 xml:space="preserve"> </w:t>
      </w:r>
      <w:r>
        <w:rPr>
          <w:b w:val="false"/>
          <w:bCs w:val="false"/>
          <w:color w:themeColor="dark1" w:val="000000"/>
          <w:sz w:val="24"/>
          <w:szCs w:val="24"/>
        </w:rPr>
        <w:t>Recovery Fraction: £15,000,000/£25,000,000 (Year 4 Inflow)=0.6 years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3 years+0.6 years=3.6 years (3 years, 7.2 months)</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Net Present Value (NPV) @ 10%: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1 PV: £5,000,000×0.909=£4,545,000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2 PV: £10,000,000×0.826=£8,260,000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3 PV: £20,000,000×0.751=£15,020,000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4 PV: £25,000,000×0.683=£17,075,000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Year 5 PV: £5,000,000×0.621=£3,105,000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Total PV: £48,005,000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£48,005,000−£50,000,000=-£1,995,000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Profitability Index (PI):</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£48,005,000/£50,000,000=0.960</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r>
    </w:p>
    <w:p>
      <w:pPr>
        <w:pStyle w:val="Normal"/>
        <w:bidi w:val="0"/>
        <w:spacing w:lineRule="auto" w:line="360"/>
        <w:rPr>
          <w:b/>
          <w:bCs/>
          <w:color w:themeColor="dark1" w:val="000000"/>
          <w:sz w:val="24"/>
          <w:szCs w:val="24"/>
        </w:rPr>
      </w:pPr>
      <w:r>
        <w:rPr>
          <w:b/>
          <w:bCs/>
          <w:color w:themeColor="dark1" w:val="000000"/>
          <w:sz w:val="24"/>
          <w:szCs w:val="24"/>
        </w:rPr>
        <w:t>Internal Rate of Return (IRR):</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Since NPV is negative at 10%, IRR must be lower than the discount rate.</w:t>
      </w:r>
    </w:p>
    <w:p>
      <w:pPr>
        <w:pStyle w:val="Normal"/>
        <w:bidi w:val="0"/>
        <w:spacing w:lineRule="auto" w:line="360"/>
        <w:rPr>
          <w:b w:val="false"/>
          <w:bCs w:val="false"/>
          <w:color w:themeColor="dark1" w:val="000000"/>
          <w:sz w:val="24"/>
          <w:szCs w:val="24"/>
        </w:rPr>
      </w:pPr>
      <w:r>
        <w:rPr>
          <w:b w:val="false"/>
          <w:bCs w:val="false"/>
          <w:color w:themeColor="dark1" w:val="000000"/>
          <w:sz w:val="24"/>
          <w:szCs w:val="24"/>
        </w:rPr>
        <w:t>Calculation: 8.59%</w:t>
      </w:r>
    </w:p>
    <w:sectPr>
      <w:headerReference w:type="even" r:id="rId40"/>
      <w:headerReference w:type="default" r:id="rId41"/>
      <w:headerReference w:type="first" r:id="rId42"/>
      <w:footerReference w:type="even" r:id="rId43"/>
      <w:footerReference w:type="default" r:id="rId44"/>
      <w:footerReference w:type="first" r:id="rId45"/>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OpenSymbol">
    <w:altName w:val="Arial Unicode MS"/>
    <w:charset w:val="02"/>
    <w:family w:val="auto"/>
    <w:pitch w:val="default"/>
  </w:font>
  <w:font w:name="Liberation Sans">
    <w:altName w:val="Arial"/>
    <w:charset w:val="01" w:characterSet="utf-8"/>
    <w:family w:val="swiss"/>
    <w:pitch w:val="variable"/>
  </w:font>
  <w:font w:name="Cambria">
    <w:charset w:val="01" w:characterSet="utf-8"/>
    <w:family w:val="swiss"/>
    <w:pitch w:val="variable"/>
  </w:font>
  <w:font w:name="Symbol">
    <w:charset w:val="02"/>
    <w:family w:val="auto"/>
    <w:pitch w:val="default"/>
  </w:font>
  <w:font w:name="OpenSymbol">
    <w:altName w:val="Arial Unicode MS"/>
    <w:charset w:val="01"/>
    <w:family w:val="auto"/>
    <w:pitch w:val="variable"/>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40</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40</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24"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25"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sz w:val="24"/>
        <w:szCs w:val="24"/>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3">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4">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5">
    <w:lvl w:ilvl="0">
      <w:start w:val="1"/>
      <w:numFmt w:val="bullet"/>
      <w:lvlText w:val=""/>
      <w:lvlJc w:val="start"/>
      <w:pPr>
        <w:tabs>
          <w:tab w:val="num" w:pos="720"/>
        </w:tabs>
        <w:ind w:start="720" w:hanging="360"/>
      </w:pPr>
      <w:rPr>
        <w:rFonts w:ascii="Symbol" w:hAnsi="Symbol" w:cs="Symbol" w:hint="default"/>
        <w:sz w:val="24"/>
        <w:szCs w:val="24"/>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6">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7">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8">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9">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0">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2">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3">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4">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15">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w="http://schemas.openxmlformats.org/wordprocessingml/2006/main">
  <w:zoom w:percent="100"/>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Bulletsuser">
    <w:name w:val="Bullets (user)"/>
    <w:qFormat/>
    <w:rPr>
      <w:rFonts w:ascii="OpenSymbol" w:hAnsi="OpenSymbol" w:eastAsia="OpenSymbol" w:cs="OpenSymbol"/>
    </w:rPr>
  </w:style>
  <w:style w:type="character" w:styleId="Bullets">
    <w:name w:val="Bullets"/>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OC2">
    <w:name w:val="toc 2"/>
    <w:basedOn w:val="Normal"/>
    <w:next w:val="Normal"/>
    <w:pPr>
      <w:spacing w:before="0" w:after="100"/>
      <w:ind w:start="220"/>
    </w:pPr>
    <w:rPr/>
  </w:style>
  <w:style w:type="paragraph" w:styleId="TOC1">
    <w:name w:val="toc 1"/>
    <w:basedOn w:val="Normal"/>
    <w:next w:val="Normal"/>
    <w:pPr>
      <w:spacing w:before="0" w:after="100"/>
    </w:pPr>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volkswagen-group.com/en/publications/more/annual-report-2023-2671" TargetMode="External"/><Relationship Id="rId3" Type="http://schemas.openxmlformats.org/officeDocument/2006/relationships/hyperlink" Target="https://www.volkswagen-group.com/en/annual-report-and-full-year-results-2022-16098" TargetMode="External"/><Relationship Id="rId4" Type="http://schemas.openxmlformats.org/officeDocument/2006/relationships/hyperlink" Target="https://www.volkswagen-group.com/en/publications/more/annual-report-2021-1791" TargetMode="External"/><Relationship Id="rId5" Type="http://schemas.openxmlformats.org/officeDocument/2006/relationships/hyperlink" Target="https://www.mheducation.com/content/dam/mhe/blog/higher-ed/2025/pdfs/brealey-principles-of-corporate-finance-evergreen-2025.pdf" TargetMode="External"/><Relationship Id="rId6" Type="http://schemas.openxmlformats.org/officeDocument/2006/relationships/hyperlink" Target="https://www.pearson.com/se/Nordics-Higher-Education/subject-catalogue/finance/corporate-finance-5e-berk-and-demarzo.html" TargetMode="External"/><Relationship Id="rId7" Type="http://schemas.openxmlformats.org/officeDocument/2006/relationships/hyperlink" Target="https://doi.org/10.1111/1468-5957.00008" TargetMode="External"/><Relationship Id="rId8" Type="http://schemas.openxmlformats.org/officeDocument/2006/relationships/hyperlink" Target="https://doi.org/10.1108/IJPDLM-08-2014-0173" TargetMode="External"/><Relationship Id="rId9" Type="http://schemas.openxmlformats.org/officeDocument/2006/relationships/hyperlink" Target="https://doi.org/10.1093/rfs/10.3.661" TargetMode="External"/><Relationship Id="rId10" Type="http://schemas.openxmlformats.org/officeDocument/2006/relationships/hyperlink" Target="https://www.jstor.org/stable/3665310" TargetMode="External"/><Relationship Id="rId11" Type="http://schemas.openxmlformats.org/officeDocument/2006/relationships/hyperlink" Target="https://archive.org/details/machinethatchang0000woma" TargetMode="External"/><Relationship Id="rId12" Type="http://schemas.openxmlformats.org/officeDocument/2006/relationships/hyperlink" Target="https://hbr.org/2004/07/when-to-ally-and-when-to-acquire" TargetMode="External"/><Relationship Id="rId13" Type="http://schemas.openxmlformats.org/officeDocument/2006/relationships/hyperlink" Target="https://www.jstor.org/stable/256379" TargetMode="External"/><Relationship Id="rId14" Type="http://schemas.openxmlformats.org/officeDocument/2006/relationships/hyperlink" Target="https://www.sciencedirect.com/science/article/abs/pii/0304405X8690053X" TargetMode="External"/><Relationship Id="rId15" Type="http://schemas.openxmlformats.org/officeDocument/2006/relationships/hyperlink" Target="https://www.sciencedirect.com/science/article/abs/pii/000768139190005G" TargetMode="External"/><Relationship Id="rId16" Type="http://schemas.openxmlformats.org/officeDocument/2006/relationships/hyperlink" Target="https://www.cengage.com/c/international-financial-management-14e-madura/9780357130544/" TargetMode="External"/><Relationship Id="rId17" Type="http://schemas.openxmlformats.org/officeDocument/2006/relationships/chart" Target="charts/chart1.xml"/><Relationship Id="rId18" Type="http://schemas.openxmlformats.org/officeDocument/2006/relationships/chart" Target="charts/chart2.xml"/><Relationship Id="rId19" Type="http://schemas.openxmlformats.org/officeDocument/2006/relationships/chart" Target="charts/chart3.xml"/><Relationship Id="rId20" Type="http://schemas.openxmlformats.org/officeDocument/2006/relationships/chart" Target="charts/chart4.xml"/><Relationship Id="rId21" Type="http://schemas.openxmlformats.org/officeDocument/2006/relationships/chart" Target="charts/chart5.xml"/><Relationship Id="rId22" Type="http://schemas.openxmlformats.org/officeDocument/2006/relationships/chart" Target="charts/chart6.xml"/><Relationship Id="rId23" Type="http://schemas.openxmlformats.org/officeDocument/2006/relationships/chart" Target="charts/chart7.xml"/><Relationship Id="rId24" Type="http://schemas.openxmlformats.org/officeDocument/2006/relationships/chart" Target="charts/chart8.xml"/><Relationship Id="rId25" Type="http://schemas.openxmlformats.org/officeDocument/2006/relationships/chart" Target="charts/chart9.xml"/><Relationship Id="rId26" Type="http://schemas.openxmlformats.org/officeDocument/2006/relationships/chart" Target="charts/chart10.xml"/><Relationship Id="rId27" Type="http://schemas.openxmlformats.org/officeDocument/2006/relationships/chart" Target="charts/chart11.xml"/><Relationship Id="rId28" Type="http://schemas.openxmlformats.org/officeDocument/2006/relationships/chart" Target="charts/chart12.xml"/><Relationship Id="rId29" Type="http://schemas.openxmlformats.org/officeDocument/2006/relationships/chart" Target="charts/chart13.xml"/><Relationship Id="rId30" Type="http://schemas.openxmlformats.org/officeDocument/2006/relationships/chart" Target="charts/chart14.xml"/><Relationship Id="rId31" Type="http://schemas.openxmlformats.org/officeDocument/2006/relationships/chart" Target="charts/chart15.xml"/><Relationship Id="rId32" Type="http://schemas.openxmlformats.org/officeDocument/2006/relationships/chart" Target="charts/chart16.xml"/><Relationship Id="rId33" Type="http://schemas.openxmlformats.org/officeDocument/2006/relationships/chart" Target="charts/chart17.xml"/><Relationship Id="rId34" Type="http://schemas.openxmlformats.org/officeDocument/2006/relationships/chart" Target="charts/chart18.xml"/><Relationship Id="rId35" Type="http://schemas.openxmlformats.org/officeDocument/2006/relationships/chart" Target="charts/chart19.xml"/><Relationship Id="rId36" Type="http://schemas.openxmlformats.org/officeDocument/2006/relationships/chart" Target="charts/chart20.xml"/><Relationship Id="rId37" Type="http://schemas.openxmlformats.org/officeDocument/2006/relationships/chart" Target="charts/chart21.xml"/><Relationship Id="rId38" Type="http://schemas.openxmlformats.org/officeDocument/2006/relationships/chart" Target="charts/chart22.xml"/><Relationship Id="rId39" Type="http://schemas.openxmlformats.org/officeDocument/2006/relationships/chart" Target="charts/chart23.xml"/><Relationship Id="rId40" Type="http://schemas.openxmlformats.org/officeDocument/2006/relationships/header" Target="header1.xml"/><Relationship Id="rId41" Type="http://schemas.openxmlformats.org/officeDocument/2006/relationships/header" Target="header2.xml"/><Relationship Id="rId42" Type="http://schemas.openxmlformats.org/officeDocument/2006/relationships/header" Target="header3.xm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oter" Target="footer3.xml"/><Relationship Id="rId46" Type="http://schemas.openxmlformats.org/officeDocument/2006/relationships/numbering" Target="numbering.xml"/><Relationship Id="rId47" Type="http://schemas.openxmlformats.org/officeDocument/2006/relationships/fontTable" Target="fontTable.xml"/><Relationship Id="rId48" Type="http://schemas.openxmlformats.org/officeDocument/2006/relationships/settings" Target="settings.xml"/><Relationship Id="rId49"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1.jpeg"/>
</Relationships>
</file>

<file path=word/_rels/header3.xml.rels><?xml version="1.0" encoding="UTF-8"?>
<Relationships xmlns="http://schemas.openxmlformats.org/package/2006/relationships"><Relationship Id="rId1" Type="http://schemas.openxmlformats.org/officeDocument/2006/relationships/image" Target="media/image1.jpeg"/>
</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Net profit margin</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6.17</c:v>
                </c:pt>
                <c:pt idx="1">
                  <c:v>5.67</c:v>
                </c:pt>
                <c:pt idx="2">
                  <c:v>5.56</c:v>
                </c:pt>
                <c:pt idx="3">
                  <c:v>3.82</c:v>
                </c:pt>
                <c:pt idx="4">
                  <c:v>2.14</c:v>
                </c:pt>
              </c:numCache>
            </c:numRef>
          </c:val>
        </c:ser>
        <c:gapWidth val="100"/>
        <c:overlap val="0"/>
        <c:axId val="93946880"/>
        <c:axId val="76017983"/>
      </c:barChart>
      <c:catAx>
        <c:axId val="9394688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6017983"/>
        <c:crosses val="autoZero"/>
        <c:auto val="1"/>
        <c:lblAlgn val="ctr"/>
        <c:lblOffset val="100"/>
        <c:noMultiLvlLbl val="0"/>
      </c:catAx>
      <c:valAx>
        <c:axId val="76017983"/>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394688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Net income</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15428</c:v>
                </c:pt>
                <c:pt idx="1">
                  <c:v>15836</c:v>
                </c:pt>
                <c:pt idx="2">
                  <c:v>17938</c:v>
                </c:pt>
                <c:pt idx="3">
                  <c:v>12394</c:v>
                </c:pt>
                <c:pt idx="4">
                  <c:v>6904</c:v>
                </c:pt>
              </c:numCache>
            </c:numRef>
          </c:val>
        </c:ser>
        <c:ser>
          <c:idx val="1"/>
          <c:order val="1"/>
          <c:tx>
            <c:strRef>
              <c:f>label 1</c:f>
              <c:strCache>
                <c:ptCount val="1"/>
                <c:pt idx="0">
                  <c:v>Net sales</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250200</c:v>
                </c:pt>
                <c:pt idx="1">
                  <c:v>279232</c:v>
                </c:pt>
                <c:pt idx="2">
                  <c:v>322284</c:v>
                </c:pt>
                <c:pt idx="3">
                  <c:v>324656</c:v>
                </c:pt>
                <c:pt idx="4">
                  <c:v>321913</c:v>
                </c:pt>
              </c:numCache>
            </c:numRef>
          </c:val>
        </c:ser>
        <c:gapWidth val="100"/>
        <c:overlap val="0"/>
        <c:axId val="67164369"/>
        <c:axId val="15981362"/>
      </c:barChart>
      <c:catAx>
        <c:axId val="67164369"/>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981362"/>
        <c:crosses val="autoZero"/>
        <c:auto val="1"/>
        <c:lblAlgn val="ctr"/>
        <c:lblOffset val="100"/>
        <c:noMultiLvlLbl val="0"/>
      </c:catAx>
      <c:valAx>
        <c:axId val="1598136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7164369"/>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Operating progit</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19275</c:v>
                </c:pt>
                <c:pt idx="1">
                  <c:v>22124</c:v>
                </c:pt>
                <c:pt idx="2">
                  <c:v>22576</c:v>
                </c:pt>
                <c:pt idx="3">
                  <c:v>19060</c:v>
                </c:pt>
                <c:pt idx="4">
                  <c:v>8868</c:v>
                </c:pt>
              </c:numCache>
            </c:numRef>
          </c:val>
          <c:smooth val="0"/>
        </c:ser>
        <c:ser>
          <c:idx val="1"/>
          <c:order val="1"/>
          <c:tx>
            <c:strRef>
              <c:f>label 1</c:f>
              <c:strCache>
                <c:ptCount val="1"/>
                <c:pt idx="0">
                  <c:v>Net sales</c:v>
                </c:pt>
              </c:strCache>
            </c:strRef>
          </c:tx>
          <c:spPr>
            <a:solidFill>
              <a:srgbClr val="ff420e"/>
            </a:solidFill>
            <a:ln w="28800">
              <a:solidFill>
                <a:srgbClr val="ff420e"/>
              </a:solidFill>
              <a:round/>
            </a:ln>
          </c:spPr>
          <c:marker>
            <c:symbol val="diamond"/>
            <c:size val="8"/>
            <c:spPr>
              <a:solidFill>
                <a:srgbClr val="ff420e"/>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250200</c:v>
                </c:pt>
                <c:pt idx="1">
                  <c:v>279232</c:v>
                </c:pt>
                <c:pt idx="2">
                  <c:v>322284</c:v>
                </c:pt>
                <c:pt idx="3">
                  <c:v>324656</c:v>
                </c:pt>
                <c:pt idx="4">
                  <c:v>321913</c:v>
                </c:pt>
              </c:numCache>
            </c:numRef>
          </c:val>
          <c:smooth val="0"/>
        </c:ser>
        <c:hiLowLines>
          <c:spPr>
            <a:ln w="0">
              <a:noFill/>
            </a:ln>
          </c:spPr>
        </c:hiLowLines>
        <c:marker val="1"/>
        <c:axId val="54320254"/>
        <c:axId val="42379304"/>
      </c:lineChart>
      <c:catAx>
        <c:axId val="54320254"/>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42379304"/>
        <c:crosses val="autoZero"/>
        <c:auto val="1"/>
        <c:lblAlgn val="ctr"/>
        <c:lblOffset val="100"/>
        <c:noMultiLvlLbl val="0"/>
      </c:catAx>
      <c:valAx>
        <c:axId val="42379304"/>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4320254"/>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profit margin</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7.7</c:v>
                </c:pt>
                <c:pt idx="1">
                  <c:v>7.92</c:v>
                </c:pt>
                <c:pt idx="2">
                  <c:v>7</c:v>
                </c:pt>
                <c:pt idx="3">
                  <c:v>5.87</c:v>
                </c:pt>
                <c:pt idx="4">
                  <c:v>2.75</c:v>
                </c:pt>
              </c:numCache>
            </c:numRef>
          </c:val>
        </c:ser>
        <c:gapWidth val="100"/>
        <c:overlap val="0"/>
        <c:axId val="93313514"/>
        <c:axId val="23827302"/>
      </c:barChart>
      <c:catAx>
        <c:axId val="93313514"/>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3827302"/>
        <c:crosses val="autoZero"/>
        <c:auto val="1"/>
        <c:lblAlgn val="ctr"/>
        <c:lblOffset val="100"/>
        <c:noMultiLvlLbl val="0"/>
      </c:catAx>
      <c:valAx>
        <c:axId val="2382730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3313514"/>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Net income</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15428</c:v>
                </c:pt>
                <c:pt idx="1">
                  <c:v>15836</c:v>
                </c:pt>
                <c:pt idx="2">
                  <c:v>17928</c:v>
                </c:pt>
                <c:pt idx="3">
                  <c:v>12394</c:v>
                </c:pt>
                <c:pt idx="4">
                  <c:v>6904</c:v>
                </c:pt>
              </c:numCache>
            </c:numRef>
          </c:val>
          <c:smooth val="0"/>
        </c:ser>
        <c:ser>
          <c:idx val="1"/>
          <c:order val="1"/>
          <c:tx>
            <c:strRef>
              <c:f>label 1</c:f>
              <c:strCache>
                <c:ptCount val="1"/>
                <c:pt idx="0">
                  <c:v>Shareholder`s Equity</c:v>
                </c:pt>
              </c:strCache>
            </c:strRef>
          </c:tx>
          <c:spPr>
            <a:solidFill>
              <a:srgbClr val="ff420e"/>
            </a:solidFill>
            <a:ln w="28800">
              <a:solidFill>
                <a:srgbClr val="ff420e"/>
              </a:solidFill>
              <a:round/>
            </a:ln>
          </c:spPr>
          <c:marker>
            <c:symbol val="diamond"/>
            <c:size val="8"/>
            <c:spPr>
              <a:solidFill>
                <a:srgbClr val="ff420e"/>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146154</c:v>
                </c:pt>
                <c:pt idx="1">
                  <c:v>178328</c:v>
                </c:pt>
                <c:pt idx="2">
                  <c:v>189186</c:v>
                </c:pt>
                <c:pt idx="3">
                  <c:v>196731</c:v>
                </c:pt>
                <c:pt idx="4">
                  <c:v>202400</c:v>
                </c:pt>
              </c:numCache>
            </c:numRef>
          </c:val>
          <c:smooth val="0"/>
        </c:ser>
        <c:hiLowLines>
          <c:spPr>
            <a:ln w="0">
              <a:noFill/>
            </a:ln>
          </c:spPr>
        </c:hiLowLines>
        <c:marker val="1"/>
        <c:axId val="31598591"/>
        <c:axId val="1552359"/>
      </c:lineChart>
      <c:catAx>
        <c:axId val="3159859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52359"/>
        <c:crosses val="autoZero"/>
        <c:auto val="1"/>
        <c:lblAlgn val="ctr"/>
        <c:lblOffset val="100"/>
        <c:noMultiLvlLbl val="0"/>
      </c:catAx>
      <c:valAx>
        <c:axId val="1552359"/>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31598591"/>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Net income</c:v>
                </c:pt>
              </c:strCache>
            </c:strRef>
          </c:tx>
          <c:spPr>
            <a:solidFill>
              <a:srgbClr val="004586"/>
            </a:solidFill>
            <a:ln w="28800">
              <a:solidFill>
                <a:srgbClr val="004586"/>
              </a:solidFill>
              <a:round/>
            </a:ln>
          </c:spPr>
          <c:marker>
            <c:symbol val="square"/>
            <c:size val="8"/>
            <c:spPr>
              <a:solidFill>
                <a:srgbClr val="004586"/>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10.56</c:v>
                </c:pt>
                <c:pt idx="1">
                  <c:v>8.88</c:v>
                </c:pt>
                <c:pt idx="2">
                  <c:v>9.48</c:v>
                </c:pt>
                <c:pt idx="3">
                  <c:v>6.3</c:v>
                </c:pt>
                <c:pt idx="4">
                  <c:v>3.41</c:v>
                </c:pt>
              </c:numCache>
            </c:numRef>
          </c:val>
          <c:smooth val="0"/>
        </c:ser>
        <c:hiLowLines>
          <c:spPr>
            <a:ln w="0">
              <a:noFill/>
            </a:ln>
          </c:spPr>
        </c:hiLowLines>
        <c:marker val="1"/>
        <c:axId val="2554200"/>
        <c:axId val="84433185"/>
      </c:lineChart>
      <c:catAx>
        <c:axId val="255420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4433185"/>
        <c:crosses val="autoZero"/>
        <c:auto val="1"/>
        <c:lblAlgn val="ctr"/>
        <c:lblOffset val="100"/>
        <c:noMultiLvlLbl val="0"/>
      </c:catAx>
      <c:valAx>
        <c:axId val="8443318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554200"/>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Cost of sales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438424</c:v>
                </c:pt>
                <c:pt idx="1">
                  <c:v>428586</c:v>
                </c:pt>
                <c:pt idx="2">
                  <c:v>390459</c:v>
                </c:pt>
                <c:pt idx="3">
                  <c:v>322897</c:v>
                </c:pt>
                <c:pt idx="4">
                  <c:v>280885</c:v>
                </c:pt>
              </c:numCache>
            </c:numRef>
          </c:val>
        </c:ser>
        <c:ser>
          <c:idx val="1"/>
          <c:order val="1"/>
          <c:tx>
            <c:strRef>
              <c:f>label 1</c:f>
              <c:strCache>
                <c:ptCount val="1"/>
                <c:pt idx="0">
                  <c:v>Inventory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120430</c:v>
                </c:pt>
                <c:pt idx="1">
                  <c:v>134469</c:v>
                </c:pt>
                <c:pt idx="2">
                  <c:v>140181</c:v>
                </c:pt>
                <c:pt idx="3">
                  <c:v>88273</c:v>
                </c:pt>
                <c:pt idx="4">
                  <c:v>79355</c:v>
                </c:pt>
              </c:numCache>
            </c:numRef>
          </c:val>
        </c:ser>
        <c:gapWidth val="100"/>
        <c:overlap val="0"/>
        <c:axId val="76794341"/>
        <c:axId val="86748750"/>
      </c:barChart>
      <c:catAx>
        <c:axId val="7679434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6748750"/>
        <c:crosses val="autoZero"/>
        <c:auto val="1"/>
        <c:lblAlgn val="ctr"/>
        <c:lblOffset val="100"/>
        <c:noMultiLvlLbl val="0"/>
      </c:catAx>
      <c:valAx>
        <c:axId val="86748750"/>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6794341"/>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lineChart>
        <c:grouping val="standard"/>
        <c:varyColors val="0"/>
        <c:ser>
          <c:idx val="0"/>
          <c:order val="0"/>
          <c:tx>
            <c:strRef>
              <c:f>label 0</c:f>
              <c:strCache>
                <c:ptCount val="1"/>
                <c:pt idx="0">
                  <c:v>Current ratio</c:v>
                </c:pt>
              </c:strCache>
            </c:strRef>
          </c:tx>
          <c:spPr>
            <a:solidFill>
              <a:srgbClr val="ff420e"/>
            </a:solidFill>
            <a:ln w="28800">
              <a:solidFill>
                <a:srgbClr val="ff420e"/>
              </a:solidFill>
              <a:round/>
            </a:ln>
          </c:spPr>
          <c:marker>
            <c:symbol val="square"/>
            <c:size val="8"/>
            <c:spPr>
              <a:solidFill>
                <a:srgbClr val="ff420e"/>
              </a:solidFill>
            </c:spPr>
          </c:marker>
          <c:dLbls>
            <c:txPr>
              <a:bodyPr wrap="none"/>
              <a:lstStyle/>
              <a:p>
                <a:pPr>
                  <a:defRPr sz="1000" b="0" u="none" strike="noStrike">
                    <a:solidFill>
                      <a:srgbClr val="000000"/>
                    </a:solidFill>
                    <a:uFillTx/>
                    <a:latin typeface="Arial"/>
                  </a:defRPr>
                </a:pPr>
              </a:p>
            </c:txPr>
            <c:dLblPos val="r"/>
            <c:showLegendKey val="0"/>
            <c:showVal val="0"/>
            <c:showCatName val="0"/>
            <c:showSerName val="0"/>
            <c:showPercent val="0"/>
            <c:separator> </c:separator>
            <c:showLeaderLines val="1"/>
            <c:leaderLines>
              <c:spPr>
                <a:ln w="2880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1.17</c:v>
                </c:pt>
                <c:pt idx="1">
                  <c:v>1.15</c:v>
                </c:pt>
                <c:pt idx="2">
                  <c:v>1.15</c:v>
                </c:pt>
                <c:pt idx="3">
                  <c:v>1.15</c:v>
                </c:pt>
                <c:pt idx="4">
                  <c:v>1.15</c:v>
                </c:pt>
              </c:numCache>
            </c:numRef>
          </c:val>
          <c:smooth val="0"/>
        </c:ser>
        <c:hiLowLines>
          <c:spPr>
            <a:ln w="0">
              <a:noFill/>
            </a:ln>
          </c:spPr>
        </c:hiLowLines>
        <c:marker val="1"/>
        <c:axId val="60574451"/>
        <c:axId val="31355575"/>
      </c:lineChart>
      <c:catAx>
        <c:axId val="6057445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31355575"/>
        <c:crosses val="autoZero"/>
        <c:auto val="1"/>
        <c:lblAlgn val="ctr"/>
        <c:lblOffset val="100"/>
        <c:noMultiLvlLbl val="0"/>
      </c:catAx>
      <c:valAx>
        <c:axId val="3135557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0574451"/>
        <c:crosses val="autoZero"/>
        <c:crossBetween val="midCat"/>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Current asset</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326843</c:v>
                </c:pt>
                <c:pt idx="1">
                  <c:v>337146</c:v>
                </c:pt>
                <c:pt idx="2">
                  <c:v>338040</c:v>
                </c:pt>
                <c:pt idx="3">
                  <c:v>258851</c:v>
                </c:pt>
                <c:pt idx="4">
                  <c:v>242100</c:v>
                </c:pt>
              </c:numCache>
            </c:numRef>
          </c:val>
        </c:ser>
        <c:ser>
          <c:idx val="1"/>
          <c:order val="1"/>
          <c:tx>
            <c:strRef>
              <c:f>label 1</c:f>
              <c:strCache>
                <c:ptCount val="1"/>
                <c:pt idx="0">
                  <c:v>Current liability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179510</c:v>
                </c:pt>
                <c:pt idx="1">
                  <c:v>216787</c:v>
                </c:pt>
                <c:pt idx="2">
                  <c:v>216473</c:v>
                </c:pt>
                <c:pt idx="3">
                  <c:v>161148</c:v>
                </c:pt>
                <c:pt idx="4">
                  <c:v>210500</c:v>
                </c:pt>
              </c:numCache>
            </c:numRef>
          </c:val>
        </c:ser>
        <c:ser>
          <c:idx val="2"/>
          <c:order val="2"/>
          <c:tx>
            <c:strRef>
              <c:f>label 2</c:f>
              <c:strCache>
                <c:ptCount val="1"/>
                <c:pt idx="0">
                  <c:v>Inventory</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2</c:f>
              <c:numCache>
                <c:formatCode>General</c:formatCode>
                <c:ptCount val="5"/>
                <c:pt idx="0">
                  <c:v>120430</c:v>
                </c:pt>
                <c:pt idx="1">
                  <c:v>134469</c:v>
                </c:pt>
                <c:pt idx="2">
                  <c:v>140181</c:v>
                </c:pt>
                <c:pt idx="3">
                  <c:v>88273</c:v>
                </c:pt>
                <c:pt idx="4">
                  <c:v>61000</c:v>
                </c:pt>
              </c:numCache>
            </c:numRef>
          </c:val>
        </c:ser>
        <c:gapWidth val="100"/>
        <c:overlap val="0"/>
        <c:axId val="52063954"/>
        <c:axId val="88465330"/>
      </c:barChart>
      <c:catAx>
        <c:axId val="52063954"/>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8465330"/>
        <c:crosses val="autoZero"/>
        <c:auto val="1"/>
        <c:lblAlgn val="ctr"/>
        <c:lblOffset val="100"/>
        <c:noMultiLvlLbl val="0"/>
      </c:catAx>
      <c:valAx>
        <c:axId val="88465330"/>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2063954"/>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Quick ratio</c:v>
                </c:pt>
              </c:strCache>
            </c:strRef>
          </c:tx>
          <c:spPr>
            <a:solidFill>
              <a:srgbClr val="579d1c"/>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1.15</c:v>
                </c:pt>
                <c:pt idx="1">
                  <c:v>0.93</c:v>
                </c:pt>
                <c:pt idx="2">
                  <c:v>0.91</c:v>
                </c:pt>
                <c:pt idx="3">
                  <c:v>1.06</c:v>
                </c:pt>
                <c:pt idx="4">
                  <c:v>0.86</c:v>
                </c:pt>
              </c:numCache>
            </c:numRef>
          </c:val>
        </c:ser>
        <c:gapWidth val="100"/>
        <c:overlap val="0"/>
        <c:axId val="54370186"/>
        <c:axId val="65451919"/>
      </c:barChart>
      <c:catAx>
        <c:axId val="54370186"/>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5451919"/>
        <c:crosses val="autoZero"/>
        <c:auto val="1"/>
        <c:lblAlgn val="ctr"/>
        <c:lblOffset val="100"/>
        <c:noMultiLvlLbl val="0"/>
      </c:catAx>
      <c:valAx>
        <c:axId val="65451919"/>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4370186"/>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Cost of sales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2024</c:v>
                </c:pt>
              </c:strCache>
            </c:strRef>
          </c:cat>
          <c:val>
            <c:numRef>
              <c:f>0</c:f>
              <c:numCache>
                <c:formatCode>General</c:formatCode>
                <c:ptCount val="5"/>
                <c:pt idx="0">
                  <c:v>202959</c:v>
                </c:pt>
                <c:pt idx="1">
                  <c:v>226866</c:v>
                </c:pt>
                <c:pt idx="2">
                  <c:v>261299</c:v>
                </c:pt>
                <c:pt idx="3">
                  <c:v>265184</c:v>
                </c:pt>
                <c:pt idx="4">
                  <c:v>280885</c:v>
                </c:pt>
              </c:numCache>
            </c:numRef>
          </c:val>
        </c:ser>
        <c:ser>
          <c:idx val="1"/>
          <c:order val="1"/>
          <c:tx>
            <c:strRef>
              <c:f>label 1</c:f>
              <c:strCache>
                <c:ptCount val="1"/>
                <c:pt idx="0">
                  <c:v>Inventory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2024</c:v>
                </c:pt>
              </c:strCache>
            </c:strRef>
          </c:cat>
          <c:val>
            <c:numRef>
              <c:f>1</c:f>
              <c:numCache>
                <c:formatCode>General</c:formatCode>
                <c:ptCount val="5"/>
                <c:pt idx="0">
                  <c:v>44200</c:v>
                </c:pt>
                <c:pt idx="1">
                  <c:v>51300</c:v>
                </c:pt>
                <c:pt idx="2">
                  <c:v>55400</c:v>
                </c:pt>
                <c:pt idx="3">
                  <c:v>58100</c:v>
                </c:pt>
                <c:pt idx="4">
                  <c:v>61000</c:v>
                </c:pt>
              </c:numCache>
            </c:numRef>
          </c:val>
        </c:ser>
        <c:gapWidth val="100"/>
        <c:overlap val="0"/>
        <c:axId val="76659951"/>
        <c:axId val="51614925"/>
      </c:barChart>
      <c:catAx>
        <c:axId val="7665995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1614925"/>
        <c:crosses val="autoZero"/>
        <c:auto val="1"/>
        <c:lblAlgn val="ctr"/>
        <c:lblOffset val="100"/>
        <c:noMultiLvlLbl val="0"/>
      </c:catAx>
      <c:valAx>
        <c:axId val="5161492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6659951"/>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Inventory turnover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2024</c:v>
                </c:pt>
              </c:strCache>
            </c:strRef>
          </c:cat>
          <c:val>
            <c:numRef>
              <c:f>0</c:f>
              <c:numCache>
                <c:formatCode>General</c:formatCode>
                <c:ptCount val="5"/>
                <c:pt idx="0">
                  <c:v>4.59</c:v>
                </c:pt>
                <c:pt idx="1">
                  <c:v>4.42</c:v>
                </c:pt>
                <c:pt idx="2">
                  <c:v>4.72</c:v>
                </c:pt>
                <c:pt idx="3">
                  <c:v>4.56</c:v>
                </c:pt>
                <c:pt idx="4">
                  <c:v>4.44</c:v>
                </c:pt>
              </c:numCache>
            </c:numRef>
          </c:val>
        </c:ser>
        <c:gapWidth val="100"/>
        <c:overlap val="0"/>
        <c:axId val="82858293"/>
        <c:axId val="80468563"/>
      </c:barChart>
      <c:catAx>
        <c:axId val="82858293"/>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0468563"/>
        <c:crosses val="autoZero"/>
        <c:auto val="1"/>
        <c:lblAlgn val="ctr"/>
        <c:lblOffset val="100"/>
        <c:noMultiLvlLbl val="0"/>
      </c:catAx>
      <c:valAx>
        <c:axId val="80468563"/>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2858293"/>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Total Liabilities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382455</c:v>
                </c:pt>
                <c:pt idx="1">
                  <c:v>385685</c:v>
                </c:pt>
                <c:pt idx="2">
                  <c:v>411463</c:v>
                </c:pt>
                <c:pt idx="3">
                  <c:v>436174</c:v>
                </c:pt>
                <c:pt idx="4">
                  <c:v>448500</c:v>
                </c:pt>
              </c:numCache>
            </c:numRef>
          </c:val>
        </c:ser>
        <c:ser>
          <c:idx val="1"/>
          <c:order val="1"/>
          <c:tx>
            <c:strRef>
              <c:f>label 1</c:f>
              <c:strCache>
                <c:ptCount val="1"/>
                <c:pt idx="0">
                  <c:v>Shareholders Equity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146154</c:v>
                </c:pt>
                <c:pt idx="1">
                  <c:v>178328</c:v>
                </c:pt>
                <c:pt idx="2">
                  <c:v>189186</c:v>
                </c:pt>
                <c:pt idx="3">
                  <c:v>196731</c:v>
                </c:pt>
                <c:pt idx="4">
                  <c:v>202400</c:v>
                </c:pt>
              </c:numCache>
            </c:numRef>
          </c:val>
        </c:ser>
        <c:gapWidth val="100"/>
        <c:overlap val="0"/>
        <c:axId val="59821461"/>
        <c:axId val="63756817"/>
      </c:barChart>
      <c:catAx>
        <c:axId val="59821461"/>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3756817"/>
        <c:crosses val="autoZero"/>
        <c:auto val="1"/>
        <c:lblAlgn val="ctr"/>
        <c:lblOffset val="100"/>
        <c:noMultiLvlLbl val="0"/>
      </c:catAx>
      <c:valAx>
        <c:axId val="63756817"/>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9821461"/>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Debt to equity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2.62</c:v>
                </c:pt>
                <c:pt idx="1">
                  <c:v>2.16</c:v>
                </c:pt>
                <c:pt idx="2">
                  <c:v>2.17</c:v>
                </c:pt>
                <c:pt idx="3">
                  <c:v>2.22</c:v>
                </c:pt>
                <c:pt idx="4">
                  <c:v>2.22</c:v>
                </c:pt>
              </c:numCache>
            </c:numRef>
          </c:val>
        </c:ser>
        <c:gapWidth val="100"/>
        <c:overlap val="0"/>
        <c:axId val="10136587"/>
        <c:axId val="23523644"/>
      </c:barChart>
      <c:catAx>
        <c:axId val="10136587"/>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3523644"/>
        <c:crosses val="autoZero"/>
        <c:auto val="1"/>
        <c:lblAlgn val="ctr"/>
        <c:lblOffset val="100"/>
        <c:noMultiLvlLbl val="0"/>
      </c:catAx>
      <c:valAx>
        <c:axId val="23523644"/>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0136587"/>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Total Liabilities</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382455</c:v>
                </c:pt>
                <c:pt idx="1">
                  <c:v>385685</c:v>
                </c:pt>
                <c:pt idx="2">
                  <c:v>411463</c:v>
                </c:pt>
                <c:pt idx="3">
                  <c:v>436174</c:v>
                </c:pt>
                <c:pt idx="4">
                  <c:v>448500</c:v>
                </c:pt>
              </c:numCache>
            </c:numRef>
          </c:val>
        </c:ser>
        <c:ser>
          <c:idx val="1"/>
          <c:order val="1"/>
          <c:tx>
            <c:strRef>
              <c:f>label 1</c:f>
              <c:strCache>
                <c:ptCount val="1"/>
                <c:pt idx="0">
                  <c:v>Shareholders Equity</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146154</c:v>
                </c:pt>
                <c:pt idx="1">
                  <c:v>178328</c:v>
                </c:pt>
                <c:pt idx="2">
                  <c:v>189186</c:v>
                </c:pt>
                <c:pt idx="3">
                  <c:v>196731</c:v>
                </c:pt>
                <c:pt idx="4">
                  <c:v>202400</c:v>
                </c:pt>
              </c:numCache>
            </c:numRef>
          </c:val>
        </c:ser>
        <c:gapWidth val="100"/>
        <c:overlap val="0"/>
        <c:axId val="39968298"/>
        <c:axId val="99335965"/>
      </c:barChart>
      <c:catAx>
        <c:axId val="39968298"/>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9335965"/>
        <c:crosses val="autoZero"/>
        <c:auto val="1"/>
        <c:lblAlgn val="ctr"/>
        <c:lblOffset val="100"/>
        <c:noMultiLvlLbl val="0"/>
      </c:catAx>
      <c:valAx>
        <c:axId val="99335965"/>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39968298"/>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Debt to equity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2.62</c:v>
                </c:pt>
                <c:pt idx="1">
                  <c:v>2.16</c:v>
                </c:pt>
                <c:pt idx="2">
                  <c:v>2.17</c:v>
                </c:pt>
                <c:pt idx="3">
                  <c:v>2.22</c:v>
                </c:pt>
                <c:pt idx="4">
                  <c:v>2.22</c:v>
                </c:pt>
              </c:numCache>
            </c:numRef>
          </c:val>
        </c:ser>
        <c:gapWidth val="100"/>
        <c:overlap val="0"/>
        <c:axId val="15662882"/>
        <c:axId val="23156922"/>
      </c:barChart>
      <c:catAx>
        <c:axId val="15662882"/>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3156922"/>
        <c:crosses val="autoZero"/>
        <c:auto val="1"/>
        <c:lblAlgn val="ctr"/>
        <c:lblOffset val="100"/>
        <c:noMultiLvlLbl val="0"/>
      </c:catAx>
      <c:valAx>
        <c:axId val="2315692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662882"/>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income</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19275</c:v>
                </c:pt>
                <c:pt idx="1">
                  <c:v>22124</c:v>
                </c:pt>
                <c:pt idx="2">
                  <c:v>22576</c:v>
                </c:pt>
                <c:pt idx="3">
                  <c:v>19060</c:v>
                </c:pt>
                <c:pt idx="4">
                  <c:v>8869</c:v>
                </c:pt>
              </c:numCache>
            </c:numRef>
          </c:val>
        </c:ser>
        <c:ser>
          <c:idx val="1"/>
          <c:order val="1"/>
          <c:tx>
            <c:strRef>
              <c:f>label 1</c:f>
              <c:strCache>
                <c:ptCount val="1"/>
                <c:pt idx="0">
                  <c:v>Interest expense</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1304</c:v>
                </c:pt>
                <c:pt idx="1">
                  <c:v>1842</c:v>
                </c:pt>
                <c:pt idx="2">
                  <c:v>3640</c:v>
                </c:pt>
                <c:pt idx="3">
                  <c:v>3446</c:v>
                </c:pt>
                <c:pt idx="4">
                  <c:v>3245</c:v>
                </c:pt>
              </c:numCache>
            </c:numRef>
          </c:val>
        </c:ser>
        <c:gapWidth val="100"/>
        <c:overlap val="0"/>
        <c:axId val="56313342"/>
        <c:axId val="64251208"/>
      </c:barChart>
      <c:catAx>
        <c:axId val="56313342"/>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4251208"/>
        <c:crosses val="autoZero"/>
        <c:auto val="1"/>
        <c:lblAlgn val="ctr"/>
        <c:lblOffset val="100"/>
        <c:noMultiLvlLbl val="0"/>
      </c:catAx>
      <c:valAx>
        <c:axId val="64251208"/>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6313342"/>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Interest coverage ratio</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14.78</c:v>
                </c:pt>
                <c:pt idx="1">
                  <c:v>12.01</c:v>
                </c:pt>
                <c:pt idx="2">
                  <c:v>6.2</c:v>
                </c:pt>
                <c:pt idx="3">
                  <c:v>5.53</c:v>
                </c:pt>
                <c:pt idx="4">
                  <c:v>2.73</c:v>
                </c:pt>
              </c:numCache>
            </c:numRef>
          </c:val>
        </c:ser>
        <c:gapWidth val="100"/>
        <c:overlap val="0"/>
        <c:axId val="15977156"/>
        <c:axId val="2405698"/>
      </c:barChart>
      <c:catAx>
        <c:axId val="15977156"/>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405698"/>
        <c:crosses val="autoZero"/>
        <c:auto val="1"/>
        <c:lblAlgn val="ctr"/>
        <c:lblOffset val="100"/>
        <c:noMultiLvlLbl val="0"/>
      </c:catAx>
      <c:valAx>
        <c:axId val="2405698"/>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15977156"/>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Earnings Per Share</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29.59</c:v>
                </c:pt>
                <c:pt idx="1">
                  <c:v>30.01</c:v>
                </c:pt>
                <c:pt idx="2">
                  <c:v>31.79</c:v>
                </c:pt>
                <c:pt idx="3">
                  <c:v>21.36</c:v>
                </c:pt>
                <c:pt idx="4">
                  <c:v>11.5</c:v>
                </c:pt>
              </c:numCache>
            </c:numRef>
          </c:val>
        </c:ser>
        <c:gapWidth val="100"/>
        <c:overlap val="0"/>
        <c:axId val="20992460"/>
        <c:axId val="50073562"/>
      </c:barChart>
      <c:catAx>
        <c:axId val="20992460"/>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0073562"/>
        <c:crosses val="autoZero"/>
        <c:auto val="1"/>
        <c:lblAlgn val="ctr"/>
        <c:lblOffset val="100"/>
        <c:noMultiLvlLbl val="0"/>
      </c:catAx>
      <c:valAx>
        <c:axId val="5007356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20992460"/>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Cash flow</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32402</c:v>
                </c:pt>
                <c:pt idx="1">
                  <c:v>29865</c:v>
                </c:pt>
                <c:pt idx="2">
                  <c:v>37851</c:v>
                </c:pt>
                <c:pt idx="3">
                  <c:v>34263</c:v>
                </c:pt>
                <c:pt idx="4">
                  <c:v>31406</c:v>
                </c:pt>
              </c:numCache>
            </c:numRef>
          </c:val>
        </c:ser>
        <c:ser>
          <c:idx val="1"/>
          <c:order val="1"/>
          <c:tx>
            <c:strRef>
              <c:f>label 1</c:f>
              <c:strCache>
                <c:ptCount val="1"/>
                <c:pt idx="0">
                  <c:v>Net sales</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250200</c:v>
                </c:pt>
                <c:pt idx="1">
                  <c:v>279232</c:v>
                </c:pt>
                <c:pt idx="2">
                  <c:v>322284</c:v>
                </c:pt>
                <c:pt idx="3">
                  <c:v>324656</c:v>
                </c:pt>
                <c:pt idx="4">
                  <c:v>321913</c:v>
                </c:pt>
              </c:numCache>
            </c:numRef>
          </c:val>
        </c:ser>
        <c:gapWidth val="100"/>
        <c:overlap val="0"/>
        <c:axId val="98864264"/>
        <c:axId val="89767313"/>
      </c:barChart>
      <c:catAx>
        <c:axId val="98864264"/>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89767313"/>
        <c:crosses val="autoZero"/>
        <c:auto val="1"/>
        <c:lblAlgn val="ctr"/>
        <c:lblOffset val="100"/>
        <c:noMultiLvlLbl val="0"/>
      </c:catAx>
      <c:valAx>
        <c:axId val="89767313"/>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98864264"/>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cash Flow Margin</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12.95</c:v>
                </c:pt>
                <c:pt idx="1">
                  <c:v>10.7</c:v>
                </c:pt>
                <c:pt idx="2">
                  <c:v>11.74</c:v>
                </c:pt>
                <c:pt idx="3">
                  <c:v>10.55</c:v>
                </c:pt>
                <c:pt idx="4">
                  <c:v>9.76</c:v>
                </c:pt>
              </c:numCache>
            </c:numRef>
          </c:val>
        </c:ser>
        <c:gapWidth val="100"/>
        <c:overlap val="0"/>
        <c:axId val="66930859"/>
        <c:axId val="71818880"/>
      </c:barChart>
      <c:catAx>
        <c:axId val="66930859"/>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1818880"/>
        <c:crosses val="autoZero"/>
        <c:auto val="1"/>
        <c:lblAlgn val="ctr"/>
        <c:lblOffset val="100"/>
        <c:noMultiLvlLbl val="0"/>
      </c:catAx>
      <c:valAx>
        <c:axId val="71818880"/>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66930859"/>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Operating Cash Flow</c:v>
                </c:pt>
              </c:strCache>
            </c:strRef>
          </c:tx>
          <c:spPr>
            <a:solidFill>
              <a:srgbClr val="004586"/>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32402</c:v>
                </c:pt>
                <c:pt idx="1">
                  <c:v>29865</c:v>
                </c:pt>
                <c:pt idx="2">
                  <c:v>37851</c:v>
                </c:pt>
                <c:pt idx="3">
                  <c:v>34263</c:v>
                </c:pt>
                <c:pt idx="4">
                  <c:v>31406</c:v>
                </c:pt>
              </c:numCache>
            </c:numRef>
          </c:val>
        </c:ser>
        <c:ser>
          <c:idx val="1"/>
          <c:order val="1"/>
          <c:tx>
            <c:strRef>
              <c:f>label 1</c:f>
              <c:strCache>
                <c:ptCount val="1"/>
                <c:pt idx="0">
                  <c:v>Capital expenditure</c:v>
                </c:pt>
              </c:strCache>
            </c:strRef>
          </c:tx>
          <c:spPr>
            <a:solidFill>
              <a:srgbClr val="ff420e"/>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1</c:f>
              <c:numCache>
                <c:formatCode>General</c:formatCode>
                <c:ptCount val="5"/>
                <c:pt idx="0">
                  <c:v>10496</c:v>
                </c:pt>
                <c:pt idx="1">
                  <c:v>12731</c:v>
                </c:pt>
                <c:pt idx="2">
                  <c:v>14371</c:v>
                </c:pt>
                <c:pt idx="3">
                  <c:v>21300</c:v>
                </c:pt>
                <c:pt idx="4">
                  <c:v>19500</c:v>
                </c:pt>
              </c:numCache>
            </c:numRef>
          </c:val>
        </c:ser>
        <c:ser>
          <c:idx val="2"/>
          <c:order val="2"/>
          <c:tx>
            <c:strRef>
              <c:f>label 2</c:f>
              <c:strCache>
                <c:ptCount val="1"/>
                <c:pt idx="0">
                  <c:v>Net sales</c:v>
                </c:pt>
              </c:strCache>
            </c:strRef>
          </c:tx>
          <c:spPr>
            <a:solidFill>
              <a:srgbClr val="ffd320"/>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2</c:f>
              <c:numCache>
                <c:formatCode>General</c:formatCode>
                <c:ptCount val="5"/>
                <c:pt idx="0">
                  <c:v>250200</c:v>
                </c:pt>
                <c:pt idx="1">
                  <c:v>279232</c:v>
                </c:pt>
                <c:pt idx="2">
                  <c:v>322284</c:v>
                </c:pt>
                <c:pt idx="3">
                  <c:v>324656</c:v>
                </c:pt>
                <c:pt idx="4">
                  <c:v>321913</c:v>
                </c:pt>
              </c:numCache>
            </c:numRef>
          </c:val>
        </c:ser>
        <c:gapWidth val="100"/>
        <c:overlap val="0"/>
        <c:axId val="55616472"/>
        <c:axId val="54606648"/>
      </c:barChart>
      <c:catAx>
        <c:axId val="55616472"/>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4606648"/>
        <c:crosses val="autoZero"/>
        <c:auto val="1"/>
        <c:lblAlgn val="ctr"/>
        <c:lblOffset val="100"/>
        <c:noMultiLvlLbl val="0"/>
      </c:catAx>
      <c:valAx>
        <c:axId val="54606648"/>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55616472"/>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US"/>
  <c:roundedCorners val="0"/>
  <c:chart>
    <c:autoTitleDeleted val="1"/>
    <c:plotArea>
      <c:barChart>
        <c:barDir val="col"/>
        <c:grouping val="clustered"/>
        <c:varyColors val="0"/>
        <c:ser>
          <c:idx val="0"/>
          <c:order val="0"/>
          <c:tx>
            <c:strRef>
              <c:f>label 0</c:f>
              <c:strCache>
                <c:ptCount val="1"/>
                <c:pt idx="0">
                  <c:v>Free Cash Flow Margin</c:v>
                </c:pt>
              </c:strCache>
            </c:strRef>
          </c:tx>
          <c:spPr>
            <a:solidFill>
              <a:srgbClr val="579d1c"/>
            </a:solidFill>
            <a:ln w="0">
              <a:noFill/>
            </a:ln>
          </c:spPr>
          <c:invertIfNegative val="0"/>
          <c:dLbls>
            <c:txPr>
              <a:bodyPr wrap="none"/>
              <a:lstStyle/>
              <a:p>
                <a:pPr>
                  <a:defRPr sz="1000" b="0" u="none" strike="noStrike">
                    <a:solidFill>
                      <a:srgbClr val="000000"/>
                    </a:solidFill>
                    <a:uFillTx/>
                    <a:latin typeface="Arial"/>
                  </a:defRPr>
                </a:pPr>
              </a:p>
            </c:txPr>
            <c:dLblPos val="outEnd"/>
            <c:showLegendKey val="0"/>
            <c:showVal val="0"/>
            <c:showCatName val="0"/>
            <c:showSerName val="0"/>
            <c:showPercent val="0"/>
            <c:separator> </c:separator>
            <c:showLeaderLines val="1"/>
            <c:leaderLines>
              <c:spPr>
                <a:ln w="0">
                  <a:solidFill>
                    <a:srgbClr val="000000"/>
                  </a:solidFill>
                </a:ln>
              </c:spPr>
            </c:leaderLines>
            <c:extLst>
              <c:ext xmlns:c15="http://schemas.microsoft.com/office/drawing/2012/chart" uri="{CE6537A1-D6FC-4f65-9D91-7224C49458BB}">
                <c15:showLeaderLines val="1"/>
              </c:ext>
            </c:extLst>
          </c:dLbls>
          <c:cat>
            <c:strRef>
              <c:f>categories</c:f>
              <c:strCache>
                <c:ptCount val="5"/>
                <c:pt idx="0">
                  <c:v>2021</c:v>
                </c:pt>
                <c:pt idx="1">
                  <c:v>2022</c:v>
                </c:pt>
                <c:pt idx="2">
                  <c:v>2023</c:v>
                </c:pt>
                <c:pt idx="3">
                  <c:v>2024</c:v>
                </c:pt>
                <c:pt idx="4">
                  <c:v>2025</c:v>
                </c:pt>
              </c:strCache>
            </c:strRef>
          </c:cat>
          <c:val>
            <c:numRef>
              <c:f>0</c:f>
              <c:numCache>
                <c:formatCode>General</c:formatCode>
                <c:ptCount val="5"/>
                <c:pt idx="0">
                  <c:v>8.76</c:v>
                </c:pt>
                <c:pt idx="1">
                  <c:v>6.14</c:v>
                </c:pt>
                <c:pt idx="2">
                  <c:v>7.29</c:v>
                </c:pt>
                <c:pt idx="3">
                  <c:v>3.99</c:v>
                </c:pt>
                <c:pt idx="4">
                  <c:v>3.7</c:v>
                </c:pt>
              </c:numCache>
            </c:numRef>
          </c:val>
        </c:ser>
        <c:gapWidth val="100"/>
        <c:overlap val="0"/>
        <c:axId val="79090735"/>
        <c:axId val="41182032"/>
      </c:barChart>
      <c:catAx>
        <c:axId val="79090735"/>
        <c:scaling>
          <c:orientation val="minMax"/>
        </c:scaling>
        <c:delete val="0"/>
        <c:axPos val="b"/>
        <c:numFmt formatCode="[$-409]mm/dd/yyyy"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41182032"/>
        <c:crosses val="autoZero"/>
        <c:auto val="1"/>
        <c:lblAlgn val="ctr"/>
        <c:lblOffset val="100"/>
        <c:noMultiLvlLbl val="0"/>
      </c:catAx>
      <c:valAx>
        <c:axId val="41182032"/>
        <c:scaling>
          <c:orientation val="minMax"/>
        </c:scaling>
        <c:delete val="0"/>
        <c:axPos val="l"/>
        <c:majorGridlines>
          <c:spPr>
            <a:ln w="0">
              <a:solidFill>
                <a:srgbClr val="b3b3b3"/>
              </a:solidFill>
            </a:ln>
          </c:spPr>
        </c:majorGridlines>
        <c:numFmt formatCode="General" sourceLinked="0"/>
        <c:majorTickMark val="out"/>
        <c:minorTickMark val="none"/>
        <c:tickLblPos val="nextTo"/>
        <c:spPr>
          <a:ln w="0">
            <a:solidFill>
              <a:srgbClr val="b3b3b3"/>
            </a:solidFill>
          </a:ln>
        </c:spPr>
        <c:txPr>
          <a:bodyPr/>
          <a:lstStyle/>
          <a:p>
            <a:pPr>
              <a:defRPr sz="1000" b="0" u="none" strike="noStrike">
                <a:solidFill>
                  <a:srgbClr val="000000"/>
                </a:solidFill>
                <a:uFillTx/>
                <a:latin typeface="Arial"/>
              </a:defRPr>
            </a:pPr>
          </a:p>
        </c:txPr>
        <c:crossAx val="79090735"/>
        <c:crosses val="autoZero"/>
        <c:crossBetween val="between"/>
      </c:valAx>
      <c:spPr>
        <a:noFill/>
        <a:ln w="0">
          <a:solidFill>
            <a:srgbClr val="b3b3b3"/>
          </a:solidFill>
        </a:ln>
      </c:spPr>
    </c:plotArea>
    <c:legend>
      <c:legendPos val="r"/>
      <c:overlay val="0"/>
      <c:spPr>
        <a:noFill/>
        <a:ln w="0">
          <a:noFill/>
        </a:ln>
      </c:spPr>
      <c:txPr>
        <a:bodyPr/>
        <a:lstStyle/>
        <a:p>
          <a:pPr>
            <a:defRPr sz="1000" b="0" u="none" strike="noStrike">
              <a:solidFill>
                <a:srgbClr val="000000"/>
              </a:solidFill>
              <a:uFillTx/>
              <a:latin typeface="Arial"/>
            </a:defRPr>
          </a:pPr>
        </a:p>
      </c:txPr>
    </c:legend>
    <c:plotVisOnly val="1"/>
    <c:dispBlanksAs val="gap"/>
  </c:chart>
  <c:spPr>
    <a:noFill/>
    <a:ln w="0">
      <a:noFill/>
    </a:ln>
  </c:spPr>
</c:chartSpace>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3823</TotalTime>
  <Application>LibreOffice/25.8.6.2$Linux_X86_64 LibreOffice_project/a46b460d1686bb49c718d2ef5f88b83ff2dc4981</Application>
  <AppVersion>15.0000</AppVersion>
  <Pages>40</Pages>
  <Words>6130</Words>
  <Characters>36926</Characters>
  <CharactersWithSpaces>42787</CharactersWithSpaces>
  <Paragraphs>435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2026-04-24T13:14:20Z</dcterms:modified>
  <cp:revision>634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