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0F48" w:rsidRDefault="00B70D55">
      <w:pPr>
        <w:spacing w:after="240" w:line="240" w:lineRule="auto"/>
        <w:jc w:val="both"/>
        <w:rPr>
          <w:rFonts w:ascii="Arial" w:eastAsia="Times New Roman" w:hAnsi="Arial" w:cs="Arial"/>
          <w:color w:val="191919"/>
          <w:lang w:eastAsia="en-GB"/>
        </w:rPr>
      </w:pPr>
      <w:r>
        <w:rPr>
          <w:rFonts w:ascii="Arial" w:eastAsia="Times New Roman" w:hAnsi="Arial" w:cs="Arial"/>
          <w:color w:val="191919"/>
          <w:lang w:eastAsia="en-GB"/>
        </w:rPr>
        <w:t>Name: William Collyer (1701279)</w:t>
      </w:r>
    </w:p>
    <w:p w:rsidR="00100F48" w:rsidRDefault="00B70D55">
      <w:pPr>
        <w:spacing w:after="240" w:line="240" w:lineRule="auto"/>
        <w:jc w:val="both"/>
        <w:rPr>
          <w:rFonts w:ascii="Arial" w:eastAsia="Times New Roman" w:hAnsi="Arial" w:cs="Arial"/>
          <w:color w:val="191919"/>
          <w:lang w:eastAsia="en-GB"/>
        </w:rPr>
      </w:pPr>
      <w:r>
        <w:rPr>
          <w:rFonts w:ascii="Arial" w:eastAsia="Times New Roman" w:hAnsi="Arial" w:cs="Arial"/>
          <w:color w:val="191919"/>
          <w:lang w:eastAsia="en-GB"/>
        </w:rPr>
        <w:t xml:space="preserve">Course: Illustration </w:t>
      </w:r>
    </w:p>
    <w:p w:rsidR="00100F48" w:rsidRDefault="00B70D55">
      <w:pPr>
        <w:spacing w:after="240" w:line="240" w:lineRule="auto"/>
        <w:jc w:val="both"/>
        <w:rPr>
          <w:rFonts w:ascii="Arial" w:eastAsia="Times New Roman" w:hAnsi="Arial" w:cs="Arial"/>
          <w:color w:val="191919"/>
          <w:lang w:eastAsia="en-GB"/>
        </w:rPr>
      </w:pPr>
      <w:r>
        <w:rPr>
          <w:rFonts w:ascii="Arial" w:eastAsia="Times New Roman" w:hAnsi="Arial" w:cs="Arial"/>
          <w:color w:val="191919"/>
          <w:lang w:eastAsia="en-GB"/>
        </w:rPr>
        <w:t xml:space="preserve">Tutor: </w:t>
      </w:r>
      <w:r w:rsidR="00144D03">
        <w:rPr>
          <w:rFonts w:ascii="Arial" w:eastAsia="Times New Roman" w:hAnsi="Arial" w:cs="Arial"/>
          <w:color w:val="191919"/>
          <w:lang w:eastAsia="en-GB"/>
        </w:rPr>
        <w:t xml:space="preserve">Sarah Tombs and Louise </w:t>
      </w:r>
      <w:proofErr w:type="spellStart"/>
      <w:r w:rsidR="00144D03">
        <w:rPr>
          <w:rFonts w:ascii="Arial" w:eastAsia="Times New Roman" w:hAnsi="Arial" w:cs="Arial"/>
          <w:color w:val="191919"/>
          <w:lang w:eastAsia="en-GB"/>
        </w:rPr>
        <w:t>Burston</w:t>
      </w:r>
      <w:proofErr w:type="spellEnd"/>
    </w:p>
    <w:p w:rsidR="00100F48" w:rsidRDefault="00B70D55">
      <w:pPr>
        <w:spacing w:after="240" w:line="240" w:lineRule="auto"/>
        <w:jc w:val="both"/>
      </w:pPr>
      <w:r>
        <w:rPr>
          <w:rFonts w:ascii="Arial" w:eastAsia="Times New Roman" w:hAnsi="Arial" w:cs="Arial"/>
          <w:color w:val="191919"/>
          <w:sz w:val="28"/>
          <w:szCs w:val="28"/>
          <w:lang w:eastAsia="en-GB"/>
        </w:rPr>
        <w:t>Development of technology has spread all aspects of culture to a much wider audience. Are the terms high and low culture now redundant?</w:t>
      </w:r>
    </w:p>
    <w:p w:rsidR="00100F48" w:rsidRDefault="00B70D55">
      <w:pPr>
        <w:spacing w:after="240" w:line="240" w:lineRule="auto"/>
        <w:ind w:firstLine="720"/>
        <w:jc w:val="both"/>
      </w:pPr>
      <w:r>
        <w:rPr>
          <w:rFonts w:ascii="Arial" w:eastAsia="Times New Roman" w:hAnsi="Arial" w:cs="Arial"/>
          <w:color w:val="000000"/>
          <w:lang w:eastAsia="en-GB"/>
        </w:rPr>
        <w:t xml:space="preserve">The public passion for </w:t>
      </w:r>
      <w:r>
        <w:rPr>
          <w:rFonts w:ascii="Arial" w:eastAsia="Times New Roman" w:hAnsi="Arial" w:cs="Arial"/>
          <w:color w:val="000000"/>
          <w:lang w:eastAsia="en-GB"/>
        </w:rPr>
        <w:t xml:space="preserve">art has never been stronger, neither </w:t>
      </w:r>
      <w:proofErr w:type="gramStart"/>
      <w:r>
        <w:rPr>
          <w:rFonts w:ascii="Arial" w:eastAsia="Times New Roman" w:hAnsi="Arial" w:cs="Arial"/>
          <w:color w:val="000000"/>
          <w:lang w:eastAsia="en-GB"/>
        </w:rPr>
        <w:t>has the ability to</w:t>
      </w:r>
      <w:proofErr w:type="gramEnd"/>
      <w:r>
        <w:rPr>
          <w:rFonts w:ascii="Arial" w:eastAsia="Times New Roman" w:hAnsi="Arial" w:cs="Arial"/>
          <w:color w:val="000000"/>
          <w:lang w:eastAsia="en-GB"/>
        </w:rPr>
        <w:t xml:space="preserve"> share pieces of artwork across the globe. There is a case to be made that the development of technology has spread all aspects of culture especially art to a much wider audience which has enabled peop</w:t>
      </w:r>
      <w:r>
        <w:rPr>
          <w:rFonts w:ascii="Arial" w:eastAsia="Times New Roman" w:hAnsi="Arial" w:cs="Arial"/>
          <w:color w:val="000000"/>
          <w:lang w:eastAsia="en-GB"/>
        </w:rPr>
        <w:t xml:space="preserve">le from both ‘high’ and ‘low’ cultural backgrounds to experience and view both on an even plane. </w:t>
      </w:r>
    </w:p>
    <w:p w:rsidR="00100F48" w:rsidRDefault="00B70D55">
      <w:pPr>
        <w:spacing w:after="240" w:line="240" w:lineRule="auto"/>
        <w:ind w:firstLine="720"/>
        <w:jc w:val="both"/>
      </w:pPr>
      <w:r>
        <w:rPr>
          <w:rFonts w:ascii="Arial" w:eastAsia="Times New Roman" w:hAnsi="Arial" w:cs="Arial"/>
          <w:color w:val="000000"/>
          <w:lang w:eastAsia="en-GB"/>
        </w:rPr>
        <w:t>Through this essay we will explore if social media and the increased use of technology has blurred the lines of high and low culture or if it has simply broug</w:t>
      </w:r>
      <w:r>
        <w:rPr>
          <w:rFonts w:ascii="Arial" w:eastAsia="Times New Roman" w:hAnsi="Arial" w:cs="Arial"/>
          <w:color w:val="000000"/>
          <w:lang w:eastAsia="en-GB"/>
        </w:rPr>
        <w:t>ht each to an equal plane of acceptance and approachability.</w:t>
      </w:r>
    </w:p>
    <w:p w:rsidR="00100F48" w:rsidRDefault="00B70D55">
      <w:pPr>
        <w:spacing w:after="240" w:line="240" w:lineRule="auto"/>
        <w:ind w:firstLine="720"/>
        <w:jc w:val="both"/>
      </w:pPr>
      <w:r>
        <w:rPr>
          <w:rFonts w:ascii="Arial" w:eastAsia="Times New Roman" w:hAnsi="Arial" w:cs="Arial"/>
          <w:color w:val="000000"/>
          <w:lang w:eastAsia="en-GB"/>
        </w:rPr>
        <w:t xml:space="preserve">High culture is widely associated with pieces of art which are said to be “the best which has been thought and said in the world.” (Arnold, Matthew, 1869:199) Objects and art deemed as belonging </w:t>
      </w:r>
      <w:r>
        <w:rPr>
          <w:rFonts w:ascii="Arial" w:eastAsia="Times New Roman" w:hAnsi="Arial" w:cs="Arial"/>
          <w:color w:val="000000"/>
          <w:lang w:eastAsia="en-GB"/>
        </w:rPr>
        <w:t>to high culture are expected to have the greatest artist talent and exhibit the peak of human skill. Rather boldly this categorises high art as the best and in the past centuries commonly restricted it to the viewing of people who are of the aristocracy or</w:t>
      </w:r>
      <w:r>
        <w:rPr>
          <w:rFonts w:ascii="Arial" w:eastAsia="Times New Roman" w:hAnsi="Arial" w:cs="Arial"/>
          <w:color w:val="000000"/>
          <w:lang w:eastAsia="en-GB"/>
        </w:rPr>
        <w:t xml:space="preserve"> the highest in their field to whom it ‘belongs’. “High culture encompasses the ‘best’ works of art that have ever been produced. On this view, certain cultural products truly are genuine ‘works of art’. Such works, like symphonies by Beethoven and paintin</w:t>
      </w:r>
      <w:r>
        <w:rPr>
          <w:rFonts w:ascii="Arial" w:eastAsia="Times New Roman" w:hAnsi="Arial" w:cs="Arial"/>
          <w:color w:val="000000"/>
          <w:lang w:eastAsia="en-GB"/>
        </w:rPr>
        <w:t>gs by Picasso, are just of much higher quality than other things of their type. Thus, a Beethoven symphony is just naturally ‘better’ than a single by one of today’s ‘boy bands’.” (Culture and Everyday Life, Inglis, David, 2004:54)</w:t>
      </w:r>
    </w:p>
    <w:p w:rsidR="00100F48" w:rsidRDefault="00B70D55">
      <w:pPr>
        <w:spacing w:after="240" w:line="240" w:lineRule="auto"/>
        <w:ind w:firstLine="720"/>
        <w:jc w:val="both"/>
      </w:pPr>
      <w:r>
        <w:rPr>
          <w:rFonts w:ascii="Arial" w:eastAsia="Times New Roman" w:hAnsi="Arial" w:cs="Arial"/>
          <w:color w:val="000000"/>
          <w:lang w:eastAsia="en-GB"/>
        </w:rPr>
        <w:t>As a result of society a</w:t>
      </w:r>
      <w:r>
        <w:rPr>
          <w:rFonts w:ascii="Arial" w:eastAsia="Times New Roman" w:hAnsi="Arial" w:cs="Arial"/>
          <w:color w:val="000000"/>
          <w:lang w:eastAsia="en-GB"/>
        </w:rPr>
        <w:t>nd class systems high culture was and is restricted to areas that the common public have difficulty accessing. Traditionally lower- and working-class people have made up over half of the populous with upper class members of society only making up around 5%</w:t>
      </w:r>
      <w:r>
        <w:rPr>
          <w:rFonts w:ascii="Arial" w:eastAsia="Times New Roman" w:hAnsi="Arial" w:cs="Arial"/>
          <w:color w:val="000000"/>
          <w:lang w:eastAsia="en-GB"/>
        </w:rPr>
        <w:t xml:space="preserve"> of the UK. According to the Great British Class survey only ‘</w:t>
      </w:r>
      <w:r>
        <w:rPr>
          <w:rFonts w:ascii="Arial" w:eastAsia="Times New Roman" w:hAnsi="Arial" w:cs="Arial"/>
          <w:color w:val="000000"/>
          <w:shd w:val="clear" w:color="auto" w:fill="FFFFFF"/>
          <w:lang w:eastAsia="en-GB"/>
        </w:rPr>
        <w:t>25% of the population are estimated to be in the established middle class’ however this is growing increasingly. The importance of this is that it only leaves a small portion of the population o</w:t>
      </w:r>
      <w:r>
        <w:rPr>
          <w:rFonts w:ascii="Arial" w:eastAsia="Times New Roman" w:hAnsi="Arial" w:cs="Arial"/>
          <w:color w:val="000000"/>
          <w:shd w:val="clear" w:color="auto" w:fill="FFFFFF"/>
          <w:lang w:eastAsia="en-GB"/>
        </w:rPr>
        <w:t>f elite and high class who would have surrounded themselves with high culture which breeds and circulates at the top of the class system. Great works of art also sell for thousands, sometimes millions of pounds which is simply unaffordable to the great maj</w:t>
      </w:r>
      <w:r>
        <w:rPr>
          <w:rFonts w:ascii="Arial" w:eastAsia="Times New Roman" w:hAnsi="Arial" w:cs="Arial"/>
          <w:color w:val="000000"/>
          <w:shd w:val="clear" w:color="auto" w:fill="FFFFFF"/>
          <w:lang w:eastAsia="en-GB"/>
        </w:rPr>
        <w:t>ority of people again limiting the approachability of fine art.  </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Additionally, when accessibility is concerned it must be noted that during the time period of many of who we regard as the “greats” for example during the renaissance, social media simply di</w:t>
      </w:r>
      <w:r>
        <w:rPr>
          <w:rFonts w:ascii="Arial" w:eastAsia="Times New Roman" w:hAnsi="Arial" w:cs="Arial"/>
          <w:color w:val="000000"/>
          <w:shd w:val="clear" w:color="auto" w:fill="FFFFFF"/>
          <w:lang w:eastAsia="en-GB"/>
        </w:rPr>
        <w:t>dn’t exist, and technology was not as sophisticated as it is now. This further restricted the accessibility of art pieces and likely resulted in millions of pieces being lost to time without any possible means of it reaching any sort of viewing by anyone a</w:t>
      </w:r>
      <w:r>
        <w:rPr>
          <w:rFonts w:ascii="Arial" w:eastAsia="Times New Roman" w:hAnsi="Arial" w:cs="Arial"/>
          <w:color w:val="000000"/>
          <w:shd w:val="clear" w:color="auto" w:fill="FFFFFF"/>
          <w:lang w:eastAsia="en-GB"/>
        </w:rPr>
        <w:t xml:space="preserve">part from the artist. Now it is all too easy to upload a piece of artwork of any quality to the internet and receive an audience on social media. </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 xml:space="preserve">We also </w:t>
      </w:r>
      <w:proofErr w:type="gramStart"/>
      <w:r>
        <w:rPr>
          <w:rFonts w:ascii="Arial" w:eastAsia="Times New Roman" w:hAnsi="Arial" w:cs="Arial"/>
          <w:color w:val="000000"/>
          <w:shd w:val="clear" w:color="auto" w:fill="FFFFFF"/>
          <w:lang w:eastAsia="en-GB"/>
        </w:rPr>
        <w:t>have to</w:t>
      </w:r>
      <w:proofErr w:type="gramEnd"/>
      <w:r>
        <w:rPr>
          <w:rFonts w:ascii="Arial" w:eastAsia="Times New Roman" w:hAnsi="Arial" w:cs="Arial"/>
          <w:color w:val="000000"/>
          <w:shd w:val="clear" w:color="auto" w:fill="FFFFFF"/>
          <w:lang w:eastAsia="en-GB"/>
        </w:rPr>
        <w:t xml:space="preserve"> look at how high art is recognised as it takes decades or often an artist to die for the valu</w:t>
      </w:r>
      <w:r>
        <w:rPr>
          <w:rFonts w:ascii="Arial" w:eastAsia="Times New Roman" w:hAnsi="Arial" w:cs="Arial"/>
          <w:color w:val="000000"/>
          <w:shd w:val="clear" w:color="auto" w:fill="FFFFFF"/>
          <w:lang w:eastAsia="en-GB"/>
        </w:rPr>
        <w:t>e and quality of the artist’s work to be recognised and it is not until then do critics and the public appraise it to be “belonging” to high or low culture. If it is indeed the result of this appraisal and popularity contest that we see in galleries and ex</w:t>
      </w:r>
      <w:r>
        <w:rPr>
          <w:rFonts w:ascii="Arial" w:eastAsia="Times New Roman" w:hAnsi="Arial" w:cs="Arial"/>
          <w:color w:val="000000"/>
          <w:shd w:val="clear" w:color="auto" w:fill="FFFFFF"/>
          <w:lang w:eastAsia="en-GB"/>
        </w:rPr>
        <w:t xml:space="preserve">hibitions, is it sensible to lay the duty or responsibility of curating the museums and galleries the public visits </w:t>
      </w:r>
      <w:r>
        <w:rPr>
          <w:rFonts w:ascii="Arial" w:eastAsia="Times New Roman" w:hAnsi="Arial" w:cs="Arial"/>
          <w:color w:val="000000"/>
          <w:shd w:val="clear" w:color="auto" w:fill="FFFFFF"/>
          <w:lang w:eastAsia="en-GB"/>
        </w:rPr>
        <w:lastRenderedPageBreak/>
        <w:t xml:space="preserve">to decide for us what is regarded as high or low culture? Perhaps it is. As our lives have become faster and faster paced and our attention </w:t>
      </w:r>
      <w:r>
        <w:rPr>
          <w:rFonts w:ascii="Arial" w:eastAsia="Times New Roman" w:hAnsi="Arial" w:cs="Arial"/>
          <w:color w:val="000000"/>
          <w:shd w:val="clear" w:color="auto" w:fill="FFFFFF"/>
          <w:lang w:eastAsia="en-GB"/>
        </w:rPr>
        <w:t xml:space="preserve">spans decreased with the influence of technology and instant media is there a need for traditional high culture? </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“Art cannot be fully experienced without our cooperation, and this involves, above all, our sacrifice of time. Sociologists, lurking inconspic</w:t>
      </w:r>
      <w:r>
        <w:rPr>
          <w:rFonts w:ascii="Arial" w:eastAsia="Times New Roman" w:hAnsi="Arial" w:cs="Arial"/>
          <w:color w:val="000000"/>
          <w:shd w:val="clear" w:color="auto" w:fill="FFFFFF"/>
          <w:lang w:eastAsia="en-GB"/>
        </w:rPr>
        <w:t>uously with stopwatches, have discovered the average time museum visitors spend looking at a work of art: it is roughly two seconds. We walk all too casually through museums, passing objects that will yield up their meaning and exert their power only if th</w:t>
      </w:r>
      <w:r>
        <w:rPr>
          <w:rFonts w:ascii="Arial" w:eastAsia="Times New Roman" w:hAnsi="Arial" w:cs="Arial"/>
          <w:color w:val="000000"/>
          <w:shd w:val="clear" w:color="auto" w:fill="FFFFFF"/>
          <w:lang w:eastAsia="en-GB"/>
        </w:rPr>
        <w:t>ey are seriously contemplated in solitude. Since this is a weighty demand, many of us perhaps must compromise: we do what we can in the imperfect condition of even the most perfect museum, then we buy a reproduction and take it home for prolonged and (more</w:t>
      </w:r>
      <w:r>
        <w:rPr>
          <w:rFonts w:ascii="Arial" w:eastAsia="Times New Roman" w:hAnsi="Arial" w:cs="Arial"/>
          <w:color w:val="000000"/>
          <w:shd w:val="clear" w:color="auto" w:fill="FFFFFF"/>
          <w:lang w:eastAsia="en-GB"/>
        </w:rPr>
        <w:t xml:space="preserve"> or less) distraction less contemplation. If we do not have access to a museum, we can still experience reproductions—books, postcards, posters, television, film—in solitude, though the work lacks immediacy. We must, therefore, make an imaginative leap (vi</w:t>
      </w:r>
      <w:r>
        <w:rPr>
          <w:rFonts w:ascii="Arial" w:eastAsia="Times New Roman" w:hAnsi="Arial" w:cs="Arial"/>
          <w:color w:val="000000"/>
          <w:shd w:val="clear" w:color="auto" w:fill="FFFFFF"/>
          <w:lang w:eastAsia="en-GB"/>
        </w:rPr>
        <w:t>sualizing texture and dimension) if reproduction is our only possible access to art.” (The Art of Looking at Art, Beckett, Wendy, 2005) This compromise which often occurs whilst looking through the art in a gallery or exhibitions in a museum has resulted i</w:t>
      </w:r>
      <w:r>
        <w:rPr>
          <w:rFonts w:ascii="Arial" w:eastAsia="Times New Roman" w:hAnsi="Arial" w:cs="Arial"/>
          <w:color w:val="000000"/>
          <w:shd w:val="clear" w:color="auto" w:fill="FFFFFF"/>
          <w:lang w:eastAsia="en-GB"/>
        </w:rPr>
        <w:t>n a larger trade of replicas, memorabilia and interpretations and has led artists to manipulate images for their own agenda or statement. Pop art has sprouted from the shortcomings of fine art and gallery etiquette and has become more mainstream as a resul</w:t>
      </w:r>
      <w:r>
        <w:rPr>
          <w:rFonts w:ascii="Arial" w:eastAsia="Times New Roman" w:hAnsi="Arial" w:cs="Arial"/>
          <w:color w:val="000000"/>
          <w:shd w:val="clear" w:color="auto" w:fill="FFFFFF"/>
          <w:lang w:eastAsia="en-GB"/>
        </w:rPr>
        <w:t xml:space="preserve">t of the technology enhanced times, we live in. </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Since high culture and fine art is said to consist of works by the greats such as Leonardo Da Vinci, Pablo Picasso and Beethoven it is time to examine what is meant by low culture, the counterpart to high cu</w:t>
      </w:r>
      <w:r>
        <w:rPr>
          <w:rFonts w:ascii="Arial" w:eastAsia="Times New Roman" w:hAnsi="Arial" w:cs="Arial"/>
          <w:color w:val="000000"/>
          <w:shd w:val="clear" w:color="auto" w:fill="FFFFFF"/>
          <w:lang w:eastAsia="en-GB"/>
        </w:rPr>
        <w:t>lture.</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 xml:space="preserve">Low culture isn’t necessarily the production of art by lesser known artists but is usually regarded as the result of mass production and the utility of readily available materials or designs which are open to the masses. These tend to be explicitly </w:t>
      </w:r>
      <w:r>
        <w:rPr>
          <w:rFonts w:ascii="Arial" w:eastAsia="Times New Roman" w:hAnsi="Arial" w:cs="Arial"/>
          <w:color w:val="000000"/>
          <w:shd w:val="clear" w:color="auto" w:fill="FFFFFF"/>
          <w:lang w:eastAsia="en-GB"/>
        </w:rPr>
        <w:t xml:space="preserve">designed to fight or challenge the preconception or understanding of high culture by the artist. We tend to think of artists such as Banksy, Andy Warhol and Roy Lichtenstein in discussions of Low culture as their artwork focuses on mass production, prints </w:t>
      </w:r>
      <w:r>
        <w:rPr>
          <w:rFonts w:ascii="Arial" w:eastAsia="Times New Roman" w:hAnsi="Arial" w:cs="Arial"/>
          <w:color w:val="000000"/>
          <w:shd w:val="clear" w:color="auto" w:fill="FFFFFF"/>
          <w:lang w:eastAsia="en-GB"/>
        </w:rPr>
        <w:t xml:space="preserve">and exploiting the society’s gravitation towards popular iconography. As Dwight Macdonald wrote in his Theory of Mass Culture “It is sometimes called ‘Popular Culture’, but I think ‘Mass Culture’ a more accurate term, since its distinctive mark is that is </w:t>
      </w:r>
      <w:r>
        <w:rPr>
          <w:rFonts w:ascii="Arial" w:eastAsia="Times New Roman" w:hAnsi="Arial" w:cs="Arial"/>
          <w:color w:val="000000"/>
          <w:shd w:val="clear" w:color="auto" w:fill="FFFFFF"/>
          <w:lang w:eastAsia="en-GB"/>
        </w:rPr>
        <w:t>that it is solely and directly an article for mass consumption, like chewing gum.” (A theory of Mass Culture, Macdonald, Dwight, 1953:1)</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On talking about pop culture Roy Lichtenstein stated, “</w:t>
      </w:r>
      <w:r>
        <w:rPr>
          <w:rFonts w:ascii="Arial" w:eastAsia="Times New Roman" w:hAnsi="Arial" w:cs="Arial"/>
          <w:color w:val="000000"/>
          <w:lang w:eastAsia="en-GB"/>
        </w:rPr>
        <w:t>Pop Art has very immediate and of-the-moment meanings which will</w:t>
      </w:r>
      <w:r>
        <w:rPr>
          <w:rFonts w:ascii="Arial" w:eastAsia="Times New Roman" w:hAnsi="Arial" w:cs="Arial"/>
          <w:color w:val="000000"/>
          <w:lang w:eastAsia="en-GB"/>
        </w:rPr>
        <w:t xml:space="preserve"> vanish ... Pop takes advantage of this "meaning", which is not supposed to last, to divert you from its formal content. I think the formal statement in my work will become clearer in time.” (Theories and documents of contemporary art, Stiles, Kristine, 20</w:t>
      </w:r>
      <w:r>
        <w:rPr>
          <w:rFonts w:ascii="Arial" w:eastAsia="Times New Roman" w:hAnsi="Arial" w:cs="Arial"/>
          <w:color w:val="000000"/>
          <w:lang w:eastAsia="en-GB"/>
        </w:rPr>
        <w:t>12:389)</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Particularly in the case of Banksy and graffiti art which by many is regarded as the pinnacle of pop/low culture this style of ‘art’ is free and wild and seemingly has no boundaries but having these qualities also allows the art to be exposed to pe</w:t>
      </w:r>
      <w:r>
        <w:rPr>
          <w:rFonts w:ascii="Arial" w:eastAsia="Times New Roman" w:hAnsi="Arial" w:cs="Arial"/>
          <w:color w:val="000000"/>
          <w:shd w:val="clear" w:color="auto" w:fill="FFFFFF"/>
          <w:lang w:eastAsia="en-GB"/>
        </w:rPr>
        <w:t>ople from every class but is especially consumed and created by low class members of society as it is accessible and requires little to no prior training to create. “You don’t have to go to college, drag ’round a portfolio, mail off transparencies to snoot</w:t>
      </w:r>
      <w:r>
        <w:rPr>
          <w:rFonts w:ascii="Arial" w:eastAsia="Times New Roman" w:hAnsi="Arial" w:cs="Arial"/>
          <w:color w:val="000000"/>
          <w:shd w:val="clear" w:color="auto" w:fill="FFFFFF"/>
          <w:lang w:eastAsia="en-GB"/>
        </w:rPr>
        <w:t>y galleries or sleep with someone powerful, all you need now is a few ideas and a broadband connection. This is the first time the essentially bourgeois world of art has belonged to the people. We need to make it count.” (Banksy Talks Art, Power and Exit T</w:t>
      </w:r>
      <w:r>
        <w:rPr>
          <w:rFonts w:ascii="Arial" w:eastAsia="Times New Roman" w:hAnsi="Arial" w:cs="Arial"/>
          <w:color w:val="000000"/>
          <w:shd w:val="clear" w:color="auto" w:fill="FFFFFF"/>
          <w:lang w:eastAsia="en-GB"/>
        </w:rPr>
        <w:t>hrough the Gift Shop, Miller, Nancy, 2010)</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The other level of Banksy’s work which has granted him most of his success and appeal is of course the edge that his graffiti, stencil work has which is a rebellion against modern society and the police. Banksy is</w:t>
      </w:r>
      <w:r>
        <w:rPr>
          <w:rFonts w:ascii="Arial" w:eastAsia="Times New Roman" w:hAnsi="Arial" w:cs="Arial"/>
          <w:color w:val="000000"/>
          <w:shd w:val="clear" w:color="auto" w:fill="FFFFFF"/>
          <w:lang w:eastAsia="en-GB"/>
        </w:rPr>
        <w:t xml:space="preserve"> famous for his anti-establishment art but is an interesting example however, as his artwork is an exception where graffiti art has broken into </w:t>
      </w:r>
      <w:r>
        <w:rPr>
          <w:rFonts w:ascii="Arial" w:eastAsia="Times New Roman" w:hAnsi="Arial" w:cs="Arial"/>
          <w:color w:val="000000"/>
          <w:shd w:val="clear" w:color="auto" w:fill="FFFFFF"/>
          <w:lang w:eastAsia="en-GB"/>
        </w:rPr>
        <w:lastRenderedPageBreak/>
        <w:t>high culture and is now being bided on for thousands of pounds in auctions. “I love the way capitalism finds a p</w:t>
      </w:r>
      <w:r>
        <w:rPr>
          <w:rFonts w:ascii="Arial" w:eastAsia="Times New Roman" w:hAnsi="Arial" w:cs="Arial"/>
          <w:color w:val="000000"/>
          <w:shd w:val="clear" w:color="auto" w:fill="FFFFFF"/>
          <w:lang w:eastAsia="en-GB"/>
        </w:rPr>
        <w:t xml:space="preserve">lace—even for its enemies. It’s definitely boom time in the discontent industry.” (BANKSY WAS HERE, The invisible man of graffiti art, Collins Lauren, 2007). </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 xml:space="preserve">Without the increase use of technology and progression of smartphones and social media </w:t>
      </w:r>
      <w:r>
        <w:rPr>
          <w:rFonts w:ascii="Arial" w:eastAsia="Times New Roman" w:hAnsi="Arial" w:cs="Arial"/>
          <w:color w:val="000000"/>
          <w:shd w:val="clear" w:color="auto" w:fill="FFFFFF"/>
          <w:lang w:eastAsia="en-GB"/>
        </w:rPr>
        <w:t>however it is arguable that Banksy would not have achieved the same levels of success and commercialism. It is said th</w:t>
      </w:r>
      <w:r>
        <w:rPr>
          <w:rFonts w:ascii="Arial" w:eastAsia="Times New Roman" w:hAnsi="Arial" w:cs="Arial"/>
          <w:color w:val="000000"/>
          <w:lang w:eastAsia="en-GB"/>
        </w:rPr>
        <w:t xml:space="preserve">at “Examples of </w:t>
      </w:r>
      <w:hyperlink r:id="rId6" w:history="1">
        <w:r>
          <w:rPr>
            <w:rFonts w:ascii="Arial" w:eastAsia="Times New Roman" w:hAnsi="Arial" w:cs="Arial"/>
            <w:color w:val="000000"/>
            <w:lang w:eastAsia="en-GB"/>
          </w:rPr>
          <w:t>public</w:t>
        </w:r>
      </w:hyperlink>
      <w:r>
        <w:rPr>
          <w:rFonts w:ascii="Arial" w:eastAsia="Times New Roman" w:hAnsi="Arial" w:cs="Arial"/>
          <w:color w:val="000000"/>
          <w:lang w:eastAsia="en-GB"/>
        </w:rPr>
        <w:t xml:space="preserve"> graffiti date back to the time of the ancient </w:t>
      </w:r>
      <w:hyperlink r:id="rId7" w:history="1">
        <w:r>
          <w:rPr>
            <w:rFonts w:ascii="Arial" w:eastAsia="Times New Roman" w:hAnsi="Arial" w:cs="Arial"/>
            <w:color w:val="000000"/>
            <w:lang w:eastAsia="en-GB"/>
          </w:rPr>
          <w:t>Greeks</w:t>
        </w:r>
      </w:hyperlink>
      <w:r>
        <w:rPr>
          <w:rFonts w:ascii="Arial" w:eastAsia="Times New Roman" w:hAnsi="Arial" w:cs="Arial"/>
          <w:color w:val="000000"/>
          <w:lang w:eastAsia="en-GB"/>
        </w:rPr>
        <w:t xml:space="preserve"> and </w:t>
      </w:r>
      <w:hyperlink r:id="rId8" w:history="1">
        <w:r>
          <w:rPr>
            <w:rFonts w:ascii="Arial" w:eastAsia="Times New Roman" w:hAnsi="Arial" w:cs="Arial"/>
            <w:color w:val="000000"/>
            <w:lang w:eastAsia="en-GB"/>
          </w:rPr>
          <w:t>Romans</w:t>
        </w:r>
      </w:hyperlink>
      <w:r>
        <w:rPr>
          <w:rFonts w:ascii="Arial" w:eastAsia="Times New Roman" w:hAnsi="Arial" w:cs="Arial"/>
          <w:color w:val="000000"/>
          <w:lang w:eastAsia="en-GB"/>
        </w:rPr>
        <w:t xml:space="preserve">. These ancient forms of graffiti often displayed declarations of love, </w:t>
      </w:r>
      <w:hyperlink r:id="rId9" w:history="1">
        <w:r>
          <w:rPr>
            <w:rFonts w:ascii="Arial" w:eastAsia="Times New Roman" w:hAnsi="Arial" w:cs="Arial"/>
            <w:color w:val="000000"/>
            <w:lang w:eastAsia="en-GB"/>
          </w:rPr>
          <w:t>political</w:t>
        </w:r>
      </w:hyperlink>
      <w:r>
        <w:rPr>
          <w:rFonts w:ascii="Arial" w:eastAsia="Times New Roman" w:hAnsi="Arial" w:cs="Arial"/>
          <w:color w:val="000000"/>
          <w:lang w:eastAsia="en-GB"/>
        </w:rPr>
        <w:t xml:space="preserve"> slogans, and quotes popular at the time.” (How Old Is </w:t>
      </w:r>
      <w:proofErr w:type="gramStart"/>
      <w:r>
        <w:rPr>
          <w:rFonts w:ascii="Arial" w:eastAsia="Times New Roman" w:hAnsi="Arial" w:cs="Arial"/>
          <w:color w:val="000000"/>
          <w:lang w:eastAsia="en-GB"/>
        </w:rPr>
        <w:t>Graffiti?,</w:t>
      </w:r>
      <w:proofErr w:type="gramEnd"/>
      <w:r>
        <w:rPr>
          <w:rFonts w:ascii="Arial" w:eastAsia="Times New Roman" w:hAnsi="Arial" w:cs="Arial"/>
          <w:color w:val="000000"/>
          <w:lang w:eastAsia="en-GB"/>
        </w:rPr>
        <w:t xml:space="preserve"> </w:t>
      </w:r>
      <w:proofErr w:type="spellStart"/>
      <w:r>
        <w:rPr>
          <w:rFonts w:ascii="Arial" w:eastAsia="Times New Roman" w:hAnsi="Arial" w:cs="Arial"/>
          <w:color w:val="000000"/>
          <w:lang w:eastAsia="en-GB"/>
        </w:rPr>
        <w:t>Winderopolis</w:t>
      </w:r>
      <w:proofErr w:type="spellEnd"/>
      <w:r>
        <w:rPr>
          <w:rFonts w:ascii="Arial" w:eastAsia="Times New Roman" w:hAnsi="Arial" w:cs="Arial"/>
          <w:color w:val="000000"/>
          <w:lang w:eastAsia="en-GB"/>
        </w:rPr>
        <w:t xml:space="preserve">, 2011) At that time graffiti wasn’t viewed with artistic merit as we do now and was situational meaning that </w:t>
      </w:r>
      <w:r>
        <w:rPr>
          <w:rFonts w:ascii="Arial" w:eastAsia="Times New Roman" w:hAnsi="Arial" w:cs="Arial"/>
          <w:color w:val="000000"/>
          <w:lang w:eastAsia="en-GB"/>
        </w:rPr>
        <w:t xml:space="preserve">only those in the area would be able to view it. Now, although Banksy started and does most of his work in Bristol and London his work is known all over the world which is a direct result of social media and television. </w:t>
      </w:r>
    </w:p>
    <w:p w:rsidR="00100F48" w:rsidRDefault="00B70D55">
      <w:pPr>
        <w:spacing w:after="200" w:line="240" w:lineRule="auto"/>
        <w:ind w:firstLine="720"/>
        <w:jc w:val="both"/>
      </w:pPr>
      <w:r>
        <w:rPr>
          <w:rFonts w:ascii="Arial" w:eastAsia="Times New Roman" w:hAnsi="Arial" w:cs="Arial"/>
          <w:color w:val="000000"/>
          <w:lang w:eastAsia="en-GB"/>
        </w:rPr>
        <w:t xml:space="preserve">The only method of viewing artwork </w:t>
      </w:r>
      <w:r>
        <w:rPr>
          <w:rFonts w:ascii="Arial" w:eastAsia="Times New Roman" w:hAnsi="Arial" w:cs="Arial"/>
          <w:color w:val="000000"/>
          <w:lang w:eastAsia="en-GB"/>
        </w:rPr>
        <w:t xml:space="preserve">for centuries was to physically travel to see it in person, as means of global transport began to be invented people started taking and sharing art from other cultures in what is known as globalization. With the invention of the internet, social media and </w:t>
      </w:r>
      <w:r>
        <w:rPr>
          <w:rFonts w:ascii="Arial" w:eastAsia="Times New Roman" w:hAnsi="Arial" w:cs="Arial"/>
          <w:color w:val="000000"/>
          <w:lang w:eastAsia="en-GB"/>
        </w:rPr>
        <w:t>smartphones methods of sharing data has made the world smaller than ever. Currently there is about 2.5 billion smartphone users with a</w:t>
      </w:r>
      <w:r>
        <w:rPr>
          <w:rFonts w:ascii="Arial" w:eastAsia="Times New Roman" w:hAnsi="Arial" w:cs="Arial"/>
          <w:color w:val="000000"/>
          <w:shd w:val="clear" w:color="auto" w:fill="FFFFFF"/>
          <w:lang w:eastAsia="en-GB"/>
        </w:rPr>
        <w:t xml:space="preserve">n interesting statistic by statista.com stating that ‘The number of </w:t>
      </w:r>
      <w:hyperlink r:id="rId10" w:history="1">
        <w:r>
          <w:rPr>
            <w:rFonts w:ascii="Arial" w:eastAsia="Times New Roman" w:hAnsi="Arial" w:cs="Arial"/>
            <w:color w:val="000000"/>
            <w:shd w:val="clear" w:color="auto" w:fill="FFFFFF"/>
            <w:lang w:eastAsia="en-GB"/>
          </w:rPr>
          <w:t>mobile phone users</w:t>
        </w:r>
      </w:hyperlink>
      <w:r>
        <w:rPr>
          <w:rFonts w:ascii="Arial" w:eastAsia="Times New Roman" w:hAnsi="Arial" w:cs="Arial"/>
          <w:color w:val="000000"/>
          <w:shd w:val="clear" w:color="auto" w:fill="FFFFFF"/>
          <w:lang w:eastAsia="en-GB"/>
        </w:rPr>
        <w:t xml:space="preserve"> in the world is expected to pass the five billion mark by 2019’ which only means an increase in users with the ability to share any piece of art around the globe. This is the most modern fo</w:t>
      </w:r>
      <w:r>
        <w:rPr>
          <w:rFonts w:ascii="Arial" w:eastAsia="Times New Roman" w:hAnsi="Arial" w:cs="Arial"/>
          <w:color w:val="000000"/>
          <w:shd w:val="clear" w:color="auto" w:fill="FFFFFF"/>
          <w:lang w:eastAsia="en-GB"/>
        </w:rPr>
        <w:t xml:space="preserve">rm of social globalization. </w:t>
      </w:r>
    </w:p>
    <w:p w:rsidR="00100F48" w:rsidRDefault="00B70D55">
      <w:pPr>
        <w:spacing w:after="200" w:line="240" w:lineRule="auto"/>
        <w:ind w:firstLine="720"/>
        <w:jc w:val="both"/>
      </w:pPr>
      <w:r>
        <w:rPr>
          <w:rFonts w:ascii="Arial" w:eastAsia="Times New Roman" w:hAnsi="Arial" w:cs="Arial"/>
          <w:color w:val="000000"/>
          <w:shd w:val="clear" w:color="auto" w:fill="FFFFFF"/>
          <w:lang w:eastAsia="en-GB"/>
        </w:rPr>
        <w:t>“Social globalisation refers to the sharing of ideas and information between and through different countries... In today’s world, the Internet and social media is at the heart of this. Good examples of social globalisation coul</w:t>
      </w:r>
      <w:r>
        <w:rPr>
          <w:rFonts w:ascii="Arial" w:eastAsia="Times New Roman" w:hAnsi="Arial" w:cs="Arial"/>
          <w:color w:val="000000"/>
          <w:shd w:val="clear" w:color="auto" w:fill="FFFFFF"/>
          <w:lang w:eastAsia="en-GB"/>
        </w:rPr>
        <w:t>d include internationally popular films, books and TV series. The Harry Potter/ Twilight films and books have been successful all over the world, making the characters featured globally recognisable. However, this cultural flow tends to flow from the centr</w:t>
      </w:r>
      <w:r>
        <w:rPr>
          <w:rFonts w:ascii="Arial" w:eastAsia="Times New Roman" w:hAnsi="Arial" w:cs="Arial"/>
          <w:color w:val="000000"/>
          <w:shd w:val="clear" w:color="auto" w:fill="FFFFFF"/>
          <w:lang w:eastAsia="en-GB"/>
        </w:rPr>
        <w:t>e (i.e. from developed countries such as the USA to less developed countries). Social globalisation is often criticised for eroding cultural differences.” (Types of Globalisation, Fairhead, Rachel, 2018).</w:t>
      </w:r>
    </w:p>
    <w:p w:rsidR="00100F48" w:rsidRDefault="00B70D55">
      <w:pPr>
        <w:spacing w:after="200" w:line="240" w:lineRule="auto"/>
        <w:ind w:firstLine="720"/>
        <w:jc w:val="both"/>
      </w:pPr>
      <w:r>
        <w:rPr>
          <w:rFonts w:ascii="Arial" w:eastAsia="Times New Roman" w:hAnsi="Arial" w:cs="Arial"/>
          <w:color w:val="000000"/>
          <w:lang w:eastAsia="en-GB"/>
        </w:rPr>
        <w:t xml:space="preserve">This ties back with what we discussed earlier with </w:t>
      </w:r>
      <w:r>
        <w:rPr>
          <w:rFonts w:ascii="Arial" w:eastAsia="Times New Roman" w:hAnsi="Arial" w:cs="Arial"/>
          <w:color w:val="000000"/>
          <w:lang w:eastAsia="en-GB"/>
        </w:rPr>
        <w:t>people’s attention spans decreasing and people wanting to savour experiences or save it for their own pleasure, not in the moment. Globalization has influenced art immensely and not just by the outcome. Artists have more means of accessing influences now a</w:t>
      </w:r>
      <w:r>
        <w:rPr>
          <w:rFonts w:ascii="Arial" w:eastAsia="Times New Roman" w:hAnsi="Arial" w:cs="Arial"/>
          <w:color w:val="000000"/>
          <w:lang w:eastAsia="en-GB"/>
        </w:rPr>
        <w:t>nd means to research topics they may want to incorporate into their artwork through the internet. In addition, an artist or graphic designer uploading work to the world wide web now may need to think about how their piece will be interpreted globally and w</w:t>
      </w:r>
      <w:r>
        <w:rPr>
          <w:rFonts w:ascii="Arial" w:eastAsia="Times New Roman" w:hAnsi="Arial" w:cs="Arial"/>
          <w:color w:val="000000"/>
          <w:lang w:eastAsia="en-GB"/>
        </w:rPr>
        <w:t>hat effect that will have on the viewer. The interpretation of high and low culture is also affected by globalization as each nation has their own unique culture and classes along with that. An African’s interpretation of a fine art piece may be completely</w:t>
      </w:r>
      <w:r>
        <w:rPr>
          <w:rFonts w:ascii="Arial" w:eastAsia="Times New Roman" w:hAnsi="Arial" w:cs="Arial"/>
          <w:color w:val="000000"/>
          <w:lang w:eastAsia="en-GB"/>
        </w:rPr>
        <w:t xml:space="preserve"> different to someone’s in Asia or Europe. </w:t>
      </w:r>
    </w:p>
    <w:p w:rsidR="00100F48" w:rsidRDefault="00B70D55">
      <w:pPr>
        <w:spacing w:after="200" w:line="240" w:lineRule="auto"/>
        <w:ind w:firstLine="720"/>
        <w:jc w:val="both"/>
      </w:pPr>
      <w:r>
        <w:rPr>
          <w:rFonts w:ascii="Arial" w:eastAsia="Times New Roman" w:hAnsi="Arial" w:cs="Arial"/>
          <w:color w:val="000000"/>
          <w:lang w:eastAsia="en-GB"/>
        </w:rPr>
        <w:t>Technology in all its forms have brought the world closer together by interconnecting us through the internet and social media and giving us numerous methods of sharing experiences and knowledge to people all ove</w:t>
      </w:r>
      <w:r>
        <w:rPr>
          <w:rFonts w:ascii="Arial" w:eastAsia="Times New Roman" w:hAnsi="Arial" w:cs="Arial"/>
          <w:color w:val="000000"/>
          <w:lang w:eastAsia="en-GB"/>
        </w:rPr>
        <w:t xml:space="preserve">r the world. The act of witnessing and experiencing art is no longer geography bound as people </w:t>
      </w:r>
      <w:proofErr w:type="gramStart"/>
      <w:r>
        <w:rPr>
          <w:rFonts w:ascii="Arial" w:eastAsia="Times New Roman" w:hAnsi="Arial" w:cs="Arial"/>
          <w:color w:val="000000"/>
          <w:lang w:eastAsia="en-GB"/>
        </w:rPr>
        <w:t>are able to</w:t>
      </w:r>
      <w:proofErr w:type="gramEnd"/>
      <w:r>
        <w:rPr>
          <w:rFonts w:ascii="Arial" w:eastAsia="Times New Roman" w:hAnsi="Arial" w:cs="Arial"/>
          <w:color w:val="000000"/>
          <w:lang w:eastAsia="en-GB"/>
        </w:rPr>
        <w:t xml:space="preserve"> view digital replicas of almost anything now both feats accomplished by technology advancements. The fact that we can do this and the broad range of </w:t>
      </w:r>
      <w:r>
        <w:rPr>
          <w:rFonts w:ascii="Arial" w:eastAsia="Times New Roman" w:hAnsi="Arial" w:cs="Arial"/>
          <w:color w:val="000000"/>
          <w:lang w:eastAsia="en-GB"/>
        </w:rPr>
        <w:t>people that are capable and have access to this ability through smartphones and cameras has eliminated the presence of high and low culture with the masses and as a result most people aren't even aware of these terms. Instead people frequently categorise t</w:t>
      </w:r>
      <w:r>
        <w:rPr>
          <w:rFonts w:ascii="Arial" w:eastAsia="Times New Roman" w:hAnsi="Arial" w:cs="Arial"/>
          <w:color w:val="000000"/>
          <w:lang w:eastAsia="en-GB"/>
        </w:rPr>
        <w:t>he works of the ‘greats’ as fine art or classics whereas the work which we have looked at as being low culture is simply referred to as ‘art’ or ‘pop art’. Are the terms high and low culture now redundant? Potentially, in the sense of rating art and cultur</w:t>
      </w:r>
      <w:r>
        <w:rPr>
          <w:rFonts w:ascii="Arial" w:eastAsia="Times New Roman" w:hAnsi="Arial" w:cs="Arial"/>
          <w:color w:val="000000"/>
          <w:lang w:eastAsia="en-GB"/>
        </w:rPr>
        <w:t xml:space="preserve">e as high or low and degrading people’s ability to understand art simply by where they place on the class </w:t>
      </w:r>
      <w:r>
        <w:rPr>
          <w:rFonts w:ascii="Arial" w:eastAsia="Times New Roman" w:hAnsi="Arial" w:cs="Arial"/>
          <w:color w:val="000000"/>
          <w:lang w:eastAsia="en-GB"/>
        </w:rPr>
        <w:lastRenderedPageBreak/>
        <w:t xml:space="preserve">system. The more appropriate and current way of discussing high and low culture can be deduced to popular and fine art for the grand populous and new </w:t>
      </w:r>
      <w:r>
        <w:rPr>
          <w:rFonts w:ascii="Arial" w:eastAsia="Times New Roman" w:hAnsi="Arial" w:cs="Arial"/>
          <w:color w:val="000000"/>
          <w:lang w:eastAsia="en-GB"/>
        </w:rPr>
        <w:t>generation.</w:t>
      </w:r>
    </w:p>
    <w:p w:rsidR="00100F48" w:rsidRDefault="00B70D55">
      <w:pPr>
        <w:jc w:val="both"/>
        <w:rPr>
          <w:rFonts w:ascii="Arial" w:hAnsi="Arial" w:cs="Arial"/>
          <w:u w:val="single"/>
        </w:rPr>
      </w:pPr>
      <w:r>
        <w:rPr>
          <w:rFonts w:ascii="Arial" w:hAnsi="Arial" w:cs="Arial"/>
          <w:u w:val="single"/>
        </w:rPr>
        <w:t>Bibliography</w:t>
      </w:r>
    </w:p>
    <w:p w:rsidR="00100F48" w:rsidRDefault="00B70D55">
      <w:pPr>
        <w:pStyle w:val="NormalWeb"/>
        <w:spacing w:before="0" w:after="180"/>
        <w:ind w:left="450" w:hanging="450"/>
      </w:pPr>
      <w:r>
        <w:rPr>
          <w:rFonts w:ascii="Arial" w:hAnsi="Arial" w:cs="Arial"/>
          <w:color w:val="000000"/>
          <w:sz w:val="22"/>
          <w:szCs w:val="22"/>
        </w:rPr>
        <w:t>BBC News. (2013). </w:t>
      </w:r>
      <w:r>
        <w:rPr>
          <w:rFonts w:ascii="Arial" w:hAnsi="Arial" w:cs="Arial"/>
          <w:i/>
          <w:iCs/>
          <w:color w:val="000000"/>
          <w:sz w:val="22"/>
          <w:szCs w:val="22"/>
        </w:rPr>
        <w:t>UK 'now has seven social classes'</w:t>
      </w:r>
      <w:r>
        <w:rPr>
          <w:rFonts w:ascii="Arial" w:hAnsi="Arial" w:cs="Arial"/>
          <w:color w:val="000000"/>
          <w:sz w:val="22"/>
          <w:szCs w:val="22"/>
        </w:rPr>
        <w:t>. [online] Available at: https://www.bbc.co.uk/news/uk-22007058 [Accessed 10 Dec. 2018].</w:t>
      </w:r>
    </w:p>
    <w:p w:rsidR="00100F48" w:rsidRDefault="00B70D55">
      <w:pPr>
        <w:pStyle w:val="NormalWeb"/>
        <w:spacing w:before="0" w:after="180"/>
        <w:ind w:left="450" w:hanging="450"/>
      </w:pPr>
      <w:r>
        <w:rPr>
          <w:rFonts w:ascii="Arial" w:hAnsi="Arial" w:cs="Arial"/>
          <w:color w:val="000000"/>
          <w:sz w:val="22"/>
          <w:szCs w:val="22"/>
        </w:rPr>
        <w:t>Beckett, W. (2005). </w:t>
      </w:r>
      <w:r>
        <w:rPr>
          <w:rFonts w:ascii="Arial" w:hAnsi="Arial" w:cs="Arial"/>
          <w:i/>
          <w:iCs/>
          <w:color w:val="000000"/>
          <w:sz w:val="22"/>
          <w:szCs w:val="22"/>
        </w:rPr>
        <w:t>The Art of Looking at Art</w:t>
      </w:r>
      <w:r>
        <w:rPr>
          <w:rFonts w:ascii="Arial" w:hAnsi="Arial" w:cs="Arial"/>
          <w:color w:val="000000"/>
          <w:sz w:val="22"/>
          <w:szCs w:val="22"/>
        </w:rPr>
        <w:t xml:space="preserve">. [online] </w:t>
      </w:r>
      <w:proofErr w:type="spellStart"/>
      <w:r>
        <w:rPr>
          <w:rFonts w:ascii="Arial" w:hAnsi="Arial" w:cs="Arial"/>
          <w:color w:val="000000"/>
          <w:sz w:val="22"/>
          <w:szCs w:val="22"/>
        </w:rPr>
        <w:t>Encyclopedia</w:t>
      </w:r>
      <w:proofErr w:type="spellEnd"/>
      <w:r>
        <w:rPr>
          <w:rFonts w:ascii="Arial" w:hAnsi="Arial" w:cs="Arial"/>
          <w:color w:val="000000"/>
          <w:sz w:val="22"/>
          <w:szCs w:val="22"/>
        </w:rPr>
        <w:t xml:space="preserve"> Britannica. Available </w:t>
      </w:r>
      <w:r>
        <w:rPr>
          <w:rFonts w:ascii="Arial" w:hAnsi="Arial" w:cs="Arial"/>
          <w:color w:val="000000"/>
          <w:sz w:val="22"/>
          <w:szCs w:val="22"/>
        </w:rPr>
        <w:t>at: https://www.britannica.com/topic/experiencing-art-1368300 [Accessed 10 Dec. 2018].</w:t>
      </w:r>
    </w:p>
    <w:p w:rsidR="00100F48" w:rsidRDefault="00B70D55">
      <w:pPr>
        <w:spacing w:after="180" w:line="240" w:lineRule="auto"/>
        <w:ind w:left="450" w:hanging="450"/>
      </w:pPr>
      <w:r>
        <w:rPr>
          <w:rFonts w:ascii="Arial" w:eastAsia="Times New Roman" w:hAnsi="Arial" w:cs="Arial"/>
          <w:color w:val="000000"/>
          <w:lang w:eastAsia="en-GB"/>
        </w:rPr>
        <w:t>Collins, L. (2007). </w:t>
      </w:r>
      <w:r>
        <w:rPr>
          <w:rFonts w:ascii="Arial" w:eastAsia="Times New Roman" w:hAnsi="Arial" w:cs="Arial"/>
          <w:i/>
          <w:iCs/>
          <w:color w:val="000000"/>
          <w:lang w:eastAsia="en-GB"/>
        </w:rPr>
        <w:t>Banksy Was Here</w:t>
      </w:r>
      <w:r>
        <w:rPr>
          <w:rFonts w:ascii="Arial" w:eastAsia="Times New Roman" w:hAnsi="Arial" w:cs="Arial"/>
          <w:color w:val="000000"/>
          <w:lang w:eastAsia="en-GB"/>
        </w:rPr>
        <w:t>. [online] The New Yorker. Available at: https://www.newyorker.com/magazine/2007/05/14/banksy-was-here [Accessed 10 Dec. 2018].</w:t>
      </w:r>
    </w:p>
    <w:p w:rsidR="00100F48" w:rsidRDefault="00B70D55">
      <w:pPr>
        <w:spacing w:after="180" w:line="240" w:lineRule="auto"/>
        <w:ind w:left="450" w:hanging="450"/>
      </w:pPr>
      <w:r>
        <w:rPr>
          <w:rFonts w:ascii="Arial" w:eastAsia="Times New Roman" w:hAnsi="Arial" w:cs="Arial"/>
          <w:color w:val="000000"/>
          <w:lang w:eastAsia="en-GB"/>
        </w:rPr>
        <w:t>Course</w:t>
      </w:r>
      <w:r>
        <w:rPr>
          <w:rFonts w:ascii="Arial" w:eastAsia="Times New Roman" w:hAnsi="Arial" w:cs="Arial"/>
          <w:color w:val="000000"/>
          <w:lang w:eastAsia="en-GB"/>
        </w:rPr>
        <w:t>s.lumenlearning.com. (2018). </w:t>
      </w:r>
      <w:r>
        <w:rPr>
          <w:rFonts w:ascii="Arial" w:eastAsia="Times New Roman" w:hAnsi="Arial" w:cs="Arial"/>
          <w:i/>
          <w:iCs/>
          <w:color w:val="000000"/>
          <w:lang w:eastAsia="en-GB"/>
        </w:rPr>
        <w:t>Culture and Adaptation | Boundless Sociology</w:t>
      </w:r>
      <w:r>
        <w:rPr>
          <w:rFonts w:ascii="Arial" w:eastAsia="Times New Roman" w:hAnsi="Arial" w:cs="Arial"/>
          <w:color w:val="000000"/>
          <w:lang w:eastAsia="en-GB"/>
        </w:rPr>
        <w:t>. [online] Available at: https://courses.lumenlearning.com/boundless-sociology/chapter/culture-and-adaptation/ [Accessed 10 Dec. 2018].</w:t>
      </w:r>
    </w:p>
    <w:p w:rsidR="00100F48" w:rsidRDefault="00B70D55">
      <w:pPr>
        <w:spacing w:after="180" w:line="240" w:lineRule="auto"/>
        <w:ind w:left="450" w:hanging="450"/>
      </w:pPr>
      <w:r>
        <w:rPr>
          <w:rFonts w:ascii="Arial" w:eastAsia="Times New Roman" w:hAnsi="Arial" w:cs="Arial"/>
          <w:color w:val="000000"/>
          <w:lang w:eastAsia="en-GB"/>
        </w:rPr>
        <w:t>Ellsworth-Jones, W. (2018). </w:t>
      </w:r>
      <w:r>
        <w:rPr>
          <w:rFonts w:ascii="Arial" w:eastAsia="Times New Roman" w:hAnsi="Arial" w:cs="Arial"/>
          <w:i/>
          <w:iCs/>
          <w:color w:val="000000"/>
          <w:lang w:eastAsia="en-GB"/>
        </w:rPr>
        <w:t>The Story Behind Ba</w:t>
      </w:r>
      <w:r>
        <w:rPr>
          <w:rFonts w:ascii="Arial" w:eastAsia="Times New Roman" w:hAnsi="Arial" w:cs="Arial"/>
          <w:i/>
          <w:iCs/>
          <w:color w:val="000000"/>
          <w:lang w:eastAsia="en-GB"/>
        </w:rPr>
        <w:t>nksy</w:t>
      </w:r>
      <w:r>
        <w:rPr>
          <w:rFonts w:ascii="Arial" w:eastAsia="Times New Roman" w:hAnsi="Arial" w:cs="Arial"/>
          <w:color w:val="000000"/>
          <w:lang w:eastAsia="en-GB"/>
        </w:rPr>
        <w:t>. [online] Smithsonian. Available at: https://www.smithsonianmag.com/arts-culture/the-story-behind-banksy-4310304/?preview=%25253e%25253d&amp;page=3 [Accessed 10 Dec. 2018].</w:t>
      </w:r>
    </w:p>
    <w:p w:rsidR="00100F48" w:rsidRDefault="00B70D55">
      <w:pPr>
        <w:spacing w:after="180" w:line="240" w:lineRule="auto"/>
        <w:ind w:left="450" w:hanging="450"/>
      </w:pPr>
      <w:proofErr w:type="spellStart"/>
      <w:r>
        <w:rPr>
          <w:rFonts w:ascii="Arial" w:eastAsia="Times New Roman" w:hAnsi="Arial" w:cs="Arial"/>
          <w:color w:val="000000"/>
          <w:lang w:eastAsia="en-GB"/>
        </w:rPr>
        <w:t>eNotes</w:t>
      </w:r>
      <w:proofErr w:type="spellEnd"/>
      <w:r>
        <w:rPr>
          <w:rFonts w:ascii="Arial" w:eastAsia="Times New Roman" w:hAnsi="Arial" w:cs="Arial"/>
          <w:color w:val="000000"/>
          <w:lang w:eastAsia="en-GB"/>
        </w:rPr>
        <w:t>. (2018). </w:t>
      </w:r>
      <w:r>
        <w:rPr>
          <w:rFonts w:ascii="Arial" w:eastAsia="Times New Roman" w:hAnsi="Arial" w:cs="Arial"/>
          <w:i/>
          <w:iCs/>
          <w:color w:val="000000"/>
          <w:lang w:eastAsia="en-GB"/>
        </w:rPr>
        <w:t xml:space="preserve">definition of High Culture, Low </w:t>
      </w:r>
      <w:proofErr w:type="gramStart"/>
      <w:r>
        <w:rPr>
          <w:rFonts w:ascii="Arial" w:eastAsia="Times New Roman" w:hAnsi="Arial" w:cs="Arial"/>
          <w:i/>
          <w:iCs/>
          <w:color w:val="000000"/>
          <w:lang w:eastAsia="en-GB"/>
        </w:rPr>
        <w:t>Culture ,</w:t>
      </w:r>
      <w:proofErr w:type="gramEnd"/>
      <w:r>
        <w:rPr>
          <w:rFonts w:ascii="Arial" w:eastAsia="Times New Roman" w:hAnsi="Arial" w:cs="Arial"/>
          <w:i/>
          <w:iCs/>
          <w:color w:val="000000"/>
          <w:lang w:eastAsia="en-GB"/>
        </w:rPr>
        <w:t xml:space="preserve"> hybrid culture and popul</w:t>
      </w:r>
      <w:r>
        <w:rPr>
          <w:rFonts w:ascii="Arial" w:eastAsia="Times New Roman" w:hAnsi="Arial" w:cs="Arial"/>
          <w:i/>
          <w:iCs/>
          <w:color w:val="000000"/>
          <w:lang w:eastAsia="en-GB"/>
        </w:rPr>
        <w:t xml:space="preserve">ar culture in depth. | </w:t>
      </w:r>
      <w:proofErr w:type="spellStart"/>
      <w:r>
        <w:rPr>
          <w:rFonts w:ascii="Arial" w:eastAsia="Times New Roman" w:hAnsi="Arial" w:cs="Arial"/>
          <w:i/>
          <w:iCs/>
          <w:color w:val="000000"/>
          <w:lang w:eastAsia="en-GB"/>
        </w:rPr>
        <w:t>eNotes</w:t>
      </w:r>
      <w:proofErr w:type="spellEnd"/>
      <w:r>
        <w:rPr>
          <w:rFonts w:ascii="Arial" w:eastAsia="Times New Roman" w:hAnsi="Arial" w:cs="Arial"/>
          <w:color w:val="000000"/>
          <w:lang w:eastAsia="en-GB"/>
        </w:rPr>
        <w:t>. [online] Available at: https://www.enotes.com/homework-help/definition-high-culture-low-culture-hybrid-culture-468640 [Accessed 10 Dec. 2018].</w:t>
      </w:r>
    </w:p>
    <w:p w:rsidR="00100F48" w:rsidRDefault="00B70D55">
      <w:pPr>
        <w:spacing w:after="180" w:line="240" w:lineRule="auto"/>
        <w:ind w:left="450" w:hanging="450"/>
      </w:pPr>
      <w:r>
        <w:rPr>
          <w:rFonts w:ascii="Arial" w:eastAsia="Times New Roman" w:hAnsi="Arial" w:cs="Arial"/>
          <w:color w:val="000000"/>
          <w:lang w:eastAsia="en-GB"/>
        </w:rPr>
        <w:t>Fairhead, R. (2018). </w:t>
      </w:r>
      <w:r>
        <w:rPr>
          <w:rFonts w:ascii="Arial" w:eastAsia="Times New Roman" w:hAnsi="Arial" w:cs="Arial"/>
          <w:i/>
          <w:iCs/>
          <w:color w:val="000000"/>
          <w:lang w:eastAsia="en-GB"/>
        </w:rPr>
        <w:t>Types of globalisation | tutor2u Politics</w:t>
      </w:r>
      <w:r>
        <w:rPr>
          <w:rFonts w:ascii="Arial" w:eastAsia="Times New Roman" w:hAnsi="Arial" w:cs="Arial"/>
          <w:color w:val="000000"/>
          <w:lang w:eastAsia="en-GB"/>
        </w:rPr>
        <w:t xml:space="preserve">. [online] tutor2u. </w:t>
      </w:r>
      <w:r>
        <w:rPr>
          <w:rFonts w:ascii="Arial" w:eastAsia="Times New Roman" w:hAnsi="Arial" w:cs="Arial"/>
          <w:color w:val="000000"/>
          <w:lang w:eastAsia="en-GB"/>
        </w:rPr>
        <w:t>Available at: https://www.tutor2u.net/politics/reference/types-of-globalisation [Accessed 10 Dec. 2018].</w:t>
      </w:r>
    </w:p>
    <w:p w:rsidR="00100F48" w:rsidRDefault="00B70D55">
      <w:pPr>
        <w:spacing w:after="180" w:line="240" w:lineRule="auto"/>
        <w:ind w:left="450" w:hanging="450"/>
      </w:pPr>
      <w:r>
        <w:rPr>
          <w:rFonts w:ascii="Arial" w:eastAsia="Times New Roman" w:hAnsi="Arial" w:cs="Arial"/>
          <w:color w:val="000000"/>
          <w:lang w:eastAsia="en-GB"/>
        </w:rPr>
        <w:t>Gere, C. (2009). </w:t>
      </w:r>
      <w:r>
        <w:rPr>
          <w:rFonts w:ascii="Arial" w:eastAsia="Times New Roman" w:hAnsi="Arial" w:cs="Arial"/>
          <w:i/>
          <w:iCs/>
          <w:color w:val="000000"/>
          <w:lang w:eastAsia="en-GB"/>
        </w:rPr>
        <w:t>Digital Culture</w:t>
      </w:r>
      <w:r>
        <w:rPr>
          <w:rFonts w:ascii="Arial" w:eastAsia="Times New Roman" w:hAnsi="Arial" w:cs="Arial"/>
          <w:color w:val="000000"/>
          <w:lang w:eastAsia="en-GB"/>
        </w:rPr>
        <w:t xml:space="preserve">. London: </w:t>
      </w:r>
      <w:proofErr w:type="spellStart"/>
      <w:r>
        <w:rPr>
          <w:rFonts w:ascii="Arial" w:eastAsia="Times New Roman" w:hAnsi="Arial" w:cs="Arial"/>
          <w:color w:val="000000"/>
          <w:lang w:eastAsia="en-GB"/>
        </w:rPr>
        <w:t>Reaktion</w:t>
      </w:r>
      <w:proofErr w:type="spellEnd"/>
      <w:r>
        <w:rPr>
          <w:rFonts w:ascii="Arial" w:eastAsia="Times New Roman" w:hAnsi="Arial" w:cs="Arial"/>
          <w:color w:val="000000"/>
          <w:lang w:eastAsia="en-GB"/>
        </w:rPr>
        <w:t xml:space="preserve"> Books.</w:t>
      </w:r>
    </w:p>
    <w:p w:rsidR="00100F48" w:rsidRDefault="00B70D55">
      <w:pPr>
        <w:spacing w:after="180" w:line="240" w:lineRule="auto"/>
        <w:ind w:left="450" w:hanging="450"/>
      </w:pPr>
      <w:r>
        <w:rPr>
          <w:rFonts w:ascii="Arial" w:eastAsia="Times New Roman" w:hAnsi="Arial" w:cs="Arial"/>
          <w:color w:val="000000"/>
          <w:lang w:eastAsia="en-GB"/>
        </w:rPr>
        <w:t>Grayling, A. (2018). </w:t>
      </w:r>
      <w:r>
        <w:rPr>
          <w:rFonts w:ascii="Arial" w:eastAsia="Times New Roman" w:hAnsi="Arial" w:cs="Arial"/>
          <w:i/>
          <w:iCs/>
          <w:color w:val="000000"/>
          <w:lang w:eastAsia="en-GB"/>
        </w:rPr>
        <w:t>AC Grayling on art and elitism</w:t>
      </w:r>
      <w:r>
        <w:rPr>
          <w:rFonts w:ascii="Arial" w:eastAsia="Times New Roman" w:hAnsi="Arial" w:cs="Arial"/>
          <w:color w:val="000000"/>
          <w:lang w:eastAsia="en-GB"/>
        </w:rPr>
        <w:t xml:space="preserve">. [online] the Guardian. </w:t>
      </w:r>
      <w:r>
        <w:rPr>
          <w:rFonts w:ascii="Arial" w:eastAsia="Times New Roman" w:hAnsi="Arial" w:cs="Arial"/>
          <w:color w:val="000000"/>
          <w:lang w:eastAsia="en-GB"/>
        </w:rPr>
        <w:t>Available at: https://www.theguardian.com/books/2002/jul/13/arts.artsfeatures [Accessed 10 Dec. 2018].</w:t>
      </w:r>
    </w:p>
    <w:p w:rsidR="00100F48" w:rsidRDefault="00B70D55">
      <w:pPr>
        <w:spacing w:after="180" w:line="240" w:lineRule="auto"/>
        <w:ind w:left="450" w:hanging="450"/>
      </w:pPr>
      <w:r>
        <w:rPr>
          <w:rFonts w:ascii="Arial" w:eastAsia="Times New Roman" w:hAnsi="Arial" w:cs="Arial"/>
          <w:color w:val="000000"/>
          <w:lang w:eastAsia="en-GB"/>
        </w:rPr>
        <w:t>Inglis, D. (2004). </w:t>
      </w:r>
      <w:r>
        <w:rPr>
          <w:rFonts w:ascii="Arial" w:eastAsia="Times New Roman" w:hAnsi="Arial" w:cs="Arial"/>
          <w:i/>
          <w:iCs/>
          <w:color w:val="000000"/>
          <w:lang w:eastAsia="en-GB"/>
        </w:rPr>
        <w:t>Culture and everyday life</w:t>
      </w:r>
      <w:r>
        <w:rPr>
          <w:rFonts w:ascii="Arial" w:eastAsia="Times New Roman" w:hAnsi="Arial" w:cs="Arial"/>
          <w:color w:val="000000"/>
          <w:lang w:eastAsia="en-GB"/>
        </w:rPr>
        <w:t>. London: Routledge.</w:t>
      </w:r>
    </w:p>
    <w:p w:rsidR="00100F48" w:rsidRDefault="00B70D55">
      <w:pPr>
        <w:spacing w:after="180" w:line="240" w:lineRule="auto"/>
        <w:ind w:left="450" w:hanging="450"/>
      </w:pPr>
      <w:r>
        <w:rPr>
          <w:rFonts w:ascii="Arial" w:eastAsia="Times New Roman" w:hAnsi="Arial" w:cs="Arial"/>
          <w:color w:val="000000"/>
          <w:lang w:eastAsia="en-GB"/>
        </w:rPr>
        <w:t>Jones, A. (2018). </w:t>
      </w:r>
      <w:r>
        <w:rPr>
          <w:rFonts w:ascii="Arial" w:eastAsia="Times New Roman" w:hAnsi="Arial" w:cs="Arial"/>
          <w:i/>
          <w:iCs/>
          <w:color w:val="000000"/>
          <w:lang w:eastAsia="en-GB"/>
        </w:rPr>
        <w:t xml:space="preserve">High culture versus pop culture: which is best for engaging </w:t>
      </w:r>
      <w:proofErr w:type="gramStart"/>
      <w:r>
        <w:rPr>
          <w:rFonts w:ascii="Arial" w:eastAsia="Times New Roman" w:hAnsi="Arial" w:cs="Arial"/>
          <w:i/>
          <w:iCs/>
          <w:color w:val="000000"/>
          <w:lang w:eastAsia="en-GB"/>
        </w:rPr>
        <w:t>students?</w:t>
      </w:r>
      <w:r>
        <w:rPr>
          <w:rFonts w:ascii="Arial" w:eastAsia="Times New Roman" w:hAnsi="Arial" w:cs="Arial"/>
          <w:color w:val="000000"/>
          <w:lang w:eastAsia="en-GB"/>
        </w:rPr>
        <w:t>.</w:t>
      </w:r>
      <w:proofErr w:type="gramEnd"/>
      <w:r>
        <w:rPr>
          <w:rFonts w:ascii="Arial" w:eastAsia="Times New Roman" w:hAnsi="Arial" w:cs="Arial"/>
          <w:color w:val="000000"/>
          <w:lang w:eastAsia="en-GB"/>
        </w:rPr>
        <w:t xml:space="preserve"> [online] the Guardian. Available at: https://www.theguardian.com/teacher-network/teacher-blog/2013/feb/20/pop-culture-teaching-learning-engaging-students [Accessed 10 Dec. 2018].</w:t>
      </w:r>
    </w:p>
    <w:p w:rsidR="00100F48" w:rsidRDefault="00B70D55">
      <w:pPr>
        <w:spacing w:after="180" w:line="240" w:lineRule="auto"/>
        <w:ind w:left="450" w:hanging="450"/>
      </w:pPr>
      <w:r>
        <w:rPr>
          <w:rFonts w:ascii="Arial" w:eastAsia="Times New Roman" w:hAnsi="Arial" w:cs="Arial"/>
          <w:color w:val="000000"/>
          <w:lang w:eastAsia="en-GB"/>
        </w:rPr>
        <w:t>Macdonald, D. (1953). A Theory of Mass Culture. </w:t>
      </w:r>
      <w:r>
        <w:rPr>
          <w:rFonts w:ascii="Arial" w:eastAsia="Times New Roman" w:hAnsi="Arial" w:cs="Arial"/>
          <w:i/>
          <w:iCs/>
          <w:color w:val="000000"/>
          <w:lang w:eastAsia="en-GB"/>
        </w:rPr>
        <w:t>Diogenes</w:t>
      </w:r>
      <w:r>
        <w:rPr>
          <w:rFonts w:ascii="Arial" w:eastAsia="Times New Roman" w:hAnsi="Arial" w:cs="Arial"/>
          <w:color w:val="000000"/>
          <w:lang w:eastAsia="en-GB"/>
        </w:rPr>
        <w:t>, 1(3), pp.1-17.</w:t>
      </w:r>
    </w:p>
    <w:p w:rsidR="00100F48" w:rsidRDefault="00B70D55">
      <w:pPr>
        <w:spacing w:after="180" w:line="240" w:lineRule="auto"/>
        <w:ind w:left="450" w:hanging="450"/>
      </w:pPr>
      <w:r>
        <w:rPr>
          <w:rFonts w:ascii="Arial" w:eastAsia="Times New Roman" w:hAnsi="Arial" w:cs="Arial"/>
          <w:color w:val="000000"/>
          <w:lang w:eastAsia="en-GB"/>
        </w:rPr>
        <w:t>Mil</w:t>
      </w:r>
      <w:r>
        <w:rPr>
          <w:rFonts w:ascii="Arial" w:eastAsia="Times New Roman" w:hAnsi="Arial" w:cs="Arial"/>
          <w:color w:val="000000"/>
          <w:lang w:eastAsia="en-GB"/>
        </w:rPr>
        <w:t>ler, N. (2018). </w:t>
      </w:r>
      <w:r>
        <w:rPr>
          <w:rFonts w:ascii="Arial" w:eastAsia="Times New Roman" w:hAnsi="Arial" w:cs="Arial"/>
          <w:i/>
          <w:iCs/>
          <w:color w:val="000000"/>
          <w:lang w:eastAsia="en-GB"/>
        </w:rPr>
        <w:t>Banksy Talks Art, Power and Exit Through the Gift Shop</w:t>
      </w:r>
      <w:r>
        <w:rPr>
          <w:rFonts w:ascii="Arial" w:eastAsia="Times New Roman" w:hAnsi="Arial" w:cs="Arial"/>
          <w:color w:val="000000"/>
          <w:lang w:eastAsia="en-GB"/>
        </w:rPr>
        <w:t>. [online] WIRED. Available at: https://www.wired.com/2010/04/banksy-exit-through-the-gift-shop/ [Accessed 10 Dec. 2018].</w:t>
      </w:r>
    </w:p>
    <w:p w:rsidR="00100F48" w:rsidRDefault="00B70D55">
      <w:pPr>
        <w:spacing w:after="180" w:line="240" w:lineRule="auto"/>
        <w:ind w:left="450" w:hanging="450"/>
      </w:pPr>
      <w:r>
        <w:rPr>
          <w:rFonts w:ascii="Arial" w:eastAsia="Times New Roman" w:hAnsi="Arial" w:cs="Arial"/>
          <w:color w:val="000000"/>
          <w:lang w:eastAsia="en-GB"/>
        </w:rPr>
        <w:t>Neamathisi.com. (2018). </w:t>
      </w:r>
      <w:r>
        <w:rPr>
          <w:rFonts w:ascii="Arial" w:eastAsia="Times New Roman" w:hAnsi="Arial" w:cs="Arial"/>
          <w:i/>
          <w:iCs/>
          <w:color w:val="000000"/>
          <w:lang w:eastAsia="en-GB"/>
        </w:rPr>
        <w:t>Matthew Arnold on Learning ‘The Best Whi</w:t>
      </w:r>
      <w:r>
        <w:rPr>
          <w:rFonts w:ascii="Arial" w:eastAsia="Times New Roman" w:hAnsi="Arial" w:cs="Arial"/>
          <w:i/>
          <w:iCs/>
          <w:color w:val="000000"/>
          <w:lang w:eastAsia="en-GB"/>
        </w:rPr>
        <w:t>ch Has Been Thought and Said</w:t>
      </w:r>
      <w:proofErr w:type="gramStart"/>
      <w:r>
        <w:rPr>
          <w:rFonts w:ascii="Arial" w:eastAsia="Times New Roman" w:hAnsi="Arial" w:cs="Arial"/>
          <w:i/>
          <w:iCs/>
          <w:color w:val="000000"/>
          <w:lang w:eastAsia="en-GB"/>
        </w:rPr>
        <w:t>’  |</w:t>
      </w:r>
      <w:proofErr w:type="gramEnd"/>
      <w:r>
        <w:rPr>
          <w:rFonts w:ascii="Arial" w:eastAsia="Times New Roman" w:hAnsi="Arial" w:cs="Arial"/>
          <w:i/>
          <w:iCs/>
          <w:color w:val="000000"/>
          <w:lang w:eastAsia="en-GB"/>
        </w:rPr>
        <w:t xml:space="preserve">  Chapter 7: Knowledge and Learning  |  </w:t>
      </w:r>
      <w:proofErr w:type="spellStart"/>
      <w:r>
        <w:rPr>
          <w:rFonts w:ascii="Arial" w:eastAsia="Times New Roman" w:hAnsi="Arial" w:cs="Arial"/>
          <w:i/>
          <w:iCs/>
          <w:color w:val="000000"/>
          <w:lang w:eastAsia="en-GB"/>
        </w:rPr>
        <w:t>Νέ</w:t>
      </w:r>
      <w:proofErr w:type="spellEnd"/>
      <w:r>
        <w:rPr>
          <w:rFonts w:ascii="Arial" w:eastAsia="Times New Roman" w:hAnsi="Arial" w:cs="Arial"/>
          <w:i/>
          <w:iCs/>
          <w:color w:val="000000"/>
          <w:lang w:eastAsia="en-GB"/>
        </w:rPr>
        <w:t xml:space="preserve">α </w:t>
      </w:r>
      <w:proofErr w:type="spellStart"/>
      <w:r>
        <w:rPr>
          <w:rFonts w:ascii="Arial" w:eastAsia="Times New Roman" w:hAnsi="Arial" w:cs="Arial"/>
          <w:i/>
          <w:iCs/>
          <w:color w:val="000000"/>
          <w:lang w:eastAsia="en-GB"/>
        </w:rPr>
        <w:t>Μάθηση</w:t>
      </w:r>
      <w:proofErr w:type="spellEnd"/>
      <w:r>
        <w:rPr>
          <w:rFonts w:ascii="Arial" w:eastAsia="Times New Roman" w:hAnsi="Arial" w:cs="Arial"/>
          <w:i/>
          <w:iCs/>
          <w:color w:val="000000"/>
          <w:lang w:eastAsia="en-GB"/>
        </w:rPr>
        <w:t xml:space="preserve">  |  </w:t>
      </w:r>
      <w:proofErr w:type="spellStart"/>
      <w:r>
        <w:rPr>
          <w:rFonts w:ascii="Arial" w:eastAsia="Times New Roman" w:hAnsi="Arial" w:cs="Arial"/>
          <w:i/>
          <w:iCs/>
          <w:color w:val="000000"/>
          <w:lang w:eastAsia="en-GB"/>
        </w:rPr>
        <w:t>Neamathisi</w:t>
      </w:r>
      <w:proofErr w:type="spellEnd"/>
      <w:r>
        <w:rPr>
          <w:rFonts w:ascii="Arial" w:eastAsia="Times New Roman" w:hAnsi="Arial" w:cs="Arial"/>
          <w:color w:val="000000"/>
          <w:lang w:eastAsia="en-GB"/>
        </w:rPr>
        <w:t>. [online] Available at: http://neamathisi.com/new-learning/chapter-7-knowledge-and-learning/matthew-arnold-on-learning-the-best-which-has-been-thought-and-sai</w:t>
      </w:r>
      <w:r>
        <w:rPr>
          <w:rFonts w:ascii="Arial" w:eastAsia="Times New Roman" w:hAnsi="Arial" w:cs="Arial"/>
          <w:color w:val="000000"/>
          <w:lang w:eastAsia="en-GB"/>
        </w:rPr>
        <w:t>d [Accessed 10 Dec. 2018].</w:t>
      </w:r>
    </w:p>
    <w:p w:rsidR="00100F48" w:rsidRDefault="00B70D55">
      <w:pPr>
        <w:spacing w:after="180" w:line="240" w:lineRule="auto"/>
        <w:ind w:left="450" w:hanging="450"/>
      </w:pPr>
      <w:r>
        <w:rPr>
          <w:rFonts w:ascii="Arial" w:eastAsia="Times New Roman" w:hAnsi="Arial" w:cs="Arial"/>
          <w:color w:val="000000"/>
          <w:lang w:eastAsia="en-GB"/>
        </w:rPr>
        <w:lastRenderedPageBreak/>
        <w:t>Statista. (2018). </w:t>
      </w:r>
      <w:r>
        <w:rPr>
          <w:rFonts w:ascii="Arial" w:eastAsia="Times New Roman" w:hAnsi="Arial" w:cs="Arial"/>
          <w:i/>
          <w:iCs/>
          <w:color w:val="000000"/>
          <w:lang w:eastAsia="en-GB"/>
        </w:rPr>
        <w:t>Number of smartphone users worldwide 2014-2020 | Statista</w:t>
      </w:r>
      <w:r>
        <w:rPr>
          <w:rFonts w:ascii="Arial" w:eastAsia="Times New Roman" w:hAnsi="Arial" w:cs="Arial"/>
          <w:color w:val="000000"/>
          <w:lang w:eastAsia="en-GB"/>
        </w:rPr>
        <w:t>. [online] Available at: https://www.statista.com/statistics/330695/number-of-smartphone-users-worldwide/ [Accessed 10 Dec. 2018].</w:t>
      </w:r>
    </w:p>
    <w:p w:rsidR="00100F48" w:rsidRDefault="00B70D55">
      <w:pPr>
        <w:spacing w:after="180" w:line="240" w:lineRule="auto"/>
        <w:ind w:left="450" w:hanging="450"/>
      </w:pPr>
      <w:proofErr w:type="spellStart"/>
      <w:r>
        <w:rPr>
          <w:rFonts w:ascii="Arial" w:eastAsia="Times New Roman" w:hAnsi="Arial" w:cs="Arial"/>
          <w:color w:val="000000"/>
          <w:lang w:eastAsia="en-GB"/>
        </w:rPr>
        <w:t>Varnedoe</w:t>
      </w:r>
      <w:proofErr w:type="spellEnd"/>
      <w:r>
        <w:rPr>
          <w:rFonts w:ascii="Arial" w:eastAsia="Times New Roman" w:hAnsi="Arial" w:cs="Arial"/>
          <w:color w:val="000000"/>
          <w:lang w:eastAsia="en-GB"/>
        </w:rPr>
        <w:t>, K. and Gopnik</w:t>
      </w:r>
      <w:r>
        <w:rPr>
          <w:rFonts w:ascii="Arial" w:eastAsia="Times New Roman" w:hAnsi="Arial" w:cs="Arial"/>
          <w:color w:val="000000"/>
          <w:lang w:eastAsia="en-GB"/>
        </w:rPr>
        <w:t>, A. (1990). </w:t>
      </w:r>
      <w:r>
        <w:rPr>
          <w:rFonts w:ascii="Arial" w:eastAsia="Times New Roman" w:hAnsi="Arial" w:cs="Arial"/>
          <w:i/>
          <w:iCs/>
          <w:color w:val="000000"/>
          <w:lang w:eastAsia="en-GB"/>
        </w:rPr>
        <w:t>High &amp; low</w:t>
      </w:r>
      <w:r>
        <w:rPr>
          <w:rFonts w:ascii="Arial" w:eastAsia="Times New Roman" w:hAnsi="Arial" w:cs="Arial"/>
          <w:color w:val="000000"/>
          <w:lang w:eastAsia="en-GB"/>
        </w:rPr>
        <w:t xml:space="preserve">. New York: Museum of Modern </w:t>
      </w:r>
      <w:proofErr w:type="gramStart"/>
      <w:r>
        <w:rPr>
          <w:rFonts w:ascii="Arial" w:eastAsia="Times New Roman" w:hAnsi="Arial" w:cs="Arial"/>
          <w:color w:val="000000"/>
          <w:lang w:eastAsia="en-GB"/>
        </w:rPr>
        <w:t>Art ;</w:t>
      </w:r>
      <w:proofErr w:type="gramEnd"/>
      <w:r>
        <w:rPr>
          <w:rFonts w:ascii="Arial" w:eastAsia="Times New Roman" w:hAnsi="Arial" w:cs="Arial"/>
          <w:color w:val="000000"/>
          <w:lang w:eastAsia="en-GB"/>
        </w:rPr>
        <w:t xml:space="preserve"> distributed by Abrams.</w:t>
      </w:r>
    </w:p>
    <w:p w:rsidR="00100F48" w:rsidRDefault="00B70D55">
      <w:pPr>
        <w:spacing w:after="180" w:line="240" w:lineRule="auto"/>
        <w:ind w:left="450" w:hanging="450"/>
      </w:pPr>
      <w:r>
        <w:rPr>
          <w:rFonts w:ascii="Arial" w:eastAsia="Times New Roman" w:hAnsi="Arial" w:cs="Arial"/>
          <w:color w:val="000000"/>
          <w:lang w:eastAsia="en-GB"/>
        </w:rPr>
        <w:t>Williams, R. (2018). </w:t>
      </w:r>
      <w:r>
        <w:rPr>
          <w:rFonts w:ascii="Arial" w:eastAsia="Times New Roman" w:hAnsi="Arial" w:cs="Arial"/>
          <w:i/>
          <w:iCs/>
          <w:color w:val="000000"/>
          <w:lang w:eastAsia="en-GB"/>
        </w:rPr>
        <w:t>On High and Popular Culture</w:t>
      </w:r>
      <w:r>
        <w:rPr>
          <w:rFonts w:ascii="Arial" w:eastAsia="Times New Roman" w:hAnsi="Arial" w:cs="Arial"/>
          <w:color w:val="000000"/>
          <w:lang w:eastAsia="en-GB"/>
        </w:rPr>
        <w:t>. [online] The New Republic. Available at: https://newrepublic.com/article/79269/high-and-popular-culture [Accessed 10 Dec. 201</w:t>
      </w:r>
      <w:r>
        <w:rPr>
          <w:rFonts w:ascii="Arial" w:eastAsia="Times New Roman" w:hAnsi="Arial" w:cs="Arial"/>
          <w:color w:val="000000"/>
          <w:lang w:eastAsia="en-GB"/>
        </w:rPr>
        <w:t>8].</w:t>
      </w:r>
      <w:bookmarkStart w:id="0" w:name="_GoBack"/>
      <w:bookmarkEnd w:id="0"/>
    </w:p>
    <w:p w:rsidR="00100F48" w:rsidRDefault="00B70D55">
      <w:pPr>
        <w:pStyle w:val="NormalWeb"/>
        <w:spacing w:before="0" w:after="180"/>
        <w:ind w:left="450" w:hanging="450"/>
      </w:pPr>
      <w:r>
        <w:rPr>
          <w:rFonts w:ascii="Arial" w:hAnsi="Arial" w:cs="Arial"/>
          <w:color w:val="000000"/>
          <w:sz w:val="22"/>
          <w:szCs w:val="22"/>
        </w:rPr>
        <w:t>Wonderopolis.org. (2011). </w:t>
      </w:r>
      <w:r>
        <w:rPr>
          <w:rFonts w:ascii="Arial" w:hAnsi="Arial" w:cs="Arial"/>
          <w:i/>
          <w:iCs/>
          <w:color w:val="000000"/>
          <w:sz w:val="22"/>
          <w:szCs w:val="22"/>
        </w:rPr>
        <w:t xml:space="preserve">How Old Is </w:t>
      </w:r>
      <w:proofErr w:type="gramStart"/>
      <w:r>
        <w:rPr>
          <w:rFonts w:ascii="Arial" w:hAnsi="Arial" w:cs="Arial"/>
          <w:i/>
          <w:iCs/>
          <w:color w:val="000000"/>
          <w:sz w:val="22"/>
          <w:szCs w:val="22"/>
        </w:rPr>
        <w:t>Graffiti?</w:t>
      </w:r>
      <w:r>
        <w:rPr>
          <w:rFonts w:ascii="Arial" w:hAnsi="Arial" w:cs="Arial"/>
          <w:color w:val="000000"/>
          <w:sz w:val="22"/>
          <w:szCs w:val="22"/>
        </w:rPr>
        <w:t>.</w:t>
      </w:r>
      <w:proofErr w:type="gramEnd"/>
      <w:r>
        <w:rPr>
          <w:rFonts w:ascii="Arial" w:hAnsi="Arial" w:cs="Arial"/>
          <w:color w:val="000000"/>
          <w:sz w:val="22"/>
          <w:szCs w:val="22"/>
        </w:rPr>
        <w:t xml:space="preserve"> [online] Available at: https://wonderopolis.org/wonder/how-old-is-graffiti [Accessed 10 Dec. 2018].</w:t>
      </w:r>
    </w:p>
    <w:p w:rsidR="00100F48" w:rsidRDefault="00100F48">
      <w:pPr>
        <w:rPr>
          <w:rFonts w:ascii="Arial" w:hAnsi="Arial" w:cs="Arial"/>
        </w:rPr>
      </w:pPr>
    </w:p>
    <w:sectPr w:rsidR="00100F48">
      <w:foot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0D55" w:rsidRDefault="00B70D55">
      <w:pPr>
        <w:spacing w:after="0" w:line="240" w:lineRule="auto"/>
      </w:pPr>
      <w:r>
        <w:separator/>
      </w:r>
    </w:p>
  </w:endnote>
  <w:endnote w:type="continuationSeparator" w:id="0">
    <w:p w:rsidR="00B70D55" w:rsidRDefault="00B70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61DD4" w:rsidRDefault="00B70D55">
    <w:pPr>
      <w:pStyle w:val="Footer"/>
      <w:jc w:val="right"/>
    </w:pPr>
    <w:r>
      <w:fldChar w:fldCharType="begin"/>
    </w:r>
    <w:r>
      <w:instrText xml:space="preserve"> PAGE </w:instrText>
    </w:r>
    <w:r>
      <w:fldChar w:fldCharType="separate"/>
    </w:r>
    <w:r>
      <w:t>2</w:t>
    </w:r>
    <w:r>
      <w:fldChar w:fldCharType="end"/>
    </w:r>
  </w:p>
  <w:p w:rsidR="00661DD4" w:rsidRDefault="00B70D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0D55" w:rsidRDefault="00B70D55">
      <w:pPr>
        <w:spacing w:after="0" w:line="240" w:lineRule="auto"/>
      </w:pPr>
      <w:r>
        <w:rPr>
          <w:color w:val="000000"/>
        </w:rPr>
        <w:separator/>
      </w:r>
    </w:p>
  </w:footnote>
  <w:footnote w:type="continuationSeparator" w:id="0">
    <w:p w:rsidR="00B70D55" w:rsidRDefault="00B70D5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100F48"/>
    <w:rsid w:val="00100F48"/>
    <w:rsid w:val="00144D03"/>
    <w:rsid w:val="00547A1E"/>
    <w:rsid w:val="008043C2"/>
    <w:rsid w:val="0087264D"/>
    <w:rsid w:val="00950FF9"/>
    <w:rsid w:val="009D6DF6"/>
    <w:rsid w:val="00B70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28DDB"/>
  <w15:docId w15:val="{DA62C888-90C0-46C7-A3E6-63B7E5A0E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480"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2">
    <w:name w:val="heading 2"/>
    <w:basedOn w:val="Normal"/>
    <w:uiPriority w:val="9"/>
    <w:semiHidden/>
    <w:unhideWhenUsed/>
    <w:qFormat/>
    <w:pPr>
      <w:spacing w:before="100" w:after="100" w:line="240" w:lineRule="auto"/>
      <w:outlineLvl w:val="1"/>
    </w:pPr>
    <w:rPr>
      <w:rFonts w:ascii="Times New Roman" w:eastAsia="Times New Roman" w:hAnsi="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customStyle="1" w:styleId="Heading2Char">
    <w:name w:val="Heading 2 Char"/>
    <w:basedOn w:val="DefaultParagraphFont"/>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onderopolis.org/wonder/was-rome-built-in-a-day"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onderopolis.org/wonder/do-you-know-the-greek-alphabet/"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onderopolis.org/wonder/how-old-is-graffiti"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s://www.statista.com/statistics/274774/forecast-of-mobile-phone-users-worldwide/" TargetMode="External"/><Relationship Id="rId4" Type="http://schemas.openxmlformats.org/officeDocument/2006/relationships/footnotes" Target="footnotes.xml"/><Relationship Id="rId9" Type="http://schemas.openxmlformats.org/officeDocument/2006/relationships/hyperlink" Target="https://wonderopolis.org/wonder/how-old-is-graffit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2424</Words>
  <Characters>13820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Collyer</dc:creator>
  <dc:description/>
  <cp:lastModifiedBy>William Collyer</cp:lastModifiedBy>
  <cp:revision>2</cp:revision>
  <dcterms:created xsi:type="dcterms:W3CDTF">2018-12-12T13:55:00Z</dcterms:created>
  <dcterms:modified xsi:type="dcterms:W3CDTF">2018-12-12T13:55:00Z</dcterms:modified>
</cp:coreProperties>
</file>