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CF5" w:rsidRDefault="00B05CF5" w:rsidP="00B05CF5">
      <w:r>
        <w:t xml:space="preserve">Martha and Steven went out on an innocent night out, simply to enjoy and have an enjoyable time and get back safely. </w:t>
      </w:r>
      <w:proofErr w:type="gramStart"/>
      <w:r>
        <w:t>Their evening was going absolutely fine, they had fair bit to drink between 16:00 to 18:00 in the small bar in Town, where they have made few friends.at 19:00 both Martha and Steven moved to a bar called “wash out”, where things were going fine although by now Martha may have had a lot to drink, so she needed to go to the toilets, on the way to the toilet Martha met Marvin, Marvin asked Martha if she wanted to buy cocaine (which is a class A Drug (GOV.UK, 2023), Martha was very tempted, and took the offer and consumed the cocaine.</w:t>
      </w:r>
      <w:proofErr w:type="gramEnd"/>
      <w:r>
        <w:t xml:space="preserve"> </w:t>
      </w:r>
    </w:p>
    <w:p w:rsidR="00B05CF5" w:rsidRDefault="00B05CF5" w:rsidP="00B05CF5"/>
    <w:p w:rsidR="00B05CF5" w:rsidRDefault="00B05CF5" w:rsidP="00B05CF5">
      <w:r>
        <w:t xml:space="preserve">Things were going just like a typical knight out up to this point. </w:t>
      </w:r>
      <w:proofErr w:type="gramStart"/>
      <w:r>
        <w:t>As she could get a prison sentence, or if she is lucky than she could get away with a fine for taking or carrying drugs, this will depend on the class of the drug, in Martha’s case, it’s a class A drug, for which she could get up to 7 years imprisonment, or she could receive a unlimited fine, or she could get both imprisonment for up to 7 years, and the unlimited fine.</w:t>
      </w:r>
      <w:proofErr w:type="gramEnd"/>
      <w:r>
        <w:t xml:space="preserve"> However, at the time of the cocaine </w:t>
      </w:r>
      <w:proofErr w:type="gramStart"/>
      <w:r>
        <w:t>being offered</w:t>
      </w:r>
      <w:proofErr w:type="gramEnd"/>
      <w:r>
        <w:t xml:space="preserve"> to Martha by Marvin, Martha was heavily under influence of alcohol and was not in the right frame of mind to make a fair and legal decision, Martha could use the entrapment defence (Parliament.uk, 2023).  </w:t>
      </w:r>
      <w:proofErr w:type="gramStart"/>
      <w:r>
        <w:t>When Martha returned to the dance floor, the cocaine she took was taking action, which was visible to Steven, who noticed her unusual behaviour and approached Martha, to remove her from the bar area, as Martha swung her fist, aiming at Steven, due to the effect of the cocaine, she missed Steven and landed her fist on the eye of the security guard, the ring on her finger left a cut.</w:t>
      </w:r>
      <w:proofErr w:type="gramEnd"/>
      <w:r>
        <w:t xml:space="preserve">  Here Martha will face assault causing harm to the security guard, Assault or Battery, Martha's swinging of her fist, even if it were not intentional, could lead to charges of assault or battery, especially given that she caused harm to the security guard. It could be under common assault, Offences of assault fall under the Offences against the Person Act 1861, the Criminal Justice Act 1988 and the Crime and Disorder Act 1998 (sentencing council, 2023). </w:t>
      </w:r>
      <w:proofErr w:type="gramStart"/>
      <w:r>
        <w:t>(ABH).</w:t>
      </w:r>
      <w:proofErr w:type="gramEnd"/>
      <w:r>
        <w:t xml:space="preserve"> </w:t>
      </w:r>
      <w:proofErr w:type="gramStart"/>
      <w:r>
        <w:t>As it was not intentional, but Martha was reckless, and under influence of both cocaine and alcohol.</w:t>
      </w:r>
      <w:proofErr w:type="gramEnd"/>
      <w:r>
        <w:t xml:space="preserve"> Martha </w:t>
      </w:r>
      <w:proofErr w:type="gramStart"/>
      <w:r>
        <w:t>was banned</w:t>
      </w:r>
      <w:proofErr w:type="gramEnd"/>
      <w:r>
        <w:t xml:space="preserve"> from “wash out” club immediately after the incident. After Martha </w:t>
      </w:r>
      <w:proofErr w:type="gramStart"/>
      <w:r>
        <w:t>was banned</w:t>
      </w:r>
      <w:proofErr w:type="gramEnd"/>
      <w:r>
        <w:t xml:space="preserve"> from, “wash out” both Martha and Steven were outside the club, when Steven had to go back to the bar to collect his belongings, leaving Martha with the security guards, thinking she will be safe with them. Martha on the other hand couldn’t stand still who is now drunk and high on cocaine, managed to stumble up the road to the bus stop on her own, where Martha was approached by friends she made earlier at the little bar in town, Martha was thinking that the friends came over to see if Martha was ok. Nevertheless, to her surprise one of the women slapped Martha across her face. Drugged and drunk Martha retaliated, and she started punching the woman until the woman became unconscious, Martha was not aware that she had fractured the woman’s skull.  Here, Martha could be charged for assault causing harm to the other woman who is unconscious, could be aggravated due to the serious nature of the injuries, where the </w:t>
      </w:r>
      <w:proofErr w:type="gramStart"/>
      <w:r>
        <w:t>lady</w:t>
      </w:r>
      <w:proofErr w:type="gramEnd"/>
      <w:r>
        <w:t xml:space="preserve">, who first slapped Martha suffered fractured skull. However, Martha on the other hand could and may argue self-defence, if she believed she was under threat, although excessive force could weaken this defence. The influence of cocaine and alcohol </w:t>
      </w:r>
      <w:proofErr w:type="gramStart"/>
      <w:r>
        <w:t>could also be raised</w:t>
      </w:r>
      <w:proofErr w:type="gramEnd"/>
      <w:r>
        <w:t xml:space="preserve"> as a factor of her ability to control her actions. </w:t>
      </w:r>
      <w:proofErr w:type="gramStart"/>
      <w:r>
        <w:t>but</w:t>
      </w:r>
      <w:proofErr w:type="gramEnd"/>
      <w:r>
        <w:t xml:space="preserve"> this may not free her from guilt completely. Here we have a series of unfortunate events of Martha. Element one and element four of the diminished responsibility may apply in Martha’s case, her mind was functioning abnormally due to the cocaine and alcohol, and she can provide explanation for the conduct Martha’s mental capacity at the time of the offence. Martha did not go out with Steven on the 17th of January, with a master plan to consume cocaine, hit the security guard at the “Wash out” nor did she go out to attack the woman at the bus stop, with whom </w:t>
      </w:r>
      <w:r>
        <w:lastRenderedPageBreak/>
        <w:t xml:space="preserve">she was getting along very well earlier that day. By 18:00, she already drank vast amount of alcohol, while she was in the little bar during 16:00 to 18:00 she had made several friends there, one the friend she made is the woman, who clapped her at the bus stop. She had a lot to drink before she got in the “wash out,” but she was not under the influence of cocaine, nor was she carrying any cocaine with her. The “wash out” continued to server her alcohol, although it was visible that she had enough. On the way to the toilet, she meets a class </w:t>
      </w:r>
      <w:proofErr w:type="gramStart"/>
      <w:r>
        <w:t>A</w:t>
      </w:r>
      <w:proofErr w:type="gramEnd"/>
      <w:r>
        <w:t xml:space="preserve"> drug dealer called Marvin in the club, who openly offers to sell her cocaine, when you offer cocaine to someone who had a lot to drink, they would be tempted to buy it. </w:t>
      </w:r>
      <w:proofErr w:type="gramStart"/>
      <w:r>
        <w:t>as</w:t>
      </w:r>
      <w:proofErr w:type="gramEnd"/>
      <w:r>
        <w:t xml:space="preserve"> their legal decision-making capability is reduced and would say yes to get a high on the drug, without thinking about the side effects or consequences it may bring.  In fact, mixing cocaine and alcohol can have lethal results (Healthline, 2023). It </w:t>
      </w:r>
      <w:proofErr w:type="gramStart"/>
      <w:r>
        <w:t>could be argued</w:t>
      </w:r>
      <w:proofErr w:type="gramEnd"/>
      <w:r>
        <w:t xml:space="preserve"> that the defence of strict liability, where being drunk and disorderly in a public place, a person will be guilty, even if they did not intend to get drunk. </w:t>
      </w:r>
      <w:proofErr w:type="gramStart"/>
      <w:r>
        <w:t>Or you may look at the coroners and justice act 2009 which replaced provocation defence with loss of control defence, where the heat of the moment is not taken into consideration, but Loss of control defence will consider Martha’s  situation and compare it to woman of Martha’s age, as to how they would react in a similar situation, on the other hand defences such as intoxication or diminished responsibility, might have some effects in jurisdictions.</w:t>
      </w:r>
      <w:proofErr w:type="gramEnd"/>
      <w:r>
        <w:t xml:space="preserve"> </w:t>
      </w:r>
      <w:proofErr w:type="gramStart"/>
      <w:r>
        <w:t>the severity of the offenses and the presence of aggravating factors could have an impact on the legal consequences for Martha, and possession of a Controlled Substance in this case it is Cocaine, Martha may face charges related to the possession of cocaine, Cocaine, generally, as reported in the 2011 World Drug Report, cocaine is likely to be the most problematic drug worldwide in terms of trafficking-related violence and second only to heroin in terms of negative health consequences and drug deaths illegal in many jurisdictions (NCBI, 2023).</w:t>
      </w:r>
      <w:proofErr w:type="gramEnd"/>
      <w:r>
        <w:t xml:space="preserve"> If Martha had her possession when apprehended, she might face additional charges related to the possession of such items. She might face charges of resisting arrest. </w:t>
      </w:r>
      <w:proofErr w:type="gramStart"/>
      <w:r>
        <w:t>When they were trying to remove her from the bar area, or after the bus stop incident, if in during any of those incidents, Martha resisted the security or law enforcements efforts.</w:t>
      </w:r>
      <w:proofErr w:type="gramEnd"/>
      <w:r>
        <w:t xml:space="preserve"> Out of all the </w:t>
      </w:r>
      <w:proofErr w:type="gramStart"/>
      <w:r>
        <w:t>charges</w:t>
      </w:r>
      <w:proofErr w:type="gramEnd"/>
      <w:r>
        <w:t xml:space="preserve"> the head injury (fractured skull) would be looked at very closely. This </w:t>
      </w:r>
      <w:proofErr w:type="gramStart"/>
      <w:r>
        <w:t>is intended</w:t>
      </w:r>
      <w:proofErr w:type="gramEnd"/>
      <w:r>
        <w:t xml:space="preserve"> to provide information on the stance taken by the Courts in relation to Non-Accidental Head Injury ("NAHI") cases and to assist prosecutors in the approach and presentation of such cases. </w:t>
      </w:r>
      <w:proofErr w:type="gramStart"/>
      <w:r>
        <w:t>(Crown Prosecution Service, 2022) as this injury can be fatal and the causation may change from common assault to much serious charge, depending on how that woman copes with the fracture.</w:t>
      </w:r>
      <w:proofErr w:type="gramEnd"/>
      <w:r>
        <w:t xml:space="preserve"> If, however, that woman dies from the fracture than Martha </w:t>
      </w:r>
      <w:proofErr w:type="gramStart"/>
      <w:r>
        <w:t>will be charged</w:t>
      </w:r>
      <w:proofErr w:type="gramEnd"/>
      <w:r>
        <w:t xml:space="preserve"> for murder, but using the loss of control defence Martha may reduce the guilt down to manslaughter, Martha will not be able to use self-defence if she use</w:t>
      </w:r>
      <w:r w:rsidR="001C01DB">
        <w:t>s Loss of control defence.</w:t>
      </w:r>
    </w:p>
    <w:p w:rsidR="001C01DB" w:rsidRDefault="001C01DB" w:rsidP="00B05CF5">
      <w:r>
        <w:t>Sometimes people may become circumstantial victims, from an innocent night out with a friend that turned out to be so messy,, even using the Loss of control defence, the Jury will have to take into consideration the whole evenings activities and interview ever one connected. This can be a very delicate case. As cocaine has violent side effects.</w:t>
      </w:r>
      <w:bookmarkStart w:id="0" w:name="_GoBack"/>
      <w:bookmarkEnd w:id="0"/>
      <w:r>
        <w:t xml:space="preserve"> </w:t>
      </w:r>
    </w:p>
    <w:p w:rsidR="00B05CF5" w:rsidRDefault="00B05CF5" w:rsidP="00B05CF5"/>
    <w:p w:rsidR="00B05CF5" w:rsidRDefault="00B05CF5" w:rsidP="00B05CF5">
      <w:r>
        <w:t xml:space="preserve">Web page: Drugs penalties. Updated: 2023 Accessed: 26/11/2023. Available online: https://www.gov.uk/penalties-drug-possession-dealing </w:t>
      </w:r>
    </w:p>
    <w:p w:rsidR="00B05CF5" w:rsidRDefault="00B05CF5" w:rsidP="00B05CF5"/>
    <w:p w:rsidR="00B05CF5" w:rsidRDefault="00B05CF5" w:rsidP="00B05CF5">
      <w:proofErr w:type="gramStart"/>
      <w:r>
        <w:lastRenderedPageBreak/>
        <w:t xml:space="preserve">Web page: Judgments - Regina v </w:t>
      </w:r>
      <w:proofErr w:type="spellStart"/>
      <w:r>
        <w:t>Looseley</w:t>
      </w:r>
      <w:proofErr w:type="spellEnd"/>
      <w:r>
        <w:t>.</w:t>
      </w:r>
      <w:proofErr w:type="gramEnd"/>
      <w:r>
        <w:t xml:space="preserve"> </w:t>
      </w:r>
      <w:proofErr w:type="gramStart"/>
      <w:r>
        <w:t>Updated 2023.</w:t>
      </w:r>
      <w:proofErr w:type="gramEnd"/>
      <w:r>
        <w:t xml:space="preserve"> </w:t>
      </w:r>
      <w:proofErr w:type="gramStart"/>
      <w:r>
        <w:t>Accessed: 26/11/2023.</w:t>
      </w:r>
      <w:proofErr w:type="gramEnd"/>
      <w:r>
        <w:t xml:space="preserve"> Available online: https://publications.parliament.uk/pa/ld200102/ldjudgmt/jd011025/loose-2.htm </w:t>
      </w:r>
    </w:p>
    <w:p w:rsidR="00B05CF5" w:rsidRDefault="00B05CF5" w:rsidP="00B05CF5"/>
    <w:p w:rsidR="00B05CF5" w:rsidRDefault="00B05CF5" w:rsidP="00B05CF5">
      <w:proofErr w:type="gramStart"/>
      <w:r>
        <w:t>Web page: sentencing council.</w:t>
      </w:r>
      <w:proofErr w:type="gramEnd"/>
      <w:r>
        <w:t xml:space="preserve"> </w:t>
      </w:r>
      <w:proofErr w:type="gramStart"/>
      <w:r>
        <w:t>Updated 2023.</w:t>
      </w:r>
      <w:proofErr w:type="gramEnd"/>
      <w:r>
        <w:t xml:space="preserve"> Accessed 26/11/2023. Available online:                       https://www.sentencingcouncil.org.uk/outlines/assault/ </w:t>
      </w:r>
    </w:p>
    <w:p w:rsidR="00B05CF5" w:rsidRDefault="00B05CF5" w:rsidP="00B05CF5"/>
    <w:p w:rsidR="00B05CF5" w:rsidRDefault="00B05CF5" w:rsidP="00B05CF5">
      <w:r>
        <w:t xml:space="preserve">Web page: Cocaine and Alcohol: A Toxic Mix. </w:t>
      </w:r>
      <w:proofErr w:type="gramStart"/>
      <w:r>
        <w:t>Updated 2023.</w:t>
      </w:r>
      <w:proofErr w:type="gramEnd"/>
      <w:r>
        <w:t xml:space="preserve"> </w:t>
      </w:r>
      <w:proofErr w:type="gramStart"/>
      <w:r>
        <w:t>Accessed: 26/11/2023.</w:t>
      </w:r>
      <w:proofErr w:type="gramEnd"/>
      <w:r>
        <w:t xml:space="preserve"> </w:t>
      </w:r>
      <w:proofErr w:type="gramStart"/>
      <w:r>
        <w:t>Available online: https://www.healthline.com/health/cocaine-and-alcohol.</w:t>
      </w:r>
      <w:proofErr w:type="gramEnd"/>
      <w:r>
        <w:t xml:space="preserve"> </w:t>
      </w:r>
    </w:p>
    <w:p w:rsidR="00B05CF5" w:rsidRDefault="00B05CF5" w:rsidP="00B05CF5"/>
    <w:p w:rsidR="00B05CF5" w:rsidRDefault="00B05CF5" w:rsidP="00B05CF5">
      <w:proofErr w:type="gramStart"/>
      <w:r>
        <w:t>Web page: the early evolution of cocaine in the United Kingdom.</w:t>
      </w:r>
      <w:proofErr w:type="gramEnd"/>
      <w:r>
        <w:t xml:space="preserve"> </w:t>
      </w:r>
      <w:proofErr w:type="gramStart"/>
      <w:r>
        <w:t>updated</w:t>
      </w:r>
      <w:proofErr w:type="gramEnd"/>
      <w:r>
        <w:t xml:space="preserve">: 28/08/2023 Accessed: 26/11/2023. Available online: https://www.ncbi.nlm.nih.gov/pmc/articles/PMC3681233/ </w:t>
      </w:r>
    </w:p>
    <w:p w:rsidR="00B05CF5" w:rsidRDefault="00B05CF5" w:rsidP="00B05CF5"/>
    <w:p w:rsidR="00B05CF5" w:rsidRDefault="00B05CF5" w:rsidP="00B05CF5">
      <w:r>
        <w:t xml:space="preserve">Web page: Non-Accidental Head Injury Cases (NAHI, formerly referred to as Shaken Baby Syndrome [SBS]) - Prosecution Approach. </w:t>
      </w:r>
      <w:proofErr w:type="gramStart"/>
      <w:r>
        <w:t>Updated: 05/11/2021.</w:t>
      </w:r>
      <w:proofErr w:type="gramEnd"/>
      <w:r>
        <w:t xml:space="preserve"> </w:t>
      </w:r>
      <w:proofErr w:type="gramStart"/>
      <w:r>
        <w:t>Accessed: 26/11/2023.</w:t>
      </w:r>
      <w:proofErr w:type="gramEnd"/>
      <w:r>
        <w:t xml:space="preserve"> Available online: https://www.cps.gov.uk/legal-guidance/non-accidental-head-injury-cases-nahi-formerly-referred-shaken-baby-syndrome-sbs </w:t>
      </w:r>
    </w:p>
    <w:p w:rsidR="00B05CF5" w:rsidRDefault="00B05CF5" w:rsidP="00B05CF5"/>
    <w:p w:rsidR="005D41B1" w:rsidRDefault="005D41B1" w:rsidP="00743153"/>
    <w:sectPr w:rsidR="005D4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153"/>
    <w:rsid w:val="00043103"/>
    <w:rsid w:val="000C4920"/>
    <w:rsid w:val="001636D6"/>
    <w:rsid w:val="001C01DB"/>
    <w:rsid w:val="002969C4"/>
    <w:rsid w:val="002A4F7A"/>
    <w:rsid w:val="002D046E"/>
    <w:rsid w:val="002E2051"/>
    <w:rsid w:val="00395D04"/>
    <w:rsid w:val="005243DC"/>
    <w:rsid w:val="00547B37"/>
    <w:rsid w:val="005D41B1"/>
    <w:rsid w:val="005D4481"/>
    <w:rsid w:val="006D2C79"/>
    <w:rsid w:val="00743153"/>
    <w:rsid w:val="007956DF"/>
    <w:rsid w:val="007B74E5"/>
    <w:rsid w:val="007E174E"/>
    <w:rsid w:val="00825CCA"/>
    <w:rsid w:val="00952402"/>
    <w:rsid w:val="00980636"/>
    <w:rsid w:val="00981B69"/>
    <w:rsid w:val="009B5728"/>
    <w:rsid w:val="00A23121"/>
    <w:rsid w:val="00A65946"/>
    <w:rsid w:val="00A77128"/>
    <w:rsid w:val="00B05CF5"/>
    <w:rsid w:val="00B45BA3"/>
    <w:rsid w:val="00B50285"/>
    <w:rsid w:val="00B601EE"/>
    <w:rsid w:val="00B66C4A"/>
    <w:rsid w:val="00BA6D48"/>
    <w:rsid w:val="00BC7DAB"/>
    <w:rsid w:val="00C14C9F"/>
    <w:rsid w:val="00C75FF8"/>
    <w:rsid w:val="00CA0869"/>
    <w:rsid w:val="00DB566D"/>
    <w:rsid w:val="00DC1279"/>
    <w:rsid w:val="00DC7D19"/>
    <w:rsid w:val="00E330BB"/>
    <w:rsid w:val="00E56211"/>
    <w:rsid w:val="00EA2472"/>
    <w:rsid w:val="00FA4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D48"/>
    <w:rPr>
      <w:rFonts w:ascii="Tahoma" w:hAnsi="Tahoma" w:cs="Tahoma"/>
      <w:sz w:val="16"/>
      <w:szCs w:val="16"/>
    </w:rPr>
  </w:style>
  <w:style w:type="character" w:styleId="Hyperlink">
    <w:name w:val="Hyperlink"/>
    <w:basedOn w:val="DefaultParagraphFont"/>
    <w:uiPriority w:val="99"/>
    <w:unhideWhenUsed/>
    <w:rsid w:val="002969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D48"/>
    <w:rPr>
      <w:rFonts w:ascii="Tahoma" w:hAnsi="Tahoma" w:cs="Tahoma"/>
      <w:sz w:val="16"/>
      <w:szCs w:val="16"/>
    </w:rPr>
  </w:style>
  <w:style w:type="character" w:styleId="Hyperlink">
    <w:name w:val="Hyperlink"/>
    <w:basedOn w:val="DefaultParagraphFont"/>
    <w:uiPriority w:val="99"/>
    <w:unhideWhenUsed/>
    <w:rsid w:val="002969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GOV23</b:Tag>
    <b:SourceType>InternetSite</b:SourceType>
    <b:Guid>{AE03C448-7184-412F-AD00-03F84BD69B73}</b:Guid>
    <b:Author>
      <b:Author>
        <b:Corporate>GOV.UK</b:Corporate>
      </b:Author>
    </b:Author>
    <b:Title>Drug penalties</b:Title>
    <b:InternetSiteTitle>GOV.UK</b:InternetSiteTitle>
    <b:Year>2023</b:Year>
    <b:YearAccessed>2023</b:YearAccessed>
    <b:MonthAccessed>November</b:MonthAccessed>
    <b:DayAccessed>26</b:DayAccessed>
    <b:URL>https://www.gov.uk/penalties-drug-possession-dealing</b:URL>
    <b:RefOrder>1</b:RefOrder>
  </b:Source>
  <b:Source>
    <b:Tag>Par23</b:Tag>
    <b:SourceType>InternetSite</b:SourceType>
    <b:Guid>{0E3897E3-1D6C-401A-88F0-7916EFBEE367}</b:Guid>
    <b:Author>
      <b:Author>
        <b:Corporate>Parliament.uk</b:Corporate>
      </b:Author>
    </b:Author>
    <b:Title>Judgments - Regina v Looseley</b:Title>
    <b:InternetSiteTitle>parliament.uk</b:InternetSiteTitle>
    <b:Year>2023</b:Year>
    <b:YearAccessed>2023</b:YearAccessed>
    <b:MonthAccessed>11</b:MonthAccessed>
    <b:DayAccessed>26</b:DayAccessed>
    <b:URL>https://publications.parliament.uk/pa/ld200102/ldjudgmt/jd011025/loose-2.htm</b:URL>
    <b:RefOrder>2</b:RefOrder>
  </b:Source>
  <b:Source>
    <b:Tag>sen23</b:Tag>
    <b:SourceType>InternetSite</b:SourceType>
    <b:Guid>{AB1F7B2B-B359-4880-8C8F-6CF25B145110}</b:Guid>
    <b:Author>
      <b:Author>
        <b:Corporate>sentencing council</b:Corporate>
      </b:Author>
    </b:Author>
    <b:Title>assault</b:Title>
    <b:InternetSiteTitle>sentencing council</b:InternetSiteTitle>
    <b:Year>2023</b:Year>
    <b:YearAccessed>2023</b:YearAccessed>
    <b:MonthAccessed>November</b:MonthAccessed>
    <b:DayAccessed>26</b:DayAccessed>
    <b:URL>https://www.sentencingcouncil.org.uk/outlines/assault/</b:URL>
    <b:RefOrder>3</b:RefOrder>
  </b:Source>
  <b:Source>
    <b:Tag>Hea23</b:Tag>
    <b:SourceType>InternetSite</b:SourceType>
    <b:Guid>{A679FE36-34C4-4CE4-B407-E03688972BC1}</b:Guid>
    <b:Author>
      <b:Author>
        <b:Corporate>Healthline</b:Corporate>
      </b:Author>
    </b:Author>
    <b:Title>cocaine and alcohol: a toxic mix</b:Title>
    <b:InternetSiteTitle>health line</b:InternetSiteTitle>
    <b:Year>2023</b:Year>
    <b:YearAccessed>2023</b:YearAccessed>
    <b:MonthAccessed>November</b:MonthAccessed>
    <b:DayAccessed>26</b:DayAccessed>
    <b:URL>https://www.healthline.com/health/cocaine-and-alcohol</b:URL>
    <b:RefOrder>4</b:RefOrder>
  </b:Source>
  <b:Source>
    <b:Tag>NCB23</b:Tag>
    <b:SourceType>InternetSite</b:SourceType>
    <b:Guid>{B9DD1064-BC4D-4CFC-8ADE-CA34E2A298F1}</b:Guid>
    <b:Author>
      <b:Author>
        <b:Corporate>NCBI</b:Corporate>
      </b:Author>
    </b:Author>
    <b:Title>the early evolution of cocaine in the United Kingdom</b:Title>
    <b:InternetSiteTitle>National Library of medicine</b:InternetSiteTitle>
    <b:Year>2023</b:Year>
    <b:Month>August</b:Month>
    <b:Day>28</b:Day>
    <b:YearAccessed>2023</b:YearAccessed>
    <b:MonthAccessed>November</b:MonthAccessed>
    <b:DayAccessed>26</b:DayAccessed>
    <b:URL>https://www.ncbi.nlm.nih.gov/pmc/articles/PMC3681233/</b:URL>
    <b:RefOrder>5</b:RefOrder>
  </b:Source>
  <b:Source>
    <b:Tag>Cro22</b:Tag>
    <b:SourceType>InternetSite</b:SourceType>
    <b:Guid>{A0D7D203-22CD-49DD-B605-90C1ACE83619}</b:Guid>
    <b:Author>
      <b:Author>
        <b:Corporate>Crown Prosecution Service</b:Corporate>
      </b:Author>
    </b:Author>
    <b:Title>Non Accidental Head Injury Cases (NAHI, formerly referred to as Shaken Baby Syndrome [SBS]) - Prosecution Approach</b:Title>
    <b:InternetSiteTitle>cps.gov</b:InternetSiteTitle>
    <b:Year>2022</b:Year>
    <b:YearAccessed>2023</b:YearAccessed>
    <b:MonthAccessed>11</b:MonthAccessed>
    <b:DayAccessed>26</b:DayAccessed>
    <b:URL>https://www.cps.gov.uk/legal-guidance/non-accidental-head-injury-cases-nahi-formerly-referred-shaken-baby-syndrome-sbs</b:URL>
    <b:RefOrder>6</b:RefOrder>
  </b:Source>
</b:Sources>
</file>

<file path=customXml/itemProps1.xml><?xml version="1.0" encoding="utf-8"?>
<ds:datastoreItem xmlns:ds="http://schemas.openxmlformats.org/officeDocument/2006/customXml" ds:itemID="{AC76CC1A-CACC-4C74-B219-F6A932426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2023-11-26T22:18:00Z</dcterms:created>
  <dcterms:modified xsi:type="dcterms:W3CDTF">2023-11-29T15:45:00Z</dcterms:modified>
</cp:coreProperties>
</file>