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27BCF" w:rsidRDefault="00927BCF" w:rsidP="00927BCF">
      <w:pPr>
        <w:pStyle w:val="Standard"/>
      </w:pPr>
      <w:r>
        <w:rPr>
          <w:sz w:val="28"/>
          <w:szCs w:val="28"/>
        </w:rPr>
        <w:t xml:space="preserve">Title: </w:t>
      </w:r>
      <w:r w:rsidR="00D840F3" w:rsidRPr="00D840F3">
        <w:rPr>
          <w:sz w:val="28"/>
          <w:szCs w:val="28"/>
        </w:rPr>
        <w:t xml:space="preserve">Understanding </w:t>
      </w:r>
      <w:r w:rsidR="00384315">
        <w:rPr>
          <w:sz w:val="28"/>
          <w:szCs w:val="28"/>
        </w:rPr>
        <w:t xml:space="preserve">Employee Engagement </w:t>
      </w:r>
    </w:p>
    <w:p w:rsidR="00927BCF" w:rsidRDefault="00927BCF" w:rsidP="00927BCF">
      <w:pPr>
        <w:pStyle w:val="Standard"/>
      </w:pPr>
    </w:p>
    <w:p w:rsidR="00927BCF" w:rsidRDefault="00927BCF" w:rsidP="00927BCF">
      <w:pPr>
        <w:pStyle w:val="Standard"/>
        <w:rPr>
          <w:sz w:val="28"/>
          <w:szCs w:val="28"/>
        </w:rPr>
      </w:pPr>
    </w:p>
    <w:p w:rsidR="00927BCF" w:rsidRDefault="00927BCF" w:rsidP="00927BCF">
      <w:pPr>
        <w:pStyle w:val="Standard"/>
      </w:pPr>
      <w:r>
        <w:rPr>
          <w:sz w:val="28"/>
          <w:szCs w:val="28"/>
        </w:rPr>
        <w:t xml:space="preserve">Name: Rhodri Packman </w:t>
      </w:r>
    </w:p>
    <w:p w:rsidR="00927BCF" w:rsidRDefault="00927BCF" w:rsidP="00927BCF">
      <w:pPr>
        <w:pStyle w:val="Standard"/>
        <w:rPr>
          <w:sz w:val="28"/>
          <w:szCs w:val="28"/>
        </w:rPr>
      </w:pPr>
    </w:p>
    <w:p w:rsidR="00927BCF" w:rsidRDefault="00927BCF" w:rsidP="00927BCF">
      <w:pPr>
        <w:pStyle w:val="Standard"/>
      </w:pPr>
      <w:r>
        <w:rPr>
          <w:sz w:val="28"/>
          <w:szCs w:val="28"/>
        </w:rPr>
        <w:t>CIPD Membership Number: 4787112X</w:t>
      </w:r>
    </w:p>
    <w:p w:rsidR="00927BCF" w:rsidRDefault="00927BCF" w:rsidP="00927BCF">
      <w:pPr>
        <w:pStyle w:val="Standard"/>
        <w:rPr>
          <w:sz w:val="28"/>
          <w:szCs w:val="28"/>
        </w:rPr>
      </w:pPr>
    </w:p>
    <w:p w:rsidR="00927BCF" w:rsidRDefault="00927BCF" w:rsidP="00927BCF">
      <w:pPr>
        <w:pStyle w:val="Standard"/>
      </w:pPr>
      <w:r>
        <w:rPr>
          <w:sz w:val="28"/>
          <w:szCs w:val="28"/>
        </w:rPr>
        <w:t xml:space="preserve">Date: </w:t>
      </w:r>
      <w:r w:rsidR="00B911A3">
        <w:rPr>
          <w:sz w:val="28"/>
          <w:szCs w:val="28"/>
        </w:rPr>
        <w:t>02/01</w:t>
      </w:r>
      <w:r w:rsidR="00D840F3">
        <w:rPr>
          <w:sz w:val="28"/>
          <w:szCs w:val="28"/>
        </w:rPr>
        <w:t>/2019</w:t>
      </w:r>
    </w:p>
    <w:p w:rsidR="00927BCF" w:rsidRDefault="00927BCF" w:rsidP="00927BCF">
      <w:pPr>
        <w:pStyle w:val="Standard"/>
        <w:rPr>
          <w:sz w:val="28"/>
          <w:szCs w:val="28"/>
        </w:rPr>
      </w:pPr>
    </w:p>
    <w:p w:rsidR="00927BCF" w:rsidRDefault="00927BCF" w:rsidP="00927BCF">
      <w:pPr>
        <w:pStyle w:val="Standard"/>
        <w:rPr>
          <w:sz w:val="28"/>
          <w:szCs w:val="28"/>
        </w:rPr>
      </w:pPr>
    </w:p>
    <w:p w:rsidR="00927BCF" w:rsidRDefault="00927BCF" w:rsidP="00927BCF">
      <w:pPr>
        <w:pStyle w:val="Standard"/>
        <w:rPr>
          <w:sz w:val="28"/>
          <w:szCs w:val="28"/>
        </w:rPr>
      </w:pPr>
    </w:p>
    <w:p w:rsidR="00927BCF" w:rsidRDefault="00927BCF" w:rsidP="00927BCF">
      <w:pPr>
        <w:pStyle w:val="Standard"/>
        <w:rPr>
          <w:sz w:val="28"/>
          <w:szCs w:val="28"/>
        </w:rPr>
      </w:pPr>
    </w:p>
    <w:p w:rsidR="00927BCF" w:rsidRDefault="00927BCF" w:rsidP="00927BCF">
      <w:pPr>
        <w:pStyle w:val="Standard"/>
        <w:rPr>
          <w:b/>
          <w:sz w:val="28"/>
          <w:szCs w:val="28"/>
        </w:rPr>
      </w:pPr>
    </w:p>
    <w:p w:rsidR="00927BCF" w:rsidRDefault="00927BCF" w:rsidP="00927BCF">
      <w:pPr>
        <w:pStyle w:val="Standard"/>
      </w:pPr>
      <w:r>
        <w:rPr>
          <w:rFonts w:cs="Arial"/>
          <w:sz w:val="28"/>
          <w:szCs w:val="28"/>
        </w:rPr>
        <w:t>By signing below, I confirm that the work/evidence presented is my own, unaided work. I understand the regulations pertaining to candidate malpractice and the action that may be taken as a result.</w:t>
      </w:r>
    </w:p>
    <w:p w:rsidR="00927BCF" w:rsidRDefault="00927BCF" w:rsidP="00927BCF">
      <w:pPr>
        <w:pStyle w:val="Standard"/>
        <w:rPr>
          <w:rFonts w:cs="Arial"/>
          <w:sz w:val="28"/>
          <w:szCs w:val="28"/>
        </w:rPr>
      </w:pPr>
    </w:p>
    <w:p w:rsidR="00927BCF" w:rsidRDefault="00927BCF" w:rsidP="00927BCF">
      <w:pPr>
        <w:pStyle w:val="Standard"/>
      </w:pPr>
      <w:r>
        <w:rPr>
          <w:rFonts w:cs="Arial"/>
          <w:sz w:val="28"/>
          <w:szCs w:val="28"/>
        </w:rPr>
        <w:t>Signed: Rhodri Packman</w:t>
      </w:r>
    </w:p>
    <w:p w:rsidR="00927BCF" w:rsidRDefault="00927BCF" w:rsidP="00927BCF">
      <w:pPr>
        <w:pStyle w:val="Standard"/>
      </w:pPr>
      <w:r>
        <w:rPr>
          <w:rFonts w:cs="Arial"/>
          <w:sz w:val="28"/>
          <w:szCs w:val="28"/>
        </w:rPr>
        <w:t xml:space="preserve">Date: </w:t>
      </w:r>
      <w:r w:rsidR="002D0A81">
        <w:rPr>
          <w:rFonts w:cs="Arial"/>
          <w:sz w:val="28"/>
          <w:szCs w:val="28"/>
        </w:rPr>
        <w:t>27</w:t>
      </w:r>
      <w:r w:rsidR="003E26E8">
        <w:rPr>
          <w:rFonts w:cs="Arial"/>
          <w:sz w:val="28"/>
          <w:szCs w:val="28"/>
        </w:rPr>
        <w:t>/01/</w:t>
      </w:r>
      <w:r w:rsidR="002D0A81">
        <w:rPr>
          <w:rFonts w:cs="Arial"/>
          <w:sz w:val="28"/>
          <w:szCs w:val="28"/>
        </w:rPr>
        <w:t>2020</w:t>
      </w:r>
      <w:bookmarkStart w:id="0" w:name="_GoBack"/>
      <w:bookmarkEnd w:id="0"/>
    </w:p>
    <w:p w:rsidR="00927BCF" w:rsidRDefault="00927BCF" w:rsidP="00927BCF">
      <w:pPr>
        <w:pStyle w:val="Standard"/>
        <w:spacing w:after="0" w:line="240" w:lineRule="auto"/>
        <w:rPr>
          <w:rFonts w:cs="Arial"/>
        </w:rPr>
      </w:pPr>
    </w:p>
    <w:p w:rsidR="00927BCF" w:rsidRDefault="00927BCF" w:rsidP="00927BCF">
      <w:pPr>
        <w:pStyle w:val="Standard"/>
        <w:spacing w:after="0" w:line="240" w:lineRule="auto"/>
        <w:rPr>
          <w:rFonts w:cs="Arial"/>
        </w:rPr>
      </w:pPr>
    </w:p>
    <w:p w:rsidR="00927BCF" w:rsidRDefault="00927BCF" w:rsidP="00927BCF">
      <w:pPr>
        <w:pStyle w:val="Standard"/>
        <w:spacing w:after="0" w:line="240" w:lineRule="auto"/>
        <w:rPr>
          <w:rFonts w:cs="Arial"/>
        </w:rPr>
      </w:pPr>
    </w:p>
    <w:p w:rsidR="00927BCF" w:rsidRDefault="00927BCF" w:rsidP="00927BCF">
      <w:pPr>
        <w:pStyle w:val="Standard"/>
        <w:spacing w:after="0" w:line="240" w:lineRule="auto"/>
        <w:rPr>
          <w:rFonts w:cs="Arial"/>
        </w:rPr>
      </w:pPr>
    </w:p>
    <w:p w:rsidR="00927BCF" w:rsidRDefault="00927BCF" w:rsidP="00927BCF">
      <w:pPr>
        <w:pStyle w:val="Standard"/>
        <w:spacing w:after="0" w:line="240" w:lineRule="auto"/>
        <w:rPr>
          <w:rFonts w:cs="Arial"/>
        </w:rPr>
      </w:pPr>
    </w:p>
    <w:p w:rsidR="00927BCF" w:rsidRPr="002D0A81" w:rsidRDefault="002D0A81" w:rsidP="00927BCF">
      <w:pPr>
        <w:pStyle w:val="Standard"/>
        <w:spacing w:after="0" w:line="240" w:lineRule="auto"/>
        <w:rPr>
          <w:rFonts w:cs="Arial"/>
          <w:sz w:val="24"/>
        </w:rPr>
      </w:pPr>
      <w:r w:rsidRPr="002D0A81">
        <w:rPr>
          <w:rFonts w:cs="Arial"/>
          <w:sz w:val="24"/>
        </w:rPr>
        <w:t>Word</w:t>
      </w:r>
      <w:r>
        <w:rPr>
          <w:rFonts w:cs="Arial"/>
          <w:sz w:val="24"/>
        </w:rPr>
        <w:t xml:space="preserve"> </w:t>
      </w:r>
      <w:r w:rsidRPr="002D0A81">
        <w:rPr>
          <w:rFonts w:cs="Arial"/>
          <w:sz w:val="24"/>
        </w:rPr>
        <w:t>count: 3239</w:t>
      </w:r>
    </w:p>
    <w:p w:rsidR="00927BCF" w:rsidRDefault="00927BCF" w:rsidP="00927BCF">
      <w:pPr>
        <w:pStyle w:val="Standard"/>
        <w:spacing w:after="0" w:line="240" w:lineRule="auto"/>
        <w:rPr>
          <w:rFonts w:cs="Arial"/>
        </w:rPr>
      </w:pPr>
    </w:p>
    <w:p w:rsidR="00927BCF" w:rsidRDefault="00927BCF" w:rsidP="00927BCF">
      <w:pPr>
        <w:pStyle w:val="Standard"/>
        <w:spacing w:after="0" w:line="240" w:lineRule="auto"/>
        <w:rPr>
          <w:rFonts w:cs="Arial"/>
        </w:rPr>
      </w:pPr>
    </w:p>
    <w:p w:rsidR="00927BCF" w:rsidRDefault="00927BCF" w:rsidP="00927BCF">
      <w:pPr>
        <w:pStyle w:val="Standard"/>
        <w:spacing w:after="0" w:line="360" w:lineRule="auto"/>
        <w:rPr>
          <w:rFonts w:cs="Arial"/>
        </w:rPr>
      </w:pPr>
    </w:p>
    <w:p w:rsidR="004562FB" w:rsidRDefault="004562FB" w:rsidP="00927BCF">
      <w:pPr>
        <w:pStyle w:val="Standard"/>
        <w:spacing w:after="0" w:line="360" w:lineRule="auto"/>
        <w:rPr>
          <w:rFonts w:cs="Arial"/>
        </w:rPr>
      </w:pPr>
    </w:p>
    <w:p w:rsidR="004562FB" w:rsidRDefault="004562FB" w:rsidP="00927BCF">
      <w:pPr>
        <w:pStyle w:val="Standard"/>
        <w:spacing w:after="0" w:line="360" w:lineRule="auto"/>
        <w:rPr>
          <w:rFonts w:cs="Arial"/>
        </w:rPr>
      </w:pPr>
    </w:p>
    <w:p w:rsidR="00927BCF" w:rsidRDefault="00927BCF" w:rsidP="00927BCF">
      <w:pPr>
        <w:pStyle w:val="Standard"/>
        <w:spacing w:after="0" w:line="240" w:lineRule="auto"/>
        <w:rPr>
          <w:rFonts w:cs="Arial"/>
          <w:b/>
          <w:sz w:val="28"/>
        </w:rPr>
      </w:pPr>
    </w:p>
    <w:p w:rsidR="004562FB" w:rsidRPr="002B14BB" w:rsidRDefault="002B14BB" w:rsidP="002B14BB">
      <w:pPr>
        <w:spacing w:after="200" w:line="276" w:lineRule="auto"/>
        <w:rPr>
          <w:rFonts w:cstheme="minorHAnsi"/>
          <w:b/>
        </w:rPr>
      </w:pPr>
      <w:r>
        <w:rPr>
          <w:rFonts w:cstheme="minorHAnsi"/>
          <w:b/>
        </w:rPr>
        <w:t xml:space="preserve">1. </w:t>
      </w:r>
      <w:r w:rsidR="004562FB" w:rsidRPr="002B14BB">
        <w:rPr>
          <w:rFonts w:cstheme="minorHAnsi"/>
          <w:b/>
        </w:rPr>
        <w:t xml:space="preserve">Define </w:t>
      </w:r>
      <w:r w:rsidRPr="002B14BB">
        <w:rPr>
          <w:rFonts w:cstheme="minorHAnsi"/>
          <w:b/>
        </w:rPr>
        <w:t>employee engagement and explain how it relates to other concepts such as organisational commitment, employer involvement and job satisfaction</w:t>
      </w:r>
    </w:p>
    <w:p w:rsidR="002632B4" w:rsidRDefault="00D57C29" w:rsidP="007A2A19">
      <w:pPr>
        <w:spacing w:after="200" w:line="276" w:lineRule="auto"/>
        <w:rPr>
          <w:rFonts w:cstheme="minorHAnsi"/>
        </w:rPr>
      </w:pPr>
      <w:r w:rsidRPr="00D57C29">
        <w:rPr>
          <w:rFonts w:cstheme="minorHAnsi"/>
        </w:rPr>
        <w:t>When employees are dissatisﬁed at work, they are le</w:t>
      </w:r>
      <w:r>
        <w:rPr>
          <w:rFonts w:cstheme="minorHAnsi"/>
        </w:rPr>
        <w:t xml:space="preserve">ss committed and will look for </w:t>
      </w:r>
      <w:r w:rsidRPr="00D57C29">
        <w:rPr>
          <w:rFonts w:cstheme="minorHAnsi"/>
        </w:rPr>
        <w:t xml:space="preserve">opportunities to quit. If </w:t>
      </w:r>
      <w:r w:rsidR="00E22DE3">
        <w:rPr>
          <w:rFonts w:cstheme="minorHAnsi"/>
        </w:rPr>
        <w:t xml:space="preserve">these </w:t>
      </w:r>
      <w:r w:rsidRPr="00D57C29">
        <w:rPr>
          <w:rFonts w:cstheme="minorHAnsi"/>
        </w:rPr>
        <w:t>opportunities are unavailable, they may emotionally or mentally “withdraw” f</w:t>
      </w:r>
      <w:r>
        <w:rPr>
          <w:rFonts w:cstheme="minorHAnsi"/>
        </w:rPr>
        <w:t>rom the organisation</w:t>
      </w:r>
      <w:r w:rsidR="00E22DE3">
        <w:rPr>
          <w:rFonts w:cstheme="minorHAnsi"/>
        </w:rPr>
        <w:t xml:space="preserve"> which</w:t>
      </w:r>
      <w:r w:rsidR="00F84FB4">
        <w:rPr>
          <w:rFonts w:cstheme="minorHAnsi"/>
        </w:rPr>
        <w:t xml:space="preserve"> clearly</w:t>
      </w:r>
      <w:r w:rsidR="00E22DE3">
        <w:rPr>
          <w:rFonts w:cstheme="minorHAnsi"/>
        </w:rPr>
        <w:t xml:space="preserve"> impacts on productivity and meeting </w:t>
      </w:r>
      <w:r w:rsidR="00F84FB4">
        <w:rPr>
          <w:rFonts w:cstheme="minorHAnsi"/>
        </w:rPr>
        <w:t xml:space="preserve">the overall </w:t>
      </w:r>
      <w:r w:rsidR="00E22DE3">
        <w:rPr>
          <w:rFonts w:cstheme="minorHAnsi"/>
        </w:rPr>
        <w:t>organisational goals</w:t>
      </w:r>
      <w:r>
        <w:rPr>
          <w:rFonts w:cstheme="minorHAnsi"/>
        </w:rPr>
        <w:t xml:space="preserve"> (Lok and Crawford, 2004). However, those </w:t>
      </w:r>
      <w:r w:rsidR="00E22DE3">
        <w:rPr>
          <w:rFonts w:cstheme="minorHAnsi"/>
        </w:rPr>
        <w:t>employees who</w:t>
      </w:r>
      <w:r w:rsidR="003911B0" w:rsidRPr="003911B0">
        <w:rPr>
          <w:rFonts w:cstheme="minorHAnsi"/>
        </w:rPr>
        <w:t xml:space="preserve"> have good quality jobs</w:t>
      </w:r>
      <w:r w:rsidR="00E22DE3">
        <w:rPr>
          <w:rFonts w:cstheme="minorHAnsi"/>
        </w:rPr>
        <w:t>,</w:t>
      </w:r>
      <w:r w:rsidR="00B65B34">
        <w:rPr>
          <w:rFonts w:cstheme="minorHAnsi"/>
        </w:rPr>
        <w:t xml:space="preserve"> a rounded work-life balance</w:t>
      </w:r>
      <w:r w:rsidR="003911B0" w:rsidRPr="003911B0">
        <w:rPr>
          <w:rFonts w:cstheme="minorHAnsi"/>
        </w:rPr>
        <w:t xml:space="preserve"> and are </w:t>
      </w:r>
      <w:r w:rsidR="00B65B34">
        <w:rPr>
          <w:rFonts w:cstheme="minorHAnsi"/>
        </w:rPr>
        <w:t xml:space="preserve">well </w:t>
      </w:r>
      <w:r w:rsidR="003911B0" w:rsidRPr="003911B0">
        <w:rPr>
          <w:rFonts w:cstheme="minorHAnsi"/>
        </w:rPr>
        <w:t>managed, will not only be happier, healthier and more fulfilled, but are also mor</w:t>
      </w:r>
      <w:r w:rsidR="00C05B0A">
        <w:rPr>
          <w:rFonts w:cstheme="minorHAnsi"/>
        </w:rPr>
        <w:t>e likely to improve p</w:t>
      </w:r>
      <w:r w:rsidR="008B5CF6">
        <w:rPr>
          <w:rFonts w:cstheme="minorHAnsi"/>
        </w:rPr>
        <w:t>roductivity and drive product and</w:t>
      </w:r>
      <w:r w:rsidR="00C05B0A">
        <w:rPr>
          <w:rFonts w:cstheme="minorHAnsi"/>
        </w:rPr>
        <w:t xml:space="preserve"> service innovation</w:t>
      </w:r>
      <w:r w:rsidR="003911B0" w:rsidRPr="003911B0">
        <w:rPr>
          <w:rFonts w:cstheme="minorHAnsi"/>
        </w:rPr>
        <w:t xml:space="preserve">. This </w:t>
      </w:r>
      <w:r w:rsidR="00C05B0A">
        <w:rPr>
          <w:rFonts w:cstheme="minorHAnsi"/>
        </w:rPr>
        <w:t xml:space="preserve">‘mutual gains’ </w:t>
      </w:r>
      <w:r w:rsidR="003911B0" w:rsidRPr="003911B0">
        <w:rPr>
          <w:rFonts w:cstheme="minorHAnsi"/>
        </w:rPr>
        <w:t>view of motivation and people management</w:t>
      </w:r>
      <w:r w:rsidR="002632B4">
        <w:rPr>
          <w:rFonts w:cstheme="minorHAnsi"/>
        </w:rPr>
        <w:t xml:space="preserve"> lies at the heart of employee engagement</w:t>
      </w:r>
      <w:r w:rsidR="003911B0">
        <w:rPr>
          <w:rFonts w:cstheme="minorHAnsi"/>
        </w:rPr>
        <w:t xml:space="preserve"> (CIPD, 2019</w:t>
      </w:r>
      <w:r w:rsidR="000D2856">
        <w:rPr>
          <w:rFonts w:cstheme="minorHAnsi"/>
        </w:rPr>
        <w:t>a</w:t>
      </w:r>
      <w:r w:rsidR="003911B0">
        <w:rPr>
          <w:rFonts w:cstheme="minorHAnsi"/>
        </w:rPr>
        <w:t xml:space="preserve">). </w:t>
      </w:r>
    </w:p>
    <w:p w:rsidR="008C2EC8" w:rsidRDefault="007E03BB" w:rsidP="007A2A19">
      <w:pPr>
        <w:spacing w:after="200" w:line="276" w:lineRule="auto"/>
        <w:rPr>
          <w:rFonts w:cstheme="minorHAnsi"/>
        </w:rPr>
      </w:pPr>
      <w:r>
        <w:rPr>
          <w:rFonts w:cstheme="minorHAnsi"/>
        </w:rPr>
        <w:t>The CIPD (2019</w:t>
      </w:r>
      <w:r w:rsidR="000D2856">
        <w:rPr>
          <w:rFonts w:cstheme="minorHAnsi"/>
        </w:rPr>
        <w:t>a</w:t>
      </w:r>
      <w:r>
        <w:rPr>
          <w:rFonts w:cstheme="minorHAnsi"/>
        </w:rPr>
        <w:t>)</w:t>
      </w:r>
      <w:r w:rsidR="00DD4F98">
        <w:rPr>
          <w:rFonts w:cstheme="minorHAnsi"/>
        </w:rPr>
        <w:t xml:space="preserve"> </w:t>
      </w:r>
      <w:r w:rsidR="002632B4">
        <w:rPr>
          <w:rFonts w:cstheme="minorHAnsi"/>
        </w:rPr>
        <w:t>suggest employee engagement is</w:t>
      </w:r>
      <w:r w:rsidRPr="007E03BB">
        <w:rPr>
          <w:rFonts w:cstheme="minorHAnsi"/>
        </w:rPr>
        <w:t xml:space="preserve"> a combination of commitment to the organisation and its values and a willingness to help colleagues.</w:t>
      </w:r>
      <w:r w:rsidR="002632B4">
        <w:rPr>
          <w:rFonts w:cstheme="minorHAnsi"/>
        </w:rPr>
        <w:t xml:space="preserve"> </w:t>
      </w:r>
      <w:r>
        <w:rPr>
          <w:rFonts w:cstheme="minorHAnsi"/>
        </w:rPr>
        <w:t xml:space="preserve">This links to the Kahn (1990) academic work that highlighted engagement </w:t>
      </w:r>
      <w:r w:rsidR="00F84FB4">
        <w:rPr>
          <w:rFonts w:cstheme="minorHAnsi"/>
        </w:rPr>
        <w:t>as a</w:t>
      </w:r>
      <w:r w:rsidR="00EC7454">
        <w:rPr>
          <w:rFonts w:cstheme="minorHAnsi"/>
        </w:rPr>
        <w:t xml:space="preserve"> three pronged issue namely cognitive, emotional and physical. </w:t>
      </w:r>
      <w:r w:rsidR="008C2EC8" w:rsidRPr="008C2EC8">
        <w:rPr>
          <w:rFonts w:cstheme="minorHAnsi"/>
        </w:rPr>
        <w:t xml:space="preserve">Cognitive engagement refers to employees’ beliefs about the company, its leaders and the workplace culture. The emotional aspect is how employees feel about the company, the leaders and their colleagues. </w:t>
      </w:r>
      <w:r w:rsidR="008C2EC8">
        <w:rPr>
          <w:rFonts w:cstheme="minorHAnsi"/>
        </w:rPr>
        <w:t xml:space="preserve"> Konrad (2016) </w:t>
      </w:r>
      <w:r w:rsidR="00EC7454">
        <w:rPr>
          <w:rFonts w:cstheme="minorHAnsi"/>
        </w:rPr>
        <w:t>sees physical as being a</w:t>
      </w:r>
      <w:r w:rsidR="008C2EC8">
        <w:rPr>
          <w:rFonts w:cstheme="minorHAnsi"/>
        </w:rPr>
        <w:t xml:space="preserve"> behavioural element; a</w:t>
      </w:r>
      <w:r w:rsidR="008C2EC8" w:rsidRPr="008C2EC8">
        <w:rPr>
          <w:rFonts w:cstheme="minorHAnsi"/>
        </w:rPr>
        <w:t xml:space="preserve"> value-added component reflected in the amount of effort empl</w:t>
      </w:r>
      <w:r w:rsidR="008C2EC8">
        <w:rPr>
          <w:rFonts w:cstheme="minorHAnsi"/>
        </w:rPr>
        <w:t>oyees put into their work, for example</w:t>
      </w:r>
      <w:r w:rsidR="008C2EC8" w:rsidRPr="008C2EC8">
        <w:rPr>
          <w:rFonts w:cstheme="minorHAnsi"/>
        </w:rPr>
        <w:t xml:space="preserve"> brai</w:t>
      </w:r>
      <w:r w:rsidR="008C2EC8">
        <w:rPr>
          <w:rFonts w:cstheme="minorHAnsi"/>
        </w:rPr>
        <w:t xml:space="preserve">npower, extra time and energy,  or ‘going the extra mile’ for the organisation. </w:t>
      </w:r>
    </w:p>
    <w:p w:rsidR="007E03BB" w:rsidRDefault="008C2EC8" w:rsidP="007A2A19">
      <w:pPr>
        <w:spacing w:after="200" w:line="276" w:lineRule="auto"/>
        <w:rPr>
          <w:rFonts w:cstheme="minorHAnsi"/>
        </w:rPr>
      </w:pPr>
      <w:r>
        <w:rPr>
          <w:rFonts w:cstheme="minorHAnsi"/>
        </w:rPr>
        <w:t xml:space="preserve">As suggested, </w:t>
      </w:r>
      <w:r w:rsidR="00D508FA">
        <w:rPr>
          <w:rFonts w:cstheme="minorHAnsi"/>
        </w:rPr>
        <w:t xml:space="preserve">engagement is as much about the individual and their own motivations, rather than a one-sized-fits-all process pushed by HR. Employee Engagement is discretionary i.e. it cannot be assumed to happen to everyone, </w:t>
      </w:r>
      <w:r w:rsidR="00C05B0A">
        <w:rPr>
          <w:rFonts w:cstheme="minorHAnsi"/>
        </w:rPr>
        <w:t>or</w:t>
      </w:r>
      <w:r w:rsidR="00D508FA">
        <w:rPr>
          <w:rFonts w:cstheme="minorHAnsi"/>
        </w:rPr>
        <w:t xml:space="preserve"> in the same way!</w:t>
      </w:r>
      <w:r w:rsidR="003911B0" w:rsidRPr="003911B0">
        <w:rPr>
          <w:rFonts w:cstheme="minorHAnsi"/>
        </w:rPr>
        <w:t xml:space="preserve"> </w:t>
      </w:r>
      <w:r w:rsidR="003911B0">
        <w:rPr>
          <w:rFonts w:cstheme="minorHAnsi"/>
        </w:rPr>
        <w:t>Johns and Ellis (2016) suggests these elements are what makes defining the term employee engagement</w:t>
      </w:r>
      <w:r w:rsidR="002632B4">
        <w:rPr>
          <w:rFonts w:cstheme="minorHAnsi"/>
        </w:rPr>
        <w:t xml:space="preserve"> difficult and points to the McLeod review which contains over 50 definitions. </w:t>
      </w:r>
      <w:r w:rsidR="00CA0B8A">
        <w:rPr>
          <w:rFonts w:cstheme="minorHAnsi"/>
        </w:rPr>
        <w:t xml:space="preserve">Indeed the CIPD (2019) identify that </w:t>
      </w:r>
      <w:r w:rsidR="00CA0B8A" w:rsidRPr="00CA0B8A">
        <w:rPr>
          <w:rFonts w:cstheme="minorHAnsi"/>
        </w:rPr>
        <w:t>the lack of consensus on what engagement is</w:t>
      </w:r>
      <w:r w:rsidR="00F84FB4">
        <w:rPr>
          <w:rFonts w:cstheme="minorHAnsi"/>
        </w:rPr>
        <w:t>,</w:t>
      </w:r>
      <w:r w:rsidR="00CA0B8A" w:rsidRPr="00CA0B8A">
        <w:rPr>
          <w:rFonts w:cstheme="minorHAnsi"/>
        </w:rPr>
        <w:t xml:space="preserve"> has led to many different ways to </w:t>
      </w:r>
      <w:r w:rsidR="00746029">
        <w:rPr>
          <w:rFonts w:cstheme="minorHAnsi"/>
        </w:rPr>
        <w:t>measure</w:t>
      </w:r>
      <w:r w:rsidR="00CA0B8A" w:rsidRPr="00CA0B8A">
        <w:rPr>
          <w:rFonts w:cstheme="minorHAnsi"/>
        </w:rPr>
        <w:t xml:space="preserve"> it</w:t>
      </w:r>
      <w:r w:rsidR="00F84FB4">
        <w:rPr>
          <w:rFonts w:cstheme="minorHAnsi"/>
        </w:rPr>
        <w:t>,</w:t>
      </w:r>
      <w:r w:rsidR="00CA0B8A" w:rsidRPr="00CA0B8A">
        <w:rPr>
          <w:rFonts w:cstheme="minorHAnsi"/>
        </w:rPr>
        <w:t xml:space="preserve"> and inconsistent advice on how to achieve it. </w:t>
      </w:r>
      <w:r w:rsidR="00F84FB4">
        <w:rPr>
          <w:rFonts w:cstheme="minorHAnsi"/>
        </w:rPr>
        <w:t>The identify that loose</w:t>
      </w:r>
      <w:r w:rsidR="00CA0B8A" w:rsidRPr="00CA0B8A">
        <w:rPr>
          <w:rFonts w:cstheme="minorHAnsi"/>
        </w:rPr>
        <w:t xml:space="preserve"> or overly broad definitions hamper effective </w:t>
      </w:r>
      <w:r w:rsidR="00746029">
        <w:rPr>
          <w:rFonts w:cstheme="minorHAnsi"/>
        </w:rPr>
        <w:t>engagement</w:t>
      </w:r>
      <w:r w:rsidR="00F84FB4">
        <w:rPr>
          <w:rFonts w:cstheme="minorHAnsi"/>
        </w:rPr>
        <w:t>, as it i</w:t>
      </w:r>
      <w:r w:rsidR="00CA0B8A" w:rsidRPr="00CA0B8A">
        <w:rPr>
          <w:rFonts w:cstheme="minorHAnsi"/>
        </w:rPr>
        <w:t xml:space="preserve">s unclear </w:t>
      </w:r>
      <w:r w:rsidR="00746029">
        <w:rPr>
          <w:rFonts w:cstheme="minorHAnsi"/>
        </w:rPr>
        <w:t>what is a problem or opportunity</w:t>
      </w:r>
      <w:r w:rsidR="00CA0B8A" w:rsidRPr="00CA0B8A">
        <w:rPr>
          <w:rFonts w:cstheme="minorHAnsi"/>
        </w:rPr>
        <w:t>, or what should be done.</w:t>
      </w:r>
    </w:p>
    <w:p w:rsidR="006528F5" w:rsidRDefault="003C65EB" w:rsidP="007A2A19">
      <w:pPr>
        <w:spacing w:after="200" w:line="276" w:lineRule="auto"/>
        <w:rPr>
          <w:rFonts w:cstheme="minorHAnsi"/>
        </w:rPr>
      </w:pPr>
      <w:r>
        <w:rPr>
          <w:rFonts w:cstheme="minorHAnsi"/>
        </w:rPr>
        <w:t>Macey and Schneider (</w:t>
      </w:r>
      <w:r w:rsidR="00D508FA">
        <w:rPr>
          <w:rFonts w:cstheme="minorHAnsi"/>
        </w:rPr>
        <w:t xml:space="preserve">2008) </w:t>
      </w:r>
      <w:r w:rsidR="00F84FB4">
        <w:rPr>
          <w:rFonts w:cstheme="minorHAnsi"/>
        </w:rPr>
        <w:t>declare that</w:t>
      </w:r>
      <w:r w:rsidR="00D508FA">
        <w:rPr>
          <w:rFonts w:cstheme="minorHAnsi"/>
        </w:rPr>
        <w:t xml:space="preserve"> engagement is a desirable condition. It has an organis</w:t>
      </w:r>
      <w:r w:rsidR="00D508FA" w:rsidRPr="00D508FA">
        <w:rPr>
          <w:rFonts w:cstheme="minorHAnsi"/>
        </w:rPr>
        <w:t>ational purpose</w:t>
      </w:r>
      <w:r w:rsidR="00865F0A">
        <w:rPr>
          <w:rFonts w:cstheme="minorHAnsi"/>
        </w:rPr>
        <w:t xml:space="preserve"> and should </w:t>
      </w:r>
      <w:r w:rsidR="00F55BA7">
        <w:rPr>
          <w:rFonts w:cstheme="minorHAnsi"/>
        </w:rPr>
        <w:t xml:space="preserve">be organisationally led, but importantly operates at an individual level and has </w:t>
      </w:r>
      <w:r w:rsidR="00F55BA7" w:rsidRPr="00D508FA">
        <w:rPr>
          <w:rFonts w:cstheme="minorHAnsi"/>
        </w:rPr>
        <w:t>both attitu</w:t>
      </w:r>
      <w:r w:rsidR="00F55BA7">
        <w:rPr>
          <w:rFonts w:cstheme="minorHAnsi"/>
        </w:rPr>
        <w:t xml:space="preserve">dinal and behavioural components. Employees can exhibit </w:t>
      </w:r>
      <w:r w:rsidR="00B764F6">
        <w:rPr>
          <w:rFonts w:cstheme="minorHAnsi"/>
        </w:rPr>
        <w:t>personal</w:t>
      </w:r>
      <w:r w:rsidR="00D508FA">
        <w:rPr>
          <w:rFonts w:cstheme="minorHAnsi"/>
        </w:rPr>
        <w:t xml:space="preserve"> </w:t>
      </w:r>
      <w:r w:rsidR="00D508FA" w:rsidRPr="00D508FA">
        <w:rPr>
          <w:rFonts w:cstheme="minorHAnsi"/>
        </w:rPr>
        <w:t>involvement, commitment, passion, enthusiasm, focused effort, and energy</w:t>
      </w:r>
      <w:r w:rsidR="00F55BA7">
        <w:rPr>
          <w:rFonts w:cstheme="minorHAnsi"/>
        </w:rPr>
        <w:t xml:space="preserve">, without wider organisational support. </w:t>
      </w:r>
      <w:r w:rsidR="006528F5">
        <w:rPr>
          <w:rFonts w:cstheme="minorHAnsi"/>
        </w:rPr>
        <w:t xml:space="preserve">As Johns and Ellis (2016) describe, harnessing discretionary effort of people produces better results than if people simply work within and to, the confines of a job description. </w:t>
      </w:r>
    </w:p>
    <w:p w:rsidR="00D57C29" w:rsidRDefault="00D57C29" w:rsidP="007A2A19">
      <w:pPr>
        <w:spacing w:after="200" w:line="276" w:lineRule="auto"/>
        <w:rPr>
          <w:rFonts w:cstheme="minorHAnsi"/>
        </w:rPr>
      </w:pPr>
      <w:r>
        <w:rPr>
          <w:rFonts w:cstheme="minorHAnsi"/>
        </w:rPr>
        <w:t xml:space="preserve">Job satisfaction (an employee’s feelings about their work), organisational commitment (an individual’s psychological attachment to the organisation) </w:t>
      </w:r>
      <w:r w:rsidR="00920C3E">
        <w:rPr>
          <w:rFonts w:cstheme="minorHAnsi"/>
        </w:rPr>
        <w:t>and organisational commitment (</w:t>
      </w:r>
      <w:r w:rsidR="00920C3E" w:rsidRPr="00920C3E">
        <w:rPr>
          <w:rFonts w:cstheme="minorHAnsi"/>
        </w:rPr>
        <w:t>a psyc</w:t>
      </w:r>
      <w:r w:rsidR="00920C3E">
        <w:rPr>
          <w:rFonts w:cstheme="minorHAnsi"/>
        </w:rPr>
        <w:t>hological state that characteris</w:t>
      </w:r>
      <w:r w:rsidR="00920C3E" w:rsidRPr="00920C3E">
        <w:rPr>
          <w:rFonts w:cstheme="minorHAnsi"/>
        </w:rPr>
        <w:t>es the employee’s relationship with the organisation</w:t>
      </w:r>
      <w:r w:rsidR="00112957">
        <w:rPr>
          <w:rFonts w:cstheme="minorHAnsi"/>
        </w:rPr>
        <w:t>) (Rashid et al, 2003) are all constructs feeding into e</w:t>
      </w:r>
      <w:r w:rsidR="006460AB">
        <w:rPr>
          <w:rFonts w:cstheme="minorHAnsi"/>
        </w:rPr>
        <w:t xml:space="preserve">mployee engagement. </w:t>
      </w:r>
      <w:r w:rsidR="00F55BA7">
        <w:rPr>
          <w:rFonts w:cstheme="minorHAnsi"/>
        </w:rPr>
        <w:t xml:space="preserve"> </w:t>
      </w:r>
      <w:r w:rsidR="006460AB">
        <w:rPr>
          <w:rFonts w:cstheme="minorHAnsi"/>
        </w:rPr>
        <w:t>Whilst they</w:t>
      </w:r>
      <w:r w:rsidR="00E53EC0">
        <w:rPr>
          <w:rFonts w:cstheme="minorHAnsi"/>
        </w:rPr>
        <w:t xml:space="preserve"> are</w:t>
      </w:r>
      <w:r w:rsidR="00112957" w:rsidRPr="007E03BB">
        <w:rPr>
          <w:rFonts w:cstheme="minorHAnsi"/>
        </w:rPr>
        <w:t xml:space="preserve"> </w:t>
      </w:r>
      <w:r w:rsidR="00E53EC0">
        <w:rPr>
          <w:rFonts w:cstheme="minorHAnsi"/>
        </w:rPr>
        <w:t>terms that are defined separately</w:t>
      </w:r>
      <w:r w:rsidR="006460AB">
        <w:rPr>
          <w:rFonts w:cstheme="minorHAnsi"/>
        </w:rPr>
        <w:t xml:space="preserve">, </w:t>
      </w:r>
      <w:r w:rsidR="00E53EC0">
        <w:rPr>
          <w:rFonts w:cstheme="minorHAnsi"/>
        </w:rPr>
        <w:t>Johns and Ellis,</w:t>
      </w:r>
      <w:r w:rsidR="006460AB">
        <w:rPr>
          <w:rFonts w:cstheme="minorHAnsi"/>
        </w:rPr>
        <w:t xml:space="preserve"> (</w:t>
      </w:r>
      <w:r w:rsidR="00E53EC0">
        <w:rPr>
          <w:rFonts w:cstheme="minorHAnsi"/>
        </w:rPr>
        <w:t>2016)</w:t>
      </w:r>
      <w:r w:rsidR="006460AB">
        <w:rPr>
          <w:rFonts w:cstheme="minorHAnsi"/>
        </w:rPr>
        <w:t xml:space="preserve"> suggest they are integral to </w:t>
      </w:r>
      <w:r w:rsidR="00E53EC0">
        <w:rPr>
          <w:rFonts w:cstheme="minorHAnsi"/>
        </w:rPr>
        <w:t xml:space="preserve">employee engagement, </w:t>
      </w:r>
      <w:r w:rsidR="006460AB">
        <w:rPr>
          <w:rFonts w:cstheme="minorHAnsi"/>
        </w:rPr>
        <w:t>which goes further</w:t>
      </w:r>
      <w:r w:rsidR="00E53EC0">
        <w:rPr>
          <w:rFonts w:cstheme="minorHAnsi"/>
        </w:rPr>
        <w:t xml:space="preserve"> than </w:t>
      </w:r>
      <w:r w:rsidR="00DD173A">
        <w:rPr>
          <w:rFonts w:cstheme="minorHAnsi"/>
        </w:rPr>
        <w:t>straightforward</w:t>
      </w:r>
      <w:r w:rsidR="00E53EC0">
        <w:rPr>
          <w:rFonts w:cstheme="minorHAnsi"/>
        </w:rPr>
        <w:t xml:space="preserve"> </w:t>
      </w:r>
      <w:r w:rsidR="00112957">
        <w:rPr>
          <w:rFonts w:cstheme="minorHAnsi"/>
        </w:rPr>
        <w:t>commitment, involvement</w:t>
      </w:r>
      <w:r w:rsidR="00112957" w:rsidRPr="007E03BB">
        <w:rPr>
          <w:rFonts w:cstheme="minorHAnsi"/>
        </w:rPr>
        <w:t xml:space="preserve"> and simple job satisfaction.</w:t>
      </w:r>
      <w:r w:rsidR="00112957">
        <w:rPr>
          <w:rFonts w:cstheme="minorHAnsi"/>
        </w:rPr>
        <w:t xml:space="preserve"> </w:t>
      </w:r>
      <w:r w:rsidR="005105B6">
        <w:rPr>
          <w:rFonts w:cstheme="minorHAnsi"/>
        </w:rPr>
        <w:t>Indeed, as Purce</w:t>
      </w:r>
      <w:r w:rsidR="00DD173A">
        <w:rPr>
          <w:rFonts w:cstheme="minorHAnsi"/>
        </w:rPr>
        <w:t>l</w:t>
      </w:r>
      <w:r w:rsidR="005105B6">
        <w:rPr>
          <w:rFonts w:cstheme="minorHAnsi"/>
        </w:rPr>
        <w:t xml:space="preserve">l (2010) suggests, employee engagement is ultimately about performance, results and outcomes; an employee may be satisfied with their job they do and may be happy in that role; however this does not assume meaningful work is performed. For this to happen other cultural elements need to be in place. </w:t>
      </w:r>
    </w:p>
    <w:p w:rsidR="00B65B34" w:rsidRDefault="00B65B34" w:rsidP="002B14BB">
      <w:pPr>
        <w:spacing w:after="200" w:line="276" w:lineRule="auto"/>
        <w:rPr>
          <w:rFonts w:cstheme="minorHAnsi"/>
        </w:rPr>
      </w:pPr>
    </w:p>
    <w:p w:rsidR="002B14BB" w:rsidRDefault="002B14BB" w:rsidP="002B14BB">
      <w:pPr>
        <w:spacing w:after="200" w:line="276" w:lineRule="auto"/>
        <w:rPr>
          <w:rFonts w:cstheme="minorHAnsi"/>
          <w:b/>
        </w:rPr>
      </w:pPr>
      <w:r>
        <w:rPr>
          <w:rFonts w:cstheme="minorHAnsi"/>
          <w:b/>
        </w:rPr>
        <w:t xml:space="preserve">2. </w:t>
      </w:r>
      <w:r w:rsidRPr="002B14BB">
        <w:rPr>
          <w:rFonts w:cstheme="minorHAnsi"/>
          <w:b/>
        </w:rPr>
        <w:t>Describe the HR, leadership and cultural elements of organisations which have high levels of employee engagement, making reference to academic literature on the subject.  You should also explain the need for aligning employee engagement with other key organisational factors.</w:t>
      </w:r>
    </w:p>
    <w:p w:rsidR="008F5EC4" w:rsidRDefault="000F2EFC" w:rsidP="008F5EC4">
      <w:pPr>
        <w:spacing w:after="200" w:line="276" w:lineRule="auto"/>
        <w:rPr>
          <w:rFonts w:cstheme="minorHAnsi"/>
        </w:rPr>
      </w:pPr>
      <w:r>
        <w:rPr>
          <w:rFonts w:cstheme="minorHAnsi"/>
        </w:rPr>
        <w:t xml:space="preserve">As has been suggested there are two elements of employee engagement. Firstly </w:t>
      </w:r>
      <w:r w:rsidRPr="000F2EFC">
        <w:rPr>
          <w:rFonts w:cstheme="minorHAnsi"/>
        </w:rPr>
        <w:t xml:space="preserve">the </w:t>
      </w:r>
      <w:r>
        <w:rPr>
          <w:rFonts w:cstheme="minorHAnsi"/>
        </w:rPr>
        <w:t>influence of job-level factors and employee</w:t>
      </w:r>
      <w:r w:rsidR="006528F5">
        <w:rPr>
          <w:rFonts w:cstheme="minorHAnsi"/>
        </w:rPr>
        <w:t>’</w:t>
      </w:r>
      <w:r>
        <w:rPr>
          <w:rFonts w:cstheme="minorHAnsi"/>
        </w:rPr>
        <w:t xml:space="preserve">s personal motivations, and secondly wider organisational </w:t>
      </w:r>
      <w:r w:rsidRPr="000F2EFC">
        <w:rPr>
          <w:rFonts w:cstheme="minorHAnsi"/>
        </w:rPr>
        <w:t>factors</w:t>
      </w:r>
      <w:r>
        <w:rPr>
          <w:rFonts w:cstheme="minorHAnsi"/>
        </w:rPr>
        <w:t xml:space="preserve"> that need to be in place to ensure every employee is</w:t>
      </w:r>
      <w:r w:rsidR="00FD6846">
        <w:rPr>
          <w:rFonts w:cstheme="minorHAnsi"/>
        </w:rPr>
        <w:t xml:space="preserve"> engaged and productive. </w:t>
      </w:r>
      <w:r w:rsidR="008F5EC4">
        <w:rPr>
          <w:rFonts w:cstheme="minorHAnsi"/>
        </w:rPr>
        <w:t xml:space="preserve">Employee engagement cannot be imposed and must permeate the culture of the organisations. In order for this to happen a number of elements need to be in place including </w:t>
      </w:r>
      <w:r w:rsidRPr="000F2EFC">
        <w:rPr>
          <w:rFonts w:cstheme="minorHAnsi"/>
        </w:rPr>
        <w:t>senior leader</w:t>
      </w:r>
      <w:r>
        <w:rPr>
          <w:rFonts w:cstheme="minorHAnsi"/>
        </w:rPr>
        <w:t>ship support, clarity of organis</w:t>
      </w:r>
      <w:r w:rsidRPr="000F2EFC">
        <w:rPr>
          <w:rFonts w:cstheme="minorHAnsi"/>
        </w:rPr>
        <w:t>a</w:t>
      </w:r>
      <w:r>
        <w:rPr>
          <w:rFonts w:cstheme="minorHAnsi"/>
        </w:rPr>
        <w:t xml:space="preserve">tional vision and goals, organisational climate </w:t>
      </w:r>
      <w:r w:rsidRPr="000F2EFC">
        <w:rPr>
          <w:rFonts w:cstheme="minorHAnsi"/>
        </w:rPr>
        <w:t>and</w:t>
      </w:r>
      <w:r>
        <w:rPr>
          <w:rFonts w:cstheme="minorHAnsi"/>
        </w:rPr>
        <w:t xml:space="preserve"> </w:t>
      </w:r>
      <w:r w:rsidRPr="000F2EFC">
        <w:rPr>
          <w:rFonts w:cstheme="minorHAnsi"/>
        </w:rPr>
        <w:t>supportive</w:t>
      </w:r>
      <w:r>
        <w:rPr>
          <w:rFonts w:cstheme="minorHAnsi"/>
        </w:rPr>
        <w:t xml:space="preserve"> HR practices</w:t>
      </w:r>
      <w:r w:rsidRPr="000F2EFC">
        <w:rPr>
          <w:rFonts w:cstheme="minorHAnsi"/>
        </w:rPr>
        <w:t xml:space="preserve"> </w:t>
      </w:r>
      <w:r>
        <w:rPr>
          <w:rFonts w:cstheme="minorHAnsi"/>
        </w:rPr>
        <w:t>(</w:t>
      </w:r>
      <w:r w:rsidR="00DD173A">
        <w:rPr>
          <w:rFonts w:cstheme="minorHAnsi"/>
        </w:rPr>
        <w:t xml:space="preserve">Bakker and Albrecht, </w:t>
      </w:r>
      <w:r>
        <w:rPr>
          <w:rFonts w:cstheme="minorHAnsi"/>
        </w:rPr>
        <w:t xml:space="preserve">2018).  </w:t>
      </w:r>
      <w:r w:rsidR="008F5EC4">
        <w:rPr>
          <w:rFonts w:cstheme="minorHAnsi"/>
        </w:rPr>
        <w:t>These mirror the cultural elements found in the MacLoed Report (</w:t>
      </w:r>
      <w:r w:rsidR="00EA16A5">
        <w:rPr>
          <w:rFonts w:cstheme="minorHAnsi"/>
        </w:rPr>
        <w:t xml:space="preserve">Macleod and Clarke, </w:t>
      </w:r>
      <w:r w:rsidR="008F5EC4">
        <w:rPr>
          <w:rFonts w:cstheme="minorHAnsi"/>
        </w:rPr>
        <w:t xml:space="preserve">2009) which highlights a strategic narrative, engaging managers, employee voice and integrity as being the pre-requisites for employee engagement. </w:t>
      </w:r>
    </w:p>
    <w:p w:rsidR="00093E48" w:rsidRDefault="00CF5C79" w:rsidP="00093E48">
      <w:pPr>
        <w:spacing w:after="200" w:line="276" w:lineRule="auto"/>
        <w:rPr>
          <w:rFonts w:cstheme="minorHAnsi"/>
        </w:rPr>
      </w:pPr>
      <w:r>
        <w:rPr>
          <w:rFonts w:cstheme="minorHAnsi"/>
        </w:rPr>
        <w:t>Popli and Rizli (2016) s</w:t>
      </w:r>
      <w:r w:rsidRPr="00CF5C79">
        <w:rPr>
          <w:rFonts w:cstheme="minorHAnsi"/>
        </w:rPr>
        <w:t>u</w:t>
      </w:r>
      <w:r>
        <w:rPr>
          <w:rFonts w:cstheme="minorHAnsi"/>
        </w:rPr>
        <w:t xml:space="preserve">ggest leadership as being one </w:t>
      </w:r>
      <w:r w:rsidRPr="00CF5C79">
        <w:rPr>
          <w:rFonts w:cstheme="minorHAnsi"/>
        </w:rPr>
        <w:t>of the single biggest factors affecting employee perceptions in the work</w:t>
      </w:r>
      <w:r>
        <w:rPr>
          <w:rFonts w:cstheme="minorHAnsi"/>
        </w:rPr>
        <w:t xml:space="preserve">place </w:t>
      </w:r>
      <w:r w:rsidR="00865F0A">
        <w:rPr>
          <w:rFonts w:cstheme="minorHAnsi"/>
        </w:rPr>
        <w:t>about wider</w:t>
      </w:r>
      <w:r>
        <w:rPr>
          <w:rFonts w:cstheme="minorHAnsi"/>
        </w:rPr>
        <w:t xml:space="preserve"> engagement. This is backed up by Attridge (2009) asserting</w:t>
      </w:r>
      <w:r w:rsidRPr="00CF5C79">
        <w:rPr>
          <w:rFonts w:cstheme="minorHAnsi"/>
        </w:rPr>
        <w:t xml:space="preserve"> that leadership style, </w:t>
      </w:r>
      <w:r w:rsidR="00F15311">
        <w:rPr>
          <w:rFonts w:cstheme="minorHAnsi"/>
        </w:rPr>
        <w:t>trust in leadership and effective leader–follower interactions are</w:t>
      </w:r>
      <w:r w:rsidRPr="00CF5C79">
        <w:rPr>
          <w:rFonts w:cstheme="minorHAnsi"/>
        </w:rPr>
        <w:t xml:space="preserve"> critical for promoting employee engagement</w:t>
      </w:r>
      <w:r>
        <w:rPr>
          <w:rFonts w:cstheme="minorHAnsi"/>
        </w:rPr>
        <w:t xml:space="preserve">. </w:t>
      </w:r>
      <w:r w:rsidR="00490FB1">
        <w:rPr>
          <w:rFonts w:cstheme="minorHAnsi"/>
        </w:rPr>
        <w:t xml:space="preserve"> Senior leaders within organis</w:t>
      </w:r>
      <w:r w:rsidR="00490FB1" w:rsidRPr="00490FB1">
        <w:rPr>
          <w:rFonts w:cstheme="minorHAnsi"/>
        </w:rPr>
        <w:t>ations “symbolise the values of the organization, determine the flow of the</w:t>
      </w:r>
      <w:r w:rsidR="00490FB1">
        <w:rPr>
          <w:rFonts w:cstheme="minorHAnsi"/>
        </w:rPr>
        <w:t xml:space="preserve"> organis</w:t>
      </w:r>
      <w:r w:rsidR="00490FB1" w:rsidRPr="00490FB1">
        <w:rPr>
          <w:rFonts w:cstheme="minorHAnsi"/>
        </w:rPr>
        <w:t>ational resources, and model employees’ ways of thinking, feeling, and reacting to important e</w:t>
      </w:r>
      <w:r w:rsidR="00490FB1">
        <w:rPr>
          <w:rFonts w:cstheme="minorHAnsi"/>
        </w:rPr>
        <w:t>vents” (Leiter and Bakker, 2010</w:t>
      </w:r>
      <w:r w:rsidR="00490FB1" w:rsidRPr="00490FB1">
        <w:rPr>
          <w:rFonts w:cstheme="minorHAnsi"/>
        </w:rPr>
        <w:t xml:space="preserve">). </w:t>
      </w:r>
      <w:r w:rsidR="00490FB1">
        <w:rPr>
          <w:rFonts w:cstheme="minorHAnsi"/>
        </w:rPr>
        <w:t xml:space="preserve"> </w:t>
      </w:r>
      <w:r w:rsidR="00093E48">
        <w:rPr>
          <w:rFonts w:cstheme="minorHAnsi"/>
        </w:rPr>
        <w:t xml:space="preserve">Leadership based on facilitation, where teams are led by </w:t>
      </w:r>
      <w:r w:rsidR="00093E48" w:rsidRPr="00093E48">
        <w:rPr>
          <w:rFonts w:cstheme="minorHAnsi"/>
        </w:rPr>
        <w:t>leaders who can bring the team together to clarify goals, set priorities, assess progress, seek solutions for problems, assign tasks an</w:t>
      </w:r>
      <w:r w:rsidR="00093E48">
        <w:rPr>
          <w:rFonts w:cstheme="minorHAnsi"/>
        </w:rPr>
        <w:t>d</w:t>
      </w:r>
      <w:r w:rsidR="00865F0A">
        <w:rPr>
          <w:rFonts w:cstheme="minorHAnsi"/>
        </w:rPr>
        <w:t xml:space="preserve"> be accountable to one another are more engaging than a more traditional t</w:t>
      </w:r>
      <w:r w:rsidR="001E3D77">
        <w:rPr>
          <w:rFonts w:cstheme="minorHAnsi"/>
        </w:rPr>
        <w:t xml:space="preserve">op-down, </w:t>
      </w:r>
      <w:r w:rsidR="004423B1">
        <w:rPr>
          <w:rFonts w:cstheme="minorHAnsi"/>
        </w:rPr>
        <w:t xml:space="preserve">control-led, </w:t>
      </w:r>
      <w:r w:rsidR="001E3D77">
        <w:rPr>
          <w:rFonts w:cstheme="minorHAnsi"/>
        </w:rPr>
        <w:t>tell approach (MacL</w:t>
      </w:r>
      <w:r w:rsidR="00093E48">
        <w:rPr>
          <w:rFonts w:cstheme="minorHAnsi"/>
        </w:rPr>
        <w:t>e</w:t>
      </w:r>
      <w:r w:rsidR="001E3D77">
        <w:rPr>
          <w:rFonts w:cstheme="minorHAnsi"/>
        </w:rPr>
        <w:t>o</w:t>
      </w:r>
      <w:r w:rsidR="00093E48">
        <w:rPr>
          <w:rFonts w:cstheme="minorHAnsi"/>
        </w:rPr>
        <w:t xml:space="preserve">d and Clarke, 2009). </w:t>
      </w:r>
    </w:p>
    <w:p w:rsidR="00490FB1" w:rsidRDefault="00093E48" w:rsidP="00CF5C79">
      <w:pPr>
        <w:spacing w:after="200" w:line="276" w:lineRule="auto"/>
        <w:rPr>
          <w:rFonts w:cstheme="minorHAnsi"/>
        </w:rPr>
      </w:pPr>
      <w:r>
        <w:rPr>
          <w:rFonts w:cstheme="minorHAnsi"/>
        </w:rPr>
        <w:t xml:space="preserve">HR and its operations </w:t>
      </w:r>
      <w:r w:rsidR="00034F1F">
        <w:rPr>
          <w:rFonts w:cstheme="minorHAnsi"/>
        </w:rPr>
        <w:t>also ha</w:t>
      </w:r>
      <w:r w:rsidR="00865F0A">
        <w:rPr>
          <w:rFonts w:cstheme="minorHAnsi"/>
        </w:rPr>
        <w:t>ve</w:t>
      </w:r>
      <w:r>
        <w:rPr>
          <w:rFonts w:cstheme="minorHAnsi"/>
        </w:rPr>
        <w:t xml:space="preserve"> an important role in employee engagement, especially in the way it is perceived to enable each employee within the organisation to be their best </w:t>
      </w:r>
      <w:r w:rsidR="008A061B">
        <w:rPr>
          <w:rFonts w:cstheme="minorHAnsi"/>
        </w:rPr>
        <w:t>(Alfes et al</w:t>
      </w:r>
      <w:r w:rsidR="00EA16A5">
        <w:rPr>
          <w:rFonts w:cstheme="minorHAnsi"/>
        </w:rPr>
        <w:t>, 2010</w:t>
      </w:r>
      <w:r w:rsidR="0034686B" w:rsidRPr="0034686B">
        <w:rPr>
          <w:rFonts w:cstheme="minorHAnsi"/>
        </w:rPr>
        <w:t xml:space="preserve">). </w:t>
      </w:r>
      <w:r>
        <w:rPr>
          <w:rFonts w:cstheme="minorHAnsi"/>
        </w:rPr>
        <w:t xml:space="preserve"> Albrecht et al (2018)</w:t>
      </w:r>
      <w:r w:rsidR="0034686B" w:rsidRPr="0034686B">
        <w:rPr>
          <w:rFonts w:cstheme="minorHAnsi"/>
        </w:rPr>
        <w:t xml:space="preserve"> </w:t>
      </w:r>
      <w:r>
        <w:rPr>
          <w:rFonts w:cstheme="minorHAnsi"/>
        </w:rPr>
        <w:t>suggests this includes how HR provides</w:t>
      </w:r>
      <w:r w:rsidR="0034686B" w:rsidRPr="0034686B">
        <w:rPr>
          <w:rFonts w:cstheme="minorHAnsi"/>
        </w:rPr>
        <w:t xml:space="preserve"> sufficient opportunities for training and development, </w:t>
      </w:r>
      <w:r w:rsidR="005C471D">
        <w:rPr>
          <w:rFonts w:cstheme="minorHAnsi"/>
        </w:rPr>
        <w:t>the use of effective</w:t>
      </w:r>
      <w:r>
        <w:rPr>
          <w:rFonts w:cstheme="minorHAnsi"/>
        </w:rPr>
        <w:t xml:space="preserve"> selection practices</w:t>
      </w:r>
      <w:r w:rsidR="0034686B" w:rsidRPr="0034686B">
        <w:rPr>
          <w:rFonts w:cstheme="minorHAnsi"/>
        </w:rPr>
        <w:t xml:space="preserve"> and </w:t>
      </w:r>
      <w:r w:rsidR="00DE4961">
        <w:rPr>
          <w:rFonts w:cstheme="minorHAnsi"/>
        </w:rPr>
        <w:t xml:space="preserve">ensuring that </w:t>
      </w:r>
      <w:r w:rsidR="0034686B" w:rsidRPr="0034686B">
        <w:rPr>
          <w:rFonts w:cstheme="minorHAnsi"/>
        </w:rPr>
        <w:t>employees</w:t>
      </w:r>
      <w:r w:rsidR="00DE4961">
        <w:rPr>
          <w:rFonts w:cstheme="minorHAnsi"/>
        </w:rPr>
        <w:t xml:space="preserve"> are</w:t>
      </w:r>
      <w:r w:rsidR="0034686B" w:rsidRPr="0034686B">
        <w:rPr>
          <w:rFonts w:cstheme="minorHAnsi"/>
        </w:rPr>
        <w:t xml:space="preserve"> </w:t>
      </w:r>
      <w:r w:rsidR="00865F0A">
        <w:rPr>
          <w:rFonts w:cstheme="minorHAnsi"/>
        </w:rPr>
        <w:t xml:space="preserve">communicated with </w:t>
      </w:r>
      <w:r w:rsidR="00DE4961">
        <w:rPr>
          <w:rFonts w:cstheme="minorHAnsi"/>
        </w:rPr>
        <w:t>on organisational performance</w:t>
      </w:r>
      <w:r w:rsidR="00710DB4">
        <w:rPr>
          <w:rFonts w:cstheme="minorHAnsi"/>
        </w:rPr>
        <w:t>. Barrick et al</w:t>
      </w:r>
      <w:r w:rsidR="0034686B" w:rsidRPr="0034686B">
        <w:rPr>
          <w:rFonts w:cstheme="minorHAnsi"/>
        </w:rPr>
        <w:t xml:space="preserve"> (2015) proposed that because HRM practices “shape the nature of the em</w:t>
      </w:r>
      <w:r>
        <w:rPr>
          <w:rFonts w:cstheme="minorHAnsi"/>
        </w:rPr>
        <w:t xml:space="preserve">ployee-firm relationship” </w:t>
      </w:r>
      <w:r w:rsidR="0034686B" w:rsidRPr="0034686B">
        <w:rPr>
          <w:rFonts w:cstheme="minorHAnsi"/>
        </w:rPr>
        <w:t xml:space="preserve">they serve as </w:t>
      </w:r>
      <w:r>
        <w:rPr>
          <w:rFonts w:cstheme="minorHAnsi"/>
        </w:rPr>
        <w:t>powerful elements</w:t>
      </w:r>
      <w:r w:rsidR="0034686B" w:rsidRPr="0034686B">
        <w:rPr>
          <w:rFonts w:cstheme="minorHAnsi"/>
        </w:rPr>
        <w:t xml:space="preserve"> of collective organi</w:t>
      </w:r>
      <w:r w:rsidR="00865F0A">
        <w:rPr>
          <w:rFonts w:cstheme="minorHAnsi"/>
        </w:rPr>
        <w:t>s</w:t>
      </w:r>
      <w:r w:rsidR="0034686B" w:rsidRPr="0034686B">
        <w:rPr>
          <w:rFonts w:cstheme="minorHAnsi"/>
        </w:rPr>
        <w:t>ational engagement</w:t>
      </w:r>
      <w:r>
        <w:rPr>
          <w:rFonts w:cstheme="minorHAnsi"/>
        </w:rPr>
        <w:t>.</w:t>
      </w:r>
    </w:p>
    <w:p w:rsidR="00BA4C64" w:rsidRDefault="00BA4C64" w:rsidP="00BA4C64">
      <w:pPr>
        <w:spacing w:after="200" w:line="276" w:lineRule="auto"/>
        <w:rPr>
          <w:rFonts w:cstheme="minorHAnsi"/>
        </w:rPr>
      </w:pPr>
      <w:r>
        <w:rPr>
          <w:rFonts w:cstheme="minorHAnsi"/>
        </w:rPr>
        <w:t>Crawford et al. (2010)</w:t>
      </w:r>
      <w:r w:rsidRPr="00BA4C64">
        <w:rPr>
          <w:rFonts w:cstheme="minorHAnsi"/>
        </w:rPr>
        <w:t xml:space="preserve"> </w:t>
      </w:r>
      <w:r>
        <w:rPr>
          <w:rFonts w:cstheme="minorHAnsi"/>
        </w:rPr>
        <w:t>found that the</w:t>
      </w:r>
      <w:r w:rsidRPr="00BA4C64">
        <w:rPr>
          <w:rFonts w:cstheme="minorHAnsi"/>
        </w:rPr>
        <w:t xml:space="preserve"> shared perceptions</w:t>
      </w:r>
      <w:r>
        <w:rPr>
          <w:rFonts w:cstheme="minorHAnsi"/>
        </w:rPr>
        <w:t xml:space="preserve"> </w:t>
      </w:r>
      <w:r w:rsidRPr="00BA4C64">
        <w:rPr>
          <w:rFonts w:cstheme="minorHAnsi"/>
        </w:rPr>
        <w:t>about</w:t>
      </w:r>
      <w:r>
        <w:rPr>
          <w:rFonts w:cstheme="minorHAnsi"/>
        </w:rPr>
        <w:t xml:space="preserve"> </w:t>
      </w:r>
      <w:r w:rsidRPr="00BA4C64">
        <w:rPr>
          <w:rFonts w:cstheme="minorHAnsi"/>
        </w:rPr>
        <w:t>the</w:t>
      </w:r>
      <w:r>
        <w:rPr>
          <w:rFonts w:cstheme="minorHAnsi"/>
        </w:rPr>
        <w:t xml:space="preserve"> </w:t>
      </w:r>
      <w:r w:rsidRPr="00BA4C64">
        <w:rPr>
          <w:rFonts w:cstheme="minorHAnsi"/>
        </w:rPr>
        <w:t>extent</w:t>
      </w:r>
      <w:r>
        <w:rPr>
          <w:rFonts w:cstheme="minorHAnsi"/>
        </w:rPr>
        <w:t xml:space="preserve"> </w:t>
      </w:r>
      <w:r w:rsidRPr="00BA4C64">
        <w:rPr>
          <w:rFonts w:cstheme="minorHAnsi"/>
        </w:rPr>
        <w:t>to</w:t>
      </w:r>
      <w:r>
        <w:rPr>
          <w:rFonts w:cstheme="minorHAnsi"/>
        </w:rPr>
        <w:t xml:space="preserve"> </w:t>
      </w:r>
      <w:r w:rsidRPr="00BA4C64">
        <w:rPr>
          <w:rFonts w:cstheme="minorHAnsi"/>
        </w:rPr>
        <w:t>which</w:t>
      </w:r>
      <w:r>
        <w:rPr>
          <w:rFonts w:cstheme="minorHAnsi"/>
        </w:rPr>
        <w:t xml:space="preserve"> </w:t>
      </w:r>
      <w:r w:rsidRPr="00BA4C64">
        <w:rPr>
          <w:rFonts w:cstheme="minorHAnsi"/>
        </w:rPr>
        <w:t>employees</w:t>
      </w:r>
      <w:r>
        <w:rPr>
          <w:rFonts w:cstheme="minorHAnsi"/>
        </w:rPr>
        <w:t xml:space="preserve"> </w:t>
      </w:r>
      <w:r w:rsidRPr="00BA4C64">
        <w:rPr>
          <w:rFonts w:cstheme="minorHAnsi"/>
        </w:rPr>
        <w:t>can</w:t>
      </w:r>
      <w:r>
        <w:rPr>
          <w:rFonts w:cstheme="minorHAnsi"/>
        </w:rPr>
        <w:t xml:space="preserve"> </w:t>
      </w:r>
      <w:r w:rsidRPr="00BA4C64">
        <w:rPr>
          <w:rFonts w:cstheme="minorHAnsi"/>
        </w:rPr>
        <w:t>exercise</w:t>
      </w:r>
      <w:r>
        <w:rPr>
          <w:rFonts w:cstheme="minorHAnsi"/>
        </w:rPr>
        <w:t xml:space="preserve"> </w:t>
      </w:r>
      <w:r w:rsidRPr="00BA4C64">
        <w:rPr>
          <w:rFonts w:cstheme="minorHAnsi"/>
        </w:rPr>
        <w:t>discretion</w:t>
      </w:r>
      <w:r>
        <w:rPr>
          <w:rFonts w:cstheme="minorHAnsi"/>
        </w:rPr>
        <w:t xml:space="preserve"> </w:t>
      </w:r>
      <w:r w:rsidRPr="00BA4C64">
        <w:rPr>
          <w:rFonts w:cstheme="minorHAnsi"/>
        </w:rPr>
        <w:t>and</w:t>
      </w:r>
      <w:r>
        <w:rPr>
          <w:rFonts w:cstheme="minorHAnsi"/>
        </w:rPr>
        <w:t xml:space="preserve"> </w:t>
      </w:r>
      <w:r w:rsidRPr="00BA4C64">
        <w:rPr>
          <w:rFonts w:cstheme="minorHAnsi"/>
        </w:rPr>
        <w:t>decision</w:t>
      </w:r>
      <w:r>
        <w:rPr>
          <w:rFonts w:cstheme="minorHAnsi"/>
        </w:rPr>
        <w:t xml:space="preserve">-making authority </w:t>
      </w:r>
      <w:r w:rsidR="005C471D">
        <w:rPr>
          <w:rFonts w:cstheme="minorHAnsi"/>
        </w:rPr>
        <w:t xml:space="preserve">also </w:t>
      </w:r>
      <w:r>
        <w:rPr>
          <w:rFonts w:cstheme="minorHAnsi"/>
        </w:rPr>
        <w:t xml:space="preserve">influences employee engagement.  </w:t>
      </w:r>
      <w:r w:rsidR="001E3D77">
        <w:rPr>
          <w:rFonts w:cstheme="minorHAnsi"/>
        </w:rPr>
        <w:t xml:space="preserve">They described how </w:t>
      </w:r>
      <w:r w:rsidR="003719A0">
        <w:rPr>
          <w:rFonts w:cstheme="minorHAnsi"/>
        </w:rPr>
        <w:t>the organisations with high levels of engagement are</w:t>
      </w:r>
      <w:r w:rsidRPr="00BA4C64">
        <w:rPr>
          <w:rFonts w:cstheme="minorHAnsi"/>
        </w:rPr>
        <w:t xml:space="preserve"> gener</w:t>
      </w:r>
      <w:r w:rsidR="004423B1">
        <w:rPr>
          <w:rFonts w:cstheme="minorHAnsi"/>
        </w:rPr>
        <w:t>ally perceived to support and empower</w:t>
      </w:r>
      <w:r w:rsidRPr="00BA4C64">
        <w:rPr>
          <w:rFonts w:cstheme="minorHAnsi"/>
        </w:rPr>
        <w:t xml:space="preserve"> employ</w:t>
      </w:r>
      <w:r w:rsidR="004423B1">
        <w:rPr>
          <w:rFonts w:cstheme="minorHAnsi"/>
        </w:rPr>
        <w:t xml:space="preserve">ees to make their own decisions. This they state, </w:t>
      </w:r>
      <w:r w:rsidRPr="00BA4C64">
        <w:rPr>
          <w:rFonts w:cstheme="minorHAnsi"/>
        </w:rPr>
        <w:t>will result in an individual and collective sense of pos</w:t>
      </w:r>
      <w:r w:rsidR="001E3D77">
        <w:rPr>
          <w:rFonts w:cstheme="minorHAnsi"/>
        </w:rPr>
        <w:t xml:space="preserve">itive energy, involvement </w:t>
      </w:r>
      <w:r w:rsidRPr="00BA4C64">
        <w:rPr>
          <w:rFonts w:cstheme="minorHAnsi"/>
        </w:rPr>
        <w:t>and willingness to work t</w:t>
      </w:r>
      <w:r>
        <w:rPr>
          <w:rFonts w:cstheme="minorHAnsi"/>
        </w:rPr>
        <w:t>oward the achievement of organis</w:t>
      </w:r>
      <w:r w:rsidRPr="00BA4C64">
        <w:rPr>
          <w:rFonts w:cstheme="minorHAnsi"/>
        </w:rPr>
        <w:t>ational goals</w:t>
      </w:r>
      <w:r>
        <w:rPr>
          <w:rFonts w:cstheme="minorHAnsi"/>
        </w:rPr>
        <w:t xml:space="preserve">. </w:t>
      </w:r>
      <w:r w:rsidR="001E3D77">
        <w:rPr>
          <w:rFonts w:cstheme="minorHAnsi"/>
        </w:rPr>
        <w:t xml:space="preserve">Again, </w:t>
      </w:r>
      <w:r w:rsidR="004423B1">
        <w:rPr>
          <w:rFonts w:cstheme="minorHAnsi"/>
        </w:rPr>
        <w:t>this ties</w:t>
      </w:r>
      <w:r w:rsidR="001E3D77">
        <w:rPr>
          <w:rFonts w:cstheme="minorHAnsi"/>
        </w:rPr>
        <w:t xml:space="preserve"> in with the strategic narrative as discussed by MacLeod and Clarke (2009) </w:t>
      </w:r>
      <w:r w:rsidR="005C471D">
        <w:rPr>
          <w:rFonts w:cstheme="minorHAnsi"/>
        </w:rPr>
        <w:t>who describe a</w:t>
      </w:r>
      <w:r w:rsidR="00665675">
        <w:rPr>
          <w:rFonts w:cstheme="minorHAnsi"/>
        </w:rPr>
        <w:t>n</w:t>
      </w:r>
      <w:r w:rsidR="001E3D77">
        <w:rPr>
          <w:rFonts w:cstheme="minorHAnsi"/>
        </w:rPr>
        <w:t xml:space="preserve"> explicit culture that gives clear line of sight from employee to organisational aims. </w:t>
      </w:r>
    </w:p>
    <w:p w:rsidR="00B70560" w:rsidRDefault="00977C44" w:rsidP="00BA4C64">
      <w:pPr>
        <w:spacing w:after="200" w:line="276" w:lineRule="auto"/>
        <w:rPr>
          <w:rFonts w:cstheme="minorHAnsi"/>
        </w:rPr>
      </w:pPr>
      <w:r>
        <w:rPr>
          <w:rFonts w:cstheme="minorHAnsi"/>
        </w:rPr>
        <w:t xml:space="preserve">Work </w:t>
      </w:r>
      <w:r w:rsidR="00B70560">
        <w:rPr>
          <w:rFonts w:cstheme="minorHAnsi"/>
        </w:rPr>
        <w:t xml:space="preserve">by authors such as </w:t>
      </w:r>
      <w:r w:rsidR="005C471D">
        <w:rPr>
          <w:rFonts w:cstheme="minorHAnsi"/>
        </w:rPr>
        <w:t>Bakker</w:t>
      </w:r>
      <w:r w:rsidR="00B70560">
        <w:rPr>
          <w:rFonts w:cstheme="minorHAnsi"/>
        </w:rPr>
        <w:t xml:space="preserve"> et al (200</w:t>
      </w:r>
      <w:r w:rsidR="005C471D">
        <w:rPr>
          <w:rFonts w:cstheme="minorHAnsi"/>
        </w:rPr>
        <w:t>7</w:t>
      </w:r>
      <w:r w:rsidR="00B70560">
        <w:rPr>
          <w:rFonts w:cstheme="minorHAnsi"/>
        </w:rPr>
        <w:t>) and Jenkins and Delbridge (2013) are critical of organisations that try to engage employees just of sake of being seen to engage. Whether on an individual or organisational level,</w:t>
      </w:r>
      <w:r>
        <w:rPr>
          <w:rFonts w:cstheme="minorHAnsi"/>
        </w:rPr>
        <w:t xml:space="preserve"> there are reasons why disinterest</w:t>
      </w:r>
      <w:r w:rsidR="00B70560">
        <w:rPr>
          <w:rFonts w:cstheme="minorHAnsi"/>
        </w:rPr>
        <w:t xml:space="preserve"> occurs and organisational context is crucial. Organisations going through cost-cutting, redundancies, wage freezes and an </w:t>
      </w:r>
      <w:r w:rsidR="005D3EE9">
        <w:rPr>
          <w:rFonts w:cstheme="minorHAnsi"/>
        </w:rPr>
        <w:t>uncertain</w:t>
      </w:r>
      <w:r w:rsidR="00B70560">
        <w:rPr>
          <w:rFonts w:cstheme="minorHAnsi"/>
        </w:rPr>
        <w:t xml:space="preserve"> future </w:t>
      </w:r>
      <w:r>
        <w:rPr>
          <w:rFonts w:cstheme="minorHAnsi"/>
        </w:rPr>
        <w:t>are finding these</w:t>
      </w:r>
      <w:r w:rsidR="00B70560">
        <w:rPr>
          <w:rFonts w:cstheme="minorHAnsi"/>
        </w:rPr>
        <w:t xml:space="preserve"> barriers to engagement (Johns and Ellis, 2016). </w:t>
      </w:r>
    </w:p>
    <w:p w:rsidR="00C05B0A" w:rsidRPr="002B14BB" w:rsidRDefault="00C05B0A" w:rsidP="002B14BB">
      <w:pPr>
        <w:spacing w:after="200" w:line="276" w:lineRule="auto"/>
        <w:rPr>
          <w:rFonts w:cstheme="minorHAnsi"/>
        </w:rPr>
      </w:pPr>
    </w:p>
    <w:p w:rsidR="002B14BB" w:rsidRPr="002B14BB" w:rsidRDefault="002B14BB" w:rsidP="002B14BB">
      <w:pPr>
        <w:spacing w:after="200" w:line="276" w:lineRule="auto"/>
        <w:rPr>
          <w:rFonts w:cstheme="minorHAnsi"/>
          <w:b/>
        </w:rPr>
      </w:pPr>
      <w:r w:rsidRPr="002B14BB">
        <w:rPr>
          <w:rFonts w:cstheme="minorHAnsi"/>
          <w:b/>
        </w:rPr>
        <w:t>3. Explain why employee engagement is increasingly a vital dimension of HR strategy and practice. The potential benefits for different stakeholders should be evaluated with reference to published sources.</w:t>
      </w:r>
    </w:p>
    <w:p w:rsidR="00FE336E" w:rsidRDefault="00FE336E" w:rsidP="00FE336E">
      <w:pPr>
        <w:rPr>
          <w:rFonts w:cstheme="minorHAnsi"/>
        </w:rPr>
      </w:pPr>
      <w:r w:rsidRPr="00FE336E">
        <w:rPr>
          <w:rFonts w:cstheme="minorHAnsi"/>
        </w:rPr>
        <w:t>Raveesh e</w:t>
      </w:r>
      <w:r>
        <w:rPr>
          <w:rFonts w:cstheme="minorHAnsi"/>
        </w:rPr>
        <w:t xml:space="preserve">t al (2010) </w:t>
      </w:r>
      <w:r w:rsidRPr="00FE336E">
        <w:rPr>
          <w:rFonts w:cstheme="minorHAnsi"/>
        </w:rPr>
        <w:t>noted that employee engagement has become a critical organizational business issue as the world recovers from economic recession. With the increasing awareness that the greatest asset of any org</w:t>
      </w:r>
      <w:r w:rsidR="00C55B22">
        <w:rPr>
          <w:rFonts w:cstheme="minorHAnsi"/>
        </w:rPr>
        <w:t>anisation is its people, organis</w:t>
      </w:r>
      <w:r w:rsidRPr="00FE336E">
        <w:rPr>
          <w:rFonts w:cstheme="minorHAnsi"/>
        </w:rPr>
        <w:t xml:space="preserve">ations are </w:t>
      </w:r>
      <w:r w:rsidR="00C55B22">
        <w:rPr>
          <w:rFonts w:cstheme="minorHAnsi"/>
        </w:rPr>
        <w:t>turn to</w:t>
      </w:r>
      <w:r w:rsidRPr="00FE336E">
        <w:rPr>
          <w:rFonts w:cstheme="minorHAnsi"/>
        </w:rPr>
        <w:t xml:space="preserve"> HR to set up</w:t>
      </w:r>
      <w:r w:rsidR="00C55B22">
        <w:rPr>
          <w:rFonts w:cstheme="minorHAnsi"/>
        </w:rPr>
        <w:t xml:space="preserve"> the</w:t>
      </w:r>
      <w:r w:rsidRPr="00FE336E">
        <w:rPr>
          <w:rFonts w:cstheme="minorHAnsi"/>
        </w:rPr>
        <w:t xml:space="preserve"> strategic agenda for the </w:t>
      </w:r>
      <w:r w:rsidR="00C55B22">
        <w:rPr>
          <w:rFonts w:cstheme="minorHAnsi"/>
        </w:rPr>
        <w:t>development</w:t>
      </w:r>
      <w:r w:rsidRPr="00FE336E">
        <w:rPr>
          <w:rFonts w:cstheme="minorHAnsi"/>
        </w:rPr>
        <w:t xml:space="preserve"> of employee engagement and commitment. </w:t>
      </w:r>
      <w:r>
        <w:rPr>
          <w:rFonts w:cstheme="minorHAnsi"/>
        </w:rPr>
        <w:t>This is a trend that continues as, a</w:t>
      </w:r>
      <w:r w:rsidRPr="003709DF">
        <w:rPr>
          <w:rFonts w:cstheme="minorHAnsi"/>
        </w:rPr>
        <w:t xml:space="preserve">ccording to the Society for Human Resource Management (SHRM)/Globoforce (2013) survey, nearly half of HR professionals indicated employee engagement amongst the top three challenges their </w:t>
      </w:r>
      <w:r>
        <w:rPr>
          <w:rFonts w:cstheme="minorHAnsi"/>
        </w:rPr>
        <w:t>organis</w:t>
      </w:r>
      <w:r w:rsidRPr="003709DF">
        <w:rPr>
          <w:rFonts w:cstheme="minorHAnsi"/>
        </w:rPr>
        <w:t>ation faces, followed by succession planning, culture management, employee retention and performance management.</w:t>
      </w:r>
      <w:r w:rsidRPr="00FE336E">
        <w:rPr>
          <w:rFonts w:cstheme="minorHAnsi"/>
        </w:rPr>
        <w:t xml:space="preserve"> </w:t>
      </w:r>
    </w:p>
    <w:p w:rsidR="00847520" w:rsidRDefault="00A2442F" w:rsidP="00847520">
      <w:pPr>
        <w:tabs>
          <w:tab w:val="num" w:pos="720"/>
          <w:tab w:val="left" w:pos="2295"/>
        </w:tabs>
        <w:spacing w:after="200" w:line="276" w:lineRule="auto"/>
        <w:rPr>
          <w:rFonts w:cstheme="minorHAnsi"/>
        </w:rPr>
      </w:pPr>
      <w:r>
        <w:rPr>
          <w:rFonts w:cstheme="minorHAnsi"/>
        </w:rPr>
        <w:t>A</w:t>
      </w:r>
      <w:r w:rsidR="00310346">
        <w:rPr>
          <w:rFonts w:cstheme="minorHAnsi"/>
        </w:rPr>
        <w:t xml:space="preserve"> </w:t>
      </w:r>
      <w:r w:rsidR="00847520">
        <w:rPr>
          <w:rFonts w:cstheme="minorHAnsi"/>
        </w:rPr>
        <w:t xml:space="preserve">four stage approach </w:t>
      </w:r>
      <w:r>
        <w:rPr>
          <w:rFonts w:cstheme="minorHAnsi"/>
        </w:rPr>
        <w:t>for a HR engagement str</w:t>
      </w:r>
      <w:r w:rsidR="0066474F">
        <w:rPr>
          <w:rFonts w:cstheme="minorHAnsi"/>
        </w:rPr>
        <w:t>ategy is suggested by Guest (2015</w:t>
      </w:r>
      <w:r>
        <w:rPr>
          <w:rFonts w:cstheme="minorHAnsi"/>
        </w:rPr>
        <w:t>):</w:t>
      </w:r>
    </w:p>
    <w:p w:rsidR="00847520" w:rsidRDefault="00310346" w:rsidP="00847520">
      <w:pPr>
        <w:tabs>
          <w:tab w:val="num" w:pos="720"/>
          <w:tab w:val="left" w:pos="2295"/>
        </w:tabs>
        <w:spacing w:after="200" w:line="276" w:lineRule="auto"/>
        <w:rPr>
          <w:rFonts w:cstheme="minorHAnsi"/>
        </w:rPr>
      </w:pPr>
      <w:r>
        <w:rPr>
          <w:rFonts w:cstheme="minorHAnsi"/>
        </w:rPr>
        <w:t>*</w:t>
      </w:r>
      <w:r w:rsidR="00847520" w:rsidRPr="00847520">
        <w:rPr>
          <w:rFonts w:cstheme="minorHAnsi"/>
        </w:rPr>
        <w:t xml:space="preserve">Implementing engagement by managers and leaders promoting engagement values </w:t>
      </w:r>
      <w:r w:rsidR="00847520">
        <w:rPr>
          <w:rFonts w:cstheme="minorHAnsi"/>
        </w:rPr>
        <w:br/>
      </w:r>
      <w:r>
        <w:rPr>
          <w:rFonts w:cstheme="minorHAnsi"/>
        </w:rPr>
        <w:t>*</w:t>
      </w:r>
      <w:r w:rsidR="00847520" w:rsidRPr="00847520">
        <w:rPr>
          <w:rFonts w:cstheme="minorHAnsi"/>
        </w:rPr>
        <w:t>Creating and reinforcing a climate for engagement by treating employees with fairness and trust</w:t>
      </w:r>
      <w:r w:rsidR="00847520">
        <w:rPr>
          <w:rFonts w:cstheme="minorHAnsi"/>
        </w:rPr>
        <w:br/>
      </w:r>
      <w:r>
        <w:rPr>
          <w:rFonts w:cstheme="minorHAnsi"/>
        </w:rPr>
        <w:t>*</w:t>
      </w:r>
      <w:r w:rsidR="00847520" w:rsidRPr="00847520">
        <w:rPr>
          <w:rFonts w:cstheme="minorHAnsi"/>
        </w:rPr>
        <w:t>Promoting engagement through recruitment of employees who welcome engaging jobs, provision of training and development and design of jobs to provide autonomy</w:t>
      </w:r>
      <w:r w:rsidR="00847520">
        <w:rPr>
          <w:rFonts w:cstheme="minorHAnsi"/>
        </w:rPr>
        <w:br/>
      </w:r>
      <w:r>
        <w:rPr>
          <w:rFonts w:cstheme="minorHAnsi"/>
        </w:rPr>
        <w:t>*</w:t>
      </w:r>
      <w:r w:rsidR="00847520" w:rsidRPr="00847520">
        <w:rPr>
          <w:rFonts w:cstheme="minorHAnsi"/>
        </w:rPr>
        <w:t>Monitoring progress towards high engagement through surveys, feedback and action planning</w:t>
      </w:r>
      <w:r w:rsidR="00847520">
        <w:rPr>
          <w:rFonts w:cstheme="minorHAnsi"/>
        </w:rPr>
        <w:t>.</w:t>
      </w:r>
    </w:p>
    <w:p w:rsidR="0034704E" w:rsidRDefault="00847520" w:rsidP="00847520">
      <w:pPr>
        <w:rPr>
          <w:rFonts w:cstheme="minorHAnsi"/>
        </w:rPr>
      </w:pPr>
      <w:r>
        <w:rPr>
          <w:rFonts w:cstheme="minorHAnsi"/>
        </w:rPr>
        <w:t>Lookwood (2007) finds that HR</w:t>
      </w:r>
      <w:r w:rsidRPr="00B65B34">
        <w:rPr>
          <w:rFonts w:cstheme="minorHAnsi"/>
        </w:rPr>
        <w:t xml:space="preserve"> can foster an environment for engagement by developing a targeted, proacti</w:t>
      </w:r>
      <w:r>
        <w:rPr>
          <w:rFonts w:cstheme="minorHAnsi"/>
        </w:rPr>
        <w:t xml:space="preserve">ve strategic communication plan. In doing so, employee morale can be built, boosted and maintained and key business objectives supported. </w:t>
      </w:r>
      <w:r w:rsidR="00BA29E5">
        <w:rPr>
          <w:rFonts w:cstheme="minorHAnsi"/>
        </w:rPr>
        <w:t xml:space="preserve">HR should consider how to communicate, involve employees through focus groups and </w:t>
      </w:r>
      <w:r w:rsidR="00A2442F">
        <w:rPr>
          <w:rFonts w:cstheme="minorHAnsi"/>
        </w:rPr>
        <w:t xml:space="preserve">learn </w:t>
      </w:r>
      <w:r w:rsidR="00BA29E5">
        <w:rPr>
          <w:rFonts w:cstheme="minorHAnsi"/>
        </w:rPr>
        <w:t xml:space="preserve">to track and measure success. </w:t>
      </w:r>
      <w:r>
        <w:rPr>
          <w:rFonts w:cstheme="minorHAnsi"/>
        </w:rPr>
        <w:t xml:space="preserve">Lewicka (2011) </w:t>
      </w:r>
      <w:r w:rsidR="00A2442F">
        <w:rPr>
          <w:rFonts w:cstheme="minorHAnsi"/>
        </w:rPr>
        <w:t xml:space="preserve">also </w:t>
      </w:r>
      <w:r>
        <w:rPr>
          <w:rFonts w:cstheme="minorHAnsi"/>
        </w:rPr>
        <w:t>notes</w:t>
      </w:r>
      <w:r w:rsidRPr="00FE336E">
        <w:rPr>
          <w:rFonts w:cstheme="minorHAnsi"/>
        </w:rPr>
        <w:t xml:space="preserve"> </w:t>
      </w:r>
      <w:r>
        <w:rPr>
          <w:rFonts w:cstheme="minorHAnsi"/>
        </w:rPr>
        <w:t>that HR</w:t>
      </w:r>
      <w:r w:rsidRPr="00933786">
        <w:rPr>
          <w:rFonts w:cstheme="minorHAnsi"/>
        </w:rPr>
        <w:t xml:space="preserve"> managers </w:t>
      </w:r>
      <w:r>
        <w:rPr>
          <w:rFonts w:cstheme="minorHAnsi"/>
        </w:rPr>
        <w:t>have a clear role in</w:t>
      </w:r>
      <w:r w:rsidRPr="00933786">
        <w:rPr>
          <w:rFonts w:cstheme="minorHAnsi"/>
        </w:rPr>
        <w:t xml:space="preserve"> employe</w:t>
      </w:r>
      <w:r w:rsidR="00A2442F">
        <w:rPr>
          <w:rFonts w:cstheme="minorHAnsi"/>
        </w:rPr>
        <w:t xml:space="preserve">e engagement by giving rewards and </w:t>
      </w:r>
      <w:r w:rsidRPr="00933786">
        <w:rPr>
          <w:rFonts w:cstheme="minorHAnsi"/>
        </w:rPr>
        <w:t>recognition of employee’s effort, harnessing relationships, giving opportunities to excel, inducing leadership qualities and provi</w:t>
      </w:r>
      <w:r>
        <w:rPr>
          <w:rFonts w:cstheme="minorHAnsi"/>
        </w:rPr>
        <w:t>ding a friendly</w:t>
      </w:r>
      <w:r w:rsidR="00A2442F">
        <w:rPr>
          <w:rFonts w:cstheme="minorHAnsi"/>
        </w:rPr>
        <w:t xml:space="preserve"> and supportive</w:t>
      </w:r>
      <w:r>
        <w:rPr>
          <w:rFonts w:cstheme="minorHAnsi"/>
        </w:rPr>
        <w:t xml:space="preserve"> environment.</w:t>
      </w:r>
      <w:r w:rsidR="00A2442F">
        <w:rPr>
          <w:rFonts w:cstheme="minorHAnsi"/>
        </w:rPr>
        <w:t xml:space="preserve">  </w:t>
      </w:r>
    </w:p>
    <w:p w:rsidR="006A7611" w:rsidRDefault="00A2442F" w:rsidP="00D047AB">
      <w:pPr>
        <w:rPr>
          <w:rFonts w:cstheme="minorHAnsi"/>
        </w:rPr>
      </w:pPr>
      <w:r>
        <w:rPr>
          <w:rFonts w:cstheme="minorHAnsi"/>
        </w:rPr>
        <w:t xml:space="preserve">The </w:t>
      </w:r>
      <w:r w:rsidR="00C219E4">
        <w:rPr>
          <w:rFonts w:cstheme="minorHAnsi"/>
        </w:rPr>
        <w:t xml:space="preserve">support </w:t>
      </w:r>
      <w:r>
        <w:rPr>
          <w:rFonts w:cstheme="minorHAnsi"/>
        </w:rPr>
        <w:t xml:space="preserve">of </w:t>
      </w:r>
      <w:r w:rsidR="00C219E4">
        <w:rPr>
          <w:rFonts w:cstheme="minorHAnsi"/>
        </w:rPr>
        <w:t>well-being</w:t>
      </w:r>
      <w:r>
        <w:rPr>
          <w:rFonts w:cstheme="minorHAnsi"/>
        </w:rPr>
        <w:t xml:space="preserve"> within this environment is also important</w:t>
      </w:r>
      <w:r w:rsidR="0034704E">
        <w:rPr>
          <w:rFonts w:cstheme="minorHAnsi"/>
        </w:rPr>
        <w:t xml:space="preserve"> as it leads to better morale and engagement (CIPD, 2017).  </w:t>
      </w:r>
      <w:r>
        <w:rPr>
          <w:rFonts w:cstheme="minorHAnsi"/>
        </w:rPr>
        <w:t>HR professionals</w:t>
      </w:r>
      <w:r w:rsidR="00C219E4" w:rsidRPr="00C219E4">
        <w:rPr>
          <w:rFonts w:cstheme="minorHAnsi"/>
        </w:rPr>
        <w:t xml:space="preserve"> are in a unique position to ensure that health and well-being initiatives are taken seriously at a strategic level and implemented effectively on a day-to-day basis. </w:t>
      </w:r>
      <w:r w:rsidR="00C219E4">
        <w:rPr>
          <w:rFonts w:cstheme="minorHAnsi"/>
        </w:rPr>
        <w:t>Indeed, the CIPD, (2</w:t>
      </w:r>
      <w:r w:rsidR="00DD79E9">
        <w:rPr>
          <w:rFonts w:cstheme="minorHAnsi"/>
        </w:rPr>
        <w:t>019</w:t>
      </w:r>
      <w:r w:rsidR="000D2856">
        <w:rPr>
          <w:rFonts w:cstheme="minorHAnsi"/>
        </w:rPr>
        <w:t>b</w:t>
      </w:r>
      <w:r w:rsidR="00C219E4">
        <w:rPr>
          <w:rFonts w:cstheme="minorHAnsi"/>
        </w:rPr>
        <w:t>) strongly argue that it is</w:t>
      </w:r>
      <w:r w:rsidR="00C219E4" w:rsidRPr="00C219E4">
        <w:rPr>
          <w:rFonts w:cstheme="minorHAnsi"/>
        </w:rPr>
        <w:t xml:space="preserve"> HR who should have the knowledge and insight to inform an evidence-based approach and ensure that health and well-being is not a series of standalone initiatives, but integrated into the organisation’s culture, leadership and people management practices</w:t>
      </w:r>
      <w:r w:rsidR="00C219E4">
        <w:rPr>
          <w:rFonts w:cstheme="minorHAnsi"/>
        </w:rPr>
        <w:t>.</w:t>
      </w:r>
      <w:r w:rsidR="00996269">
        <w:rPr>
          <w:rFonts w:cstheme="minorHAnsi"/>
        </w:rPr>
        <w:t xml:space="preserve">  </w:t>
      </w:r>
      <w:r w:rsidR="006A7611" w:rsidRPr="006A7611">
        <w:rPr>
          <w:rFonts w:cstheme="minorHAnsi"/>
        </w:rPr>
        <w:t xml:space="preserve">Lewis et al (2012) proposed that </w:t>
      </w:r>
      <w:r w:rsidR="006A7611">
        <w:rPr>
          <w:rFonts w:cstheme="minorHAnsi"/>
        </w:rPr>
        <w:t>the specific</w:t>
      </w:r>
      <w:r w:rsidR="006A7611" w:rsidRPr="006A7611">
        <w:rPr>
          <w:rFonts w:cstheme="minorHAnsi"/>
        </w:rPr>
        <w:t xml:space="preserve"> combination of employee engagement, health and well-being </w:t>
      </w:r>
      <w:r w:rsidR="006A7611">
        <w:rPr>
          <w:rFonts w:cstheme="minorHAnsi"/>
        </w:rPr>
        <w:t>drives</w:t>
      </w:r>
      <w:r w:rsidR="006A7611" w:rsidRPr="006A7611">
        <w:rPr>
          <w:rFonts w:cstheme="minorHAnsi"/>
        </w:rPr>
        <w:t xml:space="preserve"> sustai</w:t>
      </w:r>
      <w:r w:rsidR="006A7611">
        <w:rPr>
          <w:rFonts w:cstheme="minorHAnsi"/>
        </w:rPr>
        <w:t xml:space="preserve">nable employee engagement over </w:t>
      </w:r>
      <w:r w:rsidR="006A7611" w:rsidRPr="006A7611">
        <w:rPr>
          <w:rFonts w:cstheme="minorHAnsi"/>
        </w:rPr>
        <w:t>period</w:t>
      </w:r>
      <w:r w:rsidR="006A7611">
        <w:rPr>
          <w:rFonts w:cstheme="minorHAnsi"/>
        </w:rPr>
        <w:t xml:space="preserve"> of time. </w:t>
      </w:r>
    </w:p>
    <w:p w:rsidR="00D047AB" w:rsidRDefault="00D047AB" w:rsidP="00D047AB">
      <w:pPr>
        <w:rPr>
          <w:rFonts w:cstheme="minorHAnsi"/>
        </w:rPr>
      </w:pPr>
      <w:r>
        <w:rPr>
          <w:rFonts w:cstheme="minorHAnsi"/>
        </w:rPr>
        <w:t xml:space="preserve">Another </w:t>
      </w:r>
      <w:r w:rsidR="00DD79E9">
        <w:rPr>
          <w:rFonts w:cstheme="minorHAnsi"/>
        </w:rPr>
        <w:t>study</w:t>
      </w:r>
      <w:r>
        <w:rPr>
          <w:rFonts w:cstheme="minorHAnsi"/>
        </w:rPr>
        <w:t xml:space="preserve"> by the</w:t>
      </w:r>
      <w:r w:rsidR="00DD79E9">
        <w:rPr>
          <w:rFonts w:cstheme="minorHAnsi"/>
        </w:rPr>
        <w:t xml:space="preserve"> CIPD (2017) </w:t>
      </w:r>
      <w:r>
        <w:rPr>
          <w:rFonts w:cstheme="minorHAnsi"/>
        </w:rPr>
        <w:t xml:space="preserve">argues that HR </w:t>
      </w:r>
      <w:r w:rsidRPr="00D047AB">
        <w:rPr>
          <w:rFonts w:cstheme="minorHAnsi"/>
        </w:rPr>
        <w:t>practitioners can better prioritise what needs to be done to enhance managers’</w:t>
      </w:r>
      <w:r w:rsidR="00DD79E9">
        <w:rPr>
          <w:rFonts w:cstheme="minorHAnsi"/>
        </w:rPr>
        <w:t xml:space="preserve"> skills and management </w:t>
      </w:r>
      <w:r w:rsidR="00996269">
        <w:rPr>
          <w:rFonts w:cstheme="minorHAnsi"/>
        </w:rPr>
        <w:t xml:space="preserve">techniques </w:t>
      </w:r>
      <w:r w:rsidRPr="00D047AB">
        <w:rPr>
          <w:rFonts w:cstheme="minorHAnsi"/>
        </w:rPr>
        <w:t xml:space="preserve">to support employee engagement and </w:t>
      </w:r>
      <w:r w:rsidR="00996269">
        <w:rPr>
          <w:rFonts w:cstheme="minorHAnsi"/>
        </w:rPr>
        <w:t xml:space="preserve">the </w:t>
      </w:r>
      <w:r w:rsidRPr="00D047AB">
        <w:rPr>
          <w:rFonts w:cstheme="minorHAnsi"/>
        </w:rPr>
        <w:t>hea</w:t>
      </w:r>
      <w:r>
        <w:rPr>
          <w:rFonts w:cstheme="minorHAnsi"/>
        </w:rPr>
        <w:t xml:space="preserve">lth and well-being </w:t>
      </w:r>
      <w:r w:rsidR="00DD79E9">
        <w:rPr>
          <w:rFonts w:cstheme="minorHAnsi"/>
        </w:rPr>
        <w:t>of</w:t>
      </w:r>
      <w:r w:rsidR="00996269">
        <w:rPr>
          <w:rFonts w:cstheme="minorHAnsi"/>
        </w:rPr>
        <w:t xml:space="preserve"> all</w:t>
      </w:r>
      <w:r w:rsidR="00A04718">
        <w:rPr>
          <w:rFonts w:cstheme="minorHAnsi"/>
        </w:rPr>
        <w:t xml:space="preserve"> employees and Johns and Ellis (2016) point to the focus on engagement strategies by HR on both employees and customers, as both are critical to success.  </w:t>
      </w:r>
    </w:p>
    <w:p w:rsidR="00A04718" w:rsidRPr="00D047AB" w:rsidRDefault="00A04718" w:rsidP="00C55B22">
      <w:pPr>
        <w:spacing w:after="200" w:line="276" w:lineRule="auto"/>
        <w:rPr>
          <w:rFonts w:cstheme="minorHAnsi"/>
        </w:rPr>
      </w:pPr>
      <w:r>
        <w:rPr>
          <w:rFonts w:cstheme="minorHAnsi"/>
        </w:rPr>
        <w:t xml:space="preserve">The </w:t>
      </w:r>
      <w:r w:rsidRPr="00933786">
        <w:rPr>
          <w:rFonts w:cstheme="minorHAnsi"/>
        </w:rPr>
        <w:t xml:space="preserve">effective use </w:t>
      </w:r>
      <w:r>
        <w:rPr>
          <w:rFonts w:cstheme="minorHAnsi"/>
        </w:rPr>
        <w:t>of the tools available to</w:t>
      </w:r>
      <w:r w:rsidRPr="00933786">
        <w:rPr>
          <w:rFonts w:cstheme="minorHAnsi"/>
        </w:rPr>
        <w:t xml:space="preserve"> H</w:t>
      </w:r>
      <w:r>
        <w:rPr>
          <w:rFonts w:cstheme="minorHAnsi"/>
        </w:rPr>
        <w:t>R can enable the organisa</w:t>
      </w:r>
      <w:r w:rsidRPr="00933786">
        <w:rPr>
          <w:rFonts w:cstheme="minorHAnsi"/>
        </w:rPr>
        <w:t xml:space="preserve">tion to </w:t>
      </w:r>
      <w:r>
        <w:rPr>
          <w:rFonts w:cstheme="minorHAnsi"/>
        </w:rPr>
        <w:t xml:space="preserve">focus on engagement which can </w:t>
      </w:r>
      <w:r w:rsidRPr="00933786">
        <w:rPr>
          <w:rFonts w:cstheme="minorHAnsi"/>
        </w:rPr>
        <w:t xml:space="preserve">consequently </w:t>
      </w:r>
      <w:r>
        <w:rPr>
          <w:rFonts w:cstheme="minorHAnsi"/>
        </w:rPr>
        <w:t>boost motivation, output and employee retention. The quality</w:t>
      </w:r>
      <w:r w:rsidRPr="00933786">
        <w:rPr>
          <w:rFonts w:cstheme="minorHAnsi"/>
        </w:rPr>
        <w:t xml:space="preserve"> of engagement </w:t>
      </w:r>
      <w:r>
        <w:rPr>
          <w:rFonts w:cstheme="minorHAnsi"/>
        </w:rPr>
        <w:t>will determine however</w:t>
      </w:r>
      <w:r w:rsidRPr="00933786">
        <w:rPr>
          <w:rFonts w:cstheme="minorHAnsi"/>
        </w:rPr>
        <w:t xml:space="preserve"> whether the workforce will stay and</w:t>
      </w:r>
      <w:r>
        <w:rPr>
          <w:rFonts w:cstheme="minorHAnsi"/>
        </w:rPr>
        <w:t xml:space="preserve"> flourish, stay and decline, or leave. </w:t>
      </w:r>
    </w:p>
    <w:p w:rsidR="003709DF" w:rsidRPr="003709DF" w:rsidRDefault="003709DF" w:rsidP="002B14BB">
      <w:pPr>
        <w:spacing w:after="200" w:line="276" w:lineRule="auto"/>
        <w:rPr>
          <w:rFonts w:cstheme="minorHAnsi"/>
        </w:rPr>
      </w:pPr>
    </w:p>
    <w:p w:rsidR="002B14BB" w:rsidRPr="002B14BB" w:rsidRDefault="002B14BB" w:rsidP="002B14BB">
      <w:pPr>
        <w:spacing w:after="200" w:line="276" w:lineRule="auto"/>
        <w:rPr>
          <w:rFonts w:cstheme="minorHAnsi"/>
          <w:b/>
        </w:rPr>
      </w:pPr>
      <w:r w:rsidRPr="002B14BB">
        <w:rPr>
          <w:rFonts w:cstheme="minorHAnsi"/>
          <w:b/>
        </w:rPr>
        <w:t>4. Summarise key sources of employee engagement related data, citing different examples.</w:t>
      </w:r>
    </w:p>
    <w:p w:rsidR="002B14BB" w:rsidRDefault="00FB3466" w:rsidP="002B14BB">
      <w:pPr>
        <w:spacing w:after="200" w:line="276" w:lineRule="auto"/>
        <w:rPr>
          <w:rFonts w:cstheme="minorHAnsi"/>
        </w:rPr>
      </w:pPr>
      <w:r>
        <w:rPr>
          <w:rFonts w:cstheme="minorHAnsi"/>
        </w:rPr>
        <w:t>The Schaufeli et al</w:t>
      </w:r>
      <w:r w:rsidR="00C37F8B" w:rsidRPr="00C37F8B">
        <w:rPr>
          <w:rFonts w:cstheme="minorHAnsi"/>
        </w:rPr>
        <w:t xml:space="preserve"> (2002) </w:t>
      </w:r>
      <w:r w:rsidR="00395B67">
        <w:rPr>
          <w:rFonts w:cstheme="minorHAnsi"/>
        </w:rPr>
        <w:t xml:space="preserve">study into work engagement </w:t>
      </w:r>
      <w:r w:rsidR="00395B67" w:rsidRPr="00C37F8B">
        <w:rPr>
          <w:rFonts w:cstheme="minorHAnsi"/>
        </w:rPr>
        <w:t>has been the subject of the great</w:t>
      </w:r>
      <w:r w:rsidR="00395B67">
        <w:rPr>
          <w:rFonts w:cstheme="minorHAnsi"/>
        </w:rPr>
        <w:t>est amount of scientific studies. Schaufeli et al. (2002</w:t>
      </w:r>
      <w:r w:rsidR="00395B67" w:rsidRPr="00395B67">
        <w:rPr>
          <w:rFonts w:cstheme="minorHAnsi"/>
        </w:rPr>
        <w:t xml:space="preserve">) proposed that engagement </w:t>
      </w:r>
      <w:r w:rsidR="00395B67">
        <w:rPr>
          <w:rFonts w:cstheme="minorHAnsi"/>
        </w:rPr>
        <w:t xml:space="preserve">is a multidimensional construct </w:t>
      </w:r>
      <w:r w:rsidR="00395B67" w:rsidRPr="00395B67">
        <w:rPr>
          <w:rFonts w:cstheme="minorHAnsi"/>
        </w:rPr>
        <w:t>consisting of thre</w:t>
      </w:r>
      <w:r w:rsidR="00395B67">
        <w:rPr>
          <w:rFonts w:cstheme="minorHAnsi"/>
        </w:rPr>
        <w:t>e dimensions: vigor, characteris</w:t>
      </w:r>
      <w:r w:rsidR="00395B67" w:rsidRPr="00395B67">
        <w:rPr>
          <w:rFonts w:cstheme="minorHAnsi"/>
        </w:rPr>
        <w:t>ed by</w:t>
      </w:r>
      <w:r w:rsidR="00395B67">
        <w:rPr>
          <w:rFonts w:cstheme="minorHAnsi"/>
        </w:rPr>
        <w:t xml:space="preserve"> high levels of energy, effort, </w:t>
      </w:r>
      <w:r w:rsidR="00395B67" w:rsidRPr="00395B67">
        <w:rPr>
          <w:rFonts w:cstheme="minorHAnsi"/>
        </w:rPr>
        <w:t>resilience, persistence, and motivation to invest in wor</w:t>
      </w:r>
      <w:r w:rsidR="00395B67">
        <w:rPr>
          <w:rFonts w:cstheme="minorHAnsi"/>
        </w:rPr>
        <w:t xml:space="preserve">k; dedication, </w:t>
      </w:r>
      <w:r w:rsidR="00C55B22">
        <w:rPr>
          <w:rFonts w:cstheme="minorHAnsi"/>
        </w:rPr>
        <w:t xml:space="preserve">as exhibited </w:t>
      </w:r>
      <w:r w:rsidR="00395B67">
        <w:rPr>
          <w:rFonts w:cstheme="minorHAnsi"/>
        </w:rPr>
        <w:t xml:space="preserve">by </w:t>
      </w:r>
      <w:r w:rsidR="00395B67" w:rsidRPr="00395B67">
        <w:rPr>
          <w:rFonts w:cstheme="minorHAnsi"/>
        </w:rPr>
        <w:t>involvement in work, enthusiasm, and a sense of pride and inspiration; and ab</w:t>
      </w:r>
      <w:r w:rsidR="00395B67">
        <w:rPr>
          <w:rFonts w:cstheme="minorHAnsi"/>
        </w:rPr>
        <w:t xml:space="preserve">sorption, </w:t>
      </w:r>
      <w:r w:rsidR="00C55B22">
        <w:rPr>
          <w:rFonts w:cstheme="minorHAnsi"/>
        </w:rPr>
        <w:t>demonstrated</w:t>
      </w:r>
      <w:r w:rsidR="00395B67" w:rsidRPr="00395B67">
        <w:rPr>
          <w:rFonts w:cstheme="minorHAnsi"/>
        </w:rPr>
        <w:t xml:space="preserve"> by immersion in </w:t>
      </w:r>
      <w:r w:rsidR="00C55B22">
        <w:rPr>
          <w:rFonts w:cstheme="minorHAnsi"/>
        </w:rPr>
        <w:t>one’s work and the sense that time does not drag in the workplace</w:t>
      </w:r>
      <w:r w:rsidR="00395B67">
        <w:rPr>
          <w:rFonts w:cstheme="minorHAnsi"/>
        </w:rPr>
        <w:t xml:space="preserve">. This model/study is known as the </w:t>
      </w:r>
      <w:r w:rsidR="00C37F8B" w:rsidRPr="00C37F8B">
        <w:rPr>
          <w:rFonts w:cstheme="minorHAnsi"/>
        </w:rPr>
        <w:t>Utrecht Work Engagement Sc</w:t>
      </w:r>
      <w:r w:rsidR="00C55B22">
        <w:rPr>
          <w:rFonts w:cstheme="minorHAnsi"/>
        </w:rPr>
        <w:t>ale of employee engagement, and</w:t>
      </w:r>
      <w:r w:rsidR="00395B67">
        <w:rPr>
          <w:rFonts w:cstheme="minorHAnsi"/>
        </w:rPr>
        <w:t xml:space="preserve"> has been a standard way of psychometrically testing engagement. </w:t>
      </w:r>
    </w:p>
    <w:p w:rsidR="0069727C" w:rsidRPr="00C37F8B" w:rsidRDefault="00EA045E" w:rsidP="0069727C">
      <w:pPr>
        <w:spacing w:after="200" w:line="276" w:lineRule="auto"/>
        <w:rPr>
          <w:rFonts w:cstheme="minorHAnsi"/>
        </w:rPr>
      </w:pPr>
      <w:r>
        <w:rPr>
          <w:rFonts w:cstheme="minorHAnsi"/>
        </w:rPr>
        <w:t xml:space="preserve">Further studies have also </w:t>
      </w:r>
      <w:r w:rsidR="00C55B22">
        <w:rPr>
          <w:rFonts w:cstheme="minorHAnsi"/>
        </w:rPr>
        <w:t>assessed real life</w:t>
      </w:r>
      <w:r w:rsidR="00880AAE">
        <w:rPr>
          <w:rFonts w:cstheme="minorHAnsi"/>
        </w:rPr>
        <w:t xml:space="preserve"> rather than theoretical</w:t>
      </w:r>
      <w:r>
        <w:rPr>
          <w:rFonts w:cstheme="minorHAnsi"/>
        </w:rPr>
        <w:t xml:space="preserve"> eng</w:t>
      </w:r>
      <w:r w:rsidR="00395B67">
        <w:rPr>
          <w:rFonts w:cstheme="minorHAnsi"/>
        </w:rPr>
        <w:t>agement</w:t>
      </w:r>
      <w:r>
        <w:rPr>
          <w:rFonts w:cstheme="minorHAnsi"/>
        </w:rPr>
        <w:t>. Th</w:t>
      </w:r>
      <w:r w:rsidR="0069727C" w:rsidRPr="0069727C">
        <w:rPr>
          <w:rFonts w:cstheme="minorHAnsi"/>
        </w:rPr>
        <w:t>ousands of employ</w:t>
      </w:r>
      <w:r w:rsidR="0069727C">
        <w:rPr>
          <w:rFonts w:cstheme="minorHAnsi"/>
        </w:rPr>
        <w:t>ees</w:t>
      </w:r>
      <w:r>
        <w:rPr>
          <w:rFonts w:cstheme="minorHAnsi"/>
        </w:rPr>
        <w:t>,</w:t>
      </w:r>
      <w:r w:rsidR="0069727C">
        <w:rPr>
          <w:rFonts w:cstheme="minorHAnsi"/>
        </w:rPr>
        <w:t xml:space="preserve"> across 200 US based businesses </w:t>
      </w:r>
      <w:r>
        <w:rPr>
          <w:rFonts w:cstheme="minorHAnsi"/>
        </w:rPr>
        <w:t xml:space="preserve">were analysed </w:t>
      </w:r>
      <w:r w:rsidR="0069727C">
        <w:rPr>
          <w:rFonts w:cstheme="minorHAnsi"/>
        </w:rPr>
        <w:t xml:space="preserve">by </w:t>
      </w:r>
      <w:r w:rsidR="0069727C" w:rsidRPr="0069727C">
        <w:rPr>
          <w:rFonts w:cstheme="minorHAnsi"/>
        </w:rPr>
        <w:t>Wellins, Brenthal and Phelps (2006) for Development Dimensions Internation</w:t>
      </w:r>
      <w:r w:rsidR="0069727C">
        <w:rPr>
          <w:rFonts w:cstheme="minorHAnsi"/>
        </w:rPr>
        <w:t>al (DDI)</w:t>
      </w:r>
      <w:r>
        <w:rPr>
          <w:rFonts w:cstheme="minorHAnsi"/>
        </w:rPr>
        <w:t>. Their research</w:t>
      </w:r>
      <w:r w:rsidR="0069727C">
        <w:rPr>
          <w:rFonts w:cstheme="minorHAnsi"/>
        </w:rPr>
        <w:t xml:space="preserve"> showed that </w:t>
      </w:r>
      <w:r w:rsidR="0069727C" w:rsidRPr="0069727C">
        <w:rPr>
          <w:rFonts w:cstheme="minorHAnsi"/>
        </w:rPr>
        <w:t>employees with higher engagement scores are more satisfied with their j</w:t>
      </w:r>
      <w:r w:rsidR="0069727C">
        <w:rPr>
          <w:rFonts w:cstheme="minorHAnsi"/>
        </w:rPr>
        <w:t xml:space="preserve">obs, less likely to leave their </w:t>
      </w:r>
      <w:r w:rsidR="00880AAE">
        <w:rPr>
          <w:rFonts w:cstheme="minorHAnsi"/>
        </w:rPr>
        <w:t>organisations</w:t>
      </w:r>
      <w:r w:rsidR="0069727C" w:rsidRPr="0069727C">
        <w:rPr>
          <w:rFonts w:cstheme="minorHAnsi"/>
        </w:rPr>
        <w:t xml:space="preserve"> and </w:t>
      </w:r>
      <w:r w:rsidR="00880AAE">
        <w:rPr>
          <w:rFonts w:cstheme="minorHAnsi"/>
        </w:rPr>
        <w:t xml:space="preserve">are </w:t>
      </w:r>
      <w:r w:rsidR="0069727C" w:rsidRPr="0069727C">
        <w:rPr>
          <w:rFonts w:cstheme="minorHAnsi"/>
        </w:rPr>
        <w:t>more capable of achieving their performance goals</w:t>
      </w:r>
      <w:r w:rsidR="00395B67">
        <w:rPr>
          <w:rFonts w:cstheme="minorHAnsi"/>
        </w:rPr>
        <w:t>.</w:t>
      </w:r>
    </w:p>
    <w:p w:rsidR="00E67B88" w:rsidRDefault="006A7611" w:rsidP="00E67B88">
      <w:pPr>
        <w:spacing w:after="200" w:line="276" w:lineRule="auto"/>
        <w:rPr>
          <w:rFonts w:cstheme="minorHAnsi"/>
        </w:rPr>
      </w:pPr>
      <w:r w:rsidRPr="006A7611">
        <w:rPr>
          <w:rFonts w:cstheme="minorHAnsi"/>
        </w:rPr>
        <w:t>A positive relationship has also been shown between employee engagement and organisational performance</w:t>
      </w:r>
      <w:r w:rsidR="00D875DF">
        <w:rPr>
          <w:rFonts w:cstheme="minorHAnsi"/>
        </w:rPr>
        <w:t xml:space="preserve">, highlighted </w:t>
      </w:r>
      <w:r w:rsidR="00EA045E">
        <w:rPr>
          <w:rFonts w:cstheme="minorHAnsi"/>
        </w:rPr>
        <w:t>by the huge</w:t>
      </w:r>
      <w:r w:rsidR="00D875DF">
        <w:rPr>
          <w:rFonts w:cstheme="minorHAnsi"/>
        </w:rPr>
        <w:t xml:space="preserve"> </w:t>
      </w:r>
      <w:r w:rsidRPr="006A7611">
        <w:rPr>
          <w:rFonts w:cstheme="minorHAnsi"/>
        </w:rPr>
        <w:t>Gallup study (2010)</w:t>
      </w:r>
      <w:r w:rsidR="00D875DF">
        <w:rPr>
          <w:rFonts w:cstheme="minorHAnsi"/>
        </w:rPr>
        <w:t xml:space="preserve"> which</w:t>
      </w:r>
      <w:r w:rsidRPr="006A7611">
        <w:rPr>
          <w:rFonts w:cstheme="minorHAnsi"/>
        </w:rPr>
        <w:t xml:space="preserve"> </w:t>
      </w:r>
      <w:r w:rsidR="00E67B88">
        <w:rPr>
          <w:rFonts w:cstheme="minorHAnsi"/>
        </w:rPr>
        <w:t>researched approximately</w:t>
      </w:r>
      <w:r w:rsidR="00E67B88" w:rsidRPr="00E67B88">
        <w:rPr>
          <w:rFonts w:cstheme="minorHAnsi"/>
        </w:rPr>
        <w:t xml:space="preserve"> 1.4 </w:t>
      </w:r>
      <w:r w:rsidR="00E67B88">
        <w:rPr>
          <w:rFonts w:cstheme="minorHAnsi"/>
        </w:rPr>
        <w:t xml:space="preserve">million employees in 192 organisations, across 49 industries and spread over </w:t>
      </w:r>
      <w:r w:rsidR="00E67B88" w:rsidRPr="00E67B88">
        <w:rPr>
          <w:rFonts w:cstheme="minorHAnsi"/>
        </w:rPr>
        <w:t>34 countries</w:t>
      </w:r>
      <w:r w:rsidR="00E67B88">
        <w:rPr>
          <w:rFonts w:cstheme="minorHAnsi"/>
        </w:rPr>
        <w:t>. The Gallop study found</w:t>
      </w:r>
      <w:r w:rsidR="00395B67">
        <w:rPr>
          <w:rFonts w:cstheme="minorHAnsi"/>
        </w:rPr>
        <w:t xml:space="preserve"> that businesses </w:t>
      </w:r>
      <w:r w:rsidRPr="006A7611">
        <w:rPr>
          <w:rFonts w:cstheme="minorHAnsi"/>
        </w:rPr>
        <w:t>with the highest engagement scores (the top 25%) averaged 18% higher productivity than those with the lowest engagement scores (the bottom 25%</w:t>
      </w:r>
      <w:r w:rsidR="00E67B88">
        <w:rPr>
          <w:rFonts w:cstheme="minorHAnsi"/>
        </w:rPr>
        <w:t>).  It concluded by stating that “</w:t>
      </w:r>
      <w:r w:rsidR="00E67B88" w:rsidRPr="00E67B88">
        <w:rPr>
          <w:rFonts w:cstheme="minorHAnsi"/>
        </w:rPr>
        <w:t xml:space="preserve">employee engagement strongly relates </w:t>
      </w:r>
      <w:r w:rsidR="00E67B88">
        <w:rPr>
          <w:rFonts w:cstheme="minorHAnsi"/>
        </w:rPr>
        <w:t xml:space="preserve">to key organizational outcomes </w:t>
      </w:r>
      <w:r w:rsidR="00E67B88" w:rsidRPr="00E67B88">
        <w:rPr>
          <w:rFonts w:cstheme="minorHAnsi"/>
        </w:rPr>
        <w:t>in any economic climate, and that employee engagement is an impor</w:t>
      </w:r>
      <w:r w:rsidR="00E67B88">
        <w:rPr>
          <w:rFonts w:cstheme="minorHAnsi"/>
        </w:rPr>
        <w:t xml:space="preserve">tant competitive differentiator for organizations”. </w:t>
      </w:r>
      <w:r w:rsidR="009109EB">
        <w:rPr>
          <w:rFonts w:cstheme="minorHAnsi"/>
        </w:rPr>
        <w:t xml:space="preserve"> </w:t>
      </w:r>
    </w:p>
    <w:p w:rsidR="00E91588" w:rsidRDefault="00486AC0" w:rsidP="00847520">
      <w:pPr>
        <w:spacing w:after="200" w:line="276" w:lineRule="auto"/>
        <w:rPr>
          <w:rFonts w:cstheme="minorHAnsi"/>
        </w:rPr>
      </w:pPr>
      <w:r>
        <w:rPr>
          <w:rFonts w:cstheme="minorHAnsi"/>
        </w:rPr>
        <w:t>Another</w:t>
      </w:r>
      <w:r w:rsidR="00EA045E">
        <w:rPr>
          <w:rFonts w:cstheme="minorHAnsi"/>
        </w:rPr>
        <w:t xml:space="preserve"> </w:t>
      </w:r>
      <w:r w:rsidR="00E91588">
        <w:rPr>
          <w:rFonts w:cstheme="minorHAnsi"/>
        </w:rPr>
        <w:t xml:space="preserve">a </w:t>
      </w:r>
      <w:r w:rsidR="00E93FC2">
        <w:rPr>
          <w:rFonts w:cstheme="minorHAnsi"/>
        </w:rPr>
        <w:t>significant</w:t>
      </w:r>
      <w:r w:rsidR="00E91588">
        <w:rPr>
          <w:rFonts w:cstheme="minorHAnsi"/>
        </w:rPr>
        <w:t xml:space="preserve"> </w:t>
      </w:r>
      <w:r w:rsidR="00E93FC2">
        <w:rPr>
          <w:rFonts w:cstheme="minorHAnsi"/>
        </w:rPr>
        <w:t>research report was the Towers Perrin Global Workforce Study (2007)</w:t>
      </w:r>
      <w:r>
        <w:rPr>
          <w:rFonts w:cstheme="minorHAnsi"/>
        </w:rPr>
        <w:t xml:space="preserve">. This again demonstrated the links between high performing organisations and their highly engaged staff. Comparing 50 global organisations over a period of a year, the reports finding confirmed that those businesses with high engagement saw a 19% increase in profits, compared with low engagement leading to a 32% decline in profitability. </w:t>
      </w:r>
    </w:p>
    <w:p w:rsidR="00B70560" w:rsidRDefault="00486AC0" w:rsidP="00847520">
      <w:pPr>
        <w:spacing w:after="200" w:line="276" w:lineRule="auto"/>
        <w:rPr>
          <w:rFonts w:cstheme="minorHAnsi"/>
        </w:rPr>
      </w:pPr>
      <w:r>
        <w:rPr>
          <w:rFonts w:cstheme="minorHAnsi"/>
        </w:rPr>
        <w:t>Closer to home, the</w:t>
      </w:r>
      <w:r w:rsidR="009109EB">
        <w:rPr>
          <w:rFonts w:cstheme="minorHAnsi"/>
        </w:rPr>
        <w:t xml:space="preserve"> </w:t>
      </w:r>
      <w:r w:rsidR="00847520" w:rsidRPr="00847520">
        <w:rPr>
          <w:rFonts w:cstheme="minorHAnsi"/>
        </w:rPr>
        <w:t>CIPD Employee Outlook Survey</w:t>
      </w:r>
      <w:r w:rsidR="00EA045E">
        <w:rPr>
          <w:rFonts w:cstheme="minorHAnsi"/>
        </w:rPr>
        <w:t xml:space="preserve"> (2009) was carried out and now acts as a benchmark against which organisations can measure the outcomes of their own engagement surveys.  The research indicates</w:t>
      </w:r>
      <w:r w:rsidR="00847520" w:rsidRPr="00847520">
        <w:rPr>
          <w:rFonts w:cstheme="minorHAnsi"/>
        </w:rPr>
        <w:t xml:space="preserve"> that employee engagement levels </w:t>
      </w:r>
      <w:r w:rsidR="00EA045E">
        <w:rPr>
          <w:rFonts w:cstheme="minorHAnsi"/>
        </w:rPr>
        <w:t xml:space="preserve">amongst UK employees are stable, </w:t>
      </w:r>
      <w:r w:rsidR="00847520" w:rsidRPr="00847520">
        <w:rPr>
          <w:rFonts w:cstheme="minorHAnsi"/>
        </w:rPr>
        <w:t xml:space="preserve">with around 35–39% of employees reporting that </w:t>
      </w:r>
      <w:r w:rsidR="00847520">
        <w:rPr>
          <w:rFonts w:cstheme="minorHAnsi"/>
        </w:rPr>
        <w:t xml:space="preserve">they are </w:t>
      </w:r>
      <w:r w:rsidR="00EA045E">
        <w:rPr>
          <w:rFonts w:cstheme="minorHAnsi"/>
        </w:rPr>
        <w:t>‘</w:t>
      </w:r>
      <w:r w:rsidR="00847520">
        <w:rPr>
          <w:rFonts w:cstheme="minorHAnsi"/>
        </w:rPr>
        <w:t>engaged</w:t>
      </w:r>
      <w:r w:rsidR="004C4A81">
        <w:rPr>
          <w:rFonts w:cstheme="minorHAnsi"/>
        </w:rPr>
        <w:t xml:space="preserve">, 60% of individuals were found to be emotionally engaged and cognitively engaged and 40% ‘went the extra mile’. </w:t>
      </w:r>
      <w:r w:rsidR="00880AAE">
        <w:rPr>
          <w:rFonts w:cstheme="minorHAnsi"/>
        </w:rPr>
        <w:t xml:space="preserve"> </w:t>
      </w:r>
      <w:r w:rsidR="004C4A81">
        <w:rPr>
          <w:rFonts w:cstheme="minorHAnsi"/>
        </w:rPr>
        <w:t xml:space="preserve">However, Johns and Ellis (2016) issue a word of caution and suggested the initial benchmark may be low, so exceeding it could be relatively easy and if an organisation is not benchmarking against the </w:t>
      </w:r>
      <w:r w:rsidR="004475E5">
        <w:rPr>
          <w:rFonts w:cstheme="minorHAnsi"/>
        </w:rPr>
        <w:t>best, complacency could se</w:t>
      </w:r>
      <w:r w:rsidR="00D7009D">
        <w:rPr>
          <w:rFonts w:cstheme="minorHAnsi"/>
        </w:rPr>
        <w:t>t in. Indeed, t</w:t>
      </w:r>
      <w:r w:rsidR="004475E5">
        <w:rPr>
          <w:rFonts w:cstheme="minorHAnsi"/>
        </w:rPr>
        <w:t>he CIPD (2009) itself, s</w:t>
      </w:r>
      <w:r w:rsidR="00EA045E">
        <w:rPr>
          <w:rFonts w:cstheme="minorHAnsi"/>
        </w:rPr>
        <w:t>tate that “</w:t>
      </w:r>
      <w:r w:rsidR="00847520" w:rsidRPr="00847520">
        <w:rPr>
          <w:rFonts w:cstheme="minorHAnsi"/>
        </w:rPr>
        <w:t>Research confirms … that there is a significant gap between levels of engagement found among UK employees and those that would produce</w:t>
      </w:r>
      <w:r w:rsidR="00EA045E">
        <w:rPr>
          <w:rFonts w:cstheme="minorHAnsi"/>
        </w:rPr>
        <w:t xml:space="preserve"> optimum performance”. </w:t>
      </w:r>
    </w:p>
    <w:p w:rsidR="009109EB" w:rsidRDefault="00880AAE" w:rsidP="009109EB">
      <w:pPr>
        <w:spacing w:after="200" w:line="276" w:lineRule="auto"/>
        <w:rPr>
          <w:rFonts w:cstheme="minorHAnsi"/>
        </w:rPr>
      </w:pPr>
      <w:r>
        <w:rPr>
          <w:rFonts w:cstheme="minorHAnsi"/>
        </w:rPr>
        <w:t>Further</w:t>
      </w:r>
      <w:r w:rsidR="008D3F8A">
        <w:rPr>
          <w:rFonts w:cstheme="minorHAnsi"/>
        </w:rPr>
        <w:t xml:space="preserve"> negative views of UK levels of employer e</w:t>
      </w:r>
      <w:r w:rsidR="0066474F">
        <w:rPr>
          <w:rFonts w:cstheme="minorHAnsi"/>
        </w:rPr>
        <w:t xml:space="preserve">ngagement comes from the </w:t>
      </w:r>
      <w:r w:rsidR="008D3F8A">
        <w:rPr>
          <w:rFonts w:cstheme="minorHAnsi"/>
        </w:rPr>
        <w:t>Buckingham (2001) report, covering a sample taken from the UK population showed that more than 80% of the workforce felt they were not engaged. Engag</w:t>
      </w:r>
      <w:r w:rsidR="00BC209F">
        <w:rPr>
          <w:rFonts w:cstheme="minorHAnsi"/>
        </w:rPr>
        <w:t>e</w:t>
      </w:r>
      <w:r w:rsidR="008D3F8A">
        <w:rPr>
          <w:rFonts w:cstheme="minorHAnsi"/>
        </w:rPr>
        <w:t xml:space="preserve">ment was broken into three categories, engaged, non-engaged and disengaged, with only 17% engaged, 63% non-engaged and 20% actively disengaged; a gloomy picture indeed. </w:t>
      </w:r>
      <w:r w:rsidR="00BC209F">
        <w:rPr>
          <w:rFonts w:cstheme="minorHAnsi"/>
        </w:rPr>
        <w:t xml:space="preserve">Whist this was an engagement survey (a mechanism </w:t>
      </w:r>
      <w:r w:rsidR="00BD2EF9">
        <w:rPr>
          <w:rFonts w:cstheme="minorHAnsi"/>
        </w:rPr>
        <w:t>much criticised by Purcell (2014</w:t>
      </w:r>
      <w:r w:rsidR="00BC209F">
        <w:rPr>
          <w:rFonts w:cstheme="minorHAnsi"/>
        </w:rPr>
        <w:t xml:space="preserve">), it highlighted the link between low engagement and burn-out, the </w:t>
      </w:r>
      <w:r>
        <w:rPr>
          <w:rFonts w:cstheme="minorHAnsi"/>
        </w:rPr>
        <w:t>intensification</w:t>
      </w:r>
      <w:r w:rsidR="00BC209F">
        <w:rPr>
          <w:rFonts w:cstheme="minorHAnsi"/>
        </w:rPr>
        <w:t xml:space="preserve"> of work and a lack of work-life balance. This is an area that continues to be studied and researched and much a</w:t>
      </w:r>
      <w:r w:rsidR="009109EB" w:rsidRPr="006A7611">
        <w:rPr>
          <w:rFonts w:cstheme="minorHAnsi"/>
        </w:rPr>
        <w:t>cademic evidence</w:t>
      </w:r>
      <w:r w:rsidR="009109EB">
        <w:rPr>
          <w:rFonts w:cstheme="minorHAnsi"/>
        </w:rPr>
        <w:t xml:space="preserve"> continues to demonstrate</w:t>
      </w:r>
      <w:r w:rsidR="009109EB" w:rsidRPr="006A7611">
        <w:rPr>
          <w:rFonts w:cstheme="minorHAnsi"/>
        </w:rPr>
        <w:t xml:space="preserve"> that employee health, well-being and engagement are important for organisational success. For example, in a meta</w:t>
      </w:r>
      <w:r w:rsidR="009109EB">
        <w:rPr>
          <w:rFonts w:cstheme="minorHAnsi"/>
        </w:rPr>
        <w:t>-</w:t>
      </w:r>
      <w:r w:rsidR="009109EB" w:rsidRPr="006A7611">
        <w:rPr>
          <w:rFonts w:cstheme="minorHAnsi"/>
        </w:rPr>
        <w:t>analysis, Ford et al (2011) found links between employee psychological health and well-being and overall performance; Donald et al (2005) found that almost a quarter of the variance in employee productivity is explained by psychological wellbeing, perceived commitment of the organisation to the employee and resources and communication.</w:t>
      </w:r>
    </w:p>
    <w:p w:rsidR="00847520" w:rsidRDefault="00847520" w:rsidP="00847520">
      <w:pPr>
        <w:spacing w:after="200" w:line="276" w:lineRule="auto"/>
        <w:rPr>
          <w:rFonts w:cstheme="minorHAnsi"/>
        </w:rPr>
      </w:pPr>
    </w:p>
    <w:p w:rsidR="00847520" w:rsidRPr="00847520" w:rsidRDefault="00847520" w:rsidP="00847520">
      <w:pPr>
        <w:spacing w:after="200" w:line="276" w:lineRule="auto"/>
        <w:rPr>
          <w:rFonts w:cstheme="minorHAnsi"/>
        </w:rPr>
      </w:pPr>
    </w:p>
    <w:p w:rsidR="002B14BB" w:rsidRPr="002B14BB" w:rsidRDefault="002B14BB" w:rsidP="002B14BB">
      <w:pPr>
        <w:spacing w:after="200" w:line="276" w:lineRule="auto"/>
        <w:rPr>
          <w:rFonts w:cstheme="minorHAnsi"/>
          <w:b/>
        </w:rPr>
      </w:pPr>
      <w:r w:rsidRPr="002B14BB">
        <w:rPr>
          <w:rFonts w:cstheme="minorHAnsi"/>
          <w:b/>
        </w:rPr>
        <w:t xml:space="preserve">5. Outline the findings of recent studies on employee engagement, including the extent to which gender, demographic and other factors influence levels of engagement.  </w:t>
      </w:r>
    </w:p>
    <w:p w:rsidR="005C1755" w:rsidRDefault="008C19CF" w:rsidP="002B14BB">
      <w:pPr>
        <w:spacing w:after="200" w:line="276" w:lineRule="auto"/>
        <w:rPr>
          <w:rFonts w:cstheme="minorHAnsi"/>
        </w:rPr>
      </w:pPr>
      <w:r>
        <w:rPr>
          <w:rFonts w:cstheme="minorHAnsi"/>
        </w:rPr>
        <w:t xml:space="preserve">Demographics (such as gender, age, </w:t>
      </w:r>
      <w:r w:rsidR="00025982">
        <w:rPr>
          <w:rFonts w:cstheme="minorHAnsi"/>
        </w:rPr>
        <w:t xml:space="preserve">level of </w:t>
      </w:r>
      <w:r>
        <w:rPr>
          <w:rFonts w:cstheme="minorHAnsi"/>
        </w:rPr>
        <w:t xml:space="preserve">education </w:t>
      </w:r>
      <w:r w:rsidR="005F52A0">
        <w:rPr>
          <w:rFonts w:cstheme="minorHAnsi"/>
        </w:rPr>
        <w:t>etc.</w:t>
      </w:r>
      <w:r>
        <w:rPr>
          <w:rFonts w:cstheme="minorHAnsi"/>
        </w:rPr>
        <w:t xml:space="preserve">) </w:t>
      </w:r>
      <w:r w:rsidR="00025982">
        <w:rPr>
          <w:rFonts w:cstheme="minorHAnsi"/>
        </w:rPr>
        <w:t xml:space="preserve">are </w:t>
      </w:r>
      <w:r w:rsidR="0072030B" w:rsidRPr="0072030B">
        <w:rPr>
          <w:rFonts w:cstheme="minorHAnsi"/>
        </w:rPr>
        <w:t>important factors</w:t>
      </w:r>
      <w:r w:rsidR="00025982">
        <w:rPr>
          <w:rFonts w:cstheme="minorHAnsi"/>
        </w:rPr>
        <w:t xml:space="preserve"> that need to be taken into consideration during all</w:t>
      </w:r>
      <w:r w:rsidR="0072030B" w:rsidRPr="0072030B">
        <w:rPr>
          <w:rFonts w:cstheme="minorHAnsi"/>
        </w:rPr>
        <w:t xml:space="preserve"> </w:t>
      </w:r>
      <w:r w:rsidR="00497690">
        <w:rPr>
          <w:rFonts w:cstheme="minorHAnsi"/>
        </w:rPr>
        <w:t>HR</w:t>
      </w:r>
      <w:r w:rsidR="0072030B" w:rsidRPr="0072030B">
        <w:rPr>
          <w:rFonts w:cstheme="minorHAnsi"/>
        </w:rPr>
        <w:t xml:space="preserve"> and management decisions</w:t>
      </w:r>
      <w:r w:rsidR="005F52A0">
        <w:rPr>
          <w:rFonts w:cstheme="minorHAnsi"/>
        </w:rPr>
        <w:t>,</w:t>
      </w:r>
      <w:r w:rsidR="0072030B" w:rsidRPr="0072030B">
        <w:rPr>
          <w:rFonts w:cstheme="minorHAnsi"/>
        </w:rPr>
        <w:t xml:space="preserve"> because they influence work behaviour a</w:t>
      </w:r>
      <w:r w:rsidR="00025982">
        <w:rPr>
          <w:rFonts w:cstheme="minorHAnsi"/>
        </w:rPr>
        <w:t xml:space="preserve">nd </w:t>
      </w:r>
      <w:r w:rsidR="005F52A0">
        <w:rPr>
          <w:rFonts w:cstheme="minorHAnsi"/>
        </w:rPr>
        <w:t xml:space="preserve">the </w:t>
      </w:r>
      <w:r w:rsidR="00025982">
        <w:rPr>
          <w:rFonts w:cstheme="minorHAnsi"/>
        </w:rPr>
        <w:t xml:space="preserve">productivity of the employee. </w:t>
      </w:r>
      <w:r w:rsidR="005C1755">
        <w:rPr>
          <w:rFonts w:cstheme="minorHAnsi"/>
        </w:rPr>
        <w:t xml:space="preserve">Indeed this is especially pertinent in relation to organisations who are culturally diverse and working </w:t>
      </w:r>
      <w:r w:rsidR="00025982">
        <w:rPr>
          <w:rFonts w:cstheme="minorHAnsi"/>
        </w:rPr>
        <w:t>across</w:t>
      </w:r>
      <w:r w:rsidR="005C1755">
        <w:rPr>
          <w:rFonts w:cstheme="minorHAnsi"/>
        </w:rPr>
        <w:t xml:space="preserve"> international markets (Maslach </w:t>
      </w:r>
      <w:r w:rsidR="004B023E">
        <w:rPr>
          <w:rFonts w:cstheme="minorHAnsi"/>
        </w:rPr>
        <w:t>et al</w:t>
      </w:r>
      <w:r w:rsidR="005C1755">
        <w:rPr>
          <w:rFonts w:cstheme="minorHAnsi"/>
        </w:rPr>
        <w:t>,</w:t>
      </w:r>
      <w:r w:rsidR="004B023E">
        <w:rPr>
          <w:rFonts w:cstheme="minorHAnsi"/>
        </w:rPr>
        <w:t xml:space="preserve"> 2001</w:t>
      </w:r>
      <w:r w:rsidR="005C1755">
        <w:rPr>
          <w:rFonts w:cstheme="minorHAnsi"/>
        </w:rPr>
        <w:t xml:space="preserve">). </w:t>
      </w:r>
    </w:p>
    <w:p w:rsidR="005C1755" w:rsidRDefault="00C85AB2" w:rsidP="002B14BB">
      <w:pPr>
        <w:spacing w:after="200" w:line="276" w:lineRule="auto"/>
        <w:rPr>
          <w:rFonts w:cstheme="minorHAnsi"/>
        </w:rPr>
      </w:pPr>
      <w:r>
        <w:rPr>
          <w:rFonts w:cstheme="minorHAnsi"/>
        </w:rPr>
        <w:t>Whilst not a recent study, r</w:t>
      </w:r>
      <w:r w:rsidR="00497690">
        <w:rPr>
          <w:rFonts w:cstheme="minorHAnsi"/>
        </w:rPr>
        <w:t>esearch by Kahn</w:t>
      </w:r>
      <w:r w:rsidR="0072030B" w:rsidRPr="0072030B">
        <w:rPr>
          <w:rFonts w:cstheme="minorHAnsi"/>
        </w:rPr>
        <w:t xml:space="preserve"> </w:t>
      </w:r>
      <w:r w:rsidR="00497690">
        <w:rPr>
          <w:rFonts w:cstheme="minorHAnsi"/>
        </w:rPr>
        <w:t xml:space="preserve">(1990) </w:t>
      </w:r>
      <w:r w:rsidR="0049302F">
        <w:rPr>
          <w:rFonts w:cstheme="minorHAnsi"/>
        </w:rPr>
        <w:t>and Scha</w:t>
      </w:r>
      <w:r w:rsidR="005F52A0">
        <w:rPr>
          <w:rFonts w:cstheme="minorHAnsi"/>
        </w:rPr>
        <w:t>ufeli and Bakker (2004) identified</w:t>
      </w:r>
      <w:r w:rsidR="0072030B" w:rsidRPr="0072030B">
        <w:rPr>
          <w:rFonts w:cstheme="minorHAnsi"/>
        </w:rPr>
        <w:t xml:space="preserve"> that the level of</w:t>
      </w:r>
      <w:r>
        <w:rPr>
          <w:rFonts w:cstheme="minorHAnsi"/>
        </w:rPr>
        <w:t xml:space="preserve"> work engagement is affected </w:t>
      </w:r>
      <w:r w:rsidR="0072030B" w:rsidRPr="0072030B">
        <w:rPr>
          <w:rFonts w:cstheme="minorHAnsi"/>
        </w:rPr>
        <w:t xml:space="preserve">by the </w:t>
      </w:r>
      <w:r>
        <w:rPr>
          <w:rFonts w:cstheme="minorHAnsi"/>
        </w:rPr>
        <w:t xml:space="preserve">specific </w:t>
      </w:r>
      <w:r w:rsidR="0072030B" w:rsidRPr="0072030B">
        <w:rPr>
          <w:rFonts w:cstheme="minorHAnsi"/>
        </w:rPr>
        <w:t>demographic characteristics of the respondents. Bakan et a</w:t>
      </w:r>
      <w:r w:rsidR="008A061B">
        <w:rPr>
          <w:rFonts w:cstheme="minorHAnsi"/>
        </w:rPr>
        <w:t>l</w:t>
      </w:r>
      <w:r>
        <w:rPr>
          <w:rFonts w:cstheme="minorHAnsi"/>
        </w:rPr>
        <w:t xml:space="preserve"> (201</w:t>
      </w:r>
      <w:r w:rsidR="00522954">
        <w:rPr>
          <w:rFonts w:cstheme="minorHAnsi"/>
        </w:rPr>
        <w:t>1</w:t>
      </w:r>
      <w:r>
        <w:rPr>
          <w:rFonts w:cstheme="minorHAnsi"/>
        </w:rPr>
        <w:t>)</w:t>
      </w:r>
      <w:r w:rsidR="00A3359A">
        <w:rPr>
          <w:rFonts w:cstheme="minorHAnsi"/>
        </w:rPr>
        <w:t xml:space="preserve"> also</w:t>
      </w:r>
      <w:r w:rsidR="0072030B" w:rsidRPr="0072030B">
        <w:rPr>
          <w:rFonts w:cstheme="minorHAnsi"/>
        </w:rPr>
        <w:t xml:space="preserve"> observed that employees’ personal characteristics such as age, gender, and job </w:t>
      </w:r>
      <w:r w:rsidR="00A3359A">
        <w:rPr>
          <w:rFonts w:cstheme="minorHAnsi"/>
        </w:rPr>
        <w:t>security</w:t>
      </w:r>
      <w:r w:rsidR="0072030B" w:rsidRPr="0072030B">
        <w:rPr>
          <w:rFonts w:cstheme="minorHAnsi"/>
        </w:rPr>
        <w:t xml:space="preserve"> can ha</w:t>
      </w:r>
      <w:r w:rsidR="005F52A0">
        <w:rPr>
          <w:rFonts w:cstheme="minorHAnsi"/>
        </w:rPr>
        <w:t xml:space="preserve">ve significant effect on an individual’s commitment. </w:t>
      </w:r>
      <w:r w:rsidR="00CE78DF">
        <w:rPr>
          <w:rFonts w:cstheme="minorHAnsi"/>
        </w:rPr>
        <w:t xml:space="preserve">Other research carried out by Eker et al </w:t>
      </w:r>
      <w:r w:rsidR="00905CC8">
        <w:rPr>
          <w:rFonts w:cstheme="minorHAnsi"/>
        </w:rPr>
        <w:t xml:space="preserve">(2004) </w:t>
      </w:r>
      <w:r w:rsidR="00CE78DF">
        <w:rPr>
          <w:rFonts w:cstheme="minorHAnsi"/>
        </w:rPr>
        <w:t>and</w:t>
      </w:r>
      <w:r w:rsidR="0072030B" w:rsidRPr="0072030B">
        <w:rPr>
          <w:rFonts w:cstheme="minorHAnsi"/>
        </w:rPr>
        <w:t xml:space="preserve"> </w:t>
      </w:r>
      <w:r w:rsidR="00CE78DF">
        <w:rPr>
          <w:rFonts w:cstheme="minorHAnsi"/>
        </w:rPr>
        <w:t xml:space="preserve">Asadi et al </w:t>
      </w:r>
      <w:r w:rsidR="00522954">
        <w:rPr>
          <w:rFonts w:cstheme="minorHAnsi"/>
        </w:rPr>
        <w:t xml:space="preserve">(2008) </w:t>
      </w:r>
      <w:r w:rsidR="0072030B" w:rsidRPr="0072030B">
        <w:rPr>
          <w:rFonts w:cstheme="minorHAnsi"/>
        </w:rPr>
        <w:t>show</w:t>
      </w:r>
      <w:r w:rsidR="00A3359A">
        <w:rPr>
          <w:rFonts w:cstheme="minorHAnsi"/>
        </w:rPr>
        <w:t>ed</w:t>
      </w:r>
      <w:r w:rsidR="005F52A0">
        <w:rPr>
          <w:rFonts w:cstheme="minorHAnsi"/>
        </w:rPr>
        <w:t xml:space="preserve"> that demo</w:t>
      </w:r>
      <w:r w:rsidR="0072030B" w:rsidRPr="0072030B">
        <w:rPr>
          <w:rFonts w:cstheme="minorHAnsi"/>
        </w:rPr>
        <w:t>grap</w:t>
      </w:r>
      <w:r w:rsidR="00905CC8">
        <w:rPr>
          <w:rFonts w:cstheme="minorHAnsi"/>
        </w:rPr>
        <w:t xml:space="preserve">hic variables </w:t>
      </w:r>
      <w:r w:rsidR="00A3359A">
        <w:rPr>
          <w:rFonts w:cstheme="minorHAnsi"/>
        </w:rPr>
        <w:t>specifically</w:t>
      </w:r>
      <w:r w:rsidR="00905CC8">
        <w:rPr>
          <w:rFonts w:cstheme="minorHAnsi"/>
        </w:rPr>
        <w:t xml:space="preserve"> gender, age</w:t>
      </w:r>
      <w:r w:rsidR="0072030B" w:rsidRPr="0072030B">
        <w:rPr>
          <w:rFonts w:cstheme="minorHAnsi"/>
        </w:rPr>
        <w:t xml:space="preserve">, education, marital status </w:t>
      </w:r>
      <w:r w:rsidR="008C19CF">
        <w:rPr>
          <w:rFonts w:cstheme="minorHAnsi"/>
        </w:rPr>
        <w:t>of</w:t>
      </w:r>
      <w:r w:rsidR="008C19CF" w:rsidRPr="0072030B">
        <w:rPr>
          <w:rFonts w:cstheme="minorHAnsi"/>
        </w:rPr>
        <w:t xml:space="preserve"> employees </w:t>
      </w:r>
      <w:r w:rsidR="0072030B" w:rsidRPr="0072030B">
        <w:rPr>
          <w:rFonts w:cstheme="minorHAnsi"/>
        </w:rPr>
        <w:t>and</w:t>
      </w:r>
      <w:r w:rsidR="008C19CF">
        <w:rPr>
          <w:rFonts w:cstheme="minorHAnsi"/>
        </w:rPr>
        <w:t xml:space="preserve"> their</w:t>
      </w:r>
      <w:r w:rsidR="0072030B" w:rsidRPr="0072030B">
        <w:rPr>
          <w:rFonts w:cstheme="minorHAnsi"/>
        </w:rPr>
        <w:t xml:space="preserve"> </w:t>
      </w:r>
      <w:r w:rsidR="00905CC8">
        <w:rPr>
          <w:rFonts w:cstheme="minorHAnsi"/>
        </w:rPr>
        <w:t xml:space="preserve">length of employment were </w:t>
      </w:r>
      <w:r w:rsidR="00CE78DF">
        <w:rPr>
          <w:rFonts w:cstheme="minorHAnsi"/>
        </w:rPr>
        <w:t xml:space="preserve">important factors </w:t>
      </w:r>
      <w:r w:rsidR="0072030B" w:rsidRPr="0072030B">
        <w:rPr>
          <w:rFonts w:cstheme="minorHAnsi"/>
        </w:rPr>
        <w:t>in determining the</w:t>
      </w:r>
      <w:r w:rsidR="00CE78DF">
        <w:rPr>
          <w:rFonts w:cstheme="minorHAnsi"/>
        </w:rPr>
        <w:t xml:space="preserve"> levels of job</w:t>
      </w:r>
      <w:r w:rsidR="0072030B" w:rsidRPr="0072030B">
        <w:rPr>
          <w:rFonts w:cstheme="minorHAnsi"/>
        </w:rPr>
        <w:t xml:space="preserve"> satisfaction of employees</w:t>
      </w:r>
      <w:r w:rsidR="00CE78DF">
        <w:rPr>
          <w:rFonts w:cstheme="minorHAnsi"/>
        </w:rPr>
        <w:t xml:space="preserve">. </w:t>
      </w:r>
      <w:r w:rsidR="004C4A81">
        <w:rPr>
          <w:rFonts w:cstheme="minorHAnsi"/>
        </w:rPr>
        <w:t xml:space="preserve">Results of the </w:t>
      </w:r>
      <w:r w:rsidR="004C4A81" w:rsidRPr="00847520">
        <w:rPr>
          <w:rFonts w:cstheme="minorHAnsi"/>
        </w:rPr>
        <w:t>CIPD Employee Outlook Survey</w:t>
      </w:r>
      <w:r w:rsidR="004C4A81">
        <w:rPr>
          <w:rFonts w:cstheme="minorHAnsi"/>
        </w:rPr>
        <w:t xml:space="preserve"> (2009) also showed that more women than men were engaged , with a quarter of under 35s engaged compared to 40% of the over 35s. </w:t>
      </w:r>
    </w:p>
    <w:p w:rsidR="005C1755" w:rsidRDefault="005C1755" w:rsidP="00153316">
      <w:pPr>
        <w:spacing w:after="200" w:line="276" w:lineRule="auto"/>
        <w:rPr>
          <w:rFonts w:cstheme="minorHAnsi"/>
        </w:rPr>
      </w:pPr>
      <w:r w:rsidRPr="005C1755">
        <w:rPr>
          <w:rFonts w:cstheme="minorHAnsi"/>
        </w:rPr>
        <w:t xml:space="preserve">Age and work experience are </w:t>
      </w:r>
      <w:r w:rsidR="008C19CF">
        <w:rPr>
          <w:rFonts w:cstheme="minorHAnsi"/>
        </w:rPr>
        <w:t xml:space="preserve">cited as going hand in hand. </w:t>
      </w:r>
      <w:r w:rsidRPr="005C1755">
        <w:rPr>
          <w:rFonts w:cstheme="minorHAnsi"/>
        </w:rPr>
        <w:t>As one grows with age</w:t>
      </w:r>
      <w:r w:rsidR="008C19CF">
        <w:rPr>
          <w:rFonts w:cstheme="minorHAnsi"/>
        </w:rPr>
        <w:t xml:space="preserve"> one’s work experience would also be expected to increase (Shuker</w:t>
      </w:r>
      <w:r w:rsidR="004C1ED6">
        <w:rPr>
          <w:rFonts w:cstheme="minorHAnsi"/>
        </w:rPr>
        <w:t xml:space="preserve"> et al, </w:t>
      </w:r>
      <w:r w:rsidR="008C19CF">
        <w:rPr>
          <w:rFonts w:cstheme="minorHAnsi"/>
        </w:rPr>
        <w:t xml:space="preserve">2015). Whilst only in a college environment, </w:t>
      </w:r>
      <w:r>
        <w:rPr>
          <w:rFonts w:cstheme="minorHAnsi"/>
        </w:rPr>
        <w:t>James, et al (</w:t>
      </w:r>
      <w:r w:rsidRPr="005C1755">
        <w:rPr>
          <w:rFonts w:cstheme="minorHAnsi"/>
        </w:rPr>
        <w:t xml:space="preserve">2007) reported that older workers were more engaged than younger workers when they worked with a supportive supervisor in a supportive </w:t>
      </w:r>
      <w:r w:rsidR="008C19CF">
        <w:rPr>
          <w:rFonts w:cstheme="minorHAnsi"/>
        </w:rPr>
        <w:t xml:space="preserve">organisational environment, the suggestion being that age gave a more balanced outlook and offered more stability. </w:t>
      </w:r>
      <w:r w:rsidR="00153316">
        <w:rPr>
          <w:rFonts w:cstheme="minorHAnsi"/>
        </w:rPr>
        <w:t>The Popli and Rizli (2016) study found that e</w:t>
      </w:r>
      <w:r w:rsidR="00153316" w:rsidRPr="00153316">
        <w:rPr>
          <w:rFonts w:cstheme="minorHAnsi"/>
        </w:rPr>
        <w:t>mployee age impacts t</w:t>
      </w:r>
      <w:r w:rsidR="00153316">
        <w:rPr>
          <w:rFonts w:cstheme="minorHAnsi"/>
        </w:rPr>
        <w:t>he level of employee engagement. They concluded that the engagement scores</w:t>
      </w:r>
      <w:r w:rsidR="00153316" w:rsidRPr="00153316">
        <w:rPr>
          <w:rFonts w:cstheme="minorHAnsi"/>
        </w:rPr>
        <w:t xml:space="preserve"> across</w:t>
      </w:r>
      <w:r w:rsidR="004C45BD">
        <w:rPr>
          <w:rFonts w:cstheme="minorHAnsi"/>
        </w:rPr>
        <w:t xml:space="preserve"> different</w:t>
      </w:r>
      <w:r w:rsidR="00153316" w:rsidRPr="00153316">
        <w:rPr>
          <w:rFonts w:cstheme="minorHAnsi"/>
        </w:rPr>
        <w:t xml:space="preserve"> age groups was found to be si</w:t>
      </w:r>
      <w:r w:rsidR="00153316">
        <w:rPr>
          <w:rFonts w:cstheme="minorHAnsi"/>
        </w:rPr>
        <w:t xml:space="preserve">gnificant. </w:t>
      </w:r>
    </w:p>
    <w:p w:rsidR="002B14BB" w:rsidRPr="0072030B" w:rsidRDefault="00DA28B9" w:rsidP="002B14BB">
      <w:pPr>
        <w:spacing w:after="200" w:line="276" w:lineRule="auto"/>
        <w:rPr>
          <w:rFonts w:cstheme="minorHAnsi"/>
        </w:rPr>
      </w:pPr>
      <w:r>
        <w:rPr>
          <w:rFonts w:cstheme="minorHAnsi"/>
        </w:rPr>
        <w:t xml:space="preserve">However, a Slovakian study by Vorina et al (2017) drew the conclusion that </w:t>
      </w:r>
      <w:r w:rsidRPr="00DA28B9">
        <w:rPr>
          <w:rFonts w:cstheme="minorHAnsi"/>
        </w:rPr>
        <w:t xml:space="preserve">there is no statistically significant difference between gender and employee engagement and job satisfaction. </w:t>
      </w:r>
      <w:r>
        <w:rPr>
          <w:rFonts w:cstheme="minorHAnsi"/>
        </w:rPr>
        <w:t xml:space="preserve">The do suggest however, that other </w:t>
      </w:r>
      <w:r w:rsidRPr="00DA28B9">
        <w:rPr>
          <w:rFonts w:cstheme="minorHAnsi"/>
        </w:rPr>
        <w:t>variables such as age, level</w:t>
      </w:r>
      <w:r>
        <w:rPr>
          <w:rFonts w:cstheme="minorHAnsi"/>
        </w:rPr>
        <w:t xml:space="preserve"> of education and salary expectations were not part of the study. </w:t>
      </w:r>
    </w:p>
    <w:p w:rsidR="0072030B" w:rsidRDefault="0072030B" w:rsidP="002B14BB">
      <w:pPr>
        <w:spacing w:after="200" w:line="276" w:lineRule="auto"/>
        <w:rPr>
          <w:rFonts w:cstheme="minorHAnsi"/>
          <w:b/>
        </w:rPr>
      </w:pPr>
    </w:p>
    <w:p w:rsidR="0072030B" w:rsidRPr="002B14BB" w:rsidRDefault="0072030B" w:rsidP="002B14BB">
      <w:pPr>
        <w:spacing w:after="200" w:line="276" w:lineRule="auto"/>
        <w:rPr>
          <w:rFonts w:cstheme="minorHAnsi"/>
          <w:b/>
        </w:rPr>
      </w:pPr>
    </w:p>
    <w:p w:rsidR="002B14BB" w:rsidRPr="002B14BB" w:rsidRDefault="002B14BB" w:rsidP="002B14BB">
      <w:pPr>
        <w:spacing w:after="200" w:line="276" w:lineRule="auto"/>
        <w:rPr>
          <w:rFonts w:cstheme="minorHAnsi"/>
          <w:b/>
        </w:rPr>
      </w:pPr>
      <w:r w:rsidRPr="002B14BB">
        <w:rPr>
          <w:rFonts w:cstheme="minorHAnsi"/>
          <w:b/>
        </w:rPr>
        <w:t>6. Conclude with a balanced evaluative summary of the future of employee engagement.</w:t>
      </w:r>
    </w:p>
    <w:p w:rsidR="006F2929" w:rsidRDefault="006F2929" w:rsidP="007A2A19">
      <w:pPr>
        <w:spacing w:after="200" w:line="276" w:lineRule="auto"/>
        <w:rPr>
          <w:rFonts w:cstheme="minorHAnsi"/>
        </w:rPr>
      </w:pPr>
      <w:r>
        <w:rPr>
          <w:rFonts w:cstheme="minorHAnsi"/>
        </w:rPr>
        <w:t xml:space="preserve">What is engagement and how can it be defined is a question still to be fully answered with many commentators including </w:t>
      </w:r>
      <w:r w:rsidR="00A04718">
        <w:rPr>
          <w:rFonts w:cstheme="minorHAnsi"/>
        </w:rPr>
        <w:t xml:space="preserve">Truss et al, (2014) and </w:t>
      </w:r>
      <w:r>
        <w:rPr>
          <w:rFonts w:cstheme="minorHAnsi"/>
        </w:rPr>
        <w:t>Purcell (2014) suggesting</w:t>
      </w:r>
      <w:r w:rsidR="00A04718">
        <w:rPr>
          <w:rFonts w:cstheme="minorHAnsi"/>
        </w:rPr>
        <w:t xml:space="preserve"> more research is needed and whilst</w:t>
      </w:r>
      <w:r>
        <w:rPr>
          <w:rFonts w:cstheme="minorHAnsi"/>
        </w:rPr>
        <w:t xml:space="preserve"> it is not a fad</w:t>
      </w:r>
      <w:r w:rsidR="00A04718">
        <w:rPr>
          <w:rFonts w:cstheme="minorHAnsi"/>
        </w:rPr>
        <w:t xml:space="preserve"> and should not be abandoned, </w:t>
      </w:r>
      <w:r>
        <w:rPr>
          <w:rFonts w:cstheme="minorHAnsi"/>
        </w:rPr>
        <w:t xml:space="preserve">unless it is properly understood it cannot be measured and </w:t>
      </w:r>
      <w:r w:rsidR="00A04718">
        <w:rPr>
          <w:rFonts w:cstheme="minorHAnsi"/>
        </w:rPr>
        <w:t xml:space="preserve">interventions may be wasteful.  </w:t>
      </w:r>
    </w:p>
    <w:p w:rsidR="00915AD9" w:rsidRDefault="003641EE" w:rsidP="007A2A19">
      <w:pPr>
        <w:spacing w:after="200" w:line="276" w:lineRule="auto"/>
        <w:rPr>
          <w:rFonts w:cstheme="minorHAnsi"/>
        </w:rPr>
      </w:pPr>
      <w:r>
        <w:rPr>
          <w:rFonts w:cstheme="minorHAnsi"/>
        </w:rPr>
        <w:t>As has been suggested, E</w:t>
      </w:r>
      <w:r w:rsidR="00915AD9">
        <w:rPr>
          <w:rFonts w:cstheme="minorHAnsi"/>
        </w:rPr>
        <w:t xml:space="preserve">mployee engagement strategies can work but </w:t>
      </w:r>
      <w:r w:rsidR="00B864F5">
        <w:rPr>
          <w:rFonts w:cstheme="minorHAnsi"/>
        </w:rPr>
        <w:t>they have to be</w:t>
      </w:r>
      <w:r w:rsidR="00915AD9">
        <w:rPr>
          <w:rFonts w:cstheme="minorHAnsi"/>
        </w:rPr>
        <w:t xml:space="preserve"> in the right context. </w:t>
      </w:r>
      <w:r w:rsidR="00B864F5">
        <w:rPr>
          <w:rFonts w:cstheme="minorHAnsi"/>
        </w:rPr>
        <w:t>With</w:t>
      </w:r>
      <w:r w:rsidR="004C45BD">
        <w:rPr>
          <w:rFonts w:cstheme="minorHAnsi"/>
        </w:rPr>
        <w:t>in</w:t>
      </w:r>
      <w:r w:rsidR="00B864F5">
        <w:rPr>
          <w:rFonts w:cstheme="minorHAnsi"/>
        </w:rPr>
        <w:t xml:space="preserve"> </w:t>
      </w:r>
      <w:r w:rsidR="00A04718">
        <w:rPr>
          <w:rFonts w:cstheme="minorHAnsi"/>
        </w:rPr>
        <w:t xml:space="preserve">a climate of general uncertainty, </w:t>
      </w:r>
      <w:r w:rsidR="004C45BD">
        <w:rPr>
          <w:rFonts w:cstheme="minorHAnsi"/>
        </w:rPr>
        <w:t>with an</w:t>
      </w:r>
      <w:r w:rsidR="00B864F5">
        <w:rPr>
          <w:rFonts w:cstheme="minorHAnsi"/>
        </w:rPr>
        <w:t xml:space="preserve"> economy putting a squeeze on spending</w:t>
      </w:r>
      <w:r w:rsidR="00A04718">
        <w:rPr>
          <w:rFonts w:cstheme="minorHAnsi"/>
        </w:rPr>
        <w:t xml:space="preserve"> and</w:t>
      </w:r>
      <w:r w:rsidR="00B864F5">
        <w:rPr>
          <w:rFonts w:cstheme="minorHAnsi"/>
        </w:rPr>
        <w:t xml:space="preserve"> wage increases</w:t>
      </w:r>
      <w:r w:rsidR="00A04718">
        <w:rPr>
          <w:rFonts w:cstheme="minorHAnsi"/>
        </w:rPr>
        <w:t xml:space="preserve"> put under pressure</w:t>
      </w:r>
      <w:r w:rsidR="00B864F5">
        <w:rPr>
          <w:rFonts w:cstheme="minorHAnsi"/>
        </w:rPr>
        <w:t xml:space="preserve">, engaging the workforce becomes more difficult. </w:t>
      </w:r>
      <w:r w:rsidR="00F81E53">
        <w:rPr>
          <w:rFonts w:cstheme="minorHAnsi"/>
        </w:rPr>
        <w:t xml:space="preserve">Added to </w:t>
      </w:r>
      <w:r w:rsidR="004C45BD">
        <w:rPr>
          <w:rFonts w:cstheme="minorHAnsi"/>
        </w:rPr>
        <w:t xml:space="preserve">this is the state of </w:t>
      </w:r>
      <w:r w:rsidR="00F81E53">
        <w:rPr>
          <w:rFonts w:cstheme="minorHAnsi"/>
        </w:rPr>
        <w:t>change within organisations and the rightly growing expectations of employees to work more flexibly with a greater work life balance</w:t>
      </w:r>
      <w:r w:rsidR="004C45BD">
        <w:rPr>
          <w:rFonts w:cstheme="minorHAnsi"/>
        </w:rPr>
        <w:t xml:space="preserve">, </w:t>
      </w:r>
      <w:r w:rsidR="00F81E53">
        <w:rPr>
          <w:rFonts w:cstheme="minorHAnsi"/>
        </w:rPr>
        <w:t xml:space="preserve"> means the difficulties of engaging employees is amplified. </w:t>
      </w:r>
      <w:r w:rsidR="00484F7D" w:rsidRPr="00484F7D">
        <w:rPr>
          <w:rFonts w:cstheme="minorHAnsi"/>
        </w:rPr>
        <w:t>The decision to invest in strengthening engagement or commitment</w:t>
      </w:r>
      <w:r w:rsidR="00484F7D">
        <w:rPr>
          <w:rFonts w:cstheme="minorHAnsi"/>
        </w:rPr>
        <w:t xml:space="preserve"> (or both) depends on an organis</w:t>
      </w:r>
      <w:r w:rsidR="00484F7D" w:rsidRPr="00484F7D">
        <w:rPr>
          <w:rFonts w:cstheme="minorHAnsi"/>
        </w:rPr>
        <w:t>ation’s strategy and the makeup of its workforce.</w:t>
      </w:r>
    </w:p>
    <w:p w:rsidR="00B864F5" w:rsidRDefault="006F2929" w:rsidP="00B864F5">
      <w:pPr>
        <w:spacing w:after="200" w:line="276" w:lineRule="auto"/>
        <w:rPr>
          <w:rFonts w:cstheme="minorHAnsi"/>
        </w:rPr>
      </w:pPr>
      <w:r>
        <w:rPr>
          <w:rFonts w:cstheme="minorHAnsi"/>
        </w:rPr>
        <w:t xml:space="preserve">Within such an environment there is </w:t>
      </w:r>
      <w:r w:rsidR="00B864F5">
        <w:rPr>
          <w:rFonts w:cstheme="minorHAnsi"/>
        </w:rPr>
        <w:t>debate</w:t>
      </w:r>
      <w:r>
        <w:rPr>
          <w:rFonts w:cstheme="minorHAnsi"/>
        </w:rPr>
        <w:t>, as covered by the literature,</w:t>
      </w:r>
      <w:r w:rsidR="00B864F5">
        <w:rPr>
          <w:rFonts w:cstheme="minorHAnsi"/>
        </w:rPr>
        <w:t xml:space="preserve"> about </w:t>
      </w:r>
      <w:r>
        <w:rPr>
          <w:rFonts w:cstheme="minorHAnsi"/>
        </w:rPr>
        <w:t xml:space="preserve">personal attitudes to work i.e. an innate </w:t>
      </w:r>
      <w:r w:rsidR="00B864F5">
        <w:rPr>
          <w:rFonts w:cstheme="minorHAnsi"/>
        </w:rPr>
        <w:t>personal dedication to getting the work done to a profitable standard. Does someone carry a sense of personal pride a purpose, despite conditions imposed on them by the organisation?</w:t>
      </w:r>
      <w:r>
        <w:rPr>
          <w:rFonts w:cstheme="minorHAnsi"/>
        </w:rPr>
        <w:t xml:space="preserve"> </w:t>
      </w:r>
      <w:r w:rsidR="00B864F5">
        <w:rPr>
          <w:rFonts w:cstheme="minorHAnsi"/>
        </w:rPr>
        <w:t xml:space="preserve"> </w:t>
      </w:r>
      <w:r>
        <w:rPr>
          <w:rFonts w:cstheme="minorHAnsi"/>
        </w:rPr>
        <w:t xml:space="preserve">As Johns and Ellis (2016) state employment does not mean engagement. </w:t>
      </w:r>
    </w:p>
    <w:p w:rsidR="00915AD9" w:rsidRDefault="00B864F5" w:rsidP="00646CEC">
      <w:pPr>
        <w:tabs>
          <w:tab w:val="left" w:pos="2145"/>
        </w:tabs>
        <w:spacing w:after="200" w:line="276" w:lineRule="auto"/>
        <w:rPr>
          <w:rFonts w:cstheme="minorHAnsi"/>
        </w:rPr>
      </w:pPr>
      <w:r>
        <w:rPr>
          <w:rFonts w:cstheme="minorHAnsi"/>
        </w:rPr>
        <w:t>Tied in with this is the b</w:t>
      </w:r>
      <w:r w:rsidR="00915AD9">
        <w:rPr>
          <w:rFonts w:cstheme="minorHAnsi"/>
        </w:rPr>
        <w:t>ig issue of measurement and interpretation of results</w:t>
      </w:r>
      <w:r w:rsidR="003641EE">
        <w:rPr>
          <w:rFonts w:cstheme="minorHAnsi"/>
        </w:rPr>
        <w:t>.</w:t>
      </w:r>
      <w:r>
        <w:rPr>
          <w:rFonts w:cstheme="minorHAnsi"/>
        </w:rPr>
        <w:t xml:space="preserve"> </w:t>
      </w:r>
      <w:r w:rsidR="00E86C4B">
        <w:rPr>
          <w:rFonts w:cstheme="minorHAnsi"/>
        </w:rPr>
        <w:t>Organis</w:t>
      </w:r>
      <w:r w:rsidR="00E86C4B" w:rsidRPr="00484F7D">
        <w:rPr>
          <w:rFonts w:cstheme="minorHAnsi"/>
        </w:rPr>
        <w:t>ations define and measure engagement in a variety of different wa</w:t>
      </w:r>
      <w:r w:rsidR="00E86C4B">
        <w:rPr>
          <w:rFonts w:cstheme="minorHAnsi"/>
        </w:rPr>
        <w:t>ys and Vance (2006) suggests there is no one</w:t>
      </w:r>
      <w:r w:rsidR="00E86C4B" w:rsidRPr="00484F7D">
        <w:rPr>
          <w:rFonts w:cstheme="minorHAnsi"/>
        </w:rPr>
        <w:t xml:space="preserve"> “best” way to define or stimulate engagement in </w:t>
      </w:r>
      <w:r w:rsidR="00E86C4B">
        <w:rPr>
          <w:rFonts w:cstheme="minorHAnsi"/>
        </w:rPr>
        <w:t>the</w:t>
      </w:r>
      <w:r w:rsidR="00E86C4B" w:rsidRPr="00484F7D">
        <w:rPr>
          <w:rFonts w:cstheme="minorHAnsi"/>
        </w:rPr>
        <w:t xml:space="preserve"> workforce</w:t>
      </w:r>
      <w:r w:rsidR="00E86C4B">
        <w:rPr>
          <w:rFonts w:cstheme="minorHAnsi"/>
        </w:rPr>
        <w:t xml:space="preserve">. </w:t>
      </w:r>
      <w:r>
        <w:rPr>
          <w:rFonts w:cstheme="minorHAnsi"/>
        </w:rPr>
        <w:t xml:space="preserve">Do surveys actually </w:t>
      </w:r>
      <w:r w:rsidR="00E86C4B">
        <w:rPr>
          <w:rFonts w:cstheme="minorHAnsi"/>
        </w:rPr>
        <w:t xml:space="preserve">measure engagement effectively? This is queried by Purcell, (2014). </w:t>
      </w:r>
      <w:r w:rsidR="00646CEC">
        <w:rPr>
          <w:rFonts w:cstheme="minorHAnsi"/>
        </w:rPr>
        <w:t>The CIPD (2019</w:t>
      </w:r>
      <w:r w:rsidR="000D2856">
        <w:rPr>
          <w:rFonts w:cstheme="minorHAnsi"/>
        </w:rPr>
        <w:t>a</w:t>
      </w:r>
      <w:r w:rsidR="00646CEC">
        <w:rPr>
          <w:rFonts w:cstheme="minorHAnsi"/>
        </w:rPr>
        <w:t xml:space="preserve">) </w:t>
      </w:r>
      <w:r w:rsidR="004C45BD">
        <w:rPr>
          <w:rFonts w:cstheme="minorHAnsi"/>
        </w:rPr>
        <w:t xml:space="preserve">who </w:t>
      </w:r>
      <w:r w:rsidR="00646CEC">
        <w:rPr>
          <w:rFonts w:cstheme="minorHAnsi"/>
        </w:rPr>
        <w:t>see</w:t>
      </w:r>
      <w:r w:rsidR="004C45BD">
        <w:rPr>
          <w:rFonts w:cstheme="minorHAnsi"/>
        </w:rPr>
        <w:t>s</w:t>
      </w:r>
      <w:r w:rsidR="00646CEC">
        <w:rPr>
          <w:rFonts w:cstheme="minorHAnsi"/>
        </w:rPr>
        <w:t xml:space="preserve"> issues with this too. T</w:t>
      </w:r>
      <w:r w:rsidR="00646CEC" w:rsidRPr="00646CEC">
        <w:rPr>
          <w:rFonts w:cstheme="minorHAnsi"/>
        </w:rPr>
        <w:t xml:space="preserve">he multi-faceted nature of employee engagement means that </w:t>
      </w:r>
      <w:r w:rsidR="00646CEC">
        <w:rPr>
          <w:rFonts w:cstheme="minorHAnsi"/>
        </w:rPr>
        <w:t>it can be</w:t>
      </w:r>
      <w:r w:rsidR="00646CEC" w:rsidRPr="00646CEC">
        <w:rPr>
          <w:rFonts w:cstheme="minorHAnsi"/>
        </w:rPr>
        <w:t xml:space="preserve"> easy for measures to bundle together quite distinct factors </w:t>
      </w:r>
      <w:r w:rsidR="004C45BD">
        <w:rPr>
          <w:rFonts w:cstheme="minorHAnsi"/>
        </w:rPr>
        <w:t>which are hard to put into definite action</w:t>
      </w:r>
      <w:r w:rsidR="00646CEC">
        <w:rPr>
          <w:rFonts w:cstheme="minorHAnsi"/>
        </w:rPr>
        <w:t xml:space="preserve">. </w:t>
      </w:r>
      <w:r w:rsidR="004C45BD">
        <w:rPr>
          <w:rFonts w:cstheme="minorHAnsi"/>
        </w:rPr>
        <w:t>Again, h</w:t>
      </w:r>
      <w:r w:rsidR="00646CEC" w:rsidRPr="00646CEC">
        <w:rPr>
          <w:rFonts w:cstheme="minorHAnsi"/>
        </w:rPr>
        <w:t>uman capital metrics can be invaluable, but need to be reliable and give data that is clear and specific enough to be</w:t>
      </w:r>
      <w:r w:rsidR="004C45BD">
        <w:rPr>
          <w:rFonts w:cstheme="minorHAnsi"/>
        </w:rPr>
        <w:t xml:space="preserve"> turned into strategy and action within the organisation. </w:t>
      </w:r>
      <w:r w:rsidR="004C45BD">
        <w:rPr>
          <w:rFonts w:cs="Arial"/>
        </w:rPr>
        <w:t>Lockwood (2007) states that e</w:t>
      </w:r>
      <w:r w:rsidR="004C45BD" w:rsidRPr="00E86C4B">
        <w:rPr>
          <w:rFonts w:cs="Arial"/>
        </w:rPr>
        <w:t>ven HR can a</w:t>
      </w:r>
      <w:r w:rsidR="004C45BD">
        <w:rPr>
          <w:rFonts w:cs="Arial"/>
        </w:rPr>
        <w:t xml:space="preserve">ct as a barrier, depending </w:t>
      </w:r>
      <w:r w:rsidR="004C45BD" w:rsidRPr="00E86C4B">
        <w:rPr>
          <w:rFonts w:cs="Arial"/>
        </w:rPr>
        <w:t xml:space="preserve">on how </w:t>
      </w:r>
      <w:r w:rsidR="004C45BD">
        <w:rPr>
          <w:rFonts w:cs="Arial"/>
        </w:rPr>
        <w:t xml:space="preserve">these </w:t>
      </w:r>
      <w:r w:rsidR="004C45BD" w:rsidRPr="00E86C4B">
        <w:rPr>
          <w:rFonts w:cs="Arial"/>
        </w:rPr>
        <w:t>workplace policies and practices are</w:t>
      </w:r>
      <w:r w:rsidR="004C45BD">
        <w:rPr>
          <w:rFonts w:cs="Arial"/>
        </w:rPr>
        <w:t xml:space="preserve"> implemented.</w:t>
      </w:r>
    </w:p>
    <w:p w:rsidR="00E86C4B" w:rsidRDefault="00915AD9" w:rsidP="00270CC8">
      <w:pPr>
        <w:spacing w:after="0"/>
        <w:rPr>
          <w:rFonts w:cs="Arial"/>
        </w:rPr>
      </w:pPr>
      <w:r w:rsidRPr="00915AD9">
        <w:rPr>
          <w:rFonts w:cs="Arial"/>
        </w:rPr>
        <w:t xml:space="preserve">Despite these issues </w:t>
      </w:r>
      <w:r w:rsidR="003641EE">
        <w:rPr>
          <w:rFonts w:cs="Arial"/>
        </w:rPr>
        <w:t xml:space="preserve">the studies and research shows that </w:t>
      </w:r>
      <w:r>
        <w:rPr>
          <w:rFonts w:cs="Arial"/>
        </w:rPr>
        <w:t>the</w:t>
      </w:r>
      <w:r w:rsidRPr="00915AD9">
        <w:rPr>
          <w:rFonts w:cs="Arial"/>
        </w:rPr>
        <w:t xml:space="preserve"> level of engagement </w:t>
      </w:r>
      <w:r w:rsidR="004C45BD">
        <w:rPr>
          <w:rFonts w:cs="Arial"/>
        </w:rPr>
        <w:t xml:space="preserve">does </w:t>
      </w:r>
      <w:r w:rsidRPr="00915AD9">
        <w:rPr>
          <w:rFonts w:cs="Arial"/>
        </w:rPr>
        <w:t>determines whether people are prod</w:t>
      </w:r>
      <w:r w:rsidR="003641EE">
        <w:rPr>
          <w:rFonts w:cs="Arial"/>
        </w:rPr>
        <w:t>uctive and stay with the organis</w:t>
      </w:r>
      <w:r w:rsidRPr="00915AD9">
        <w:rPr>
          <w:rFonts w:cs="Arial"/>
        </w:rPr>
        <w:t>ation—or move to the competition. Research highlights that the em</w:t>
      </w:r>
      <w:r w:rsidR="003641EE">
        <w:rPr>
          <w:rFonts w:cs="Arial"/>
        </w:rPr>
        <w:t>ployee connection to the organis</w:t>
      </w:r>
      <w:r w:rsidRPr="00915AD9">
        <w:rPr>
          <w:rFonts w:cs="Arial"/>
        </w:rPr>
        <w:t xml:space="preserve">ational strategy and goals, acknowledgment for work well done, and a culture of learning and development </w:t>
      </w:r>
      <w:r w:rsidR="003641EE">
        <w:rPr>
          <w:rFonts w:cs="Arial"/>
        </w:rPr>
        <w:t xml:space="preserve">continues to </w:t>
      </w:r>
      <w:r w:rsidRPr="00915AD9">
        <w:rPr>
          <w:rFonts w:cs="Arial"/>
        </w:rPr>
        <w:t xml:space="preserve">foster high levels of engagement. </w:t>
      </w:r>
      <w:r w:rsidR="003641EE">
        <w:rPr>
          <w:rFonts w:cs="Arial"/>
        </w:rPr>
        <w:t xml:space="preserve"> </w:t>
      </w:r>
      <w:r w:rsidR="00646CEC">
        <w:rPr>
          <w:rFonts w:cs="Arial"/>
        </w:rPr>
        <w:t>The CIPD (2019</w:t>
      </w:r>
      <w:r w:rsidR="000D2856">
        <w:rPr>
          <w:rFonts w:cs="Arial"/>
        </w:rPr>
        <w:t>a</w:t>
      </w:r>
      <w:r w:rsidR="00646CEC">
        <w:rPr>
          <w:rFonts w:cs="Arial"/>
        </w:rPr>
        <w:t xml:space="preserve">) suggest </w:t>
      </w:r>
      <w:r w:rsidR="00646CEC" w:rsidRPr="00646CEC">
        <w:rPr>
          <w:rFonts w:cs="Arial"/>
        </w:rPr>
        <w:t>various dimensions of working life lead to employee engagement, including personality (for example, self-confidence and resilience), job design (for example, job demands and resources), leadership and management, organisational climate or culture (for example, psychological safety and the emphasis on service quality) and management practices (from mindfulness interventions to training courses).</w:t>
      </w:r>
      <w:r w:rsidR="00646CEC">
        <w:rPr>
          <w:rFonts w:cs="Arial"/>
        </w:rPr>
        <w:t xml:space="preserve"> </w:t>
      </w:r>
    </w:p>
    <w:p w:rsidR="008A77A3" w:rsidRPr="00153316" w:rsidRDefault="008A77A3" w:rsidP="00270CC8">
      <w:pPr>
        <w:spacing w:after="0"/>
        <w:rPr>
          <w:rFonts w:cs="Arial"/>
        </w:rPr>
      </w:pPr>
    </w:p>
    <w:p w:rsidR="00153316" w:rsidRPr="00153316" w:rsidRDefault="00A04718" w:rsidP="00270CC8">
      <w:pPr>
        <w:spacing w:after="0"/>
        <w:rPr>
          <w:rFonts w:cs="Arial"/>
        </w:rPr>
      </w:pPr>
      <w:r>
        <w:rPr>
          <w:rFonts w:cs="Arial"/>
        </w:rPr>
        <w:t xml:space="preserve">Employee engagement is a movable feast </w:t>
      </w:r>
      <w:r w:rsidR="00E86C4B">
        <w:rPr>
          <w:rFonts w:cs="Arial"/>
        </w:rPr>
        <w:t xml:space="preserve">and HR need to push innovative and ultimately transformational ideas. </w:t>
      </w:r>
      <w:r w:rsidR="00646CEC">
        <w:rPr>
          <w:rFonts w:cs="Arial"/>
        </w:rPr>
        <w:t xml:space="preserve"> Lockwood (2007) sees the future of engagement being focused on HR </w:t>
      </w:r>
      <w:r w:rsidR="00646CEC" w:rsidRPr="00646CEC">
        <w:rPr>
          <w:rFonts w:cs="Arial"/>
        </w:rPr>
        <w:t>foster posi</w:t>
      </w:r>
      <w:r w:rsidR="00646CEC">
        <w:rPr>
          <w:rFonts w:cs="Arial"/>
        </w:rPr>
        <w:t xml:space="preserve">tive, effective people managers </w:t>
      </w:r>
      <w:r w:rsidR="00646CEC" w:rsidRPr="00646CEC">
        <w:rPr>
          <w:rFonts w:cs="Arial"/>
        </w:rPr>
        <w:t>along with workpl</w:t>
      </w:r>
      <w:r w:rsidR="00646CEC">
        <w:rPr>
          <w:rFonts w:cs="Arial"/>
        </w:rPr>
        <w:t xml:space="preserve">ace policies and practices that </w:t>
      </w:r>
      <w:r w:rsidR="00646CEC" w:rsidRPr="00646CEC">
        <w:rPr>
          <w:rFonts w:cs="Arial"/>
        </w:rPr>
        <w:t>focus on employee w</w:t>
      </w:r>
      <w:r w:rsidR="00646CEC">
        <w:rPr>
          <w:rFonts w:cs="Arial"/>
        </w:rPr>
        <w:t xml:space="preserve">ell-being, health and work/life </w:t>
      </w:r>
      <w:r w:rsidR="00646CEC" w:rsidRPr="00646CEC">
        <w:rPr>
          <w:rFonts w:cs="Arial"/>
        </w:rPr>
        <w:t>balance.</w:t>
      </w:r>
      <w:r w:rsidR="004C45BD">
        <w:rPr>
          <w:rFonts w:cs="Arial"/>
        </w:rPr>
        <w:t xml:space="preserve"> </w:t>
      </w:r>
      <w:r w:rsidR="00E86C4B">
        <w:rPr>
          <w:rFonts w:cs="Arial"/>
        </w:rPr>
        <w:t xml:space="preserve">This future of engagement is summed up by </w:t>
      </w:r>
      <w:r w:rsidR="00153316" w:rsidRPr="00153316">
        <w:rPr>
          <w:rFonts w:cs="Arial"/>
        </w:rPr>
        <w:t>Aon Hewitt’s (2014) global engagem</w:t>
      </w:r>
      <w:r w:rsidR="00153316">
        <w:rPr>
          <w:rFonts w:cs="Arial"/>
        </w:rPr>
        <w:t xml:space="preserve">ent </w:t>
      </w:r>
      <w:r w:rsidR="00E86C4B">
        <w:rPr>
          <w:rFonts w:cs="Arial"/>
        </w:rPr>
        <w:t xml:space="preserve">report, which </w:t>
      </w:r>
      <w:r w:rsidR="00153316" w:rsidRPr="00153316">
        <w:rPr>
          <w:rFonts w:cs="Arial"/>
        </w:rPr>
        <w:t xml:space="preserve"> suggests that ‘companies will need employees to go above and be</w:t>
      </w:r>
      <w:r w:rsidR="00153316">
        <w:rPr>
          <w:rFonts w:cs="Arial"/>
        </w:rPr>
        <w:t xml:space="preserve">yond in different ways—not just </w:t>
      </w:r>
      <w:r w:rsidR="00153316" w:rsidRPr="00153316">
        <w:rPr>
          <w:rFonts w:cs="Arial"/>
        </w:rPr>
        <w:t>to engage by working harder, but to engage in ways that show resiliency, learning, adaptability and speed’.</w:t>
      </w:r>
    </w:p>
    <w:p w:rsidR="00153316" w:rsidRDefault="00153316" w:rsidP="00153316">
      <w:pPr>
        <w:spacing w:after="0"/>
        <w:jc w:val="both"/>
        <w:rPr>
          <w:rFonts w:cs="Arial"/>
        </w:rPr>
      </w:pPr>
    </w:p>
    <w:p w:rsidR="000B7600" w:rsidRDefault="000B7600" w:rsidP="009C04EF">
      <w:pPr>
        <w:spacing w:after="0"/>
        <w:jc w:val="both"/>
        <w:rPr>
          <w:rFonts w:cs="Arial"/>
          <w:b/>
          <w:sz w:val="24"/>
        </w:rPr>
      </w:pPr>
    </w:p>
    <w:p w:rsidR="000B7600" w:rsidRDefault="000B7600" w:rsidP="009C04EF">
      <w:pPr>
        <w:spacing w:after="0"/>
        <w:jc w:val="both"/>
        <w:rPr>
          <w:rFonts w:cs="Arial"/>
          <w:b/>
          <w:sz w:val="24"/>
        </w:rPr>
      </w:pPr>
    </w:p>
    <w:p w:rsidR="000B7600" w:rsidRDefault="000B7600" w:rsidP="009C04EF">
      <w:pPr>
        <w:spacing w:after="0"/>
        <w:jc w:val="both"/>
        <w:rPr>
          <w:rFonts w:cs="Arial"/>
          <w:b/>
          <w:sz w:val="24"/>
        </w:rPr>
      </w:pPr>
    </w:p>
    <w:p w:rsidR="000B7600" w:rsidRDefault="000B7600" w:rsidP="009C04EF">
      <w:pPr>
        <w:spacing w:after="0"/>
        <w:jc w:val="both"/>
        <w:rPr>
          <w:rFonts w:cs="Arial"/>
          <w:b/>
          <w:sz w:val="24"/>
        </w:rPr>
      </w:pPr>
    </w:p>
    <w:p w:rsidR="000B7600" w:rsidRDefault="000B7600" w:rsidP="009C04EF">
      <w:pPr>
        <w:spacing w:after="0"/>
        <w:jc w:val="both"/>
        <w:rPr>
          <w:rFonts w:cs="Arial"/>
          <w:b/>
          <w:sz w:val="24"/>
        </w:rPr>
      </w:pPr>
    </w:p>
    <w:p w:rsidR="000B7600" w:rsidRDefault="000B7600" w:rsidP="009C04EF">
      <w:pPr>
        <w:spacing w:after="0"/>
        <w:jc w:val="both"/>
        <w:rPr>
          <w:rFonts w:cs="Arial"/>
          <w:b/>
          <w:sz w:val="24"/>
        </w:rPr>
      </w:pPr>
    </w:p>
    <w:p w:rsidR="000B7600" w:rsidRDefault="000B7600" w:rsidP="009C04EF">
      <w:pPr>
        <w:spacing w:after="0"/>
        <w:jc w:val="both"/>
        <w:rPr>
          <w:rFonts w:cs="Arial"/>
          <w:b/>
          <w:sz w:val="24"/>
        </w:rPr>
      </w:pPr>
    </w:p>
    <w:p w:rsidR="000B7600" w:rsidRDefault="000B7600" w:rsidP="009C04EF">
      <w:pPr>
        <w:spacing w:after="0"/>
        <w:jc w:val="both"/>
        <w:rPr>
          <w:rFonts w:cs="Arial"/>
          <w:b/>
          <w:sz w:val="24"/>
        </w:rPr>
      </w:pPr>
    </w:p>
    <w:p w:rsidR="008A061B" w:rsidRDefault="008A061B" w:rsidP="009C04EF">
      <w:pPr>
        <w:spacing w:after="0"/>
        <w:jc w:val="both"/>
        <w:rPr>
          <w:rFonts w:cs="Arial"/>
          <w:b/>
          <w:sz w:val="24"/>
        </w:rPr>
      </w:pPr>
    </w:p>
    <w:p w:rsidR="008A061B" w:rsidRDefault="008A061B" w:rsidP="009C04EF">
      <w:pPr>
        <w:spacing w:after="0"/>
        <w:jc w:val="both"/>
        <w:rPr>
          <w:rFonts w:cs="Arial"/>
          <w:b/>
          <w:sz w:val="24"/>
        </w:rPr>
      </w:pPr>
    </w:p>
    <w:p w:rsidR="008A061B" w:rsidRDefault="008A061B" w:rsidP="009C04EF">
      <w:pPr>
        <w:spacing w:after="0"/>
        <w:jc w:val="both"/>
        <w:rPr>
          <w:rFonts w:cs="Arial"/>
          <w:b/>
          <w:sz w:val="24"/>
        </w:rPr>
      </w:pPr>
    </w:p>
    <w:p w:rsidR="008A061B" w:rsidRDefault="008A061B" w:rsidP="009C04EF">
      <w:pPr>
        <w:spacing w:after="0"/>
        <w:jc w:val="both"/>
        <w:rPr>
          <w:rFonts w:cs="Arial"/>
          <w:b/>
          <w:sz w:val="24"/>
        </w:rPr>
      </w:pPr>
    </w:p>
    <w:p w:rsidR="008A061B" w:rsidRDefault="008A061B" w:rsidP="009C04EF">
      <w:pPr>
        <w:spacing w:after="0"/>
        <w:jc w:val="both"/>
        <w:rPr>
          <w:rFonts w:cs="Arial"/>
          <w:b/>
          <w:sz w:val="24"/>
        </w:rPr>
      </w:pPr>
    </w:p>
    <w:p w:rsidR="008A061B" w:rsidRDefault="008A061B" w:rsidP="009C04EF">
      <w:pPr>
        <w:spacing w:after="0"/>
        <w:jc w:val="both"/>
        <w:rPr>
          <w:rFonts w:cs="Arial"/>
          <w:b/>
          <w:sz w:val="24"/>
        </w:rPr>
      </w:pPr>
    </w:p>
    <w:p w:rsidR="008A061B" w:rsidRDefault="008A061B" w:rsidP="009C04EF">
      <w:pPr>
        <w:spacing w:after="0"/>
        <w:jc w:val="both"/>
        <w:rPr>
          <w:rFonts w:cs="Arial"/>
          <w:b/>
          <w:sz w:val="24"/>
        </w:rPr>
      </w:pPr>
    </w:p>
    <w:p w:rsidR="008A061B" w:rsidRDefault="008A061B" w:rsidP="009C04EF">
      <w:pPr>
        <w:spacing w:after="0"/>
        <w:jc w:val="both"/>
        <w:rPr>
          <w:rFonts w:cs="Arial"/>
          <w:b/>
          <w:sz w:val="24"/>
        </w:rPr>
      </w:pPr>
    </w:p>
    <w:p w:rsidR="008A061B" w:rsidRDefault="008A061B" w:rsidP="009C04EF">
      <w:pPr>
        <w:spacing w:after="0"/>
        <w:jc w:val="both"/>
        <w:rPr>
          <w:rFonts w:cs="Arial"/>
          <w:b/>
          <w:sz w:val="24"/>
        </w:rPr>
      </w:pPr>
    </w:p>
    <w:p w:rsidR="008A061B" w:rsidRDefault="008A061B" w:rsidP="009C04EF">
      <w:pPr>
        <w:spacing w:after="0"/>
        <w:jc w:val="both"/>
        <w:rPr>
          <w:rFonts w:cs="Arial"/>
          <w:b/>
          <w:sz w:val="24"/>
        </w:rPr>
      </w:pPr>
    </w:p>
    <w:p w:rsidR="008A061B" w:rsidRDefault="008A061B" w:rsidP="009C04EF">
      <w:pPr>
        <w:spacing w:after="0"/>
        <w:jc w:val="both"/>
        <w:rPr>
          <w:rFonts w:cs="Arial"/>
          <w:b/>
          <w:sz w:val="24"/>
        </w:rPr>
      </w:pPr>
    </w:p>
    <w:p w:rsidR="008A061B" w:rsidRDefault="008A061B" w:rsidP="009C04EF">
      <w:pPr>
        <w:spacing w:after="0"/>
        <w:jc w:val="both"/>
        <w:rPr>
          <w:rFonts w:cs="Arial"/>
          <w:b/>
          <w:sz w:val="24"/>
        </w:rPr>
      </w:pPr>
    </w:p>
    <w:p w:rsidR="008A061B" w:rsidRDefault="008A061B" w:rsidP="009C04EF">
      <w:pPr>
        <w:spacing w:after="0"/>
        <w:jc w:val="both"/>
        <w:rPr>
          <w:rFonts w:cs="Arial"/>
          <w:b/>
          <w:sz w:val="24"/>
        </w:rPr>
      </w:pPr>
    </w:p>
    <w:p w:rsidR="008A061B" w:rsidRDefault="008A061B" w:rsidP="009C04EF">
      <w:pPr>
        <w:spacing w:after="0"/>
        <w:jc w:val="both"/>
        <w:rPr>
          <w:rFonts w:cs="Arial"/>
          <w:b/>
          <w:sz w:val="24"/>
        </w:rPr>
      </w:pPr>
    </w:p>
    <w:p w:rsidR="008A061B" w:rsidRDefault="008A061B" w:rsidP="009C04EF">
      <w:pPr>
        <w:spacing w:after="0"/>
        <w:jc w:val="both"/>
        <w:rPr>
          <w:rFonts w:cs="Arial"/>
          <w:b/>
          <w:sz w:val="24"/>
        </w:rPr>
      </w:pPr>
    </w:p>
    <w:p w:rsidR="008A061B" w:rsidRDefault="008A061B" w:rsidP="009C04EF">
      <w:pPr>
        <w:spacing w:after="0"/>
        <w:jc w:val="both"/>
        <w:rPr>
          <w:rFonts w:cs="Arial"/>
          <w:b/>
          <w:sz w:val="24"/>
        </w:rPr>
      </w:pPr>
    </w:p>
    <w:p w:rsidR="008A061B" w:rsidRDefault="008A061B" w:rsidP="009C04EF">
      <w:pPr>
        <w:spacing w:after="0"/>
        <w:jc w:val="both"/>
        <w:rPr>
          <w:rFonts w:cs="Arial"/>
          <w:b/>
          <w:sz w:val="24"/>
        </w:rPr>
      </w:pPr>
    </w:p>
    <w:p w:rsidR="008A061B" w:rsidRDefault="008A061B" w:rsidP="009C04EF">
      <w:pPr>
        <w:spacing w:after="0"/>
        <w:jc w:val="both"/>
        <w:rPr>
          <w:rFonts w:cs="Arial"/>
          <w:b/>
          <w:sz w:val="24"/>
        </w:rPr>
      </w:pPr>
    </w:p>
    <w:p w:rsidR="008A061B" w:rsidRDefault="008A061B" w:rsidP="009C04EF">
      <w:pPr>
        <w:spacing w:after="0"/>
        <w:jc w:val="both"/>
        <w:rPr>
          <w:rFonts w:cs="Arial"/>
          <w:b/>
          <w:sz w:val="24"/>
        </w:rPr>
      </w:pPr>
    </w:p>
    <w:p w:rsidR="008A061B" w:rsidRDefault="008A061B" w:rsidP="009C04EF">
      <w:pPr>
        <w:spacing w:after="0"/>
        <w:jc w:val="both"/>
        <w:rPr>
          <w:rFonts w:cs="Arial"/>
          <w:b/>
          <w:sz w:val="24"/>
        </w:rPr>
      </w:pPr>
    </w:p>
    <w:p w:rsidR="00C10A7E" w:rsidRDefault="00C10A7E" w:rsidP="009C04EF">
      <w:pPr>
        <w:spacing w:after="0"/>
        <w:jc w:val="both"/>
        <w:rPr>
          <w:rFonts w:cs="Arial"/>
          <w:b/>
          <w:sz w:val="24"/>
        </w:rPr>
      </w:pPr>
    </w:p>
    <w:p w:rsidR="00C10A7E" w:rsidRDefault="00C10A7E" w:rsidP="009C04EF">
      <w:pPr>
        <w:spacing w:after="0"/>
        <w:jc w:val="both"/>
        <w:rPr>
          <w:rFonts w:cs="Arial"/>
          <w:b/>
          <w:sz w:val="24"/>
        </w:rPr>
      </w:pPr>
    </w:p>
    <w:p w:rsidR="00C10A7E" w:rsidRDefault="00C10A7E" w:rsidP="009C04EF">
      <w:pPr>
        <w:spacing w:after="0"/>
        <w:jc w:val="both"/>
        <w:rPr>
          <w:rFonts w:cs="Arial"/>
          <w:b/>
          <w:sz w:val="24"/>
        </w:rPr>
      </w:pPr>
    </w:p>
    <w:p w:rsidR="00C10A7E" w:rsidRDefault="00C10A7E" w:rsidP="009C04EF">
      <w:pPr>
        <w:spacing w:after="0"/>
        <w:jc w:val="both"/>
        <w:rPr>
          <w:rFonts w:cs="Arial"/>
          <w:b/>
          <w:sz w:val="24"/>
        </w:rPr>
      </w:pPr>
    </w:p>
    <w:p w:rsidR="009C04EF" w:rsidRPr="008462D9" w:rsidRDefault="009C04EF" w:rsidP="009C04EF">
      <w:pPr>
        <w:spacing w:after="0"/>
        <w:jc w:val="both"/>
        <w:rPr>
          <w:rFonts w:cs="Arial"/>
          <w:sz w:val="24"/>
        </w:rPr>
      </w:pPr>
      <w:r w:rsidRPr="004729EF">
        <w:rPr>
          <w:rFonts w:cs="Arial"/>
          <w:b/>
          <w:sz w:val="24"/>
        </w:rPr>
        <w:t>References</w:t>
      </w:r>
    </w:p>
    <w:p w:rsidR="009C04EF" w:rsidRPr="004729EF" w:rsidRDefault="009C04EF" w:rsidP="009C04EF">
      <w:pPr>
        <w:pStyle w:val="Standard"/>
        <w:spacing w:after="0" w:line="240" w:lineRule="auto"/>
        <w:rPr>
          <w:rFonts w:cs="Arial"/>
        </w:rPr>
      </w:pPr>
    </w:p>
    <w:p w:rsidR="00B2774D" w:rsidRDefault="00B2774D" w:rsidP="00B2774D">
      <w:pPr>
        <w:pStyle w:val="Standard"/>
        <w:spacing w:after="0" w:line="240" w:lineRule="auto"/>
        <w:rPr>
          <w:rFonts w:cstheme="minorHAnsi"/>
        </w:rPr>
      </w:pPr>
      <w:r w:rsidRPr="00B2774D">
        <w:rPr>
          <w:rFonts w:cstheme="minorHAnsi"/>
        </w:rPr>
        <w:t xml:space="preserve">Aon Hewitt. (2014). Trends in global employee engagement. </w:t>
      </w:r>
      <w:r>
        <w:rPr>
          <w:rFonts w:cstheme="minorHAnsi"/>
        </w:rPr>
        <w:t>F</w:t>
      </w:r>
      <w:r w:rsidRPr="00B2774D">
        <w:rPr>
          <w:rFonts w:cstheme="minorHAnsi"/>
        </w:rPr>
        <w:t>rom</w:t>
      </w:r>
      <w:r>
        <w:rPr>
          <w:rFonts w:cstheme="minorHAnsi"/>
        </w:rPr>
        <w:t xml:space="preserve"> 2014-trends-in-globalemployee- </w:t>
      </w:r>
      <w:r w:rsidRPr="00B2774D">
        <w:rPr>
          <w:rFonts w:cstheme="minorHAnsi"/>
        </w:rPr>
        <w:t>engagement-report.pdf</w:t>
      </w:r>
    </w:p>
    <w:p w:rsidR="00710DB4" w:rsidRDefault="00710DB4" w:rsidP="005424BE">
      <w:pPr>
        <w:pStyle w:val="Standard"/>
        <w:spacing w:after="0" w:line="240" w:lineRule="auto"/>
        <w:rPr>
          <w:rFonts w:cs="Arial"/>
        </w:rPr>
      </w:pPr>
    </w:p>
    <w:p w:rsidR="00D07DCB" w:rsidRDefault="00EA16A5" w:rsidP="005424BE">
      <w:pPr>
        <w:pStyle w:val="Standard"/>
        <w:spacing w:after="0" w:line="240" w:lineRule="auto"/>
        <w:rPr>
          <w:rFonts w:cs="Arial"/>
        </w:rPr>
      </w:pPr>
      <w:r>
        <w:rPr>
          <w:rFonts w:cs="Arial"/>
        </w:rPr>
        <w:t>Alfes, K., Truss, C., Soane, E. C., Rees, C. I. and Gatenby, M. (2010). Creating and engaged workforce. London: CIPD.</w:t>
      </w:r>
    </w:p>
    <w:p w:rsidR="00EA16A5" w:rsidRDefault="00EA16A5" w:rsidP="005424BE">
      <w:pPr>
        <w:pStyle w:val="Standard"/>
        <w:spacing w:after="0" w:line="240" w:lineRule="auto"/>
        <w:rPr>
          <w:rFonts w:cs="Arial"/>
        </w:rPr>
      </w:pPr>
    </w:p>
    <w:p w:rsidR="00D07DCB" w:rsidRDefault="00D07DCB" w:rsidP="00D07DCB">
      <w:pPr>
        <w:pStyle w:val="Standard"/>
        <w:spacing w:after="0" w:line="240" w:lineRule="auto"/>
        <w:rPr>
          <w:rFonts w:cs="Arial"/>
        </w:rPr>
      </w:pPr>
      <w:r w:rsidRPr="00D07DCB">
        <w:rPr>
          <w:rFonts w:cs="Arial"/>
        </w:rPr>
        <w:t>Asadi,</w:t>
      </w:r>
      <w:r>
        <w:rPr>
          <w:rFonts w:cs="Arial"/>
        </w:rPr>
        <w:t xml:space="preserve"> A., Fadakar, F. and </w:t>
      </w:r>
      <w:r w:rsidRPr="00D07DCB">
        <w:rPr>
          <w:rFonts w:cs="Arial"/>
        </w:rPr>
        <w:t>Khoshnodifar,</w:t>
      </w:r>
      <w:r>
        <w:rPr>
          <w:rFonts w:cs="Arial"/>
        </w:rPr>
        <w:t xml:space="preserve"> Z. (2008). ‘</w:t>
      </w:r>
      <w:r w:rsidRPr="00D07DCB">
        <w:rPr>
          <w:rFonts w:cs="Arial"/>
        </w:rPr>
        <w:t>Personal Characteristics Affecting Agricultural Extension</w:t>
      </w:r>
      <w:r>
        <w:rPr>
          <w:rFonts w:cs="Arial"/>
        </w:rPr>
        <w:t xml:space="preserve"> Workers Job Satisfaction Level’</w:t>
      </w:r>
      <w:r w:rsidRPr="00D07DCB">
        <w:rPr>
          <w:rFonts w:cs="Arial"/>
        </w:rPr>
        <w:t xml:space="preserve">, </w:t>
      </w:r>
      <w:r w:rsidRPr="00D07DCB">
        <w:rPr>
          <w:rFonts w:cs="Arial"/>
          <w:i/>
        </w:rPr>
        <w:t>Journal of Social Sciences</w:t>
      </w:r>
      <w:r w:rsidRPr="00D07DCB">
        <w:rPr>
          <w:rFonts w:cs="Arial"/>
        </w:rPr>
        <w:t>, Vo</w:t>
      </w:r>
      <w:r w:rsidR="00625DFC">
        <w:rPr>
          <w:rFonts w:cs="Arial"/>
        </w:rPr>
        <w:t>l. 4, No. 4, pp. 246-250.</w:t>
      </w:r>
    </w:p>
    <w:p w:rsidR="00625DFC" w:rsidRDefault="00625DFC" w:rsidP="00D07DCB">
      <w:pPr>
        <w:pStyle w:val="Standard"/>
        <w:spacing w:after="0" w:line="240" w:lineRule="auto"/>
        <w:rPr>
          <w:rFonts w:cs="Arial"/>
        </w:rPr>
      </w:pPr>
    </w:p>
    <w:p w:rsidR="00625DFC" w:rsidRPr="00D07DCB" w:rsidRDefault="00625DFC" w:rsidP="00625DFC">
      <w:pPr>
        <w:pStyle w:val="Standard"/>
        <w:spacing w:after="0" w:line="240" w:lineRule="auto"/>
        <w:rPr>
          <w:rFonts w:cs="Arial"/>
        </w:rPr>
      </w:pPr>
      <w:r w:rsidRPr="00625DFC">
        <w:rPr>
          <w:rFonts w:cs="Arial"/>
        </w:rPr>
        <w:t xml:space="preserve">Attridge, M. (2009). </w:t>
      </w:r>
      <w:r>
        <w:rPr>
          <w:rFonts w:cs="Arial"/>
        </w:rPr>
        <w:t>‘</w:t>
      </w:r>
      <w:r w:rsidRPr="00625DFC">
        <w:rPr>
          <w:rFonts w:cs="Arial"/>
        </w:rPr>
        <w:t>Measuring and managing employee work engagement: A revi</w:t>
      </w:r>
      <w:r>
        <w:rPr>
          <w:rFonts w:cs="Arial"/>
        </w:rPr>
        <w:t xml:space="preserve">ew of the research and business </w:t>
      </w:r>
      <w:r w:rsidRPr="00625DFC">
        <w:rPr>
          <w:rFonts w:cs="Arial"/>
        </w:rPr>
        <w:t>literature</w:t>
      </w:r>
      <w:r>
        <w:rPr>
          <w:rFonts w:cs="Arial"/>
        </w:rPr>
        <w:t>’</w:t>
      </w:r>
      <w:r w:rsidRPr="00625DFC">
        <w:rPr>
          <w:rFonts w:cs="Arial"/>
        </w:rPr>
        <w:t xml:space="preserve">. </w:t>
      </w:r>
      <w:r w:rsidRPr="00625DFC">
        <w:rPr>
          <w:rFonts w:cs="Arial"/>
          <w:i/>
        </w:rPr>
        <w:t>Journal of Workplace Behavioral Health</w:t>
      </w:r>
      <w:r w:rsidRPr="00625DFC">
        <w:rPr>
          <w:rFonts w:cs="Arial"/>
        </w:rPr>
        <w:t xml:space="preserve">, </w:t>
      </w:r>
      <w:r>
        <w:rPr>
          <w:rFonts w:cs="Arial"/>
        </w:rPr>
        <w:t xml:space="preserve">Vol. </w:t>
      </w:r>
      <w:r w:rsidRPr="00625DFC">
        <w:rPr>
          <w:rFonts w:cs="Arial"/>
        </w:rPr>
        <w:t>24</w:t>
      </w:r>
      <w:r>
        <w:rPr>
          <w:rFonts w:cs="Arial"/>
        </w:rPr>
        <w:t>, No. 4</w:t>
      </w:r>
      <w:r w:rsidRPr="00625DFC">
        <w:rPr>
          <w:rFonts w:cs="Arial"/>
        </w:rPr>
        <w:t>,</w:t>
      </w:r>
      <w:r>
        <w:rPr>
          <w:rFonts w:cs="Arial"/>
        </w:rPr>
        <w:t xml:space="preserve"> pp.</w:t>
      </w:r>
      <w:r w:rsidRPr="00625DFC">
        <w:rPr>
          <w:rFonts w:cs="Arial"/>
        </w:rPr>
        <w:t xml:space="preserve"> 383–398</w:t>
      </w:r>
      <w:r>
        <w:rPr>
          <w:rFonts w:cs="Arial"/>
        </w:rPr>
        <w:t>.</w:t>
      </w:r>
    </w:p>
    <w:p w:rsidR="00D07DCB" w:rsidRDefault="00D07DCB" w:rsidP="00D07DCB">
      <w:pPr>
        <w:pStyle w:val="Standard"/>
        <w:spacing w:after="0" w:line="240" w:lineRule="auto"/>
        <w:rPr>
          <w:rFonts w:cs="Arial"/>
        </w:rPr>
      </w:pPr>
    </w:p>
    <w:p w:rsidR="00C85AB2" w:rsidRDefault="00C85AB2" w:rsidP="005424BE">
      <w:pPr>
        <w:pStyle w:val="Standard"/>
        <w:spacing w:after="0" w:line="240" w:lineRule="auto"/>
        <w:rPr>
          <w:rFonts w:cs="Arial"/>
        </w:rPr>
      </w:pPr>
      <w:r w:rsidRPr="00C85AB2">
        <w:rPr>
          <w:rFonts w:cs="Arial"/>
        </w:rPr>
        <w:t>Bakan,</w:t>
      </w:r>
      <w:r>
        <w:rPr>
          <w:rFonts w:cs="Arial"/>
        </w:rPr>
        <w:t xml:space="preserve"> I., </w:t>
      </w:r>
      <w:r w:rsidRPr="00C85AB2">
        <w:rPr>
          <w:rFonts w:cs="Arial"/>
        </w:rPr>
        <w:t>Buyukbese</w:t>
      </w:r>
      <w:r>
        <w:rPr>
          <w:rFonts w:cs="Arial"/>
        </w:rPr>
        <w:t xml:space="preserve">, T. and </w:t>
      </w:r>
      <w:r w:rsidRPr="00C85AB2">
        <w:rPr>
          <w:rFonts w:cs="Arial"/>
        </w:rPr>
        <w:t>Erşahan,</w:t>
      </w:r>
      <w:r>
        <w:rPr>
          <w:rFonts w:cs="Arial"/>
        </w:rPr>
        <w:t xml:space="preserve"> B. (2011). ‘</w:t>
      </w:r>
      <w:r w:rsidRPr="00C85AB2">
        <w:rPr>
          <w:rFonts w:cs="Arial"/>
        </w:rPr>
        <w:t>An Investigation of Organizational Commitment and Education Level Among Employees</w:t>
      </w:r>
      <w:r>
        <w:rPr>
          <w:rFonts w:cs="Arial"/>
        </w:rPr>
        <w:t>’</w:t>
      </w:r>
      <w:r w:rsidRPr="00C85AB2">
        <w:rPr>
          <w:rFonts w:cs="Arial"/>
          <w:i/>
        </w:rPr>
        <w:t>, International Journal of Emerging Sciences</w:t>
      </w:r>
      <w:r w:rsidRPr="00C85AB2">
        <w:rPr>
          <w:rFonts w:cs="Arial"/>
        </w:rPr>
        <w:t xml:space="preserve">, </w:t>
      </w:r>
      <w:r>
        <w:rPr>
          <w:rFonts w:cs="Arial"/>
        </w:rPr>
        <w:t>Vol. 1, No. 3, pp. 231-245.</w:t>
      </w:r>
    </w:p>
    <w:p w:rsidR="00DD173A" w:rsidRDefault="00DD173A" w:rsidP="005424BE">
      <w:pPr>
        <w:pStyle w:val="Standard"/>
        <w:spacing w:after="0" w:line="240" w:lineRule="auto"/>
        <w:rPr>
          <w:rFonts w:cs="Arial"/>
        </w:rPr>
      </w:pPr>
    </w:p>
    <w:p w:rsidR="00DD173A" w:rsidRDefault="00DD173A" w:rsidP="005424BE">
      <w:pPr>
        <w:pStyle w:val="Standard"/>
        <w:spacing w:after="0" w:line="240" w:lineRule="auto"/>
        <w:rPr>
          <w:rFonts w:cs="Arial"/>
        </w:rPr>
      </w:pPr>
      <w:r w:rsidRPr="00DD173A">
        <w:rPr>
          <w:rFonts w:cs="Arial"/>
        </w:rPr>
        <w:t>Bakker,</w:t>
      </w:r>
      <w:r>
        <w:rPr>
          <w:rFonts w:cs="Arial"/>
        </w:rPr>
        <w:t xml:space="preserve"> A.B. and </w:t>
      </w:r>
      <w:r w:rsidRPr="00DD173A">
        <w:rPr>
          <w:rFonts w:cs="Arial"/>
        </w:rPr>
        <w:t>Albrecht,</w:t>
      </w:r>
      <w:r>
        <w:rPr>
          <w:rFonts w:cs="Arial"/>
        </w:rPr>
        <w:t xml:space="preserve"> S. (2018) ‘Work engagement: current trends’</w:t>
      </w:r>
      <w:r w:rsidRPr="00DD173A">
        <w:rPr>
          <w:rFonts w:cs="Arial"/>
        </w:rPr>
        <w:t xml:space="preserve">, </w:t>
      </w:r>
      <w:r w:rsidRPr="00DD173A">
        <w:rPr>
          <w:rFonts w:cs="Arial"/>
          <w:i/>
        </w:rPr>
        <w:t>Career Development International</w:t>
      </w:r>
      <w:r w:rsidRPr="00DD173A">
        <w:rPr>
          <w:rFonts w:cs="Arial"/>
        </w:rPr>
        <w:t>, Vol. 23 Issue: 1, pp.4-11</w:t>
      </w:r>
      <w:r w:rsidR="00710DB4">
        <w:rPr>
          <w:rFonts w:cs="Arial"/>
        </w:rPr>
        <w:t>.</w:t>
      </w:r>
    </w:p>
    <w:p w:rsidR="005C471D" w:rsidRDefault="005C471D" w:rsidP="005424BE">
      <w:pPr>
        <w:pStyle w:val="Standard"/>
        <w:spacing w:after="0" w:line="240" w:lineRule="auto"/>
        <w:rPr>
          <w:rFonts w:cs="Arial"/>
        </w:rPr>
      </w:pPr>
    </w:p>
    <w:p w:rsidR="005C471D" w:rsidRDefault="005C471D" w:rsidP="005C471D">
      <w:pPr>
        <w:pStyle w:val="Standard"/>
        <w:spacing w:after="0" w:line="240" w:lineRule="auto"/>
        <w:rPr>
          <w:rFonts w:cs="Arial"/>
        </w:rPr>
      </w:pPr>
      <w:r w:rsidRPr="005C471D">
        <w:rPr>
          <w:rFonts w:cs="Arial"/>
        </w:rPr>
        <w:t xml:space="preserve">Bakker, A.B., Hakanen, J.J., Demerouti, E., &amp; Xanthopoulou, D. (2007). </w:t>
      </w:r>
      <w:r>
        <w:rPr>
          <w:rFonts w:cs="Arial"/>
        </w:rPr>
        <w:t>‘</w:t>
      </w:r>
      <w:r w:rsidRPr="005C471D">
        <w:rPr>
          <w:rFonts w:cs="Arial"/>
        </w:rPr>
        <w:t>Job r</w:t>
      </w:r>
      <w:r>
        <w:rPr>
          <w:rFonts w:cs="Arial"/>
        </w:rPr>
        <w:t xml:space="preserve">esources boost work engagement, </w:t>
      </w:r>
      <w:r w:rsidRPr="005C471D">
        <w:rPr>
          <w:rFonts w:cs="Arial"/>
        </w:rPr>
        <w:t>particularly when job demands are high</w:t>
      </w:r>
      <w:r>
        <w:rPr>
          <w:rFonts w:cs="Arial"/>
        </w:rPr>
        <w:t>’</w:t>
      </w:r>
      <w:r w:rsidRPr="005C471D">
        <w:rPr>
          <w:rFonts w:cs="Arial"/>
        </w:rPr>
        <w:t xml:space="preserve">. </w:t>
      </w:r>
      <w:r w:rsidRPr="005C471D">
        <w:rPr>
          <w:rFonts w:cs="Arial"/>
          <w:i/>
        </w:rPr>
        <w:t>Journal of Educational Psychology</w:t>
      </w:r>
      <w:r w:rsidRPr="005C471D">
        <w:rPr>
          <w:rFonts w:cs="Arial"/>
        </w:rPr>
        <w:t>,</w:t>
      </w:r>
      <w:r>
        <w:rPr>
          <w:rFonts w:cs="Arial"/>
        </w:rPr>
        <w:t xml:space="preserve"> Vol. 99, No.2</w:t>
      </w:r>
      <w:r w:rsidRPr="005C471D">
        <w:rPr>
          <w:rFonts w:cs="Arial"/>
        </w:rPr>
        <w:t xml:space="preserve">, </w:t>
      </w:r>
      <w:r>
        <w:rPr>
          <w:rFonts w:cs="Arial"/>
        </w:rPr>
        <w:t xml:space="preserve">pp. </w:t>
      </w:r>
      <w:r w:rsidRPr="005C471D">
        <w:rPr>
          <w:rFonts w:cs="Arial"/>
        </w:rPr>
        <w:t>274–284.</w:t>
      </w:r>
    </w:p>
    <w:p w:rsidR="00710DB4" w:rsidRDefault="00710DB4" w:rsidP="005424BE">
      <w:pPr>
        <w:pStyle w:val="Standard"/>
        <w:spacing w:after="0" w:line="240" w:lineRule="auto"/>
        <w:rPr>
          <w:rFonts w:cs="Arial"/>
        </w:rPr>
      </w:pPr>
    </w:p>
    <w:p w:rsidR="00710DB4" w:rsidRDefault="00221D1E" w:rsidP="0066474F">
      <w:pPr>
        <w:pStyle w:val="Standard"/>
        <w:tabs>
          <w:tab w:val="left" w:pos="2760"/>
        </w:tabs>
        <w:spacing w:after="0" w:line="240" w:lineRule="auto"/>
        <w:rPr>
          <w:rFonts w:cstheme="minorHAnsi"/>
        </w:rPr>
      </w:pPr>
      <w:r w:rsidRPr="00221D1E">
        <w:rPr>
          <w:rFonts w:cstheme="minorHAnsi"/>
        </w:rPr>
        <w:t xml:space="preserve">Barrick, M.R., Thurgood, G.R., Smith, T.A. and Courtright, S.H. (2015). </w:t>
      </w:r>
      <w:r>
        <w:rPr>
          <w:rFonts w:cstheme="minorHAnsi"/>
        </w:rPr>
        <w:t>‘</w:t>
      </w:r>
      <w:r w:rsidRPr="00221D1E">
        <w:rPr>
          <w:rFonts w:cstheme="minorHAnsi"/>
        </w:rPr>
        <w:t>Collective organizational engagement: linking motivational antecedents, strategic implementation, and ﬁrm performance</w:t>
      </w:r>
      <w:r>
        <w:rPr>
          <w:rFonts w:cstheme="minorHAnsi"/>
        </w:rPr>
        <w:t>’</w:t>
      </w:r>
      <w:r w:rsidRPr="00221D1E">
        <w:rPr>
          <w:rFonts w:cstheme="minorHAnsi"/>
        </w:rPr>
        <w:t xml:space="preserve">. </w:t>
      </w:r>
      <w:r w:rsidRPr="00221D1E">
        <w:rPr>
          <w:rFonts w:cstheme="minorHAnsi"/>
          <w:i/>
        </w:rPr>
        <w:t>Academy of Management Journal</w:t>
      </w:r>
      <w:r w:rsidRPr="00221D1E">
        <w:rPr>
          <w:rFonts w:cstheme="minorHAnsi"/>
        </w:rPr>
        <w:t xml:space="preserve">, </w:t>
      </w:r>
      <w:r>
        <w:rPr>
          <w:rFonts w:cstheme="minorHAnsi"/>
        </w:rPr>
        <w:t xml:space="preserve">Vol. </w:t>
      </w:r>
      <w:r w:rsidRPr="00221D1E">
        <w:rPr>
          <w:rFonts w:cstheme="minorHAnsi"/>
        </w:rPr>
        <w:t>58, pp. 111–135.</w:t>
      </w:r>
      <w:r w:rsidR="0066474F">
        <w:rPr>
          <w:rFonts w:cstheme="minorHAnsi"/>
        </w:rPr>
        <w:tab/>
      </w:r>
    </w:p>
    <w:p w:rsidR="0066474F" w:rsidRDefault="0066474F" w:rsidP="0066474F">
      <w:pPr>
        <w:pStyle w:val="Standard"/>
        <w:tabs>
          <w:tab w:val="left" w:pos="2760"/>
        </w:tabs>
        <w:spacing w:after="0" w:line="240" w:lineRule="auto"/>
        <w:rPr>
          <w:rFonts w:cstheme="minorHAnsi"/>
        </w:rPr>
      </w:pPr>
    </w:p>
    <w:p w:rsidR="0066474F" w:rsidRDefault="0066474F" w:rsidP="0066474F">
      <w:pPr>
        <w:pStyle w:val="Standard"/>
        <w:tabs>
          <w:tab w:val="left" w:pos="2760"/>
        </w:tabs>
        <w:spacing w:after="0" w:line="240" w:lineRule="auto"/>
        <w:rPr>
          <w:rFonts w:cs="Arial"/>
        </w:rPr>
      </w:pPr>
      <w:r>
        <w:rPr>
          <w:rFonts w:cstheme="minorHAnsi"/>
        </w:rPr>
        <w:t xml:space="preserve">Buckingham, M. (2001). ‘What a waste’, People Management, 11 October, pp. 19-22. </w:t>
      </w:r>
    </w:p>
    <w:p w:rsidR="00C85AB2" w:rsidRDefault="00C85AB2" w:rsidP="005424BE">
      <w:pPr>
        <w:pStyle w:val="Standard"/>
        <w:spacing w:after="0" w:line="240" w:lineRule="auto"/>
        <w:rPr>
          <w:rFonts w:cs="Arial"/>
        </w:rPr>
      </w:pPr>
    </w:p>
    <w:p w:rsidR="005F52A0" w:rsidRDefault="005F52A0" w:rsidP="005F52A0">
      <w:pPr>
        <w:pStyle w:val="Standard"/>
        <w:spacing w:after="0" w:line="240" w:lineRule="auto"/>
        <w:rPr>
          <w:rFonts w:cstheme="minorHAnsi"/>
        </w:rPr>
      </w:pPr>
      <w:r w:rsidRPr="00847520">
        <w:rPr>
          <w:rFonts w:cstheme="minorHAnsi"/>
        </w:rPr>
        <w:t>CIPD</w:t>
      </w:r>
      <w:r>
        <w:rPr>
          <w:rFonts w:cstheme="minorHAnsi"/>
        </w:rPr>
        <w:t xml:space="preserve"> (2009). </w:t>
      </w:r>
      <w:r w:rsidRPr="00847520">
        <w:rPr>
          <w:rFonts w:cstheme="minorHAnsi"/>
        </w:rPr>
        <w:t>Employee Outlook Survey</w:t>
      </w:r>
      <w:r>
        <w:rPr>
          <w:rFonts w:cstheme="minorHAnsi"/>
        </w:rPr>
        <w:t xml:space="preserve">. Factsheet. </w:t>
      </w:r>
    </w:p>
    <w:p w:rsidR="005F52A0" w:rsidRDefault="005F52A0" w:rsidP="005F52A0">
      <w:pPr>
        <w:pStyle w:val="Standard"/>
        <w:spacing w:after="0" w:line="240" w:lineRule="auto"/>
        <w:rPr>
          <w:rFonts w:cs="Arial"/>
        </w:rPr>
      </w:pPr>
    </w:p>
    <w:p w:rsidR="0030320D" w:rsidRDefault="00C85AB2" w:rsidP="005424BE">
      <w:pPr>
        <w:pStyle w:val="Standard"/>
        <w:spacing w:after="0" w:line="240" w:lineRule="auto"/>
        <w:rPr>
          <w:rFonts w:cs="Arial"/>
        </w:rPr>
      </w:pPr>
      <w:r>
        <w:rPr>
          <w:rFonts w:cs="Arial"/>
        </w:rPr>
        <w:t>CIPD</w:t>
      </w:r>
      <w:r w:rsidR="00905CC8">
        <w:rPr>
          <w:rFonts w:cs="Arial"/>
        </w:rPr>
        <w:t xml:space="preserve"> </w:t>
      </w:r>
      <w:r w:rsidR="00D047AB">
        <w:rPr>
          <w:rFonts w:cs="Arial"/>
        </w:rPr>
        <w:t xml:space="preserve">(2017). </w:t>
      </w:r>
      <w:r w:rsidR="0033277E">
        <w:rPr>
          <w:rFonts w:cs="Arial"/>
        </w:rPr>
        <w:t xml:space="preserve">Developing </w:t>
      </w:r>
      <w:r w:rsidR="00D047AB" w:rsidRPr="00D047AB">
        <w:rPr>
          <w:rFonts w:cs="Arial"/>
        </w:rPr>
        <w:t>mana</w:t>
      </w:r>
      <w:r w:rsidR="0033277E">
        <w:rPr>
          <w:rFonts w:cs="Arial"/>
        </w:rPr>
        <w:t xml:space="preserve">gers to manage sustainable </w:t>
      </w:r>
      <w:r w:rsidR="00D047AB" w:rsidRPr="00D047AB">
        <w:rPr>
          <w:rFonts w:cs="Arial"/>
        </w:rPr>
        <w:t>employee engagement, health and well-being</w:t>
      </w:r>
      <w:r w:rsidR="0033277E">
        <w:rPr>
          <w:rFonts w:cs="Arial"/>
        </w:rPr>
        <w:t xml:space="preserve">. Research Report. </w:t>
      </w:r>
    </w:p>
    <w:p w:rsidR="00DD79E9" w:rsidRDefault="00DD79E9" w:rsidP="005424BE">
      <w:pPr>
        <w:pStyle w:val="Standard"/>
        <w:spacing w:after="0" w:line="240" w:lineRule="auto"/>
        <w:rPr>
          <w:rFonts w:cs="Arial"/>
        </w:rPr>
      </w:pPr>
    </w:p>
    <w:p w:rsidR="000D2856" w:rsidRDefault="000D2856" w:rsidP="005424BE">
      <w:pPr>
        <w:pStyle w:val="Standard"/>
        <w:spacing w:after="0" w:line="240" w:lineRule="auto"/>
        <w:rPr>
          <w:rFonts w:cs="Arial"/>
        </w:rPr>
      </w:pPr>
      <w:r>
        <w:rPr>
          <w:rFonts w:cs="Arial"/>
        </w:rPr>
        <w:t xml:space="preserve">CIPD. (2019a). </w:t>
      </w:r>
      <w:r w:rsidRPr="000D2856">
        <w:rPr>
          <w:rFonts w:cs="Arial"/>
        </w:rPr>
        <w:t>Employee engagement and motivation</w:t>
      </w:r>
      <w:r>
        <w:rPr>
          <w:rFonts w:cs="Arial"/>
        </w:rPr>
        <w:t>. Factsheet. CIPD.</w:t>
      </w:r>
    </w:p>
    <w:p w:rsidR="00EA16A5" w:rsidRDefault="00EA16A5" w:rsidP="005424BE">
      <w:pPr>
        <w:pStyle w:val="Standard"/>
        <w:spacing w:after="0" w:line="240" w:lineRule="auto"/>
        <w:rPr>
          <w:rFonts w:cs="Arial"/>
        </w:rPr>
      </w:pPr>
    </w:p>
    <w:p w:rsidR="00DD79E9" w:rsidRDefault="00DD79E9" w:rsidP="005424BE">
      <w:pPr>
        <w:pStyle w:val="Standard"/>
        <w:spacing w:after="0" w:line="240" w:lineRule="auto"/>
        <w:rPr>
          <w:rFonts w:cs="Arial"/>
        </w:rPr>
      </w:pPr>
      <w:r>
        <w:rPr>
          <w:rFonts w:cs="Arial"/>
        </w:rPr>
        <w:t>CIPD (2019</w:t>
      </w:r>
      <w:r w:rsidR="000D2856">
        <w:rPr>
          <w:rFonts w:cs="Arial"/>
        </w:rPr>
        <w:t>b</w:t>
      </w:r>
      <w:r>
        <w:rPr>
          <w:rFonts w:cs="Arial"/>
        </w:rPr>
        <w:t xml:space="preserve">). Health and Well-being at Work. Survey Report. </w:t>
      </w:r>
    </w:p>
    <w:p w:rsidR="00905F3C" w:rsidRDefault="00905F3C" w:rsidP="005424BE">
      <w:pPr>
        <w:pStyle w:val="Standard"/>
        <w:spacing w:after="0" w:line="240" w:lineRule="auto"/>
        <w:rPr>
          <w:rFonts w:cs="Arial"/>
        </w:rPr>
      </w:pPr>
    </w:p>
    <w:p w:rsidR="00522954" w:rsidRDefault="000A49CC" w:rsidP="005424BE">
      <w:pPr>
        <w:pStyle w:val="Standard"/>
        <w:spacing w:after="0" w:line="240" w:lineRule="auto"/>
        <w:rPr>
          <w:rFonts w:cstheme="minorHAnsi"/>
        </w:rPr>
      </w:pPr>
      <w:r w:rsidRPr="000A49CC">
        <w:rPr>
          <w:rFonts w:cstheme="minorHAnsi"/>
        </w:rPr>
        <w:t>Crawford, Eaan R., Jeffrey A. LePine</w:t>
      </w:r>
      <w:r>
        <w:rPr>
          <w:rFonts w:cstheme="minorHAnsi"/>
        </w:rPr>
        <w:t xml:space="preserve"> and Bruce Louis Rich (2010). ‘</w:t>
      </w:r>
      <w:r w:rsidRPr="000A49CC">
        <w:rPr>
          <w:rFonts w:cstheme="minorHAnsi"/>
        </w:rPr>
        <w:t>Linking Job Demands and Resources to Employee Engagement and Burnout: A Theoretical Ext</w:t>
      </w:r>
      <w:r>
        <w:rPr>
          <w:rFonts w:cstheme="minorHAnsi"/>
        </w:rPr>
        <w:t>ension and Meta-Analytic Test’,</w:t>
      </w:r>
      <w:r w:rsidRPr="000A49CC">
        <w:rPr>
          <w:rFonts w:cstheme="minorHAnsi"/>
        </w:rPr>
        <w:t xml:space="preserve"> </w:t>
      </w:r>
      <w:r w:rsidRPr="000A49CC">
        <w:rPr>
          <w:rFonts w:cstheme="minorHAnsi"/>
          <w:i/>
        </w:rPr>
        <w:t>Journal of Applied Psychology</w:t>
      </w:r>
      <w:r w:rsidRPr="000A49CC">
        <w:rPr>
          <w:rFonts w:cstheme="minorHAnsi"/>
        </w:rPr>
        <w:t xml:space="preserve">, </w:t>
      </w:r>
      <w:r>
        <w:rPr>
          <w:rFonts w:cstheme="minorHAnsi"/>
        </w:rPr>
        <w:t>Vol. 95, No. 5</w:t>
      </w:r>
      <w:r w:rsidRPr="000A49CC">
        <w:rPr>
          <w:rFonts w:cstheme="minorHAnsi"/>
        </w:rPr>
        <w:t xml:space="preserve">, </w:t>
      </w:r>
      <w:r>
        <w:rPr>
          <w:rFonts w:cstheme="minorHAnsi"/>
        </w:rPr>
        <w:t xml:space="preserve">pp. </w:t>
      </w:r>
      <w:r w:rsidRPr="000A49CC">
        <w:rPr>
          <w:rFonts w:cstheme="minorHAnsi"/>
        </w:rPr>
        <w:t>834-848</w:t>
      </w:r>
      <w:r>
        <w:rPr>
          <w:rFonts w:cstheme="minorHAnsi"/>
        </w:rPr>
        <w:t>.</w:t>
      </w:r>
    </w:p>
    <w:p w:rsidR="000A49CC" w:rsidRDefault="000A49CC" w:rsidP="005424BE">
      <w:pPr>
        <w:pStyle w:val="Standard"/>
        <w:spacing w:after="0" w:line="240" w:lineRule="auto"/>
        <w:rPr>
          <w:rFonts w:cs="Arial"/>
        </w:rPr>
      </w:pPr>
    </w:p>
    <w:p w:rsidR="00A77434" w:rsidRDefault="00A77434" w:rsidP="00A77434">
      <w:pPr>
        <w:pStyle w:val="Standard"/>
        <w:spacing w:after="0" w:line="240" w:lineRule="auto"/>
        <w:rPr>
          <w:rFonts w:cs="Arial"/>
        </w:rPr>
      </w:pPr>
      <w:r>
        <w:rPr>
          <w:rFonts w:cs="Arial"/>
        </w:rPr>
        <w:t>Donald, I., Taylor, P., Johnson, S., Cooper, C., Cartwright, S. and Robertson, S. (2005). ‘</w:t>
      </w:r>
      <w:r w:rsidRPr="00A77434">
        <w:rPr>
          <w:rFonts w:cs="Arial"/>
        </w:rPr>
        <w:t>Work environments, stress and productivity: an examination using ASSET</w:t>
      </w:r>
      <w:r>
        <w:rPr>
          <w:rFonts w:cs="Arial"/>
        </w:rPr>
        <w:t>’.</w:t>
      </w:r>
      <w:r w:rsidRPr="00A77434">
        <w:rPr>
          <w:rFonts w:cs="Arial"/>
        </w:rPr>
        <w:t xml:space="preserve"> </w:t>
      </w:r>
      <w:r w:rsidRPr="00A77434">
        <w:rPr>
          <w:rFonts w:cs="Arial"/>
          <w:i/>
        </w:rPr>
        <w:t>International Journal of Stress Management</w:t>
      </w:r>
      <w:r w:rsidRPr="00A77434">
        <w:rPr>
          <w:rFonts w:cs="Arial"/>
        </w:rPr>
        <w:t>. Vol 12</w:t>
      </w:r>
      <w:r>
        <w:rPr>
          <w:rFonts w:cs="Arial"/>
        </w:rPr>
        <w:t>, p</w:t>
      </w:r>
      <w:r w:rsidRPr="00A77434">
        <w:rPr>
          <w:rFonts w:cs="Arial"/>
        </w:rPr>
        <w:t>p</w:t>
      </w:r>
      <w:r>
        <w:rPr>
          <w:rFonts w:cs="Arial"/>
        </w:rPr>
        <w:t>.</w:t>
      </w:r>
      <w:r w:rsidRPr="00A77434">
        <w:rPr>
          <w:rFonts w:cs="Arial"/>
        </w:rPr>
        <w:t>409–23.</w:t>
      </w:r>
    </w:p>
    <w:p w:rsidR="00A77434" w:rsidRDefault="00A77434" w:rsidP="00A77434">
      <w:pPr>
        <w:pStyle w:val="Standard"/>
        <w:spacing w:after="0" w:line="240" w:lineRule="auto"/>
        <w:rPr>
          <w:rFonts w:cs="Arial"/>
        </w:rPr>
      </w:pPr>
    </w:p>
    <w:p w:rsidR="00522954" w:rsidRDefault="00522954" w:rsidP="005424BE">
      <w:pPr>
        <w:pStyle w:val="Standard"/>
        <w:spacing w:after="0" w:line="240" w:lineRule="auto"/>
        <w:rPr>
          <w:rFonts w:cs="Arial"/>
        </w:rPr>
      </w:pPr>
      <w:r w:rsidRPr="00522954">
        <w:rPr>
          <w:rFonts w:cs="Arial"/>
        </w:rPr>
        <w:t xml:space="preserve">Eker, </w:t>
      </w:r>
      <w:r>
        <w:rPr>
          <w:rFonts w:cs="Arial"/>
        </w:rPr>
        <w:t xml:space="preserve">L., </w:t>
      </w:r>
      <w:r w:rsidRPr="00522954">
        <w:rPr>
          <w:rFonts w:cs="Arial"/>
        </w:rPr>
        <w:t xml:space="preserve">Tuzun, </w:t>
      </w:r>
      <w:r>
        <w:rPr>
          <w:rFonts w:cs="Arial"/>
        </w:rPr>
        <w:t xml:space="preserve">E. H., </w:t>
      </w:r>
      <w:r w:rsidRPr="00522954">
        <w:rPr>
          <w:rFonts w:cs="Arial"/>
        </w:rPr>
        <w:t>Daskapan</w:t>
      </w:r>
      <w:r>
        <w:rPr>
          <w:rFonts w:cs="Arial"/>
        </w:rPr>
        <w:t xml:space="preserve">, A. and </w:t>
      </w:r>
      <w:r w:rsidRPr="00522954">
        <w:rPr>
          <w:rFonts w:cs="Arial"/>
        </w:rPr>
        <w:t>Surenkok,</w:t>
      </w:r>
      <w:r>
        <w:rPr>
          <w:rFonts w:cs="Arial"/>
        </w:rPr>
        <w:t xml:space="preserve"> O. (2004). ‘</w:t>
      </w:r>
      <w:r w:rsidRPr="00522954">
        <w:rPr>
          <w:rFonts w:cs="Arial"/>
        </w:rPr>
        <w:t>Predictors of Job Satisfaction a</w:t>
      </w:r>
      <w:r>
        <w:rPr>
          <w:rFonts w:cs="Arial"/>
        </w:rPr>
        <w:t>mong Physiotherapists in Turkey’</w:t>
      </w:r>
      <w:r w:rsidRPr="00522954">
        <w:rPr>
          <w:rFonts w:cs="Arial"/>
        </w:rPr>
        <w:t xml:space="preserve">, </w:t>
      </w:r>
      <w:r w:rsidRPr="00522954">
        <w:rPr>
          <w:rFonts w:cs="Arial"/>
          <w:i/>
        </w:rPr>
        <w:t>Journal of Occupational Health</w:t>
      </w:r>
      <w:r w:rsidRPr="00522954">
        <w:rPr>
          <w:rFonts w:cs="Arial"/>
        </w:rPr>
        <w:t>, Vol</w:t>
      </w:r>
      <w:r>
        <w:rPr>
          <w:rFonts w:cs="Arial"/>
        </w:rPr>
        <w:t>. 46, No. 6, pp. 500-505.</w:t>
      </w:r>
      <w:r w:rsidRPr="00522954">
        <w:rPr>
          <w:rFonts w:cs="Arial"/>
        </w:rPr>
        <w:t xml:space="preserve"> </w:t>
      </w:r>
    </w:p>
    <w:p w:rsidR="00A77434" w:rsidRDefault="00A77434" w:rsidP="005424BE">
      <w:pPr>
        <w:pStyle w:val="Standard"/>
        <w:spacing w:after="0" w:line="240" w:lineRule="auto"/>
        <w:rPr>
          <w:rFonts w:cs="Arial"/>
        </w:rPr>
      </w:pPr>
    </w:p>
    <w:p w:rsidR="00CB288B" w:rsidRDefault="00E20B4D" w:rsidP="005424BE">
      <w:pPr>
        <w:pStyle w:val="Standard"/>
        <w:spacing w:after="0" w:line="240" w:lineRule="auto"/>
        <w:rPr>
          <w:rFonts w:cs="Arial"/>
        </w:rPr>
      </w:pPr>
      <w:r>
        <w:rPr>
          <w:rFonts w:cs="Arial"/>
        </w:rPr>
        <w:t>Ford</w:t>
      </w:r>
      <w:r w:rsidRPr="00E20B4D">
        <w:rPr>
          <w:rFonts w:cs="Arial"/>
        </w:rPr>
        <w:t xml:space="preserve">, M.T., </w:t>
      </w:r>
      <w:r>
        <w:rPr>
          <w:rFonts w:cs="Arial"/>
        </w:rPr>
        <w:t>Cerasoli</w:t>
      </w:r>
      <w:r w:rsidRPr="00E20B4D">
        <w:rPr>
          <w:rFonts w:cs="Arial"/>
        </w:rPr>
        <w:t>, C.P., H</w:t>
      </w:r>
      <w:r>
        <w:rPr>
          <w:rFonts w:cs="Arial"/>
        </w:rPr>
        <w:t>iggins</w:t>
      </w:r>
      <w:r w:rsidRPr="00E20B4D">
        <w:rPr>
          <w:rFonts w:cs="Arial"/>
        </w:rPr>
        <w:t xml:space="preserve">, J.A. and </w:t>
      </w:r>
      <w:r>
        <w:rPr>
          <w:rFonts w:cs="Arial"/>
        </w:rPr>
        <w:t>Decesare</w:t>
      </w:r>
      <w:r w:rsidRPr="00E20B4D">
        <w:rPr>
          <w:rFonts w:cs="Arial"/>
        </w:rPr>
        <w:t xml:space="preserve">, A.L. (2011) </w:t>
      </w:r>
      <w:r>
        <w:rPr>
          <w:rFonts w:cs="Arial"/>
        </w:rPr>
        <w:t>‘</w:t>
      </w:r>
      <w:r w:rsidRPr="00E20B4D">
        <w:rPr>
          <w:rFonts w:cs="Arial"/>
        </w:rPr>
        <w:t>Relationships between psychological, physical, and behavioural health and work performance: a review and metaanalysis</w:t>
      </w:r>
      <w:r>
        <w:rPr>
          <w:rFonts w:cs="Arial"/>
        </w:rPr>
        <w:t>’</w:t>
      </w:r>
      <w:r w:rsidRPr="00E20B4D">
        <w:rPr>
          <w:rFonts w:cs="Arial"/>
        </w:rPr>
        <w:t xml:space="preserve">. </w:t>
      </w:r>
      <w:r w:rsidRPr="00E20B4D">
        <w:rPr>
          <w:rFonts w:cs="Arial"/>
          <w:i/>
        </w:rPr>
        <w:t>Work and Stress.</w:t>
      </w:r>
      <w:r>
        <w:rPr>
          <w:rFonts w:cs="Arial"/>
        </w:rPr>
        <w:t xml:space="preserve"> Vol 25,</w:t>
      </w:r>
      <w:r w:rsidRPr="00E20B4D">
        <w:rPr>
          <w:rFonts w:cs="Arial"/>
        </w:rPr>
        <w:t xml:space="preserve"> pp</w:t>
      </w:r>
      <w:r>
        <w:rPr>
          <w:rFonts w:cs="Arial"/>
        </w:rPr>
        <w:t xml:space="preserve">. </w:t>
      </w:r>
      <w:r w:rsidRPr="00E20B4D">
        <w:rPr>
          <w:rFonts w:cs="Arial"/>
        </w:rPr>
        <w:t>185–204.</w:t>
      </w:r>
    </w:p>
    <w:p w:rsidR="004D31A4" w:rsidRDefault="004D31A4" w:rsidP="005424BE">
      <w:pPr>
        <w:pStyle w:val="Standard"/>
        <w:spacing w:after="0" w:line="240" w:lineRule="auto"/>
        <w:rPr>
          <w:rFonts w:cs="Arial"/>
        </w:rPr>
      </w:pPr>
    </w:p>
    <w:p w:rsidR="004D31A4" w:rsidRDefault="004D31A4" w:rsidP="005424BE">
      <w:pPr>
        <w:pStyle w:val="Standard"/>
        <w:spacing w:after="0" w:line="240" w:lineRule="auto"/>
        <w:rPr>
          <w:rFonts w:cs="Arial"/>
        </w:rPr>
      </w:pPr>
      <w:r w:rsidRPr="004D31A4">
        <w:rPr>
          <w:rFonts w:cs="Arial"/>
        </w:rPr>
        <w:t>GALLUP. (2010)</w:t>
      </w:r>
      <w:r>
        <w:rPr>
          <w:rFonts w:cs="Arial"/>
        </w:rPr>
        <w:t>.</w:t>
      </w:r>
      <w:r w:rsidRPr="004D31A4">
        <w:rPr>
          <w:rFonts w:cs="Arial"/>
        </w:rPr>
        <w:t xml:space="preserve"> Engagement predicts earnings per share. Omaha, NE: Gallup</w:t>
      </w:r>
      <w:r w:rsidR="00DA5B30">
        <w:rPr>
          <w:rFonts w:cs="Arial"/>
        </w:rPr>
        <w:t>.</w:t>
      </w:r>
    </w:p>
    <w:p w:rsidR="00DA5B30" w:rsidRDefault="00DA5B30" w:rsidP="005424BE">
      <w:pPr>
        <w:pStyle w:val="Standard"/>
        <w:spacing w:after="0" w:line="240" w:lineRule="auto"/>
        <w:rPr>
          <w:rFonts w:cs="Arial"/>
        </w:rPr>
      </w:pPr>
    </w:p>
    <w:p w:rsidR="00DA5B30" w:rsidRDefault="00DA5B30" w:rsidP="005424BE">
      <w:pPr>
        <w:pStyle w:val="Standard"/>
        <w:spacing w:after="0" w:line="240" w:lineRule="auto"/>
        <w:rPr>
          <w:rFonts w:cs="Arial"/>
        </w:rPr>
      </w:pPr>
      <w:r>
        <w:rPr>
          <w:rFonts w:cs="Arial"/>
        </w:rPr>
        <w:t xml:space="preserve">Guest, D. (2015). ‘Presentation on Employee engagement: A path to organisational success?’, made at the lead, engage, perform meeting, OECD, 21 Jan 2015. </w:t>
      </w:r>
    </w:p>
    <w:p w:rsidR="00E20B4D" w:rsidRDefault="00E20B4D" w:rsidP="005424BE">
      <w:pPr>
        <w:pStyle w:val="Standard"/>
        <w:spacing w:after="0" w:line="240" w:lineRule="auto"/>
        <w:rPr>
          <w:rFonts w:cs="Arial"/>
        </w:rPr>
      </w:pPr>
    </w:p>
    <w:p w:rsidR="00CB288B" w:rsidRDefault="00CB288B" w:rsidP="005424BE">
      <w:pPr>
        <w:pStyle w:val="Standard"/>
        <w:spacing w:after="0" w:line="240" w:lineRule="auto"/>
        <w:rPr>
          <w:rFonts w:cs="Arial"/>
        </w:rPr>
      </w:pPr>
      <w:r>
        <w:rPr>
          <w:rFonts w:cs="Arial"/>
        </w:rPr>
        <w:t xml:space="preserve">James, J. B., Swanberg, J. E.,  and </w:t>
      </w:r>
      <w:r w:rsidRPr="00CB288B">
        <w:rPr>
          <w:rFonts w:cs="Arial"/>
        </w:rPr>
        <w:t xml:space="preserve">McKechnie, S. P. (2007). </w:t>
      </w:r>
      <w:r>
        <w:rPr>
          <w:rFonts w:cs="Arial"/>
        </w:rPr>
        <w:t>‘</w:t>
      </w:r>
      <w:r w:rsidRPr="00CB288B">
        <w:rPr>
          <w:rFonts w:cs="Arial"/>
        </w:rPr>
        <w:t>Resp</w:t>
      </w:r>
      <w:r>
        <w:rPr>
          <w:rFonts w:cs="Arial"/>
        </w:rPr>
        <w:t>onsive workplaces for older wo</w:t>
      </w:r>
      <w:r w:rsidRPr="00CB288B">
        <w:rPr>
          <w:rFonts w:cs="Arial"/>
        </w:rPr>
        <w:t>rkers: Job quality, flexibility and employee engagement</w:t>
      </w:r>
      <w:r>
        <w:rPr>
          <w:rFonts w:cs="Arial"/>
        </w:rPr>
        <w:t>’</w:t>
      </w:r>
      <w:r w:rsidRPr="00CB288B">
        <w:rPr>
          <w:rFonts w:cs="Arial"/>
        </w:rPr>
        <w:t>. An Issue in Brief #11. Chestnut Hill, MA: The Center for Aging and Work/Workplace Flexibility at Boston College.</w:t>
      </w:r>
    </w:p>
    <w:p w:rsidR="00772A87" w:rsidRDefault="00772A87" w:rsidP="005424BE">
      <w:pPr>
        <w:pStyle w:val="Standard"/>
        <w:spacing w:after="0" w:line="240" w:lineRule="auto"/>
        <w:rPr>
          <w:rFonts w:cs="Arial"/>
        </w:rPr>
      </w:pPr>
    </w:p>
    <w:p w:rsidR="00772A87" w:rsidRDefault="00772A87" w:rsidP="005424BE">
      <w:pPr>
        <w:pStyle w:val="Standard"/>
        <w:spacing w:after="0" w:line="240" w:lineRule="auto"/>
        <w:rPr>
          <w:rFonts w:cs="Arial"/>
        </w:rPr>
      </w:pPr>
      <w:r>
        <w:rPr>
          <w:rFonts w:cstheme="minorHAnsi"/>
        </w:rPr>
        <w:t xml:space="preserve">Jenkins, S. and Delbridge, R. (2013). ‘Context matters. Examining soft and hard approaches to employee engagement in two workplaces’. </w:t>
      </w:r>
      <w:r w:rsidRPr="00772A87">
        <w:rPr>
          <w:rFonts w:cstheme="minorHAnsi"/>
          <w:i/>
        </w:rPr>
        <w:t>International Journal of Human resource Management</w:t>
      </w:r>
      <w:r>
        <w:rPr>
          <w:rFonts w:cstheme="minorHAnsi"/>
        </w:rPr>
        <w:t xml:space="preserve">, Vol. 24, No. 14, pp. 2670-2691. </w:t>
      </w:r>
    </w:p>
    <w:p w:rsidR="000D2856" w:rsidRDefault="000D2856" w:rsidP="005424BE">
      <w:pPr>
        <w:pStyle w:val="Standard"/>
        <w:spacing w:after="0" w:line="240" w:lineRule="auto"/>
        <w:rPr>
          <w:rFonts w:cs="Arial"/>
        </w:rPr>
      </w:pPr>
    </w:p>
    <w:p w:rsidR="000D2856" w:rsidRDefault="000D2856" w:rsidP="005424BE">
      <w:pPr>
        <w:pStyle w:val="Standard"/>
        <w:spacing w:after="0" w:line="240" w:lineRule="auto"/>
        <w:rPr>
          <w:rFonts w:cs="Arial"/>
        </w:rPr>
      </w:pPr>
      <w:r>
        <w:rPr>
          <w:rFonts w:cs="Arial"/>
        </w:rPr>
        <w:t>Johns, T. and Ellis, C. (2016) ‘Employee Engagement’. In: Taylor, S. and Woodhams, C. (2016). Human Resource Management: People and Organisations. London: CIPD.</w:t>
      </w:r>
    </w:p>
    <w:p w:rsidR="00497690" w:rsidRDefault="00497690" w:rsidP="005424BE">
      <w:pPr>
        <w:pStyle w:val="Standard"/>
        <w:spacing w:after="0" w:line="240" w:lineRule="auto"/>
        <w:rPr>
          <w:rFonts w:cs="Arial"/>
        </w:rPr>
      </w:pPr>
    </w:p>
    <w:p w:rsidR="006574F2" w:rsidRDefault="00497690" w:rsidP="005424BE">
      <w:pPr>
        <w:pStyle w:val="Standard"/>
        <w:spacing w:after="0" w:line="240" w:lineRule="auto"/>
        <w:rPr>
          <w:rFonts w:cs="Arial"/>
        </w:rPr>
      </w:pPr>
      <w:r>
        <w:rPr>
          <w:rFonts w:cs="Arial"/>
        </w:rPr>
        <w:t>Kahn.</w:t>
      </w:r>
      <w:r w:rsidR="00522954">
        <w:rPr>
          <w:rFonts w:cs="Arial"/>
        </w:rPr>
        <w:t xml:space="preserve"> W. A.</w:t>
      </w:r>
      <w:r>
        <w:rPr>
          <w:rFonts w:cs="Arial"/>
        </w:rPr>
        <w:t xml:space="preserve"> (1990). ‘P</w:t>
      </w:r>
      <w:r w:rsidRPr="00497690">
        <w:rPr>
          <w:rFonts w:cs="Arial"/>
        </w:rPr>
        <w:t>sychological Conditions of Personal Engag</w:t>
      </w:r>
      <w:r>
        <w:rPr>
          <w:rFonts w:cs="Arial"/>
        </w:rPr>
        <w:t>ement and Disengagement At Work’</w:t>
      </w:r>
      <w:r w:rsidRPr="00497690">
        <w:rPr>
          <w:rFonts w:cs="Arial"/>
        </w:rPr>
        <w:t xml:space="preserve">, </w:t>
      </w:r>
      <w:r w:rsidRPr="00497690">
        <w:rPr>
          <w:rFonts w:cs="Arial"/>
          <w:i/>
        </w:rPr>
        <w:t>Academy of Management Journal</w:t>
      </w:r>
      <w:r w:rsidRPr="00497690">
        <w:rPr>
          <w:rFonts w:cs="Arial"/>
        </w:rPr>
        <w:t>, V</w:t>
      </w:r>
      <w:r>
        <w:rPr>
          <w:rFonts w:cs="Arial"/>
        </w:rPr>
        <w:t>ol. 33, No. 4, pp. 692-724.</w:t>
      </w:r>
    </w:p>
    <w:p w:rsidR="00497690" w:rsidRDefault="00497690" w:rsidP="005424BE">
      <w:pPr>
        <w:pStyle w:val="Standard"/>
        <w:spacing w:after="0" w:line="240" w:lineRule="auto"/>
        <w:rPr>
          <w:rFonts w:cs="Arial"/>
        </w:rPr>
      </w:pPr>
    </w:p>
    <w:p w:rsidR="000938B0" w:rsidRDefault="006574F2" w:rsidP="005424BE">
      <w:pPr>
        <w:pStyle w:val="Standard"/>
        <w:spacing w:after="0" w:line="240" w:lineRule="auto"/>
        <w:rPr>
          <w:rFonts w:cs="Arial"/>
        </w:rPr>
      </w:pPr>
      <w:r>
        <w:rPr>
          <w:rFonts w:cs="Arial"/>
        </w:rPr>
        <w:t>Konrad, A. M. (2006). ‘</w:t>
      </w:r>
      <w:r w:rsidRPr="006574F2">
        <w:rPr>
          <w:rFonts w:cs="Arial"/>
        </w:rPr>
        <w:t>Engaging employees through high</w:t>
      </w:r>
      <w:r>
        <w:rPr>
          <w:rFonts w:cs="Arial"/>
        </w:rPr>
        <w:t xml:space="preserve"> </w:t>
      </w:r>
      <w:r w:rsidRPr="006574F2">
        <w:rPr>
          <w:rFonts w:cs="Arial"/>
        </w:rPr>
        <w:t>involvement work practices</w:t>
      </w:r>
      <w:r>
        <w:rPr>
          <w:rFonts w:cs="Arial"/>
        </w:rPr>
        <w:t>’</w:t>
      </w:r>
      <w:r w:rsidRPr="006574F2">
        <w:rPr>
          <w:rFonts w:cs="Arial"/>
        </w:rPr>
        <w:t xml:space="preserve">. </w:t>
      </w:r>
      <w:r w:rsidRPr="006574F2">
        <w:rPr>
          <w:rFonts w:cs="Arial"/>
          <w:i/>
        </w:rPr>
        <w:t>Ivey Business Journal Online</w:t>
      </w:r>
      <w:r w:rsidRPr="006574F2">
        <w:rPr>
          <w:rFonts w:cs="Arial"/>
        </w:rPr>
        <w:t>,</w:t>
      </w:r>
      <w:r>
        <w:rPr>
          <w:rFonts w:cs="Arial"/>
        </w:rPr>
        <w:t xml:space="preserve"> March, pp. </w:t>
      </w:r>
      <w:r w:rsidRPr="006574F2">
        <w:rPr>
          <w:rFonts w:cs="Arial"/>
        </w:rPr>
        <w:t>1-6</w:t>
      </w:r>
      <w:r>
        <w:rPr>
          <w:rFonts w:cs="Arial"/>
        </w:rPr>
        <w:t>.</w:t>
      </w:r>
    </w:p>
    <w:p w:rsidR="00F234D0" w:rsidRDefault="00F234D0" w:rsidP="005424BE">
      <w:pPr>
        <w:pStyle w:val="Standard"/>
        <w:spacing w:after="0" w:line="240" w:lineRule="auto"/>
        <w:rPr>
          <w:rFonts w:cs="Arial"/>
        </w:rPr>
      </w:pPr>
    </w:p>
    <w:p w:rsidR="00F234D0" w:rsidRDefault="00F234D0" w:rsidP="005424BE">
      <w:pPr>
        <w:pStyle w:val="Standard"/>
        <w:spacing w:after="0" w:line="240" w:lineRule="auto"/>
        <w:rPr>
          <w:rFonts w:cs="Arial"/>
        </w:rPr>
      </w:pPr>
      <w:r w:rsidRPr="00F234D0">
        <w:rPr>
          <w:rFonts w:cs="Arial"/>
        </w:rPr>
        <w:t>Leiter, M</w:t>
      </w:r>
      <w:r>
        <w:rPr>
          <w:rFonts w:cs="Arial"/>
        </w:rPr>
        <w:t>.P. and Bakker, A.B. (2010). ‘Work engagement: introduction’</w:t>
      </w:r>
      <w:r w:rsidRPr="00F234D0">
        <w:rPr>
          <w:rFonts w:cs="Arial"/>
        </w:rPr>
        <w:t>, in Bakker, A.B. and Leiter, M.P. (Eds), Work Engagement: A Handbook of Essential Theory and Research, Psychology Press, New York, NY, pp. 1-9.</w:t>
      </w:r>
    </w:p>
    <w:p w:rsidR="007D291D" w:rsidRDefault="007D291D" w:rsidP="005424BE">
      <w:pPr>
        <w:pStyle w:val="Standard"/>
        <w:spacing w:after="0" w:line="240" w:lineRule="auto"/>
        <w:rPr>
          <w:rFonts w:cs="Arial"/>
        </w:rPr>
      </w:pPr>
    </w:p>
    <w:p w:rsidR="007D291D" w:rsidRDefault="007D291D" w:rsidP="005424BE">
      <w:pPr>
        <w:pStyle w:val="Standard"/>
        <w:spacing w:after="0" w:line="240" w:lineRule="auto"/>
        <w:rPr>
          <w:rFonts w:cs="Arial"/>
        </w:rPr>
      </w:pPr>
      <w:r w:rsidRPr="007D291D">
        <w:rPr>
          <w:rFonts w:cs="Arial"/>
        </w:rPr>
        <w:t xml:space="preserve">Lewicka, D. (2011). </w:t>
      </w:r>
      <w:r>
        <w:rPr>
          <w:rFonts w:cs="Arial"/>
        </w:rPr>
        <w:t>‘</w:t>
      </w:r>
      <w:r w:rsidRPr="007D291D">
        <w:rPr>
          <w:rFonts w:cs="Arial"/>
        </w:rPr>
        <w:t>Creating Innovative Attitudes in an Organisation – Comparative Analysis of Tools Appli</w:t>
      </w:r>
      <w:r>
        <w:rPr>
          <w:rFonts w:cs="Arial"/>
        </w:rPr>
        <w:t>ed in IBM Poland and ZPAS Group’.</w:t>
      </w:r>
      <w:r w:rsidRPr="007D291D">
        <w:rPr>
          <w:rFonts w:cs="Arial"/>
        </w:rPr>
        <w:t xml:space="preserve"> </w:t>
      </w:r>
      <w:r w:rsidRPr="007D291D">
        <w:rPr>
          <w:rFonts w:cs="Arial"/>
          <w:i/>
        </w:rPr>
        <w:t>Journal of Asia Pacific Business Innovation and Technology Management</w:t>
      </w:r>
      <w:r w:rsidRPr="007D291D">
        <w:rPr>
          <w:rFonts w:cs="Arial"/>
        </w:rPr>
        <w:t>. Vol. 1, No. 1, p</w:t>
      </w:r>
      <w:r>
        <w:rPr>
          <w:rFonts w:cs="Arial"/>
        </w:rPr>
        <w:t>p. 1-12.</w:t>
      </w:r>
    </w:p>
    <w:p w:rsidR="006A7611" w:rsidRDefault="006A7611" w:rsidP="005424BE">
      <w:pPr>
        <w:pStyle w:val="Standard"/>
        <w:spacing w:after="0" w:line="240" w:lineRule="auto"/>
        <w:rPr>
          <w:rFonts w:cs="Arial"/>
        </w:rPr>
      </w:pPr>
    </w:p>
    <w:p w:rsidR="00F234D0" w:rsidRDefault="006A7611" w:rsidP="005424BE">
      <w:pPr>
        <w:pStyle w:val="Standard"/>
        <w:spacing w:after="0" w:line="240" w:lineRule="auto"/>
        <w:rPr>
          <w:rFonts w:cs="Arial"/>
        </w:rPr>
      </w:pPr>
      <w:r>
        <w:rPr>
          <w:rFonts w:cs="Arial"/>
        </w:rPr>
        <w:t>Lewis, R., Donaldson-Feilder</w:t>
      </w:r>
      <w:r w:rsidRPr="006A7611">
        <w:rPr>
          <w:rFonts w:cs="Arial"/>
        </w:rPr>
        <w:t xml:space="preserve">, E. and </w:t>
      </w:r>
      <w:r>
        <w:rPr>
          <w:rFonts w:cs="Arial"/>
        </w:rPr>
        <w:t>Tharani, T. (2012). ‘</w:t>
      </w:r>
      <w:r w:rsidRPr="006A7611">
        <w:rPr>
          <w:rFonts w:cs="Arial"/>
        </w:rPr>
        <w:t xml:space="preserve">Managing for sustainable employee engagement: developing </w:t>
      </w:r>
      <w:r>
        <w:rPr>
          <w:rFonts w:cs="Arial"/>
        </w:rPr>
        <w:t>a behavioural framework’</w:t>
      </w:r>
      <w:r w:rsidRPr="006A7611">
        <w:rPr>
          <w:rFonts w:cs="Arial"/>
        </w:rPr>
        <w:t xml:space="preserve">. London: Chartered Institute of Personnel and Development. </w:t>
      </w:r>
    </w:p>
    <w:p w:rsidR="006A7611" w:rsidRDefault="006A7611" w:rsidP="005424BE">
      <w:pPr>
        <w:pStyle w:val="Standard"/>
        <w:spacing w:after="0" w:line="240" w:lineRule="auto"/>
        <w:rPr>
          <w:rFonts w:cs="Arial"/>
        </w:rPr>
      </w:pPr>
    </w:p>
    <w:p w:rsidR="006574F2" w:rsidRDefault="000938B0" w:rsidP="005424BE">
      <w:pPr>
        <w:pStyle w:val="Standard"/>
        <w:spacing w:after="0" w:line="240" w:lineRule="auto"/>
        <w:rPr>
          <w:rFonts w:cs="Arial"/>
        </w:rPr>
      </w:pPr>
      <w:r w:rsidRPr="000938B0">
        <w:rPr>
          <w:rFonts w:cs="Arial"/>
        </w:rPr>
        <w:t xml:space="preserve">Lockwood, N. R. (2007). </w:t>
      </w:r>
      <w:r w:rsidRPr="000938B0">
        <w:rPr>
          <w:rFonts w:cs="Arial"/>
          <w:i/>
        </w:rPr>
        <w:t>Leveraging employee engagement for a competitive advantage</w:t>
      </w:r>
      <w:r w:rsidRPr="000938B0">
        <w:rPr>
          <w:rFonts w:cs="Arial"/>
        </w:rPr>
        <w:t xml:space="preserve">. Alexandria, VA: Society for Human Resource Management. </w:t>
      </w:r>
      <w:r w:rsidR="006574F2" w:rsidRPr="006574F2">
        <w:rPr>
          <w:rFonts w:cs="Arial"/>
        </w:rPr>
        <w:t xml:space="preserve">  </w:t>
      </w:r>
    </w:p>
    <w:p w:rsidR="009E5216" w:rsidRDefault="009E5216" w:rsidP="005424BE">
      <w:pPr>
        <w:pStyle w:val="Standard"/>
        <w:spacing w:after="0" w:line="240" w:lineRule="auto"/>
        <w:rPr>
          <w:rFonts w:cs="Arial"/>
        </w:rPr>
      </w:pPr>
    </w:p>
    <w:p w:rsidR="00D57C29" w:rsidRDefault="00D57C29" w:rsidP="005424BE">
      <w:pPr>
        <w:pStyle w:val="Standard"/>
        <w:spacing w:after="0" w:line="240" w:lineRule="auto"/>
        <w:rPr>
          <w:rFonts w:cs="Arial"/>
        </w:rPr>
      </w:pPr>
      <w:r w:rsidRPr="00D57C29">
        <w:rPr>
          <w:rFonts w:cs="Arial"/>
        </w:rPr>
        <w:t>Lok</w:t>
      </w:r>
      <w:r>
        <w:rPr>
          <w:rFonts w:cs="Arial"/>
        </w:rPr>
        <w:t xml:space="preserve">, P. and </w:t>
      </w:r>
      <w:r w:rsidRPr="00D57C29">
        <w:rPr>
          <w:rFonts w:cs="Arial"/>
        </w:rPr>
        <w:t>Crawford</w:t>
      </w:r>
      <w:r>
        <w:rPr>
          <w:rFonts w:cs="Arial"/>
        </w:rPr>
        <w:t>, J.</w:t>
      </w:r>
      <w:r w:rsidRPr="00D57C29">
        <w:rPr>
          <w:rFonts w:cs="Arial"/>
        </w:rPr>
        <w:t xml:space="preserve"> (2004)</w:t>
      </w:r>
      <w:r w:rsidR="00B56DCA">
        <w:rPr>
          <w:rFonts w:cs="Arial"/>
        </w:rPr>
        <w:t>. ‘</w:t>
      </w:r>
      <w:r w:rsidRPr="00D57C29">
        <w:rPr>
          <w:rFonts w:cs="Arial"/>
        </w:rPr>
        <w:t>The effect of organisational culture and leadership style on job satisfactio</w:t>
      </w:r>
      <w:r w:rsidR="00B56DCA">
        <w:rPr>
          <w:rFonts w:cs="Arial"/>
        </w:rPr>
        <w:t>n and organisational commitment’</w:t>
      </w:r>
      <w:r w:rsidRPr="00D57C29">
        <w:rPr>
          <w:rFonts w:cs="Arial"/>
        </w:rPr>
        <w:t xml:space="preserve">, </w:t>
      </w:r>
      <w:r w:rsidRPr="00B56DCA">
        <w:rPr>
          <w:rFonts w:cs="Arial"/>
          <w:i/>
        </w:rPr>
        <w:t>Journal of Management Development</w:t>
      </w:r>
      <w:r w:rsidRPr="00D57C29">
        <w:rPr>
          <w:rFonts w:cs="Arial"/>
        </w:rPr>
        <w:t>, Vol. 23</w:t>
      </w:r>
      <w:r w:rsidR="00B56DCA">
        <w:rPr>
          <w:rFonts w:cs="Arial"/>
        </w:rPr>
        <w:t>. No</w:t>
      </w:r>
      <w:r w:rsidRPr="00D57C29">
        <w:rPr>
          <w:rFonts w:cs="Arial"/>
        </w:rPr>
        <w:t xml:space="preserve"> 4</w:t>
      </w:r>
      <w:r w:rsidR="00B56DCA">
        <w:rPr>
          <w:rFonts w:cs="Arial"/>
        </w:rPr>
        <w:t>,</w:t>
      </w:r>
      <w:r w:rsidRPr="00D57C29">
        <w:rPr>
          <w:rFonts w:cs="Arial"/>
        </w:rPr>
        <w:t xml:space="preserve"> pp. 321 338</w:t>
      </w:r>
      <w:r w:rsidR="00B56DCA">
        <w:rPr>
          <w:rFonts w:cs="Arial"/>
        </w:rPr>
        <w:t>.</w:t>
      </w:r>
    </w:p>
    <w:p w:rsidR="00C63186" w:rsidRDefault="00C63186" w:rsidP="005424BE">
      <w:pPr>
        <w:pStyle w:val="Standard"/>
        <w:spacing w:after="0" w:line="240" w:lineRule="auto"/>
        <w:rPr>
          <w:rFonts w:cs="Arial"/>
        </w:rPr>
      </w:pPr>
    </w:p>
    <w:p w:rsidR="003C65EB" w:rsidRPr="003C65EB" w:rsidRDefault="00680F0E" w:rsidP="003C65EB">
      <w:pPr>
        <w:pStyle w:val="Standard"/>
        <w:spacing w:after="0" w:line="240" w:lineRule="auto"/>
        <w:rPr>
          <w:rFonts w:cs="Arial"/>
          <w:i/>
        </w:rPr>
      </w:pPr>
      <w:r>
        <w:rPr>
          <w:rFonts w:cs="Arial"/>
        </w:rPr>
        <w:t>Macey W.</w:t>
      </w:r>
      <w:r w:rsidR="00EA27AB">
        <w:rPr>
          <w:rFonts w:cs="Arial"/>
        </w:rPr>
        <w:t xml:space="preserve"> and</w:t>
      </w:r>
      <w:r w:rsidR="003C65EB" w:rsidRPr="003C65EB">
        <w:rPr>
          <w:rFonts w:cs="Arial"/>
        </w:rPr>
        <w:t xml:space="preserve"> Schneider</w:t>
      </w:r>
      <w:r w:rsidR="00EA27AB">
        <w:rPr>
          <w:rFonts w:cs="Arial"/>
        </w:rPr>
        <w:t>,</w:t>
      </w:r>
      <w:r w:rsidR="003C65EB" w:rsidRPr="003C65EB">
        <w:rPr>
          <w:rFonts w:cs="Arial"/>
        </w:rPr>
        <w:t xml:space="preserve"> B. (2008). </w:t>
      </w:r>
      <w:r w:rsidR="00EA27AB">
        <w:rPr>
          <w:rFonts w:cs="Arial"/>
        </w:rPr>
        <w:t>‘</w:t>
      </w:r>
      <w:r w:rsidR="003C65EB" w:rsidRPr="003C65EB">
        <w:rPr>
          <w:rFonts w:cs="Arial"/>
        </w:rPr>
        <w:t>The meaning of employee engagement</w:t>
      </w:r>
      <w:r w:rsidR="00EA27AB">
        <w:rPr>
          <w:rFonts w:cs="Arial"/>
        </w:rPr>
        <w:t>’</w:t>
      </w:r>
      <w:r w:rsidR="003C65EB" w:rsidRPr="003C65EB">
        <w:rPr>
          <w:rFonts w:cs="Arial"/>
        </w:rPr>
        <w:t xml:space="preserve">. </w:t>
      </w:r>
      <w:r w:rsidR="003C65EB" w:rsidRPr="003C65EB">
        <w:rPr>
          <w:rFonts w:cs="Arial"/>
          <w:i/>
        </w:rPr>
        <w:t>Industrial and</w:t>
      </w:r>
    </w:p>
    <w:p w:rsidR="00363393" w:rsidRDefault="003C65EB" w:rsidP="003C65EB">
      <w:pPr>
        <w:pStyle w:val="Standard"/>
        <w:spacing w:after="0" w:line="240" w:lineRule="auto"/>
        <w:rPr>
          <w:rFonts w:cs="Arial"/>
        </w:rPr>
      </w:pPr>
      <w:r w:rsidRPr="003C65EB">
        <w:rPr>
          <w:rFonts w:cs="Arial"/>
          <w:i/>
        </w:rPr>
        <w:t>Organizational Psychology</w:t>
      </w:r>
      <w:r w:rsidRPr="003C65EB">
        <w:rPr>
          <w:rFonts w:cs="Arial"/>
        </w:rPr>
        <w:t xml:space="preserve">, </w:t>
      </w:r>
      <w:r>
        <w:rPr>
          <w:rFonts w:cs="Arial"/>
        </w:rPr>
        <w:t xml:space="preserve">Vol. </w:t>
      </w:r>
      <w:r w:rsidRPr="003C65EB">
        <w:rPr>
          <w:rFonts w:cs="Arial"/>
        </w:rPr>
        <w:t>1,</w:t>
      </w:r>
      <w:r>
        <w:rPr>
          <w:rFonts w:cs="Arial"/>
        </w:rPr>
        <w:t xml:space="preserve"> pp.</w:t>
      </w:r>
      <w:r w:rsidRPr="003C65EB">
        <w:rPr>
          <w:rFonts w:cs="Arial"/>
        </w:rPr>
        <w:t xml:space="preserve"> 3–30.</w:t>
      </w:r>
    </w:p>
    <w:p w:rsidR="00DD173A" w:rsidRDefault="00DD173A" w:rsidP="003C65EB">
      <w:pPr>
        <w:pStyle w:val="Standard"/>
        <w:spacing w:after="0" w:line="240" w:lineRule="auto"/>
        <w:rPr>
          <w:rFonts w:cs="Arial"/>
        </w:rPr>
      </w:pPr>
    </w:p>
    <w:p w:rsidR="00DD173A" w:rsidRDefault="00DD173A" w:rsidP="003C65EB">
      <w:pPr>
        <w:pStyle w:val="Standard"/>
        <w:spacing w:after="0" w:line="240" w:lineRule="auto"/>
        <w:rPr>
          <w:rFonts w:cs="Arial"/>
        </w:rPr>
      </w:pPr>
      <w:r>
        <w:rPr>
          <w:rFonts w:cs="Arial"/>
        </w:rPr>
        <w:t xml:space="preserve">Macleod. D. and Clarke, N. (2009). Engaging for success: enhancing performance through employee engagement. A report to Government. London: Dept. for IBS. </w:t>
      </w:r>
    </w:p>
    <w:p w:rsidR="00AD6F58" w:rsidRDefault="00AD6F58" w:rsidP="003C65EB">
      <w:pPr>
        <w:pStyle w:val="Standard"/>
        <w:spacing w:after="0" w:line="240" w:lineRule="auto"/>
        <w:rPr>
          <w:rFonts w:cs="Arial"/>
        </w:rPr>
      </w:pPr>
    </w:p>
    <w:p w:rsidR="002A5946" w:rsidRPr="002A5946" w:rsidRDefault="002A5946" w:rsidP="002A5946">
      <w:pPr>
        <w:pStyle w:val="Standard"/>
        <w:spacing w:after="0" w:line="240" w:lineRule="auto"/>
        <w:rPr>
          <w:rFonts w:cstheme="minorHAnsi"/>
        </w:rPr>
      </w:pPr>
      <w:r w:rsidRPr="002A5946">
        <w:rPr>
          <w:rFonts w:cstheme="minorHAnsi"/>
        </w:rPr>
        <w:t xml:space="preserve">Maslach, C., Schaufeli, W.B., &amp; Leiter, M.P. (2001). </w:t>
      </w:r>
      <w:r>
        <w:rPr>
          <w:rFonts w:cstheme="minorHAnsi"/>
        </w:rPr>
        <w:t>‘</w:t>
      </w:r>
      <w:r w:rsidRPr="002A5946">
        <w:rPr>
          <w:rFonts w:cstheme="minorHAnsi"/>
        </w:rPr>
        <w:t>Job burnout</w:t>
      </w:r>
      <w:r>
        <w:rPr>
          <w:rFonts w:cstheme="minorHAnsi"/>
        </w:rPr>
        <w:t>’</w:t>
      </w:r>
      <w:r w:rsidRPr="002A5946">
        <w:rPr>
          <w:rFonts w:cstheme="minorHAnsi"/>
        </w:rPr>
        <w:t xml:space="preserve">. </w:t>
      </w:r>
      <w:r w:rsidRPr="002A5946">
        <w:rPr>
          <w:rFonts w:cstheme="minorHAnsi"/>
          <w:i/>
        </w:rPr>
        <w:t>Annual Review of Psychology</w:t>
      </w:r>
      <w:r w:rsidRPr="002A5946">
        <w:rPr>
          <w:rFonts w:cstheme="minorHAnsi"/>
        </w:rPr>
        <w:t>,</w:t>
      </w:r>
      <w:r>
        <w:rPr>
          <w:rFonts w:cstheme="minorHAnsi"/>
        </w:rPr>
        <w:t xml:space="preserve"> Vol.</w:t>
      </w:r>
      <w:r w:rsidRPr="002A5946">
        <w:rPr>
          <w:rFonts w:cstheme="minorHAnsi"/>
        </w:rPr>
        <w:t xml:space="preserve"> </w:t>
      </w:r>
      <w:r>
        <w:rPr>
          <w:rFonts w:cstheme="minorHAnsi"/>
        </w:rPr>
        <w:t xml:space="preserve">No. </w:t>
      </w:r>
      <w:r w:rsidRPr="002A5946">
        <w:rPr>
          <w:rFonts w:cstheme="minorHAnsi"/>
        </w:rPr>
        <w:t>52,</w:t>
      </w:r>
      <w:r>
        <w:rPr>
          <w:rFonts w:cstheme="minorHAnsi"/>
        </w:rPr>
        <w:t xml:space="preserve">pp. </w:t>
      </w:r>
      <w:r w:rsidRPr="002A5946">
        <w:rPr>
          <w:rFonts w:cstheme="minorHAnsi"/>
        </w:rPr>
        <w:t xml:space="preserve"> 397–422.</w:t>
      </w:r>
    </w:p>
    <w:p w:rsidR="00AD6F58" w:rsidRDefault="00AD6F58" w:rsidP="003C65EB">
      <w:pPr>
        <w:pStyle w:val="Standard"/>
        <w:spacing w:after="0" w:line="240" w:lineRule="auto"/>
        <w:rPr>
          <w:rFonts w:cs="Arial"/>
        </w:rPr>
      </w:pPr>
    </w:p>
    <w:p w:rsidR="000C735D" w:rsidRDefault="000C735D" w:rsidP="003C65EB">
      <w:pPr>
        <w:pStyle w:val="Standard"/>
        <w:spacing w:after="0" w:line="240" w:lineRule="auto"/>
        <w:rPr>
          <w:rFonts w:cs="Arial"/>
        </w:rPr>
      </w:pPr>
      <w:r w:rsidRPr="000C735D">
        <w:rPr>
          <w:rFonts w:cs="Arial"/>
        </w:rPr>
        <w:t xml:space="preserve">Popli, S., &amp; Rizvi, I. A. (2016). </w:t>
      </w:r>
      <w:r>
        <w:rPr>
          <w:rFonts w:cs="Arial"/>
        </w:rPr>
        <w:t>‘</w:t>
      </w:r>
      <w:r w:rsidRPr="000C735D">
        <w:rPr>
          <w:rFonts w:cs="Arial"/>
        </w:rPr>
        <w:t>Drivers of Employee Engagement: The Role of Leadership Style</w:t>
      </w:r>
      <w:r>
        <w:rPr>
          <w:rFonts w:cs="Arial"/>
        </w:rPr>
        <w:t>’</w:t>
      </w:r>
      <w:r w:rsidRPr="000C735D">
        <w:rPr>
          <w:rFonts w:cs="Arial"/>
        </w:rPr>
        <w:t xml:space="preserve">. </w:t>
      </w:r>
      <w:r w:rsidRPr="000C735D">
        <w:rPr>
          <w:rFonts w:cs="Arial"/>
          <w:i/>
        </w:rPr>
        <w:t>Global Business Review</w:t>
      </w:r>
      <w:r>
        <w:rPr>
          <w:rFonts w:cs="Arial"/>
        </w:rPr>
        <w:t>, Vol. 17, No. 4, pp.</w:t>
      </w:r>
      <w:r w:rsidRPr="000C735D">
        <w:rPr>
          <w:rFonts w:cs="Arial"/>
        </w:rPr>
        <w:t xml:space="preserve"> 965–979</w:t>
      </w:r>
      <w:r>
        <w:rPr>
          <w:rFonts w:cs="Arial"/>
        </w:rPr>
        <w:t>.</w:t>
      </w:r>
    </w:p>
    <w:p w:rsidR="00746029" w:rsidRDefault="00746029" w:rsidP="003C65EB">
      <w:pPr>
        <w:pStyle w:val="Standard"/>
        <w:spacing w:after="0" w:line="240" w:lineRule="auto"/>
        <w:rPr>
          <w:rFonts w:cs="Arial"/>
        </w:rPr>
      </w:pPr>
    </w:p>
    <w:p w:rsidR="00746029" w:rsidRDefault="00746029" w:rsidP="003C65EB">
      <w:pPr>
        <w:pStyle w:val="Standard"/>
        <w:spacing w:after="0" w:line="240" w:lineRule="auto"/>
        <w:rPr>
          <w:rFonts w:cs="Arial"/>
        </w:rPr>
      </w:pPr>
      <w:r>
        <w:rPr>
          <w:rFonts w:cs="Arial"/>
        </w:rPr>
        <w:t xml:space="preserve">Purcell, J. (2010). ‘Building Employee Engagement’, ACAS Policy Discussion Paper. </w:t>
      </w:r>
      <w:r w:rsidRPr="00746029">
        <w:rPr>
          <w:rFonts w:cs="Arial"/>
        </w:rPr>
        <w:t>https://archive.acas.org.uk/media/2672/Building-employee-engagement/pdf/Building_employee_engagement-accessible-version-Jun-2012.pdf</w:t>
      </w:r>
    </w:p>
    <w:p w:rsidR="00B56DCA" w:rsidRDefault="00B56DCA" w:rsidP="003C65EB">
      <w:pPr>
        <w:pStyle w:val="Standard"/>
        <w:spacing w:after="0" w:line="240" w:lineRule="auto"/>
        <w:rPr>
          <w:rFonts w:cs="Arial"/>
        </w:rPr>
      </w:pPr>
    </w:p>
    <w:p w:rsidR="00BD2EF9" w:rsidRDefault="00BD2EF9" w:rsidP="003C65EB">
      <w:pPr>
        <w:pStyle w:val="Standard"/>
        <w:spacing w:after="0" w:line="240" w:lineRule="auto"/>
        <w:rPr>
          <w:rFonts w:cs="Arial"/>
        </w:rPr>
      </w:pPr>
      <w:r>
        <w:rPr>
          <w:rFonts w:cs="Arial"/>
        </w:rPr>
        <w:t xml:space="preserve">Purcell, J. (2014). ‘Disengaging from engagement’. </w:t>
      </w:r>
      <w:r w:rsidRPr="00BD2EF9">
        <w:rPr>
          <w:rFonts w:cs="Arial"/>
          <w:i/>
        </w:rPr>
        <w:t>Human resource Management Journal</w:t>
      </w:r>
      <w:r>
        <w:rPr>
          <w:rFonts w:cs="Arial"/>
        </w:rPr>
        <w:t>, Vol. 24, No. 14, pp. 241-254.</w:t>
      </w:r>
    </w:p>
    <w:p w:rsidR="00BD2EF9" w:rsidRDefault="00BD2EF9" w:rsidP="003C65EB">
      <w:pPr>
        <w:pStyle w:val="Standard"/>
        <w:spacing w:after="0" w:line="240" w:lineRule="auto"/>
        <w:rPr>
          <w:rFonts w:cs="Arial"/>
        </w:rPr>
      </w:pPr>
    </w:p>
    <w:p w:rsidR="00B56DCA" w:rsidRDefault="00E45D1A" w:rsidP="003C65EB">
      <w:pPr>
        <w:pStyle w:val="Standard"/>
        <w:spacing w:after="0" w:line="240" w:lineRule="auto"/>
        <w:rPr>
          <w:rFonts w:cs="Arial"/>
        </w:rPr>
      </w:pPr>
      <w:r>
        <w:rPr>
          <w:rFonts w:cs="Arial"/>
        </w:rPr>
        <w:t>Rashid, M. Z. A., S</w:t>
      </w:r>
      <w:r w:rsidR="00B56DCA" w:rsidRPr="00B56DCA">
        <w:rPr>
          <w:rFonts w:cs="Arial"/>
        </w:rPr>
        <w:t>a</w:t>
      </w:r>
      <w:r w:rsidR="00B56DCA">
        <w:rPr>
          <w:rFonts w:cs="Arial"/>
        </w:rPr>
        <w:t>mbasvian</w:t>
      </w:r>
      <w:r>
        <w:rPr>
          <w:rFonts w:cs="Arial"/>
        </w:rPr>
        <w:t>, M. and Johari, J.</w:t>
      </w:r>
      <w:r w:rsidR="00B56DCA">
        <w:rPr>
          <w:rFonts w:cs="Arial"/>
        </w:rPr>
        <w:t>(2003). ‘</w:t>
      </w:r>
      <w:r w:rsidR="00B56DCA" w:rsidRPr="00B56DCA">
        <w:rPr>
          <w:rFonts w:cs="Arial"/>
        </w:rPr>
        <w:t>The influence of corporate culture and organisati</w:t>
      </w:r>
      <w:r w:rsidR="00B56DCA">
        <w:rPr>
          <w:rFonts w:cs="Arial"/>
        </w:rPr>
        <w:t>onal commitment on performance’.</w:t>
      </w:r>
      <w:r w:rsidR="00B56DCA" w:rsidRPr="00B56DCA">
        <w:rPr>
          <w:rFonts w:cs="Arial"/>
        </w:rPr>
        <w:t xml:space="preserve"> </w:t>
      </w:r>
      <w:r w:rsidR="00B56DCA" w:rsidRPr="00B56DCA">
        <w:rPr>
          <w:rFonts w:cs="Arial"/>
          <w:i/>
        </w:rPr>
        <w:t>Journal of Management Development</w:t>
      </w:r>
      <w:r w:rsidR="00B56DCA">
        <w:rPr>
          <w:rFonts w:cs="Arial"/>
          <w:i/>
        </w:rPr>
        <w:t xml:space="preserve">, </w:t>
      </w:r>
      <w:r w:rsidR="00B56DCA">
        <w:rPr>
          <w:rFonts w:cs="Arial"/>
        </w:rPr>
        <w:t>Vol. 22, No.8, pp.</w:t>
      </w:r>
      <w:r w:rsidR="00B56DCA" w:rsidRPr="00B56DCA">
        <w:rPr>
          <w:rFonts w:cs="Arial"/>
        </w:rPr>
        <w:t xml:space="preserve"> 708-728.</w:t>
      </w:r>
    </w:p>
    <w:p w:rsidR="005B156E" w:rsidRDefault="005B156E" w:rsidP="003C65EB">
      <w:pPr>
        <w:pStyle w:val="Standard"/>
        <w:spacing w:after="0" w:line="240" w:lineRule="auto"/>
        <w:rPr>
          <w:rFonts w:cs="Arial"/>
        </w:rPr>
      </w:pPr>
    </w:p>
    <w:p w:rsidR="005B156E" w:rsidRDefault="005B156E" w:rsidP="003C65EB">
      <w:pPr>
        <w:pStyle w:val="Standard"/>
        <w:spacing w:after="0" w:line="240" w:lineRule="auto"/>
        <w:rPr>
          <w:rFonts w:cs="Arial"/>
        </w:rPr>
      </w:pPr>
      <w:r w:rsidRPr="005B156E">
        <w:rPr>
          <w:rFonts w:cs="Arial"/>
        </w:rPr>
        <w:t xml:space="preserve">Raveesh, A., Mona, C. and Suryakant, D. (2010). </w:t>
      </w:r>
      <w:r>
        <w:rPr>
          <w:rFonts w:cs="Arial"/>
        </w:rPr>
        <w:t>‘</w:t>
      </w:r>
      <w:r w:rsidRPr="005B156E">
        <w:rPr>
          <w:rFonts w:cs="Arial"/>
        </w:rPr>
        <w:t>The Innovative Technique at Thomson</w:t>
      </w:r>
      <w:r>
        <w:rPr>
          <w:rFonts w:cs="Arial"/>
        </w:rPr>
        <w:t>’</w:t>
      </w:r>
      <w:r w:rsidRPr="005B156E">
        <w:rPr>
          <w:rFonts w:cs="Arial"/>
        </w:rPr>
        <w:t xml:space="preserve">. </w:t>
      </w:r>
      <w:r w:rsidRPr="005B156E">
        <w:rPr>
          <w:rFonts w:cs="Arial"/>
          <w:i/>
        </w:rPr>
        <w:t>American Journal of Economics and Business Administration,</w:t>
      </w:r>
      <w:r w:rsidRPr="005B156E">
        <w:rPr>
          <w:rFonts w:cs="Arial"/>
        </w:rPr>
        <w:t xml:space="preserve"> </w:t>
      </w:r>
      <w:r>
        <w:rPr>
          <w:rFonts w:cs="Arial"/>
        </w:rPr>
        <w:t xml:space="preserve">Vol. 2, pp. </w:t>
      </w:r>
      <w:r w:rsidRPr="005B156E">
        <w:rPr>
          <w:rFonts w:cs="Arial"/>
        </w:rPr>
        <w:t>189-193.</w:t>
      </w:r>
    </w:p>
    <w:p w:rsidR="00226489" w:rsidRDefault="00226489" w:rsidP="003C65EB">
      <w:pPr>
        <w:pStyle w:val="Standard"/>
        <w:spacing w:after="0" w:line="240" w:lineRule="auto"/>
        <w:rPr>
          <w:rFonts w:cs="Arial"/>
        </w:rPr>
      </w:pPr>
    </w:p>
    <w:p w:rsidR="0049302F" w:rsidRDefault="0049302F" w:rsidP="003C65EB">
      <w:pPr>
        <w:pStyle w:val="Standard"/>
        <w:spacing w:after="0" w:line="240" w:lineRule="auto"/>
        <w:rPr>
          <w:rFonts w:cs="Arial"/>
        </w:rPr>
      </w:pPr>
      <w:r>
        <w:rPr>
          <w:rFonts w:cs="Arial"/>
        </w:rPr>
        <w:t>S</w:t>
      </w:r>
      <w:r w:rsidRPr="0049302F">
        <w:rPr>
          <w:rFonts w:cs="Arial"/>
        </w:rPr>
        <w:t>chaufeli</w:t>
      </w:r>
      <w:r>
        <w:rPr>
          <w:rFonts w:cs="Arial"/>
        </w:rPr>
        <w:t xml:space="preserve">, W. B. and </w:t>
      </w:r>
      <w:r w:rsidRPr="0049302F">
        <w:rPr>
          <w:rFonts w:cs="Arial"/>
        </w:rPr>
        <w:t>Bakker,</w:t>
      </w:r>
      <w:r>
        <w:rPr>
          <w:rFonts w:cs="Arial"/>
        </w:rPr>
        <w:t xml:space="preserve"> A. B. (2004). ‘</w:t>
      </w:r>
      <w:r w:rsidRPr="0049302F">
        <w:rPr>
          <w:rFonts w:cs="Arial"/>
        </w:rPr>
        <w:t>Job Demands, Job Resources, and their Relationship with Burnout and Engagement: A Multi‐Sample Study</w:t>
      </w:r>
      <w:r>
        <w:rPr>
          <w:rFonts w:cs="Arial"/>
        </w:rPr>
        <w:t>’,</w:t>
      </w:r>
      <w:r w:rsidRPr="0049302F">
        <w:rPr>
          <w:rFonts w:cs="Arial"/>
        </w:rPr>
        <w:t xml:space="preserve"> </w:t>
      </w:r>
      <w:r w:rsidRPr="0049302F">
        <w:rPr>
          <w:rFonts w:cs="Arial"/>
          <w:i/>
        </w:rPr>
        <w:t>Journal of Organizational Behavior</w:t>
      </w:r>
      <w:r w:rsidRPr="0049302F">
        <w:rPr>
          <w:rFonts w:cs="Arial"/>
        </w:rPr>
        <w:t>, Vol. 25, No. 3, pp. 293-315</w:t>
      </w:r>
      <w:r>
        <w:rPr>
          <w:rFonts w:cs="Arial"/>
        </w:rPr>
        <w:t>.</w:t>
      </w:r>
    </w:p>
    <w:p w:rsidR="00FB3466" w:rsidRDefault="00FB3466" w:rsidP="003C65EB">
      <w:pPr>
        <w:pStyle w:val="Standard"/>
        <w:spacing w:after="0" w:line="240" w:lineRule="auto"/>
        <w:rPr>
          <w:rFonts w:cs="Arial"/>
        </w:rPr>
      </w:pPr>
    </w:p>
    <w:p w:rsidR="004C1ED6" w:rsidRDefault="00FB3466" w:rsidP="003C65EB">
      <w:pPr>
        <w:pStyle w:val="Standard"/>
        <w:spacing w:after="0" w:line="240" w:lineRule="auto"/>
        <w:rPr>
          <w:rFonts w:cs="Arial"/>
        </w:rPr>
      </w:pPr>
      <w:r w:rsidRPr="00FB3466">
        <w:rPr>
          <w:rFonts w:cs="Arial"/>
        </w:rPr>
        <w:t>Schaufeli, W. B., Salano</w:t>
      </w:r>
      <w:r w:rsidR="00996269">
        <w:rPr>
          <w:rFonts w:cs="Arial"/>
        </w:rPr>
        <w:t>va, M., González-romá, V., and</w:t>
      </w:r>
      <w:r w:rsidRPr="00FB3466">
        <w:rPr>
          <w:rFonts w:cs="Arial"/>
        </w:rPr>
        <w:t xml:space="preserve"> Bakker, A. B. (2002). </w:t>
      </w:r>
      <w:r>
        <w:rPr>
          <w:rFonts w:cs="Arial"/>
        </w:rPr>
        <w:t>‘</w:t>
      </w:r>
      <w:r w:rsidRPr="00FB3466">
        <w:rPr>
          <w:rFonts w:cs="Arial"/>
        </w:rPr>
        <w:t>The measurement of engagement and burnout: A two sample confirmatory factor analytic approach</w:t>
      </w:r>
      <w:r>
        <w:rPr>
          <w:rFonts w:cs="Arial"/>
        </w:rPr>
        <w:t>’</w:t>
      </w:r>
      <w:r w:rsidRPr="00FB3466">
        <w:rPr>
          <w:rFonts w:cs="Arial"/>
        </w:rPr>
        <w:t xml:space="preserve">. </w:t>
      </w:r>
      <w:r w:rsidRPr="00FB3466">
        <w:rPr>
          <w:rFonts w:cs="Arial"/>
          <w:i/>
        </w:rPr>
        <w:t>Journal of Happiness Studies</w:t>
      </w:r>
      <w:r w:rsidRPr="00FB3466">
        <w:rPr>
          <w:rFonts w:cs="Arial"/>
        </w:rPr>
        <w:t xml:space="preserve">, </w:t>
      </w:r>
      <w:r>
        <w:rPr>
          <w:rFonts w:cs="Arial"/>
        </w:rPr>
        <w:t xml:space="preserve">Vol. </w:t>
      </w:r>
      <w:r w:rsidRPr="00FB3466">
        <w:rPr>
          <w:rFonts w:cs="Arial"/>
        </w:rPr>
        <w:t xml:space="preserve">3, </w:t>
      </w:r>
      <w:r>
        <w:rPr>
          <w:rFonts w:cs="Arial"/>
        </w:rPr>
        <w:t xml:space="preserve">pp. </w:t>
      </w:r>
      <w:r w:rsidRPr="00FB3466">
        <w:rPr>
          <w:rFonts w:cs="Arial"/>
        </w:rPr>
        <w:t>71–92.</w:t>
      </w:r>
    </w:p>
    <w:p w:rsidR="00270CC8" w:rsidRDefault="00270CC8" w:rsidP="003C65EB">
      <w:pPr>
        <w:pStyle w:val="Standard"/>
        <w:spacing w:after="0" w:line="240" w:lineRule="auto"/>
        <w:rPr>
          <w:rFonts w:cs="Arial"/>
        </w:rPr>
      </w:pPr>
    </w:p>
    <w:p w:rsidR="00270CC8" w:rsidRDefault="00270CC8" w:rsidP="003C65EB">
      <w:pPr>
        <w:pStyle w:val="Standard"/>
        <w:spacing w:after="0" w:line="240" w:lineRule="auto"/>
        <w:rPr>
          <w:rFonts w:cs="Arial"/>
        </w:rPr>
      </w:pPr>
      <w:r w:rsidRPr="00270CC8">
        <w:rPr>
          <w:rFonts w:cs="Arial"/>
        </w:rPr>
        <w:t>SHRM/Globoforce. (2013). Driving stronger performance through employee retention. Europe: Globoforce.</w:t>
      </w:r>
    </w:p>
    <w:p w:rsidR="00270CC8" w:rsidRDefault="00270CC8" w:rsidP="003C65EB">
      <w:pPr>
        <w:pStyle w:val="Standard"/>
        <w:spacing w:after="0" w:line="240" w:lineRule="auto"/>
        <w:rPr>
          <w:rFonts w:cs="Arial"/>
        </w:rPr>
      </w:pPr>
    </w:p>
    <w:p w:rsidR="00270CC8" w:rsidRDefault="004C1ED6" w:rsidP="003C65EB">
      <w:pPr>
        <w:pStyle w:val="Standard"/>
        <w:spacing w:after="0" w:line="240" w:lineRule="auto"/>
        <w:rPr>
          <w:rFonts w:cs="Arial"/>
        </w:rPr>
      </w:pPr>
      <w:r>
        <w:rPr>
          <w:rFonts w:cs="Arial"/>
        </w:rPr>
        <w:t>Shukla, S., Adhikari, B., and</w:t>
      </w:r>
      <w:r w:rsidRPr="004C1ED6">
        <w:rPr>
          <w:rFonts w:cs="Arial"/>
        </w:rPr>
        <w:t xml:space="preserve"> Singh, V. (2015). </w:t>
      </w:r>
      <w:r>
        <w:rPr>
          <w:rFonts w:cs="Arial"/>
        </w:rPr>
        <w:t>‘</w:t>
      </w:r>
      <w:r w:rsidRPr="004C1ED6">
        <w:rPr>
          <w:rFonts w:cs="Arial"/>
        </w:rPr>
        <w:t>Employee engagement-Role of demographic variables and personality factors</w:t>
      </w:r>
      <w:r>
        <w:rPr>
          <w:rFonts w:cs="Arial"/>
        </w:rPr>
        <w:t>’</w:t>
      </w:r>
      <w:r w:rsidRPr="004C1ED6">
        <w:rPr>
          <w:rFonts w:cs="Arial"/>
        </w:rPr>
        <w:t xml:space="preserve">. </w:t>
      </w:r>
      <w:r w:rsidRPr="004C1ED6">
        <w:rPr>
          <w:rFonts w:cs="Arial"/>
          <w:i/>
        </w:rPr>
        <w:t>Amity Global HRM Review</w:t>
      </w:r>
      <w:r w:rsidRPr="004C1ED6">
        <w:rPr>
          <w:rFonts w:cs="Arial"/>
        </w:rPr>
        <w:t xml:space="preserve">, </w:t>
      </w:r>
      <w:r>
        <w:rPr>
          <w:rFonts w:cs="Arial"/>
        </w:rPr>
        <w:t xml:space="preserve">Vol. </w:t>
      </w:r>
      <w:r w:rsidRPr="004C1ED6">
        <w:rPr>
          <w:rFonts w:cs="Arial"/>
        </w:rPr>
        <w:t>5,</w:t>
      </w:r>
      <w:r>
        <w:rPr>
          <w:rFonts w:cs="Arial"/>
        </w:rPr>
        <w:t xml:space="preserve"> pp.</w:t>
      </w:r>
      <w:r w:rsidRPr="004C1ED6">
        <w:rPr>
          <w:rFonts w:cs="Arial"/>
        </w:rPr>
        <w:t xml:space="preserve"> 65–73.</w:t>
      </w:r>
    </w:p>
    <w:p w:rsidR="007D267D" w:rsidRDefault="007D267D" w:rsidP="003C65EB">
      <w:pPr>
        <w:pStyle w:val="Standard"/>
        <w:spacing w:after="0" w:line="240" w:lineRule="auto"/>
        <w:rPr>
          <w:rFonts w:cs="Arial"/>
        </w:rPr>
      </w:pPr>
    </w:p>
    <w:p w:rsidR="007D267D" w:rsidRDefault="007D267D" w:rsidP="003C65EB">
      <w:pPr>
        <w:pStyle w:val="Standard"/>
        <w:spacing w:after="0" w:line="240" w:lineRule="auto"/>
        <w:rPr>
          <w:rFonts w:cs="Arial"/>
        </w:rPr>
      </w:pPr>
      <w:r>
        <w:rPr>
          <w:rFonts w:cs="Arial"/>
        </w:rPr>
        <w:t xml:space="preserve">Towers Perrin (2009). Global workforce study 2007/2008. Closing the engagement gap- a road map for driving superior business performance. London: Towers Watson. </w:t>
      </w:r>
    </w:p>
    <w:p w:rsidR="00AD6F58" w:rsidRDefault="00AD6F58" w:rsidP="003C65EB">
      <w:pPr>
        <w:pStyle w:val="Standard"/>
        <w:spacing w:after="0" w:line="240" w:lineRule="auto"/>
        <w:rPr>
          <w:rFonts w:cs="Arial"/>
        </w:rPr>
      </w:pPr>
    </w:p>
    <w:p w:rsidR="00AD6F58" w:rsidRDefault="00AD6F58" w:rsidP="003C65EB">
      <w:pPr>
        <w:pStyle w:val="Standard"/>
        <w:spacing w:after="0" w:line="240" w:lineRule="auto"/>
        <w:rPr>
          <w:rFonts w:cs="Arial"/>
        </w:rPr>
      </w:pPr>
      <w:r>
        <w:rPr>
          <w:rFonts w:cs="Arial"/>
        </w:rPr>
        <w:t xml:space="preserve">Truss, C., Alfes, K., Delbridge, R. and Soane, E. (2004). Employee engagement in theory and practice. London: Routledge. </w:t>
      </w:r>
    </w:p>
    <w:p w:rsidR="00270CC8" w:rsidRDefault="00270CC8" w:rsidP="003C65EB">
      <w:pPr>
        <w:pStyle w:val="Standard"/>
        <w:spacing w:after="0" w:line="240" w:lineRule="auto"/>
        <w:rPr>
          <w:rFonts w:cs="Arial"/>
        </w:rPr>
      </w:pPr>
    </w:p>
    <w:p w:rsidR="00270CC8" w:rsidRDefault="006B4F4A" w:rsidP="006B4F4A">
      <w:pPr>
        <w:pStyle w:val="Standard"/>
        <w:spacing w:after="0" w:line="240" w:lineRule="auto"/>
        <w:rPr>
          <w:rFonts w:cs="Arial"/>
        </w:rPr>
      </w:pPr>
      <w:r>
        <w:rPr>
          <w:rFonts w:cs="Arial"/>
        </w:rPr>
        <w:t>Vance, R. J. (2006)</w:t>
      </w:r>
      <w:r w:rsidR="00270CC8" w:rsidRPr="00270CC8">
        <w:rPr>
          <w:rFonts w:cs="Arial"/>
        </w:rPr>
        <w:t>.</w:t>
      </w:r>
      <w:r>
        <w:rPr>
          <w:rFonts w:cs="Arial"/>
        </w:rPr>
        <w:t xml:space="preserve"> </w:t>
      </w:r>
      <w:r w:rsidRPr="006B4F4A">
        <w:rPr>
          <w:rFonts w:cs="Arial"/>
        </w:rPr>
        <w:t xml:space="preserve">Effective practice </w:t>
      </w:r>
      <w:r>
        <w:rPr>
          <w:rFonts w:cs="Arial"/>
        </w:rPr>
        <w:t xml:space="preserve">guidelines: Employee engagement </w:t>
      </w:r>
      <w:r w:rsidRPr="006B4F4A">
        <w:rPr>
          <w:rFonts w:cs="Arial"/>
        </w:rPr>
        <w:t>and commitment. Alexandria, VA: SHRM Foundation.</w:t>
      </w:r>
    </w:p>
    <w:p w:rsidR="00DE0EC1" w:rsidRDefault="00DE0EC1" w:rsidP="003C65EB">
      <w:pPr>
        <w:pStyle w:val="Standard"/>
        <w:spacing w:after="0" w:line="240" w:lineRule="auto"/>
        <w:rPr>
          <w:rFonts w:cs="Arial"/>
        </w:rPr>
      </w:pPr>
    </w:p>
    <w:p w:rsidR="00270CC8" w:rsidRDefault="007F6D40" w:rsidP="00DE0EC1">
      <w:pPr>
        <w:pStyle w:val="Standard"/>
        <w:spacing w:after="0" w:line="240" w:lineRule="auto"/>
        <w:rPr>
          <w:rFonts w:cs="Arial"/>
        </w:rPr>
      </w:pPr>
      <w:r>
        <w:rPr>
          <w:rFonts w:cs="Arial"/>
        </w:rPr>
        <w:t>Vorina, A., Simonič, M., and</w:t>
      </w:r>
      <w:r w:rsidR="00DE0EC1" w:rsidRPr="00DE0EC1">
        <w:rPr>
          <w:rFonts w:cs="Arial"/>
        </w:rPr>
        <w:t xml:space="preserve"> Vlasova, M. (2017). </w:t>
      </w:r>
      <w:r w:rsidR="00DE0EC1">
        <w:rPr>
          <w:rFonts w:cs="Arial"/>
        </w:rPr>
        <w:t>‘</w:t>
      </w:r>
      <w:r w:rsidR="00DE0EC1" w:rsidRPr="00DE0EC1">
        <w:rPr>
          <w:rFonts w:cs="Arial"/>
        </w:rPr>
        <w:t xml:space="preserve">An analysis </w:t>
      </w:r>
      <w:r w:rsidR="00DE0EC1">
        <w:rPr>
          <w:rFonts w:cs="Arial"/>
        </w:rPr>
        <w:t xml:space="preserve">of the relationship between job </w:t>
      </w:r>
      <w:r w:rsidR="00DE0EC1" w:rsidRPr="00DE0EC1">
        <w:rPr>
          <w:rFonts w:cs="Arial"/>
        </w:rPr>
        <w:t>satisfaction and employee engagement</w:t>
      </w:r>
      <w:r w:rsidR="00DE0EC1">
        <w:rPr>
          <w:rFonts w:cs="Arial"/>
        </w:rPr>
        <w:t>’</w:t>
      </w:r>
      <w:r w:rsidR="00DE0EC1" w:rsidRPr="00DE0EC1">
        <w:rPr>
          <w:rFonts w:cs="Arial"/>
        </w:rPr>
        <w:t xml:space="preserve">. </w:t>
      </w:r>
      <w:r w:rsidR="00DE0EC1" w:rsidRPr="00DE0EC1">
        <w:rPr>
          <w:rFonts w:cs="Arial"/>
          <w:i/>
        </w:rPr>
        <w:t>Economic Themes</w:t>
      </w:r>
      <w:r w:rsidR="00DE0EC1" w:rsidRPr="00DE0EC1">
        <w:rPr>
          <w:rFonts w:cs="Arial"/>
        </w:rPr>
        <w:t xml:space="preserve">, </w:t>
      </w:r>
      <w:r w:rsidR="00DE0EC1">
        <w:rPr>
          <w:rFonts w:cs="Arial"/>
        </w:rPr>
        <w:t xml:space="preserve">Vol. </w:t>
      </w:r>
      <w:r w:rsidR="00DE0EC1" w:rsidRPr="00DE0EC1">
        <w:rPr>
          <w:rFonts w:cs="Arial"/>
        </w:rPr>
        <w:t>55</w:t>
      </w:r>
      <w:r w:rsidR="00DE0EC1">
        <w:rPr>
          <w:rFonts w:cs="Arial"/>
        </w:rPr>
        <w:t>, No. 2</w:t>
      </w:r>
      <w:r w:rsidR="00DE0EC1" w:rsidRPr="00DE0EC1">
        <w:rPr>
          <w:rFonts w:cs="Arial"/>
        </w:rPr>
        <w:t xml:space="preserve">, </w:t>
      </w:r>
      <w:r w:rsidR="00DE0EC1">
        <w:rPr>
          <w:rFonts w:cs="Arial"/>
        </w:rPr>
        <w:t xml:space="preserve">pp. </w:t>
      </w:r>
      <w:r w:rsidR="00DE0EC1" w:rsidRPr="00DE0EC1">
        <w:rPr>
          <w:rFonts w:cs="Arial"/>
        </w:rPr>
        <w:t>243–262.</w:t>
      </w:r>
    </w:p>
    <w:p w:rsidR="0069727C" w:rsidRPr="0069727C" w:rsidRDefault="0069727C" w:rsidP="00DE0EC1">
      <w:pPr>
        <w:pStyle w:val="Standard"/>
        <w:spacing w:after="0" w:line="240" w:lineRule="auto"/>
        <w:rPr>
          <w:rFonts w:cs="Arial"/>
        </w:rPr>
      </w:pPr>
    </w:p>
    <w:p w:rsidR="0069727C" w:rsidRPr="0069727C" w:rsidRDefault="0069727C" w:rsidP="0069727C">
      <w:pPr>
        <w:pStyle w:val="Standard"/>
        <w:spacing w:after="0" w:line="240" w:lineRule="auto"/>
        <w:rPr>
          <w:rFonts w:cs="Arial"/>
          <w:b/>
        </w:rPr>
      </w:pPr>
      <w:r w:rsidRPr="0069727C">
        <w:rPr>
          <w:rFonts w:cs="Arial"/>
        </w:rPr>
        <w:t>Wellins, R.S., Brenthal, P., &amp; Phelps, M. (2006). Employee engagement: The key to realising competitive advantage. DDI</w:t>
      </w:r>
      <w:r w:rsidRPr="0069727C">
        <w:rPr>
          <w:rFonts w:cs="Arial"/>
          <w:b/>
        </w:rPr>
        <w:t>.</w:t>
      </w:r>
    </w:p>
    <w:p w:rsidR="003C65EB" w:rsidRDefault="003C65EB" w:rsidP="009C04EF">
      <w:pPr>
        <w:pStyle w:val="Standard"/>
        <w:spacing w:after="0" w:line="240" w:lineRule="auto"/>
        <w:rPr>
          <w:rFonts w:cs="Arial"/>
        </w:rPr>
      </w:pPr>
    </w:p>
    <w:p w:rsidR="003C65EB" w:rsidRDefault="003C65EB" w:rsidP="009C04EF">
      <w:pPr>
        <w:pStyle w:val="Standard"/>
        <w:spacing w:after="0" w:line="240" w:lineRule="auto"/>
        <w:rPr>
          <w:rFonts w:cs="Arial"/>
        </w:rPr>
      </w:pPr>
    </w:p>
    <w:p w:rsidR="009C04EF" w:rsidRDefault="009C04EF" w:rsidP="009C04EF">
      <w:pPr>
        <w:pStyle w:val="Standard"/>
        <w:spacing w:after="0" w:line="240" w:lineRule="auto"/>
        <w:rPr>
          <w:rFonts w:cs="Arial"/>
        </w:rPr>
      </w:pPr>
    </w:p>
    <w:p w:rsidR="009C04EF" w:rsidRDefault="009C04EF" w:rsidP="009C04EF">
      <w:pPr>
        <w:pStyle w:val="Standard"/>
        <w:spacing w:after="0" w:line="240" w:lineRule="auto"/>
        <w:rPr>
          <w:rFonts w:cs="Arial"/>
          <w:b/>
          <w:sz w:val="28"/>
        </w:rPr>
      </w:pPr>
    </w:p>
    <w:p w:rsidR="009C04EF" w:rsidRDefault="009C04EF" w:rsidP="009C04EF">
      <w:pPr>
        <w:pStyle w:val="Standard"/>
        <w:spacing w:after="0" w:line="240" w:lineRule="auto"/>
        <w:rPr>
          <w:rFonts w:cs="Arial"/>
          <w:b/>
          <w:sz w:val="28"/>
        </w:rPr>
      </w:pPr>
    </w:p>
    <w:p w:rsidR="009C04EF" w:rsidRPr="0040036B" w:rsidRDefault="009C04EF" w:rsidP="002F2FEE">
      <w:pPr>
        <w:pStyle w:val="Standard"/>
        <w:spacing w:after="0" w:line="240" w:lineRule="auto"/>
        <w:rPr>
          <w:b/>
        </w:rPr>
      </w:pPr>
    </w:p>
    <w:sectPr w:rsidR="009C04EF" w:rsidRPr="0040036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6340D" w:rsidRDefault="00A6340D" w:rsidP="00480C79">
      <w:pPr>
        <w:spacing w:after="0" w:line="240" w:lineRule="auto"/>
      </w:pPr>
      <w:r>
        <w:separator/>
      </w:r>
    </w:p>
  </w:endnote>
  <w:endnote w:type="continuationSeparator" w:id="0">
    <w:p w:rsidR="00A6340D" w:rsidRDefault="00A6340D" w:rsidP="00480C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F">
    <w:altName w:val="Times New Roman"/>
    <w:charset w:val="00"/>
    <w:family w:val="auto"/>
    <w:pitch w:val="variable"/>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6340D" w:rsidRDefault="00A6340D" w:rsidP="00480C79">
      <w:pPr>
        <w:spacing w:after="0" w:line="240" w:lineRule="auto"/>
      </w:pPr>
      <w:r>
        <w:separator/>
      </w:r>
    </w:p>
  </w:footnote>
  <w:footnote w:type="continuationSeparator" w:id="0">
    <w:p w:rsidR="00A6340D" w:rsidRDefault="00A6340D" w:rsidP="00480C7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2D47317"/>
    <w:multiLevelType w:val="multilevel"/>
    <w:tmpl w:val="0CFC8A36"/>
    <w:lvl w:ilvl="0">
      <w:start w:val="1"/>
      <w:numFmt w:val="decimal"/>
      <w:lvlText w:val="%1"/>
      <w:lvlJc w:val="left"/>
      <w:pPr>
        <w:ind w:left="360" w:hanging="360"/>
      </w:pPr>
      <w:rPr>
        <w:rFonts w:asciiTheme="minorHAnsi" w:hAnsiTheme="minorHAnsi" w:cstheme="minorBidi" w:hint="default"/>
        <w:color w:val="auto"/>
        <w:sz w:val="22"/>
      </w:rPr>
    </w:lvl>
    <w:lvl w:ilvl="1">
      <w:start w:val="3"/>
      <w:numFmt w:val="decimal"/>
      <w:lvlText w:val="%1.%2"/>
      <w:lvlJc w:val="left"/>
      <w:pPr>
        <w:ind w:left="720" w:hanging="360"/>
      </w:pPr>
      <w:rPr>
        <w:rFonts w:asciiTheme="minorHAnsi" w:hAnsiTheme="minorHAnsi" w:cstheme="minorBidi" w:hint="default"/>
        <w:color w:val="auto"/>
        <w:sz w:val="22"/>
      </w:rPr>
    </w:lvl>
    <w:lvl w:ilvl="2">
      <w:start w:val="1"/>
      <w:numFmt w:val="decimal"/>
      <w:lvlText w:val="%1.%2.%3"/>
      <w:lvlJc w:val="left"/>
      <w:pPr>
        <w:ind w:left="1440" w:hanging="720"/>
      </w:pPr>
      <w:rPr>
        <w:rFonts w:asciiTheme="minorHAnsi" w:hAnsiTheme="minorHAnsi" w:cstheme="minorBidi" w:hint="default"/>
        <w:color w:val="auto"/>
        <w:sz w:val="22"/>
      </w:rPr>
    </w:lvl>
    <w:lvl w:ilvl="3">
      <w:start w:val="1"/>
      <w:numFmt w:val="decimal"/>
      <w:lvlText w:val="%1.%2.%3.%4"/>
      <w:lvlJc w:val="left"/>
      <w:pPr>
        <w:ind w:left="1800" w:hanging="720"/>
      </w:pPr>
      <w:rPr>
        <w:rFonts w:asciiTheme="minorHAnsi" w:hAnsiTheme="minorHAnsi" w:cstheme="minorBidi" w:hint="default"/>
        <w:color w:val="auto"/>
        <w:sz w:val="22"/>
      </w:rPr>
    </w:lvl>
    <w:lvl w:ilvl="4">
      <w:start w:val="1"/>
      <w:numFmt w:val="decimal"/>
      <w:lvlText w:val="%1.%2.%3.%4.%5"/>
      <w:lvlJc w:val="left"/>
      <w:pPr>
        <w:ind w:left="2520" w:hanging="1080"/>
      </w:pPr>
      <w:rPr>
        <w:rFonts w:asciiTheme="minorHAnsi" w:hAnsiTheme="minorHAnsi" w:cstheme="minorBidi" w:hint="default"/>
        <w:color w:val="auto"/>
        <w:sz w:val="22"/>
      </w:rPr>
    </w:lvl>
    <w:lvl w:ilvl="5">
      <w:start w:val="1"/>
      <w:numFmt w:val="decimal"/>
      <w:lvlText w:val="%1.%2.%3.%4.%5.%6"/>
      <w:lvlJc w:val="left"/>
      <w:pPr>
        <w:ind w:left="2880" w:hanging="1080"/>
      </w:pPr>
      <w:rPr>
        <w:rFonts w:asciiTheme="minorHAnsi" w:hAnsiTheme="minorHAnsi" w:cstheme="minorBidi" w:hint="default"/>
        <w:color w:val="auto"/>
        <w:sz w:val="22"/>
      </w:rPr>
    </w:lvl>
    <w:lvl w:ilvl="6">
      <w:start w:val="1"/>
      <w:numFmt w:val="decimal"/>
      <w:lvlText w:val="%1.%2.%3.%4.%5.%6.%7"/>
      <w:lvlJc w:val="left"/>
      <w:pPr>
        <w:ind w:left="3600" w:hanging="1440"/>
      </w:pPr>
      <w:rPr>
        <w:rFonts w:asciiTheme="minorHAnsi" w:hAnsiTheme="minorHAnsi" w:cstheme="minorBidi" w:hint="default"/>
        <w:color w:val="auto"/>
        <w:sz w:val="22"/>
      </w:rPr>
    </w:lvl>
    <w:lvl w:ilvl="7">
      <w:start w:val="1"/>
      <w:numFmt w:val="decimal"/>
      <w:lvlText w:val="%1.%2.%3.%4.%5.%6.%7.%8"/>
      <w:lvlJc w:val="left"/>
      <w:pPr>
        <w:ind w:left="3960" w:hanging="1440"/>
      </w:pPr>
      <w:rPr>
        <w:rFonts w:asciiTheme="minorHAnsi" w:hAnsiTheme="minorHAnsi" w:cstheme="minorBidi" w:hint="default"/>
        <w:color w:val="auto"/>
        <w:sz w:val="22"/>
      </w:rPr>
    </w:lvl>
    <w:lvl w:ilvl="8">
      <w:start w:val="1"/>
      <w:numFmt w:val="decimal"/>
      <w:lvlText w:val="%1.%2.%3.%4.%5.%6.%7.%8.%9"/>
      <w:lvlJc w:val="left"/>
      <w:pPr>
        <w:ind w:left="4680" w:hanging="1800"/>
      </w:pPr>
      <w:rPr>
        <w:rFonts w:asciiTheme="minorHAnsi" w:hAnsiTheme="minorHAnsi" w:cstheme="minorBidi" w:hint="default"/>
        <w:color w:val="auto"/>
        <w:sz w:val="22"/>
      </w:rPr>
    </w:lvl>
  </w:abstractNum>
  <w:abstractNum w:abstractNumId="1" w15:restartNumberingAfterBreak="0">
    <w:nsid w:val="491C02C9"/>
    <w:multiLevelType w:val="multilevel"/>
    <w:tmpl w:val="FC82A3AE"/>
    <w:lvl w:ilvl="0">
      <w:start w:val="1"/>
      <w:numFmt w:val="decimal"/>
      <w:lvlText w:val="%1."/>
      <w:lvlJc w:val="left"/>
      <w:pPr>
        <w:ind w:left="720" w:hanging="360"/>
      </w:pPr>
      <w:rPr>
        <w:rFonts w:asciiTheme="minorHAnsi" w:hAnsiTheme="minorHAnsi" w:hint="default"/>
        <w:b w:val="0"/>
        <w:color w:val="auto"/>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4AAA29A3"/>
    <w:multiLevelType w:val="hybridMultilevel"/>
    <w:tmpl w:val="D3EC88C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539A1173"/>
    <w:multiLevelType w:val="multilevel"/>
    <w:tmpl w:val="FC82A3AE"/>
    <w:lvl w:ilvl="0">
      <w:start w:val="1"/>
      <w:numFmt w:val="decimal"/>
      <w:lvlText w:val="%1."/>
      <w:lvlJc w:val="left"/>
      <w:pPr>
        <w:ind w:left="720" w:hanging="360"/>
      </w:pPr>
      <w:rPr>
        <w:rFonts w:asciiTheme="minorHAnsi" w:hAnsiTheme="minorHAnsi" w:hint="default"/>
        <w:b w:val="0"/>
        <w:color w:val="auto"/>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633955ED"/>
    <w:multiLevelType w:val="hybridMultilevel"/>
    <w:tmpl w:val="3530FD6C"/>
    <w:lvl w:ilvl="0" w:tplc="BEB84398">
      <w:start w:val="1"/>
      <w:numFmt w:val="bullet"/>
      <w:lvlText w:val="•"/>
      <w:lvlJc w:val="left"/>
      <w:pPr>
        <w:tabs>
          <w:tab w:val="num" w:pos="720"/>
        </w:tabs>
        <w:ind w:left="720" w:hanging="360"/>
      </w:pPr>
      <w:rPr>
        <w:rFonts w:ascii="Arial" w:hAnsi="Arial" w:hint="default"/>
      </w:rPr>
    </w:lvl>
    <w:lvl w:ilvl="1" w:tplc="A498DBCE" w:tentative="1">
      <w:start w:val="1"/>
      <w:numFmt w:val="bullet"/>
      <w:lvlText w:val="•"/>
      <w:lvlJc w:val="left"/>
      <w:pPr>
        <w:tabs>
          <w:tab w:val="num" w:pos="1440"/>
        </w:tabs>
        <w:ind w:left="1440" w:hanging="360"/>
      </w:pPr>
      <w:rPr>
        <w:rFonts w:ascii="Arial" w:hAnsi="Arial" w:hint="default"/>
      </w:rPr>
    </w:lvl>
    <w:lvl w:ilvl="2" w:tplc="ED9C0192" w:tentative="1">
      <w:start w:val="1"/>
      <w:numFmt w:val="bullet"/>
      <w:lvlText w:val="•"/>
      <w:lvlJc w:val="left"/>
      <w:pPr>
        <w:tabs>
          <w:tab w:val="num" w:pos="2160"/>
        </w:tabs>
        <w:ind w:left="2160" w:hanging="360"/>
      </w:pPr>
      <w:rPr>
        <w:rFonts w:ascii="Arial" w:hAnsi="Arial" w:hint="default"/>
      </w:rPr>
    </w:lvl>
    <w:lvl w:ilvl="3" w:tplc="750E16E2" w:tentative="1">
      <w:start w:val="1"/>
      <w:numFmt w:val="bullet"/>
      <w:lvlText w:val="•"/>
      <w:lvlJc w:val="left"/>
      <w:pPr>
        <w:tabs>
          <w:tab w:val="num" w:pos="2880"/>
        </w:tabs>
        <w:ind w:left="2880" w:hanging="360"/>
      </w:pPr>
      <w:rPr>
        <w:rFonts w:ascii="Arial" w:hAnsi="Arial" w:hint="default"/>
      </w:rPr>
    </w:lvl>
    <w:lvl w:ilvl="4" w:tplc="65224362" w:tentative="1">
      <w:start w:val="1"/>
      <w:numFmt w:val="bullet"/>
      <w:lvlText w:val="•"/>
      <w:lvlJc w:val="left"/>
      <w:pPr>
        <w:tabs>
          <w:tab w:val="num" w:pos="3600"/>
        </w:tabs>
        <w:ind w:left="3600" w:hanging="360"/>
      </w:pPr>
      <w:rPr>
        <w:rFonts w:ascii="Arial" w:hAnsi="Arial" w:hint="default"/>
      </w:rPr>
    </w:lvl>
    <w:lvl w:ilvl="5" w:tplc="51602240" w:tentative="1">
      <w:start w:val="1"/>
      <w:numFmt w:val="bullet"/>
      <w:lvlText w:val="•"/>
      <w:lvlJc w:val="left"/>
      <w:pPr>
        <w:tabs>
          <w:tab w:val="num" w:pos="4320"/>
        </w:tabs>
        <w:ind w:left="4320" w:hanging="360"/>
      </w:pPr>
      <w:rPr>
        <w:rFonts w:ascii="Arial" w:hAnsi="Arial" w:hint="default"/>
      </w:rPr>
    </w:lvl>
    <w:lvl w:ilvl="6" w:tplc="4398A8BC" w:tentative="1">
      <w:start w:val="1"/>
      <w:numFmt w:val="bullet"/>
      <w:lvlText w:val="•"/>
      <w:lvlJc w:val="left"/>
      <w:pPr>
        <w:tabs>
          <w:tab w:val="num" w:pos="5040"/>
        </w:tabs>
        <w:ind w:left="5040" w:hanging="360"/>
      </w:pPr>
      <w:rPr>
        <w:rFonts w:ascii="Arial" w:hAnsi="Arial" w:hint="default"/>
      </w:rPr>
    </w:lvl>
    <w:lvl w:ilvl="7" w:tplc="D32CCB80" w:tentative="1">
      <w:start w:val="1"/>
      <w:numFmt w:val="bullet"/>
      <w:lvlText w:val="•"/>
      <w:lvlJc w:val="left"/>
      <w:pPr>
        <w:tabs>
          <w:tab w:val="num" w:pos="5760"/>
        </w:tabs>
        <w:ind w:left="5760" w:hanging="360"/>
      </w:pPr>
      <w:rPr>
        <w:rFonts w:ascii="Arial" w:hAnsi="Arial" w:hint="default"/>
      </w:rPr>
    </w:lvl>
    <w:lvl w:ilvl="8" w:tplc="813EBF36" w:tentative="1">
      <w:start w:val="1"/>
      <w:numFmt w:val="bullet"/>
      <w:lvlText w:val="•"/>
      <w:lvlJc w:val="left"/>
      <w:pPr>
        <w:tabs>
          <w:tab w:val="num" w:pos="6480"/>
        </w:tabs>
        <w:ind w:left="6480" w:hanging="360"/>
      </w:pPr>
      <w:rPr>
        <w:rFonts w:ascii="Arial" w:hAnsi="Arial" w:hint="default"/>
      </w:rPr>
    </w:lvl>
  </w:abstractNum>
  <w:num w:numId="1">
    <w:abstractNumId w:val="2"/>
  </w:num>
  <w:num w:numId="2">
    <w:abstractNumId w:val="3"/>
  </w:num>
  <w:num w:numId="3">
    <w:abstractNumId w:val="0"/>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80C79"/>
    <w:rsid w:val="00023775"/>
    <w:rsid w:val="00025982"/>
    <w:rsid w:val="00025BBA"/>
    <w:rsid w:val="00026209"/>
    <w:rsid w:val="00026B62"/>
    <w:rsid w:val="00034F1F"/>
    <w:rsid w:val="00037B17"/>
    <w:rsid w:val="0004051B"/>
    <w:rsid w:val="0004450C"/>
    <w:rsid w:val="000562F1"/>
    <w:rsid w:val="000575CA"/>
    <w:rsid w:val="00067F18"/>
    <w:rsid w:val="0007373A"/>
    <w:rsid w:val="00075717"/>
    <w:rsid w:val="000938B0"/>
    <w:rsid w:val="00093E48"/>
    <w:rsid w:val="00094D97"/>
    <w:rsid w:val="000A49CC"/>
    <w:rsid w:val="000B5D49"/>
    <w:rsid w:val="000B7600"/>
    <w:rsid w:val="000C4F68"/>
    <w:rsid w:val="000C735D"/>
    <w:rsid w:val="000D2856"/>
    <w:rsid w:val="000E222C"/>
    <w:rsid w:val="000F2EFC"/>
    <w:rsid w:val="00112957"/>
    <w:rsid w:val="0011646D"/>
    <w:rsid w:val="00121047"/>
    <w:rsid w:val="00126757"/>
    <w:rsid w:val="00134CF6"/>
    <w:rsid w:val="00141999"/>
    <w:rsid w:val="00141BFD"/>
    <w:rsid w:val="00143E9B"/>
    <w:rsid w:val="00152052"/>
    <w:rsid w:val="00153316"/>
    <w:rsid w:val="00165E1F"/>
    <w:rsid w:val="00182A0B"/>
    <w:rsid w:val="00186481"/>
    <w:rsid w:val="001936F9"/>
    <w:rsid w:val="001C16CB"/>
    <w:rsid w:val="001D2A3D"/>
    <w:rsid w:val="001E3CE9"/>
    <w:rsid w:val="001E3D77"/>
    <w:rsid w:val="001E58B3"/>
    <w:rsid w:val="00221D1E"/>
    <w:rsid w:val="00222D98"/>
    <w:rsid w:val="00224940"/>
    <w:rsid w:val="00226489"/>
    <w:rsid w:val="00236C01"/>
    <w:rsid w:val="00254117"/>
    <w:rsid w:val="002632B4"/>
    <w:rsid w:val="0026790A"/>
    <w:rsid w:val="00270CC8"/>
    <w:rsid w:val="00272861"/>
    <w:rsid w:val="002832BA"/>
    <w:rsid w:val="002A2234"/>
    <w:rsid w:val="002A5946"/>
    <w:rsid w:val="002B14BB"/>
    <w:rsid w:val="002C0399"/>
    <w:rsid w:val="002C38C8"/>
    <w:rsid w:val="002C3CEC"/>
    <w:rsid w:val="002C4C44"/>
    <w:rsid w:val="002D0A81"/>
    <w:rsid w:val="002D4BCA"/>
    <w:rsid w:val="002D6E88"/>
    <w:rsid w:val="002E05B2"/>
    <w:rsid w:val="002F2FEE"/>
    <w:rsid w:val="002F7A36"/>
    <w:rsid w:val="0030320D"/>
    <w:rsid w:val="00310346"/>
    <w:rsid w:val="00314526"/>
    <w:rsid w:val="00332154"/>
    <w:rsid w:val="0033277E"/>
    <w:rsid w:val="0034686B"/>
    <w:rsid w:val="0034704E"/>
    <w:rsid w:val="003630C6"/>
    <w:rsid w:val="00363393"/>
    <w:rsid w:val="003641EE"/>
    <w:rsid w:val="003709DF"/>
    <w:rsid w:val="003719A0"/>
    <w:rsid w:val="00381349"/>
    <w:rsid w:val="00383123"/>
    <w:rsid w:val="00384315"/>
    <w:rsid w:val="00384746"/>
    <w:rsid w:val="003911B0"/>
    <w:rsid w:val="00395B67"/>
    <w:rsid w:val="00395D4E"/>
    <w:rsid w:val="0039704C"/>
    <w:rsid w:val="0039714C"/>
    <w:rsid w:val="003B41CE"/>
    <w:rsid w:val="003C1C5D"/>
    <w:rsid w:val="003C65EB"/>
    <w:rsid w:val="003D4253"/>
    <w:rsid w:val="003D4478"/>
    <w:rsid w:val="003D4DDE"/>
    <w:rsid w:val="003D612C"/>
    <w:rsid w:val="003D6F62"/>
    <w:rsid w:val="003E26E8"/>
    <w:rsid w:val="003E305E"/>
    <w:rsid w:val="003F20EF"/>
    <w:rsid w:val="0040036B"/>
    <w:rsid w:val="00403FB8"/>
    <w:rsid w:val="004055B9"/>
    <w:rsid w:val="00405F36"/>
    <w:rsid w:val="00416321"/>
    <w:rsid w:val="00424DCD"/>
    <w:rsid w:val="004257A5"/>
    <w:rsid w:val="00425C92"/>
    <w:rsid w:val="004423B1"/>
    <w:rsid w:val="004475E5"/>
    <w:rsid w:val="00450BD4"/>
    <w:rsid w:val="00453F98"/>
    <w:rsid w:val="004562FB"/>
    <w:rsid w:val="004577FC"/>
    <w:rsid w:val="00463D72"/>
    <w:rsid w:val="00480C79"/>
    <w:rsid w:val="004816B4"/>
    <w:rsid w:val="00484F7D"/>
    <w:rsid w:val="00486AC0"/>
    <w:rsid w:val="00490FB1"/>
    <w:rsid w:val="0049302F"/>
    <w:rsid w:val="0049712A"/>
    <w:rsid w:val="00497690"/>
    <w:rsid w:val="004A1BC9"/>
    <w:rsid w:val="004A5FAA"/>
    <w:rsid w:val="004A7D6A"/>
    <w:rsid w:val="004B023E"/>
    <w:rsid w:val="004B5E6B"/>
    <w:rsid w:val="004B62B8"/>
    <w:rsid w:val="004C1ED6"/>
    <w:rsid w:val="004C45BD"/>
    <w:rsid w:val="004C4A81"/>
    <w:rsid w:val="004D31A4"/>
    <w:rsid w:val="004D600E"/>
    <w:rsid w:val="004D7DF1"/>
    <w:rsid w:val="004F1F66"/>
    <w:rsid w:val="0050188D"/>
    <w:rsid w:val="00506867"/>
    <w:rsid w:val="00507CC1"/>
    <w:rsid w:val="005105B6"/>
    <w:rsid w:val="00522954"/>
    <w:rsid w:val="00527434"/>
    <w:rsid w:val="00530319"/>
    <w:rsid w:val="0053612B"/>
    <w:rsid w:val="005414E0"/>
    <w:rsid w:val="005424BE"/>
    <w:rsid w:val="00545D35"/>
    <w:rsid w:val="0055046D"/>
    <w:rsid w:val="00551504"/>
    <w:rsid w:val="005636AE"/>
    <w:rsid w:val="00574985"/>
    <w:rsid w:val="005968DF"/>
    <w:rsid w:val="005A1BFE"/>
    <w:rsid w:val="005B156E"/>
    <w:rsid w:val="005B5CBA"/>
    <w:rsid w:val="005C1755"/>
    <w:rsid w:val="005C471D"/>
    <w:rsid w:val="005C581C"/>
    <w:rsid w:val="005C783B"/>
    <w:rsid w:val="005D3EE9"/>
    <w:rsid w:val="005E07C1"/>
    <w:rsid w:val="005E1484"/>
    <w:rsid w:val="005E76C3"/>
    <w:rsid w:val="005F52A0"/>
    <w:rsid w:val="005F687B"/>
    <w:rsid w:val="00605998"/>
    <w:rsid w:val="006123AA"/>
    <w:rsid w:val="006130D3"/>
    <w:rsid w:val="00622D82"/>
    <w:rsid w:val="00625927"/>
    <w:rsid w:val="00625DFC"/>
    <w:rsid w:val="006460AB"/>
    <w:rsid w:val="00646CEC"/>
    <w:rsid w:val="006528F5"/>
    <w:rsid w:val="006541BD"/>
    <w:rsid w:val="006574F2"/>
    <w:rsid w:val="0066474F"/>
    <w:rsid w:val="00665675"/>
    <w:rsid w:val="00680F0E"/>
    <w:rsid w:val="00696ACD"/>
    <w:rsid w:val="0069727C"/>
    <w:rsid w:val="006A7611"/>
    <w:rsid w:val="006B4F4A"/>
    <w:rsid w:val="006C1678"/>
    <w:rsid w:val="006D4688"/>
    <w:rsid w:val="006F2929"/>
    <w:rsid w:val="006F4F5D"/>
    <w:rsid w:val="006F79A8"/>
    <w:rsid w:val="0070128C"/>
    <w:rsid w:val="00710DB4"/>
    <w:rsid w:val="0072030B"/>
    <w:rsid w:val="0072163B"/>
    <w:rsid w:val="00742189"/>
    <w:rsid w:val="00746029"/>
    <w:rsid w:val="007541AF"/>
    <w:rsid w:val="00772A87"/>
    <w:rsid w:val="007827A8"/>
    <w:rsid w:val="00792A3F"/>
    <w:rsid w:val="007A2A19"/>
    <w:rsid w:val="007C5770"/>
    <w:rsid w:val="007D267D"/>
    <w:rsid w:val="007D291D"/>
    <w:rsid w:val="007D5A3C"/>
    <w:rsid w:val="007E03BB"/>
    <w:rsid w:val="007E1762"/>
    <w:rsid w:val="007E37B2"/>
    <w:rsid w:val="007F29C1"/>
    <w:rsid w:val="007F6D40"/>
    <w:rsid w:val="00802DCE"/>
    <w:rsid w:val="00822F6D"/>
    <w:rsid w:val="00824DDA"/>
    <w:rsid w:val="008301FC"/>
    <w:rsid w:val="00830520"/>
    <w:rsid w:val="00847520"/>
    <w:rsid w:val="00865F0A"/>
    <w:rsid w:val="00872FCF"/>
    <w:rsid w:val="008750AD"/>
    <w:rsid w:val="00877F8A"/>
    <w:rsid w:val="00880AAE"/>
    <w:rsid w:val="00890A77"/>
    <w:rsid w:val="008911A0"/>
    <w:rsid w:val="00891E5D"/>
    <w:rsid w:val="00893A91"/>
    <w:rsid w:val="008A061B"/>
    <w:rsid w:val="008A7654"/>
    <w:rsid w:val="008A77A3"/>
    <w:rsid w:val="008B5CF6"/>
    <w:rsid w:val="008C19CF"/>
    <w:rsid w:val="008C2EC8"/>
    <w:rsid w:val="008C63AC"/>
    <w:rsid w:val="008C6DE8"/>
    <w:rsid w:val="008D2D70"/>
    <w:rsid w:val="008D3F8A"/>
    <w:rsid w:val="008D7A39"/>
    <w:rsid w:val="008E07C2"/>
    <w:rsid w:val="008E31CF"/>
    <w:rsid w:val="008F1C2A"/>
    <w:rsid w:val="008F5EC4"/>
    <w:rsid w:val="008F627B"/>
    <w:rsid w:val="00903FF9"/>
    <w:rsid w:val="00905CC8"/>
    <w:rsid w:val="00905F3C"/>
    <w:rsid w:val="009109EB"/>
    <w:rsid w:val="00915AD9"/>
    <w:rsid w:val="0091729B"/>
    <w:rsid w:val="00920C3E"/>
    <w:rsid w:val="00925037"/>
    <w:rsid w:val="00927BCF"/>
    <w:rsid w:val="00933786"/>
    <w:rsid w:val="009520ED"/>
    <w:rsid w:val="00977C44"/>
    <w:rsid w:val="00981C65"/>
    <w:rsid w:val="00984829"/>
    <w:rsid w:val="00985B13"/>
    <w:rsid w:val="0099495F"/>
    <w:rsid w:val="00996269"/>
    <w:rsid w:val="009A3436"/>
    <w:rsid w:val="009B1E4D"/>
    <w:rsid w:val="009B7E37"/>
    <w:rsid w:val="009C04EF"/>
    <w:rsid w:val="009C2A73"/>
    <w:rsid w:val="009E5216"/>
    <w:rsid w:val="009F119C"/>
    <w:rsid w:val="00A04718"/>
    <w:rsid w:val="00A2442F"/>
    <w:rsid w:val="00A24651"/>
    <w:rsid w:val="00A310AE"/>
    <w:rsid w:val="00A3359A"/>
    <w:rsid w:val="00A63197"/>
    <w:rsid w:val="00A6340D"/>
    <w:rsid w:val="00A77434"/>
    <w:rsid w:val="00A806B4"/>
    <w:rsid w:val="00AD5D69"/>
    <w:rsid w:val="00AD6F58"/>
    <w:rsid w:val="00AE1859"/>
    <w:rsid w:val="00AE3D2B"/>
    <w:rsid w:val="00AE3DAE"/>
    <w:rsid w:val="00AF5582"/>
    <w:rsid w:val="00AF6731"/>
    <w:rsid w:val="00B1769F"/>
    <w:rsid w:val="00B2774D"/>
    <w:rsid w:val="00B36618"/>
    <w:rsid w:val="00B36E5C"/>
    <w:rsid w:val="00B42545"/>
    <w:rsid w:val="00B454F1"/>
    <w:rsid w:val="00B56DCA"/>
    <w:rsid w:val="00B619EC"/>
    <w:rsid w:val="00B65B34"/>
    <w:rsid w:val="00B70560"/>
    <w:rsid w:val="00B764F6"/>
    <w:rsid w:val="00B864F5"/>
    <w:rsid w:val="00B911A3"/>
    <w:rsid w:val="00BA29E5"/>
    <w:rsid w:val="00BA4C64"/>
    <w:rsid w:val="00BB3E88"/>
    <w:rsid w:val="00BC209F"/>
    <w:rsid w:val="00BC582A"/>
    <w:rsid w:val="00BD0EC8"/>
    <w:rsid w:val="00BD2EF9"/>
    <w:rsid w:val="00BD7E79"/>
    <w:rsid w:val="00BE7767"/>
    <w:rsid w:val="00BF4DA3"/>
    <w:rsid w:val="00C01154"/>
    <w:rsid w:val="00C0246F"/>
    <w:rsid w:val="00C031BB"/>
    <w:rsid w:val="00C05351"/>
    <w:rsid w:val="00C05B0A"/>
    <w:rsid w:val="00C10A7E"/>
    <w:rsid w:val="00C143DE"/>
    <w:rsid w:val="00C14AE7"/>
    <w:rsid w:val="00C219E4"/>
    <w:rsid w:val="00C24453"/>
    <w:rsid w:val="00C3347E"/>
    <w:rsid w:val="00C34769"/>
    <w:rsid w:val="00C37F8B"/>
    <w:rsid w:val="00C41254"/>
    <w:rsid w:val="00C504B5"/>
    <w:rsid w:val="00C55B22"/>
    <w:rsid w:val="00C5606B"/>
    <w:rsid w:val="00C613D5"/>
    <w:rsid w:val="00C63186"/>
    <w:rsid w:val="00C75C51"/>
    <w:rsid w:val="00C85AB2"/>
    <w:rsid w:val="00CA065F"/>
    <w:rsid w:val="00CA0B8A"/>
    <w:rsid w:val="00CB288B"/>
    <w:rsid w:val="00CB5610"/>
    <w:rsid w:val="00CD385E"/>
    <w:rsid w:val="00CD3C79"/>
    <w:rsid w:val="00CD44B2"/>
    <w:rsid w:val="00CE78DF"/>
    <w:rsid w:val="00CF28B2"/>
    <w:rsid w:val="00CF5C79"/>
    <w:rsid w:val="00D031F9"/>
    <w:rsid w:val="00D047AB"/>
    <w:rsid w:val="00D05689"/>
    <w:rsid w:val="00D07DCB"/>
    <w:rsid w:val="00D166E0"/>
    <w:rsid w:val="00D21304"/>
    <w:rsid w:val="00D3274C"/>
    <w:rsid w:val="00D508FA"/>
    <w:rsid w:val="00D57C29"/>
    <w:rsid w:val="00D7009D"/>
    <w:rsid w:val="00D7212E"/>
    <w:rsid w:val="00D7360B"/>
    <w:rsid w:val="00D840F3"/>
    <w:rsid w:val="00D875DF"/>
    <w:rsid w:val="00DA28B9"/>
    <w:rsid w:val="00DA5B30"/>
    <w:rsid w:val="00DB5429"/>
    <w:rsid w:val="00DD173A"/>
    <w:rsid w:val="00DD4F98"/>
    <w:rsid w:val="00DD79E9"/>
    <w:rsid w:val="00DE0EC1"/>
    <w:rsid w:val="00DE4961"/>
    <w:rsid w:val="00E05CBC"/>
    <w:rsid w:val="00E20B4D"/>
    <w:rsid w:val="00E22DE3"/>
    <w:rsid w:val="00E257C3"/>
    <w:rsid w:val="00E275E5"/>
    <w:rsid w:val="00E314AC"/>
    <w:rsid w:val="00E45D1A"/>
    <w:rsid w:val="00E52590"/>
    <w:rsid w:val="00E5306D"/>
    <w:rsid w:val="00E53EC0"/>
    <w:rsid w:val="00E60D8D"/>
    <w:rsid w:val="00E634DC"/>
    <w:rsid w:val="00E67B88"/>
    <w:rsid w:val="00E82A4B"/>
    <w:rsid w:val="00E86C4B"/>
    <w:rsid w:val="00E91588"/>
    <w:rsid w:val="00E93FC2"/>
    <w:rsid w:val="00E9573C"/>
    <w:rsid w:val="00EA045E"/>
    <w:rsid w:val="00EA16A5"/>
    <w:rsid w:val="00EA27AB"/>
    <w:rsid w:val="00EA36EC"/>
    <w:rsid w:val="00EA5036"/>
    <w:rsid w:val="00EA6A0A"/>
    <w:rsid w:val="00EC7454"/>
    <w:rsid w:val="00ED02EC"/>
    <w:rsid w:val="00ED1C00"/>
    <w:rsid w:val="00ED1E88"/>
    <w:rsid w:val="00ED3E77"/>
    <w:rsid w:val="00ED3F22"/>
    <w:rsid w:val="00EE4956"/>
    <w:rsid w:val="00EF28F0"/>
    <w:rsid w:val="00EF6D78"/>
    <w:rsid w:val="00F15311"/>
    <w:rsid w:val="00F158F4"/>
    <w:rsid w:val="00F234D0"/>
    <w:rsid w:val="00F2373C"/>
    <w:rsid w:val="00F24B33"/>
    <w:rsid w:val="00F3017D"/>
    <w:rsid w:val="00F53DAF"/>
    <w:rsid w:val="00F55BA7"/>
    <w:rsid w:val="00F62B69"/>
    <w:rsid w:val="00F81E53"/>
    <w:rsid w:val="00F84FB4"/>
    <w:rsid w:val="00F978E7"/>
    <w:rsid w:val="00FA380C"/>
    <w:rsid w:val="00FB3466"/>
    <w:rsid w:val="00FB3662"/>
    <w:rsid w:val="00FB6041"/>
    <w:rsid w:val="00FD3F24"/>
    <w:rsid w:val="00FD6846"/>
    <w:rsid w:val="00FE04C9"/>
    <w:rsid w:val="00FE336E"/>
    <w:rsid w:val="00FF55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66A46C"/>
  <w15:chartTrackingRefBased/>
  <w15:docId w15:val="{54001DAC-2BAD-43FF-8D1B-731D9B1A9D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80C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0C79"/>
  </w:style>
  <w:style w:type="paragraph" w:styleId="Footer">
    <w:name w:val="footer"/>
    <w:basedOn w:val="Normal"/>
    <w:link w:val="FooterChar"/>
    <w:uiPriority w:val="99"/>
    <w:unhideWhenUsed/>
    <w:rsid w:val="00480C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0C79"/>
  </w:style>
  <w:style w:type="paragraph" w:customStyle="1" w:styleId="Standard">
    <w:name w:val="Standard"/>
    <w:rsid w:val="00927BCF"/>
    <w:pPr>
      <w:suppressAutoHyphens/>
      <w:autoSpaceDN w:val="0"/>
      <w:spacing w:after="200" w:line="276" w:lineRule="auto"/>
      <w:textAlignment w:val="baseline"/>
    </w:pPr>
    <w:rPr>
      <w:rFonts w:ascii="Calibri" w:eastAsia="SimSun" w:hAnsi="Calibri" w:cs="F"/>
      <w:kern w:val="3"/>
    </w:rPr>
  </w:style>
  <w:style w:type="paragraph" w:styleId="ListParagraph">
    <w:name w:val="List Paragraph"/>
    <w:basedOn w:val="Normal"/>
    <w:uiPriority w:val="34"/>
    <w:qFormat/>
    <w:rsid w:val="00D840F3"/>
    <w:pPr>
      <w:spacing w:after="0" w:line="240" w:lineRule="auto"/>
      <w:ind w:left="720"/>
      <w:contextualSpacing/>
    </w:pPr>
    <w:rPr>
      <w:rFonts w:ascii="Arial" w:eastAsia="Calibri" w:hAnsi="Arial" w:cs="Times New Roman"/>
    </w:rPr>
  </w:style>
  <w:style w:type="character" w:styleId="Hyperlink">
    <w:name w:val="Hyperlink"/>
    <w:basedOn w:val="DefaultParagraphFont"/>
    <w:rsid w:val="009C04EF"/>
    <w:rPr>
      <w:color w:val="0563C1"/>
      <w:u w:val="single"/>
    </w:rPr>
  </w:style>
  <w:style w:type="table" w:styleId="TableGrid">
    <w:name w:val="Table Grid"/>
    <w:basedOn w:val="TableNormal"/>
    <w:uiPriority w:val="39"/>
    <w:rsid w:val="007A2A1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416321"/>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3992339">
      <w:bodyDiv w:val="1"/>
      <w:marLeft w:val="0"/>
      <w:marRight w:val="0"/>
      <w:marTop w:val="0"/>
      <w:marBottom w:val="0"/>
      <w:divBdr>
        <w:top w:val="none" w:sz="0" w:space="0" w:color="auto"/>
        <w:left w:val="none" w:sz="0" w:space="0" w:color="auto"/>
        <w:bottom w:val="none" w:sz="0" w:space="0" w:color="auto"/>
        <w:right w:val="none" w:sz="0" w:space="0" w:color="auto"/>
      </w:divBdr>
    </w:div>
    <w:div w:id="114914100">
      <w:bodyDiv w:val="1"/>
      <w:marLeft w:val="0"/>
      <w:marRight w:val="0"/>
      <w:marTop w:val="0"/>
      <w:marBottom w:val="0"/>
      <w:divBdr>
        <w:top w:val="none" w:sz="0" w:space="0" w:color="auto"/>
        <w:left w:val="none" w:sz="0" w:space="0" w:color="auto"/>
        <w:bottom w:val="none" w:sz="0" w:space="0" w:color="auto"/>
        <w:right w:val="none" w:sz="0" w:space="0" w:color="auto"/>
      </w:divBdr>
    </w:div>
    <w:div w:id="208538133">
      <w:bodyDiv w:val="1"/>
      <w:marLeft w:val="0"/>
      <w:marRight w:val="0"/>
      <w:marTop w:val="0"/>
      <w:marBottom w:val="0"/>
      <w:divBdr>
        <w:top w:val="none" w:sz="0" w:space="0" w:color="auto"/>
        <w:left w:val="none" w:sz="0" w:space="0" w:color="auto"/>
        <w:bottom w:val="none" w:sz="0" w:space="0" w:color="auto"/>
        <w:right w:val="none" w:sz="0" w:space="0" w:color="auto"/>
      </w:divBdr>
    </w:div>
    <w:div w:id="262229283">
      <w:bodyDiv w:val="1"/>
      <w:marLeft w:val="0"/>
      <w:marRight w:val="0"/>
      <w:marTop w:val="0"/>
      <w:marBottom w:val="0"/>
      <w:divBdr>
        <w:top w:val="none" w:sz="0" w:space="0" w:color="auto"/>
        <w:left w:val="none" w:sz="0" w:space="0" w:color="auto"/>
        <w:bottom w:val="none" w:sz="0" w:space="0" w:color="auto"/>
        <w:right w:val="none" w:sz="0" w:space="0" w:color="auto"/>
      </w:divBdr>
    </w:div>
    <w:div w:id="379551541">
      <w:bodyDiv w:val="1"/>
      <w:marLeft w:val="0"/>
      <w:marRight w:val="0"/>
      <w:marTop w:val="0"/>
      <w:marBottom w:val="0"/>
      <w:divBdr>
        <w:top w:val="none" w:sz="0" w:space="0" w:color="auto"/>
        <w:left w:val="none" w:sz="0" w:space="0" w:color="auto"/>
        <w:bottom w:val="none" w:sz="0" w:space="0" w:color="auto"/>
        <w:right w:val="none" w:sz="0" w:space="0" w:color="auto"/>
      </w:divBdr>
      <w:divsChild>
        <w:div w:id="1014725179">
          <w:marLeft w:val="360"/>
          <w:marRight w:val="0"/>
          <w:marTop w:val="200"/>
          <w:marBottom w:val="0"/>
          <w:divBdr>
            <w:top w:val="none" w:sz="0" w:space="0" w:color="auto"/>
            <w:left w:val="none" w:sz="0" w:space="0" w:color="auto"/>
            <w:bottom w:val="none" w:sz="0" w:space="0" w:color="auto"/>
            <w:right w:val="none" w:sz="0" w:space="0" w:color="auto"/>
          </w:divBdr>
        </w:div>
        <w:div w:id="952597580">
          <w:marLeft w:val="360"/>
          <w:marRight w:val="0"/>
          <w:marTop w:val="200"/>
          <w:marBottom w:val="0"/>
          <w:divBdr>
            <w:top w:val="none" w:sz="0" w:space="0" w:color="auto"/>
            <w:left w:val="none" w:sz="0" w:space="0" w:color="auto"/>
            <w:bottom w:val="none" w:sz="0" w:space="0" w:color="auto"/>
            <w:right w:val="none" w:sz="0" w:space="0" w:color="auto"/>
          </w:divBdr>
        </w:div>
        <w:div w:id="549463639">
          <w:marLeft w:val="360"/>
          <w:marRight w:val="0"/>
          <w:marTop w:val="200"/>
          <w:marBottom w:val="0"/>
          <w:divBdr>
            <w:top w:val="none" w:sz="0" w:space="0" w:color="auto"/>
            <w:left w:val="none" w:sz="0" w:space="0" w:color="auto"/>
            <w:bottom w:val="none" w:sz="0" w:space="0" w:color="auto"/>
            <w:right w:val="none" w:sz="0" w:space="0" w:color="auto"/>
          </w:divBdr>
        </w:div>
        <w:div w:id="676349570">
          <w:marLeft w:val="360"/>
          <w:marRight w:val="0"/>
          <w:marTop w:val="200"/>
          <w:marBottom w:val="0"/>
          <w:divBdr>
            <w:top w:val="none" w:sz="0" w:space="0" w:color="auto"/>
            <w:left w:val="none" w:sz="0" w:space="0" w:color="auto"/>
            <w:bottom w:val="none" w:sz="0" w:space="0" w:color="auto"/>
            <w:right w:val="none" w:sz="0" w:space="0" w:color="auto"/>
          </w:divBdr>
        </w:div>
      </w:divsChild>
    </w:div>
    <w:div w:id="390931710">
      <w:bodyDiv w:val="1"/>
      <w:marLeft w:val="0"/>
      <w:marRight w:val="0"/>
      <w:marTop w:val="0"/>
      <w:marBottom w:val="0"/>
      <w:divBdr>
        <w:top w:val="none" w:sz="0" w:space="0" w:color="auto"/>
        <w:left w:val="none" w:sz="0" w:space="0" w:color="auto"/>
        <w:bottom w:val="none" w:sz="0" w:space="0" w:color="auto"/>
        <w:right w:val="none" w:sz="0" w:space="0" w:color="auto"/>
      </w:divBdr>
    </w:div>
    <w:div w:id="685910859">
      <w:bodyDiv w:val="1"/>
      <w:marLeft w:val="0"/>
      <w:marRight w:val="0"/>
      <w:marTop w:val="0"/>
      <w:marBottom w:val="0"/>
      <w:divBdr>
        <w:top w:val="none" w:sz="0" w:space="0" w:color="auto"/>
        <w:left w:val="none" w:sz="0" w:space="0" w:color="auto"/>
        <w:bottom w:val="none" w:sz="0" w:space="0" w:color="auto"/>
        <w:right w:val="none" w:sz="0" w:space="0" w:color="auto"/>
      </w:divBdr>
      <w:divsChild>
        <w:div w:id="1220171224">
          <w:marLeft w:val="749"/>
          <w:marRight w:val="0"/>
          <w:marTop w:val="200"/>
          <w:marBottom w:val="0"/>
          <w:divBdr>
            <w:top w:val="none" w:sz="0" w:space="0" w:color="auto"/>
            <w:left w:val="none" w:sz="0" w:space="0" w:color="auto"/>
            <w:bottom w:val="none" w:sz="0" w:space="0" w:color="auto"/>
            <w:right w:val="none" w:sz="0" w:space="0" w:color="auto"/>
          </w:divBdr>
        </w:div>
        <w:div w:id="1065181575">
          <w:marLeft w:val="749"/>
          <w:marRight w:val="0"/>
          <w:marTop w:val="200"/>
          <w:marBottom w:val="0"/>
          <w:divBdr>
            <w:top w:val="none" w:sz="0" w:space="0" w:color="auto"/>
            <w:left w:val="none" w:sz="0" w:space="0" w:color="auto"/>
            <w:bottom w:val="none" w:sz="0" w:space="0" w:color="auto"/>
            <w:right w:val="none" w:sz="0" w:space="0" w:color="auto"/>
          </w:divBdr>
        </w:div>
      </w:divsChild>
    </w:div>
    <w:div w:id="803238563">
      <w:bodyDiv w:val="1"/>
      <w:marLeft w:val="0"/>
      <w:marRight w:val="0"/>
      <w:marTop w:val="0"/>
      <w:marBottom w:val="0"/>
      <w:divBdr>
        <w:top w:val="none" w:sz="0" w:space="0" w:color="auto"/>
        <w:left w:val="none" w:sz="0" w:space="0" w:color="auto"/>
        <w:bottom w:val="none" w:sz="0" w:space="0" w:color="auto"/>
        <w:right w:val="none" w:sz="0" w:space="0" w:color="auto"/>
      </w:divBdr>
    </w:div>
    <w:div w:id="1018433552">
      <w:bodyDiv w:val="1"/>
      <w:marLeft w:val="0"/>
      <w:marRight w:val="0"/>
      <w:marTop w:val="0"/>
      <w:marBottom w:val="0"/>
      <w:divBdr>
        <w:top w:val="none" w:sz="0" w:space="0" w:color="auto"/>
        <w:left w:val="none" w:sz="0" w:space="0" w:color="auto"/>
        <w:bottom w:val="none" w:sz="0" w:space="0" w:color="auto"/>
        <w:right w:val="none" w:sz="0" w:space="0" w:color="auto"/>
      </w:divBdr>
    </w:div>
    <w:div w:id="1179586720">
      <w:bodyDiv w:val="1"/>
      <w:marLeft w:val="0"/>
      <w:marRight w:val="0"/>
      <w:marTop w:val="0"/>
      <w:marBottom w:val="0"/>
      <w:divBdr>
        <w:top w:val="none" w:sz="0" w:space="0" w:color="auto"/>
        <w:left w:val="none" w:sz="0" w:space="0" w:color="auto"/>
        <w:bottom w:val="none" w:sz="0" w:space="0" w:color="auto"/>
        <w:right w:val="none" w:sz="0" w:space="0" w:color="auto"/>
      </w:divBdr>
    </w:div>
    <w:div w:id="1346245792">
      <w:bodyDiv w:val="1"/>
      <w:marLeft w:val="0"/>
      <w:marRight w:val="0"/>
      <w:marTop w:val="0"/>
      <w:marBottom w:val="0"/>
      <w:divBdr>
        <w:top w:val="none" w:sz="0" w:space="0" w:color="auto"/>
        <w:left w:val="none" w:sz="0" w:space="0" w:color="auto"/>
        <w:bottom w:val="none" w:sz="0" w:space="0" w:color="auto"/>
        <w:right w:val="none" w:sz="0" w:space="0" w:color="auto"/>
      </w:divBdr>
    </w:div>
    <w:div w:id="1573540359">
      <w:bodyDiv w:val="1"/>
      <w:marLeft w:val="0"/>
      <w:marRight w:val="0"/>
      <w:marTop w:val="0"/>
      <w:marBottom w:val="0"/>
      <w:divBdr>
        <w:top w:val="none" w:sz="0" w:space="0" w:color="auto"/>
        <w:left w:val="none" w:sz="0" w:space="0" w:color="auto"/>
        <w:bottom w:val="none" w:sz="0" w:space="0" w:color="auto"/>
        <w:right w:val="none" w:sz="0" w:space="0" w:color="auto"/>
      </w:divBdr>
    </w:div>
    <w:div w:id="1573657228">
      <w:bodyDiv w:val="1"/>
      <w:marLeft w:val="0"/>
      <w:marRight w:val="0"/>
      <w:marTop w:val="0"/>
      <w:marBottom w:val="0"/>
      <w:divBdr>
        <w:top w:val="none" w:sz="0" w:space="0" w:color="auto"/>
        <w:left w:val="none" w:sz="0" w:space="0" w:color="auto"/>
        <w:bottom w:val="none" w:sz="0" w:space="0" w:color="auto"/>
        <w:right w:val="none" w:sz="0" w:space="0" w:color="auto"/>
      </w:divBdr>
    </w:div>
    <w:div w:id="15805530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2663</TotalTime>
  <Pages>12</Pages>
  <Words>4430</Words>
  <Characters>25251</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Rhodri Packman</dc:creator>
  <cp:keywords/>
  <dc:description/>
  <cp:lastModifiedBy>Rhodri Packman</cp:lastModifiedBy>
  <cp:revision>141</cp:revision>
  <dcterms:created xsi:type="dcterms:W3CDTF">2020-01-05T10:11:00Z</dcterms:created>
  <dcterms:modified xsi:type="dcterms:W3CDTF">2020-01-28T14:00:00Z</dcterms:modified>
</cp:coreProperties>
</file>