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11E7C" w14:textId="24C40744" w:rsidR="00754B01" w:rsidRDefault="00754B01" w:rsidP="00EB3F8E">
      <w:pPr>
        <w:spacing w:beforeLines="150" w:before="468" w:afterLines="200" w:after="624"/>
        <w:jc w:val="center"/>
        <w:rPr>
          <w:rFonts w:ascii="Times New Roman" w:hAnsi="Times New Roman" w:cs="Times New Roman"/>
          <w:b/>
          <w:bCs/>
          <w:sz w:val="32"/>
          <w:szCs w:val="32"/>
        </w:rPr>
      </w:pPr>
      <w:r w:rsidRPr="00EB3F8E">
        <w:rPr>
          <w:rFonts w:ascii="Times New Roman" w:hAnsi="Times New Roman" w:cs="Times New Roman"/>
          <w:b/>
          <w:bCs/>
          <w:sz w:val="32"/>
          <w:szCs w:val="32"/>
        </w:rPr>
        <w:t>Data Security, Governance and Compliance</w:t>
      </w:r>
    </w:p>
    <w:p w14:paraId="39791F1F" w14:textId="77777777" w:rsidR="00EB3F8E" w:rsidRPr="00D0111B" w:rsidRDefault="00EB3F8E" w:rsidP="00EB3F8E">
      <w:pPr>
        <w:jc w:val="center"/>
        <w:rPr>
          <w:rFonts w:ascii="Times New Roman" w:hAnsi="Times New Roman" w:cs="Times New Roman"/>
        </w:rPr>
      </w:pPr>
      <w:r w:rsidRPr="00D0111B">
        <w:rPr>
          <w:rFonts w:ascii="Times New Roman" w:hAnsi="Times New Roman" w:cs="Times New Roman" w:hint="eastAsia"/>
        </w:rPr>
        <w:t>S</w:t>
      </w:r>
      <w:r w:rsidRPr="00D0111B">
        <w:rPr>
          <w:rFonts w:ascii="Times New Roman" w:hAnsi="Times New Roman" w:cs="Times New Roman"/>
        </w:rPr>
        <w:t>huo Zhang</w:t>
      </w:r>
    </w:p>
    <w:p w14:paraId="76ABC086" w14:textId="77777777" w:rsidR="00EB3F8E" w:rsidRDefault="00000000" w:rsidP="00EB3F8E">
      <w:pPr>
        <w:jc w:val="center"/>
        <w:rPr>
          <w:rFonts w:ascii="Times New Roman" w:hAnsi="Times New Roman" w:cs="Times New Roman"/>
        </w:rPr>
      </w:pPr>
      <w:hyperlink r:id="rId7" w:history="1">
        <w:r w:rsidR="00EB3F8E" w:rsidRPr="00EB3F8E">
          <w:rPr>
            <w:rFonts w:ascii="Times New Roman" w:hAnsi="Times New Roman" w:cs="Times New Roman" w:hint="eastAsia"/>
          </w:rPr>
          <w:t>2</w:t>
        </w:r>
        <w:r w:rsidR="00EB3F8E" w:rsidRPr="00EB3F8E">
          <w:rPr>
            <w:rFonts w:ascii="Times New Roman" w:hAnsi="Times New Roman" w:cs="Times New Roman"/>
          </w:rPr>
          <w:t>304515@student.uwtsd.ac.uk</w:t>
        </w:r>
      </w:hyperlink>
    </w:p>
    <w:p w14:paraId="48D9BCA7" w14:textId="72550F9A" w:rsidR="008E7B2F" w:rsidRPr="00EB3F8E" w:rsidRDefault="008D6425" w:rsidP="00EB3F8E">
      <w:pPr>
        <w:ind w:firstLineChars="100" w:firstLine="210"/>
        <w:rPr>
          <w:rFonts w:ascii="Times New Roman" w:hAnsi="Times New Roman" w:cs="Times New Roman"/>
          <w:b/>
          <w:bCs/>
        </w:rPr>
      </w:pPr>
      <w:r w:rsidRPr="00EB3F8E">
        <w:rPr>
          <w:rFonts w:ascii="Times New Roman" w:hAnsi="Times New Roman" w:cs="Times New Roman" w:hint="eastAsia"/>
          <w:b/>
          <w:bCs/>
        </w:rPr>
        <w:t>abstract</w:t>
      </w:r>
      <w:r w:rsidRPr="00EB3F8E">
        <w:rPr>
          <w:rFonts w:ascii="Times New Roman" w:hAnsi="Times New Roman" w:cs="Times New Roman"/>
          <w:b/>
          <w:bCs/>
        </w:rPr>
        <w:t>. In the digital era, where the Internet plays a vital role in our daily lives, ensuring robust Data Security, Governance, and Compliance (DSC) has become imperative. This is especially crucial for global industry leaders like NatureGarden (NG), operating in diverse sectors such as business, healthcare, education, and government. This paper explores the multifaceted challenges faced by NG, including its extensive online presence, cloud service utilization, and management of a remote workforce. This paper delves into the current framework of COSO, emphasizing the need for NG to enhance its risk management foundation by establishing a robust information management system and reinforcing the information security organizational structure. The analysis includes a focus on personnel, technology, and compliance risks, outlining measures.</w:t>
      </w:r>
      <w:r w:rsidR="008E7B2F" w:rsidRPr="00EB3F8E">
        <w:rPr>
          <w:rFonts w:ascii="Times New Roman" w:hAnsi="Times New Roman" w:cs="Times New Roman"/>
          <w:b/>
          <w:bCs/>
        </w:rPr>
        <w:t xml:space="preserve"> The research presented in this report can provide a deeper understanding of the DSC field and the ability to apply this knowledge in practical business environments. </w:t>
      </w:r>
    </w:p>
    <w:p w14:paraId="1E6C4C5C" w14:textId="7DDE52A4" w:rsidR="008D6425" w:rsidRPr="00EB3F8E" w:rsidRDefault="008E7B2F" w:rsidP="00EB3F8E">
      <w:pPr>
        <w:ind w:firstLineChars="100" w:firstLine="210"/>
        <w:rPr>
          <w:rFonts w:ascii="Times New Roman" w:hAnsi="Times New Roman" w:cs="Times New Roman"/>
          <w:b/>
          <w:bCs/>
        </w:rPr>
      </w:pPr>
      <w:r w:rsidRPr="00EB3F8E">
        <w:rPr>
          <w:rFonts w:ascii="Times New Roman" w:hAnsi="Times New Roman" w:cs="Times New Roman"/>
          <w:b/>
          <w:bCs/>
        </w:rPr>
        <w:br/>
      </w:r>
      <w:r w:rsidRPr="00EB3F8E">
        <w:rPr>
          <w:rFonts w:ascii="Times New Roman" w:hAnsi="Times New Roman" w:cs="Times New Roman" w:hint="eastAsia"/>
          <w:b/>
          <w:bCs/>
        </w:rPr>
        <w:t>keywords</w:t>
      </w:r>
      <w:r w:rsidRPr="00EB3F8E">
        <w:rPr>
          <w:rFonts w:ascii="Times New Roman" w:hAnsi="Times New Roman" w:cs="Times New Roman" w:hint="eastAsia"/>
          <w:b/>
          <w:bCs/>
        </w:rPr>
        <w:t>：</w:t>
      </w:r>
      <w:r w:rsidRPr="00EB3F8E">
        <w:rPr>
          <w:rFonts w:ascii="Times New Roman" w:hAnsi="Times New Roman" w:cs="Times New Roman"/>
          <w:b/>
          <w:bCs/>
        </w:rPr>
        <w:t>Data Security, Governance, Compliance</w:t>
      </w:r>
      <w:r w:rsidRPr="00EB3F8E">
        <w:rPr>
          <w:rFonts w:ascii="Times New Roman" w:hAnsi="Times New Roman" w:cs="Times New Roman" w:hint="eastAsia"/>
          <w:b/>
          <w:bCs/>
        </w:rPr>
        <w:t>，</w:t>
      </w:r>
      <w:r w:rsidRPr="00EB3F8E">
        <w:rPr>
          <w:rFonts w:ascii="Times New Roman" w:hAnsi="Times New Roman" w:cs="Times New Roman" w:hint="eastAsia"/>
          <w:b/>
          <w:bCs/>
        </w:rPr>
        <w:t>COSO</w:t>
      </w:r>
    </w:p>
    <w:p w14:paraId="4A162A58" w14:textId="238E0E32" w:rsidR="00E25067" w:rsidRPr="00EB3F8E" w:rsidRDefault="00E25067" w:rsidP="00EB3F8E">
      <w:pPr>
        <w:pStyle w:val="1"/>
        <w:numPr>
          <w:ilvl w:val="0"/>
          <w:numId w:val="1"/>
        </w:numPr>
        <w:spacing w:before="340" w:after="330" w:line="578" w:lineRule="auto"/>
        <w:ind w:left="0" w:firstLine="0"/>
        <w:rPr>
          <w:rFonts w:ascii="Times New Roman" w:eastAsiaTheme="minorEastAsia" w:hAnsi="Times New Roman" w:cs="Times New Roman"/>
          <w:b/>
          <w:bCs/>
          <w:color w:val="auto"/>
          <w:kern w:val="44"/>
          <w:sz w:val="32"/>
          <w:szCs w:val="32"/>
        </w:rPr>
      </w:pPr>
      <w:r w:rsidRPr="00EB3F8E">
        <w:rPr>
          <w:rFonts w:ascii="Times New Roman" w:eastAsiaTheme="minorEastAsia" w:hAnsi="Times New Roman" w:cs="Times New Roman" w:hint="eastAsia"/>
          <w:b/>
          <w:bCs/>
          <w:color w:val="auto"/>
          <w:kern w:val="44"/>
          <w:sz w:val="32"/>
          <w:szCs w:val="32"/>
        </w:rPr>
        <w:t>Introduction</w:t>
      </w:r>
    </w:p>
    <w:p w14:paraId="2BB7AE41" w14:textId="260E5073" w:rsidR="00E25067" w:rsidRPr="00EB3F8E" w:rsidRDefault="00E25067"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In an era where the Internet has become an indispensable aspect of our lives, enabling unfettered access to vast information and facilitating seamless communication and online operations, the imperative of fortifying data security, governance, and compliance (DSC) has never been more pronounced. DSC is the linchpin for shielding sensitive and confidential information from unauthorized access, ensuring data integrity, and aligning with regulatory standards. This mandate holds particular resonance across diverse sectors, including business, healthcare, education, and government, where the trustworthiness of data and systems is non-negotiable</w:t>
      </w:r>
      <w:r w:rsidR="00A60F35" w:rsidRPr="00EB3F8E">
        <w:rPr>
          <w:rFonts w:ascii="Times New Roman" w:hAnsi="Times New Roman" w:cs="Times New Roman"/>
          <w:sz w:val="24"/>
          <w:szCs w:val="24"/>
        </w:rPr>
        <w:t xml:space="preserve"> [1]</w:t>
      </w:r>
      <w:r w:rsidRPr="00EB3F8E">
        <w:rPr>
          <w:rFonts w:ascii="Times New Roman" w:hAnsi="Times New Roman" w:cs="Times New Roman"/>
          <w:sz w:val="24"/>
          <w:szCs w:val="24"/>
        </w:rPr>
        <w:t>.</w:t>
      </w:r>
    </w:p>
    <w:p w14:paraId="40A4BE9E" w14:textId="77777777" w:rsidR="00E25067" w:rsidRPr="00EB3F8E" w:rsidRDefault="00E25067"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A pivotal facet of DSC is the meticulous process of data classification, entailing the identification and categorization of data based on its value, sensitivity, and risk level. This classification serves as the cornerstone for determining the requisite level of protection and control for different data types, mirroring established standards and best practices. High-risk data demands encryption, stringent access controls, and robust auditing mechanisms to prevent unauthorized access or leakage, aligning with established frameworks such as ISO 27001. Meanwhile, low-risk data may find its place in less secure locations or be shared with a more limited audience, guided by principles outlined in security management models like NIST's Cybersecurity Framework.</w:t>
      </w:r>
    </w:p>
    <w:p w14:paraId="0B31866C" w14:textId="77777777" w:rsidR="00E25067" w:rsidRPr="00EB3F8E" w:rsidRDefault="00E25067"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lastRenderedPageBreak/>
        <w:t>In the dynamic landscape of NatureGarden (NG), a global industry leader in products promoting healthy living, the significance of effective DSC cannot be overstated. As NG caters to a vast network of customers globally and maintains an extensive remote workforce, the utilization of cloud services for IT service delivery underscores the importance of aligning with ITIL (Information Technology Infrastructure Library) practices. Simultaneously, the prevalence of an online presence and engagement in social media activities accentuates the need for robust protection mechanisms in line with industry standards.</w:t>
      </w:r>
    </w:p>
    <w:p w14:paraId="05FE9A9B" w14:textId="77777777" w:rsidR="00E25067" w:rsidRPr="00EB3F8E" w:rsidRDefault="00E25067"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NG confronts a multitude of external threats, ranging from potential cyberattacks to insider threats, both of which necessitate adherence to compliance standards and legal frameworks such as those outlined in data protection laws and ethical guidelines. Moreover, the specter of natural disasters and human errors emphasizes the need for contingency planning in line with best practices.</w:t>
      </w:r>
    </w:p>
    <w:p w14:paraId="137DD6B9" w14:textId="77777777" w:rsidR="00E25067" w:rsidRPr="00EB3F8E" w:rsidRDefault="00E25067"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Navigating these multifaceted challenges requires NG to implement a comprehensive DSC strategy that draws inspiration from established frameworks and models. However, the complexity and diversity inherent in NG's IT environment pose additional hurdles to the effective implementation of DSC measures, necessitating a tailored approach that amalgamates best practices and innovative solutions.</w:t>
      </w:r>
    </w:p>
    <w:p w14:paraId="22B80ECC" w14:textId="75DF83D5" w:rsidR="00F75724" w:rsidRPr="00EB3F8E" w:rsidRDefault="00F75724" w:rsidP="00EB3F8E">
      <w:pPr>
        <w:pStyle w:val="1"/>
        <w:numPr>
          <w:ilvl w:val="0"/>
          <w:numId w:val="1"/>
        </w:numPr>
        <w:spacing w:before="340" w:after="330" w:line="578" w:lineRule="auto"/>
        <w:ind w:left="0" w:firstLine="0"/>
        <w:rPr>
          <w:rFonts w:ascii="Times New Roman" w:eastAsiaTheme="minorEastAsia" w:hAnsi="Times New Roman" w:cs="Times New Roman"/>
          <w:b/>
          <w:bCs/>
          <w:color w:val="auto"/>
          <w:kern w:val="44"/>
          <w:sz w:val="32"/>
          <w:szCs w:val="32"/>
        </w:rPr>
      </w:pPr>
      <w:r w:rsidRPr="00EB3F8E">
        <w:rPr>
          <w:rFonts w:ascii="Times New Roman" w:eastAsiaTheme="minorEastAsia" w:hAnsi="Times New Roman" w:cs="Times New Roman"/>
          <w:b/>
          <w:bCs/>
          <w:color w:val="auto"/>
          <w:kern w:val="44"/>
          <w:sz w:val="32"/>
          <w:szCs w:val="32"/>
        </w:rPr>
        <w:t>Research on Security Frameworks and Models</w:t>
      </w:r>
    </w:p>
    <w:p w14:paraId="7372B881" w14:textId="1F42E41A" w:rsidR="008976FF" w:rsidRPr="00EB3F8E" w:rsidRDefault="008976FF"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 xml:space="preserve">In today's rapidly advancing era of technology, information security stands out as a primary concern for professionals in the field. Several technical frameworks, including ITIL (Information Technology Infrastructure Library), </w:t>
      </w:r>
      <w:r w:rsidR="00A274F0">
        <w:rPr>
          <w:rFonts w:ascii="Times New Roman" w:hAnsi="Times New Roman" w:cs="Times New Roman"/>
          <w:sz w:val="24"/>
          <w:szCs w:val="24"/>
        </w:rPr>
        <w:t>COSO</w:t>
      </w:r>
      <w:r w:rsidRPr="00EB3F8E">
        <w:rPr>
          <w:rFonts w:ascii="Times New Roman" w:hAnsi="Times New Roman" w:cs="Times New Roman"/>
          <w:sz w:val="24"/>
          <w:szCs w:val="24"/>
        </w:rPr>
        <w:t xml:space="preserve"> framework, and COBIT (Control Objectives for Information and Related Technologies) framework, exist to assist enterprises in comprehensive vulnerability assessments, adopting appropriate security controls, and taking necessary actions based on governance requirements and the confidentiality of information security policies and regulations. ITIL, specifically, is a best practice framework used to guide and standardize Information Technology Service Management (ITSM), ensuring that information technology services are aligned with business objectives and can adapt to changes in business objectives.</w:t>
      </w:r>
    </w:p>
    <w:p w14:paraId="4BA7792C" w14:textId="24D8BC31" w:rsidR="0063070E" w:rsidRPr="00391EFB" w:rsidRDefault="0063070E" w:rsidP="00391EFB">
      <w:pPr>
        <w:pStyle w:val="2"/>
        <w:numPr>
          <w:ilvl w:val="1"/>
          <w:numId w:val="1"/>
        </w:numPr>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hint="eastAsia"/>
          <w:b/>
          <w:bCs/>
          <w:color w:val="auto"/>
          <w:sz w:val="24"/>
          <w:szCs w:val="24"/>
        </w:rPr>
        <w:t>ISO</w:t>
      </w:r>
      <w:r w:rsidRPr="00391EFB">
        <w:rPr>
          <w:rFonts w:ascii="Times New Roman" w:hAnsi="Times New Roman" w:cs="Times New Roman"/>
          <w:b/>
          <w:bCs/>
          <w:color w:val="auto"/>
          <w:sz w:val="24"/>
          <w:szCs w:val="24"/>
        </w:rPr>
        <w:t xml:space="preserve"> 27000</w:t>
      </w:r>
    </w:p>
    <w:p w14:paraId="25594270" w14:textId="40BF7B07" w:rsidR="0041511A" w:rsidRPr="00EB3F8E" w:rsidRDefault="0041511A"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ISO 20000 is a standard that focuses on institutional IT service management, with the goal of providing a framework for establishing, implementing, operating, monitoring, reviewing, maintaining, and improving IT service management systems (ITSM)</w:t>
      </w:r>
      <w:r w:rsidR="00B030FE" w:rsidRPr="00EB3F8E">
        <w:rPr>
          <w:rFonts w:ascii="Times New Roman" w:hAnsi="Times New Roman" w:cs="Times New Roman"/>
          <w:sz w:val="24"/>
          <w:szCs w:val="24"/>
        </w:rPr>
        <w:t xml:space="preserve"> [2]</w:t>
      </w:r>
      <w:r w:rsidRPr="00EB3F8E">
        <w:rPr>
          <w:rFonts w:ascii="Times New Roman" w:hAnsi="Times New Roman" w:cs="Times New Roman"/>
          <w:sz w:val="24"/>
          <w:szCs w:val="24"/>
        </w:rPr>
        <w:t xml:space="preserve">. Establishing an IT service management system has become an indispensable mechanism for managing operational risks in various organizations, especially in financial institutions, telecommunications, high-tech industries, and other fields. ISO 20000 provides a reference framework for IT managers to effectively manage IT services, and through certification, organizations can demonstrate their </w:t>
      </w:r>
      <w:r w:rsidRPr="00EB3F8E">
        <w:rPr>
          <w:rFonts w:ascii="Times New Roman" w:hAnsi="Times New Roman" w:cs="Times New Roman"/>
          <w:sz w:val="24"/>
          <w:szCs w:val="24"/>
        </w:rPr>
        <w:lastRenderedPageBreak/>
        <w:t>comprehensive level of IT management.</w:t>
      </w:r>
    </w:p>
    <w:p w14:paraId="1A2D192C" w14:textId="64EE4EFE" w:rsidR="0041511A" w:rsidRPr="00EB3F8E" w:rsidRDefault="0041511A"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The ISO 20000 standard focuses on managing IT issues through "IT service standardization". This means categorizing IT issues, identifying the inherent connections between them, and then planning, implementing, and monitoring them based on service level agreements. Communication with customers is emphasized throughout the entire process. At the same time, this standard focuses on the capabilities of the ITSM system, including requirements for change management level, financial budgeting, software control, and allocation. This approach helps to ensure standardization and high-quality delivery of IT services, improving the overall IT management level of the organization</w:t>
      </w:r>
    </w:p>
    <w:p w14:paraId="5370C1DB" w14:textId="3A63E888" w:rsidR="00E25067" w:rsidRPr="00391EFB" w:rsidRDefault="0063070E" w:rsidP="00391EFB">
      <w:pPr>
        <w:pStyle w:val="2"/>
        <w:numPr>
          <w:ilvl w:val="1"/>
          <w:numId w:val="1"/>
        </w:numPr>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b/>
          <w:bCs/>
          <w:color w:val="auto"/>
          <w:sz w:val="24"/>
          <w:szCs w:val="24"/>
        </w:rPr>
        <w:t>ITIL (Information Technology Infrastructure Library)</w:t>
      </w:r>
    </w:p>
    <w:p w14:paraId="3B8CDBC9" w14:textId="452C5859" w:rsidR="00A20DC2" w:rsidRPr="00EB3F8E" w:rsidRDefault="00DE5FB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ITIL (Information Technology Infrastructure Library) is a best practice framework used to guide and standardize Information Technology Service Management (ITSM)</w:t>
      </w:r>
      <w:r w:rsidR="00B030FE" w:rsidRPr="00EB3F8E">
        <w:rPr>
          <w:rFonts w:ascii="Times New Roman" w:hAnsi="Times New Roman" w:cs="Times New Roman"/>
          <w:sz w:val="24"/>
          <w:szCs w:val="24"/>
        </w:rPr>
        <w:t xml:space="preserve"> [3]</w:t>
      </w:r>
      <w:r w:rsidRPr="00EB3F8E">
        <w:rPr>
          <w:rFonts w:ascii="Times New Roman" w:hAnsi="Times New Roman" w:cs="Times New Roman"/>
          <w:sz w:val="24"/>
          <w:szCs w:val="24"/>
        </w:rPr>
        <w:t>. The main goal of ITIL is to ensure that information technology services are aligned with business objectives and able to adapt to changes in business objectives.</w:t>
      </w:r>
      <w:r w:rsidR="00A20DC2" w:rsidRPr="00EB3F8E">
        <w:rPr>
          <w:rFonts w:ascii="Times New Roman" w:hAnsi="Times New Roman" w:cs="Times New Roman"/>
          <w:sz w:val="24"/>
          <w:szCs w:val="24"/>
        </w:rPr>
        <w:t xml:space="preserve"> </w:t>
      </w:r>
      <w:r w:rsidR="006F5FFC" w:rsidRPr="00EB3F8E">
        <w:rPr>
          <w:rFonts w:ascii="Times New Roman" w:hAnsi="Times New Roman" w:cs="Times New Roman"/>
          <w:sz w:val="24"/>
          <w:szCs w:val="24"/>
        </w:rPr>
        <w:t>ITIL is a comprehensive, consistent, and scalable IT service management framework aimed at standardizing and systematizing the process of providing and managing IT services. ITIL provides best practice recommendations and guidelines to assist businesses in effectively managing and improving the quality and reliability of IT services.</w:t>
      </w:r>
    </w:p>
    <w:p w14:paraId="04025444" w14:textId="7FA685BE" w:rsidR="00DF5AC6" w:rsidRDefault="00DF5AC6" w:rsidP="00DF5AC6">
      <w:pPr>
        <w:pStyle w:val="af2"/>
        <w:spacing w:before="180" w:beforeAutospacing="0" w:after="0" w:afterAutospacing="0"/>
        <w:jc w:val="center"/>
        <w:rPr>
          <w:rFonts w:ascii="Roboto" w:hAnsi="Roboto"/>
          <w:color w:val="111111"/>
        </w:rPr>
      </w:pPr>
      <w:r w:rsidRPr="00DF5AC6">
        <w:rPr>
          <w:rFonts w:ascii="Roboto" w:hAnsi="Roboto"/>
          <w:noProof/>
          <w:color w:val="111111"/>
        </w:rPr>
        <w:drawing>
          <wp:inline distT="0" distB="0" distL="0" distR="0" wp14:anchorId="3265BD91" wp14:editId="5FED8536">
            <wp:extent cx="3282950" cy="1994038"/>
            <wp:effectExtent l="0" t="0" r="0" b="6350"/>
            <wp:docPr id="50244964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449645" name=""/>
                    <pic:cNvPicPr/>
                  </pic:nvPicPr>
                  <pic:blipFill>
                    <a:blip r:embed="rId8"/>
                    <a:stretch>
                      <a:fillRect/>
                    </a:stretch>
                  </pic:blipFill>
                  <pic:spPr>
                    <a:xfrm>
                      <a:off x="0" y="0"/>
                      <a:ext cx="3287035" cy="1996519"/>
                    </a:xfrm>
                    <a:prstGeom prst="rect">
                      <a:avLst/>
                    </a:prstGeom>
                  </pic:spPr>
                </pic:pic>
              </a:graphicData>
            </a:graphic>
          </wp:inline>
        </w:drawing>
      </w:r>
    </w:p>
    <w:p w14:paraId="6EF83426" w14:textId="78EE5C4E" w:rsidR="00DF5AC6" w:rsidRPr="00EB3F8E" w:rsidRDefault="00DF5AC6" w:rsidP="00EB3F8E">
      <w:pPr>
        <w:spacing w:line="360" w:lineRule="auto"/>
        <w:jc w:val="center"/>
        <w:rPr>
          <w:rFonts w:ascii="Times New Roman" w:hAnsi="Times New Roman" w:cs="Times New Roman"/>
          <w:szCs w:val="21"/>
        </w:rPr>
      </w:pPr>
      <w:r w:rsidRPr="00EB3F8E">
        <w:rPr>
          <w:rFonts w:ascii="Times New Roman" w:hAnsi="Times New Roman" w:cs="Times New Roman"/>
          <w:szCs w:val="21"/>
        </w:rPr>
        <w:t>Fig</w:t>
      </w:r>
      <w:r w:rsidR="00B5093D" w:rsidRPr="00EB3F8E">
        <w:rPr>
          <w:rFonts w:ascii="Times New Roman" w:hAnsi="Times New Roman" w:cs="Times New Roman"/>
          <w:szCs w:val="21"/>
        </w:rPr>
        <w:t>.1</w:t>
      </w:r>
      <w:r w:rsidRPr="00EB3F8E">
        <w:rPr>
          <w:rFonts w:ascii="Times New Roman" w:hAnsi="Times New Roman" w:cs="Times New Roman"/>
          <w:szCs w:val="21"/>
        </w:rPr>
        <w:t>. ITIL Framework</w:t>
      </w:r>
    </w:p>
    <w:p w14:paraId="296F6518" w14:textId="41E3A989" w:rsidR="00287AB3" w:rsidRPr="00391EFB" w:rsidRDefault="00EB3F8E" w:rsidP="00EB3F8E">
      <w:pPr>
        <w:pStyle w:val="2"/>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b/>
          <w:bCs/>
          <w:color w:val="auto"/>
          <w:sz w:val="24"/>
          <w:szCs w:val="24"/>
        </w:rPr>
        <w:t>2</w:t>
      </w:r>
      <w:r w:rsidR="00287AB3" w:rsidRPr="00391EFB">
        <w:rPr>
          <w:rFonts w:ascii="Times New Roman" w:hAnsi="Times New Roman" w:cs="Times New Roman"/>
          <w:b/>
          <w:bCs/>
          <w:color w:val="auto"/>
          <w:sz w:val="24"/>
          <w:szCs w:val="24"/>
        </w:rPr>
        <w:t xml:space="preserve">.3 </w:t>
      </w:r>
      <w:r w:rsidR="00287AB3" w:rsidRPr="00391EFB">
        <w:rPr>
          <w:rFonts w:ascii="Times New Roman" w:hAnsi="Times New Roman" w:cs="Times New Roman" w:hint="eastAsia"/>
          <w:b/>
          <w:bCs/>
          <w:color w:val="auto"/>
          <w:sz w:val="24"/>
          <w:szCs w:val="24"/>
        </w:rPr>
        <w:t>COSO</w:t>
      </w:r>
    </w:p>
    <w:p w14:paraId="1BBB713F" w14:textId="7D7FA28D" w:rsidR="00F75724" w:rsidRPr="00EB3F8E" w:rsidRDefault="00F75724" w:rsidP="00EB3F8E">
      <w:pPr>
        <w:pStyle w:val="af2"/>
        <w:spacing w:before="180"/>
        <w:ind w:firstLineChars="100" w:firstLine="24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t>COSO refers to the Sponsoring Organizations Committee of the Tredwig Committee, which is an organization composed of professional accounting groups, academic institutions, and other stakeholders in the United States. COSO is committed to providing a framework and guidance on internal control, risk management, and fraud prevention in enterprises</w:t>
      </w:r>
      <w:r w:rsidR="00B030FE" w:rsidRPr="00EB3F8E">
        <w:rPr>
          <w:rFonts w:ascii="Times New Roman" w:eastAsiaTheme="minorEastAsia" w:hAnsi="Times New Roman" w:cs="Times New Roman"/>
          <w:kern w:val="2"/>
        </w:rPr>
        <w:t xml:space="preserve"> [4]</w:t>
      </w:r>
      <w:r w:rsidRPr="00EB3F8E">
        <w:rPr>
          <w:rFonts w:ascii="Times New Roman" w:eastAsiaTheme="minorEastAsia" w:hAnsi="Times New Roman" w:cs="Times New Roman"/>
          <w:kern w:val="2"/>
        </w:rPr>
        <w:t>.</w:t>
      </w:r>
    </w:p>
    <w:p w14:paraId="626B5B28" w14:textId="0292F51D" w:rsidR="00287AB3" w:rsidRPr="00EB3F8E" w:rsidRDefault="00F75724" w:rsidP="00DF5AC6">
      <w:pPr>
        <w:pStyle w:val="af2"/>
        <w:spacing w:before="180" w:beforeAutospacing="0" w:after="0" w:afterAutospacing="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lastRenderedPageBreak/>
        <w:t>One of COSO's most well-known works is its internal control integration framework, which is widely used in the design, implementation, and evaluation of internal controls in enterprises. The following</w:t>
      </w:r>
      <w:r w:rsidR="00353258" w:rsidRPr="00EB3F8E">
        <w:rPr>
          <w:rFonts w:ascii="Times New Roman" w:eastAsiaTheme="minorEastAsia" w:hAnsi="Times New Roman" w:cs="Times New Roman"/>
          <w:kern w:val="2"/>
        </w:rPr>
        <w:t xml:space="preserve"> figure</w:t>
      </w:r>
      <w:r w:rsidRPr="00EB3F8E">
        <w:rPr>
          <w:rFonts w:ascii="Times New Roman" w:eastAsiaTheme="minorEastAsia" w:hAnsi="Times New Roman" w:cs="Times New Roman"/>
          <w:kern w:val="2"/>
        </w:rPr>
        <w:t xml:space="preserve"> </w:t>
      </w:r>
      <w:r w:rsidR="00353258" w:rsidRPr="00EB3F8E">
        <w:rPr>
          <w:rFonts w:ascii="Times New Roman" w:eastAsiaTheme="minorEastAsia" w:hAnsi="Times New Roman" w:cs="Times New Roman"/>
          <w:kern w:val="2"/>
        </w:rPr>
        <w:t>is</w:t>
      </w:r>
      <w:r w:rsidRPr="00EB3F8E">
        <w:rPr>
          <w:rFonts w:ascii="Times New Roman" w:eastAsiaTheme="minorEastAsia" w:hAnsi="Times New Roman" w:cs="Times New Roman"/>
          <w:kern w:val="2"/>
        </w:rPr>
        <w:t xml:space="preserve"> some key aspects of the COSO internal control integration framework:</w:t>
      </w:r>
    </w:p>
    <w:p w14:paraId="1FB9F39B" w14:textId="28DBB296" w:rsidR="00993D3D" w:rsidRDefault="00993D3D" w:rsidP="00DF5AC6">
      <w:pPr>
        <w:pStyle w:val="af2"/>
        <w:spacing w:before="180" w:beforeAutospacing="0" w:after="0" w:afterAutospacing="0"/>
        <w:jc w:val="center"/>
        <w:rPr>
          <w:rFonts w:ascii="Roboto" w:hAnsi="Roboto"/>
          <w:color w:val="111111"/>
        </w:rPr>
      </w:pPr>
      <w:r>
        <w:rPr>
          <w:noProof/>
        </w:rPr>
        <w:drawing>
          <wp:inline distT="0" distB="0" distL="0" distR="0" wp14:anchorId="47E74547" wp14:editId="17A98D33">
            <wp:extent cx="1905000" cy="1836964"/>
            <wp:effectExtent l="0" t="0" r="0" b="0"/>
            <wp:docPr id="1059412850" name="图片 1" descr="COSO 的图像结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SO 的图像结果"/>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7096" cy="1838986"/>
                    </a:xfrm>
                    <a:prstGeom prst="rect">
                      <a:avLst/>
                    </a:prstGeom>
                    <a:noFill/>
                    <a:ln>
                      <a:noFill/>
                    </a:ln>
                  </pic:spPr>
                </pic:pic>
              </a:graphicData>
            </a:graphic>
          </wp:inline>
        </w:drawing>
      </w:r>
    </w:p>
    <w:p w14:paraId="7C30CD1C" w14:textId="2BA82A33" w:rsidR="00353258" w:rsidRPr="00EB3F8E" w:rsidRDefault="00353258" w:rsidP="00EB3F8E">
      <w:pPr>
        <w:spacing w:line="360" w:lineRule="auto"/>
        <w:jc w:val="center"/>
        <w:rPr>
          <w:rFonts w:ascii="Times New Roman" w:hAnsi="Times New Roman" w:cs="Times New Roman"/>
          <w:szCs w:val="21"/>
        </w:rPr>
      </w:pPr>
      <w:r w:rsidRPr="00EB3F8E">
        <w:rPr>
          <w:rFonts w:ascii="Times New Roman" w:hAnsi="Times New Roman" w:cs="Times New Roman"/>
          <w:szCs w:val="21"/>
        </w:rPr>
        <w:t>Fig</w:t>
      </w:r>
      <w:r w:rsidR="00B5093D" w:rsidRPr="00EB3F8E">
        <w:rPr>
          <w:rFonts w:ascii="Times New Roman" w:hAnsi="Times New Roman" w:cs="Times New Roman"/>
          <w:szCs w:val="21"/>
        </w:rPr>
        <w:t xml:space="preserve"> .2.</w:t>
      </w:r>
      <w:r w:rsidRPr="00EB3F8E">
        <w:rPr>
          <w:rFonts w:ascii="Times New Roman" w:hAnsi="Times New Roman" w:cs="Times New Roman"/>
          <w:szCs w:val="21"/>
        </w:rPr>
        <w:t xml:space="preserve"> COSO Framework</w:t>
      </w:r>
    </w:p>
    <w:p w14:paraId="717C2272" w14:textId="5E881F9F" w:rsidR="00353258" w:rsidRPr="00EB3F8E" w:rsidRDefault="00353258" w:rsidP="00353258">
      <w:pPr>
        <w:pStyle w:val="af2"/>
        <w:spacing w:before="180" w:beforeAutospacing="0" w:after="0" w:afterAutospacing="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t>The COSO framework is widely applied to various organizations worldwide, not only in financial reporting, but also in areas such as risk management, compliance, and governance. It provides a comprehensive approach to help organizations establish and maintain effective internal control systems to address various potential risks and challenges. The latest version of the COSO framework is the Enterprise Risk Management Integrated Framework released in 2013.</w:t>
      </w:r>
    </w:p>
    <w:p w14:paraId="46F73B17" w14:textId="36907BAC" w:rsidR="00993D3D" w:rsidRPr="00391EFB" w:rsidRDefault="00391EFB" w:rsidP="00EB3F8E">
      <w:pPr>
        <w:pStyle w:val="3"/>
        <w:spacing w:before="260" w:after="260" w:line="416" w:lineRule="auto"/>
        <w:rPr>
          <w:rFonts w:ascii="Times New Roman" w:eastAsiaTheme="minorEastAsia" w:hAnsi="Times New Roman" w:cs="Times New Roman"/>
          <w:b/>
          <w:bCs/>
          <w:color w:val="auto"/>
          <w:sz w:val="24"/>
          <w:szCs w:val="24"/>
        </w:rPr>
      </w:pPr>
      <w:r>
        <w:rPr>
          <w:rFonts w:ascii="Times New Roman" w:eastAsiaTheme="minorEastAsia" w:hAnsi="Times New Roman" w:cs="Times New Roman"/>
          <w:b/>
          <w:bCs/>
          <w:color w:val="auto"/>
          <w:sz w:val="24"/>
          <w:szCs w:val="24"/>
        </w:rPr>
        <w:t>2</w:t>
      </w:r>
      <w:r w:rsidR="00353258" w:rsidRPr="00391EFB">
        <w:rPr>
          <w:rFonts w:ascii="Times New Roman" w:eastAsiaTheme="minorEastAsia" w:hAnsi="Times New Roman" w:cs="Times New Roman"/>
          <w:b/>
          <w:bCs/>
          <w:color w:val="auto"/>
          <w:sz w:val="24"/>
          <w:szCs w:val="24"/>
        </w:rPr>
        <w:t>.4 COBIT</w:t>
      </w:r>
    </w:p>
    <w:p w14:paraId="074E97CA" w14:textId="7B77DC41" w:rsidR="00353258" w:rsidRPr="00EB3F8E" w:rsidRDefault="00353258" w:rsidP="00EB3F8E">
      <w:pPr>
        <w:pStyle w:val="af2"/>
        <w:spacing w:before="180" w:beforeAutospacing="0" w:after="0" w:afterAutospacing="0"/>
        <w:ind w:firstLineChars="100" w:firstLine="24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t>COBIT is a framework developed by ISACA (Information Systems Audit and Control Association) to help organizations achieve best practices in information technology (IT) governance and management. The goal of COBIT is to ensure the high quality of IT services, reduce IT related risks, and ensure that IT activities align with the organization's strategic goals</w:t>
      </w:r>
      <w:r w:rsidR="00B030FE" w:rsidRPr="00EB3F8E">
        <w:rPr>
          <w:rFonts w:ascii="Times New Roman" w:eastAsiaTheme="minorEastAsia" w:hAnsi="Times New Roman" w:cs="Times New Roman"/>
          <w:kern w:val="2"/>
        </w:rPr>
        <w:t xml:space="preserve"> [5]</w:t>
      </w:r>
      <w:r w:rsidRPr="00EB3F8E">
        <w:rPr>
          <w:rFonts w:ascii="Times New Roman" w:eastAsiaTheme="minorEastAsia" w:hAnsi="Times New Roman" w:cs="Times New Roman"/>
          <w:kern w:val="2"/>
        </w:rPr>
        <w:t>.</w:t>
      </w:r>
    </w:p>
    <w:p w14:paraId="18AE7109" w14:textId="69A00A3C" w:rsidR="0090518A" w:rsidRDefault="0090518A" w:rsidP="0090518A">
      <w:pPr>
        <w:pStyle w:val="af2"/>
        <w:spacing w:before="180" w:beforeAutospacing="0" w:after="0" w:afterAutospacing="0"/>
        <w:jc w:val="center"/>
        <w:rPr>
          <w:rFonts w:ascii="Roboto" w:hAnsi="Roboto"/>
          <w:color w:val="111111"/>
        </w:rPr>
      </w:pPr>
      <w:r>
        <w:rPr>
          <w:noProof/>
        </w:rPr>
        <w:lastRenderedPageBreak/>
        <w:drawing>
          <wp:inline distT="0" distB="0" distL="0" distR="0" wp14:anchorId="16A81826" wp14:editId="596DE7EF">
            <wp:extent cx="3270292" cy="2828925"/>
            <wp:effectExtent l="0" t="0" r="6350" b="0"/>
            <wp:docPr id="1363331460" name="图片 3" descr="An Introduction to COBIT | Joe The IT G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 Introduction to COBIT | Joe The IT Gu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73259" cy="2831492"/>
                    </a:xfrm>
                    <a:prstGeom prst="rect">
                      <a:avLst/>
                    </a:prstGeom>
                    <a:noFill/>
                    <a:ln>
                      <a:noFill/>
                    </a:ln>
                  </pic:spPr>
                </pic:pic>
              </a:graphicData>
            </a:graphic>
          </wp:inline>
        </w:drawing>
      </w:r>
    </w:p>
    <w:p w14:paraId="097AAFEB" w14:textId="6D67A2FE" w:rsidR="0090518A" w:rsidRDefault="0090518A" w:rsidP="00EB3F8E">
      <w:pPr>
        <w:spacing w:line="360" w:lineRule="auto"/>
        <w:jc w:val="center"/>
        <w:rPr>
          <w:rFonts w:ascii="Roboto" w:hAnsi="Roboto"/>
          <w:color w:val="111111"/>
        </w:rPr>
      </w:pPr>
      <w:r w:rsidRPr="00EB3F8E">
        <w:rPr>
          <w:rFonts w:ascii="Times New Roman" w:hAnsi="Times New Roman" w:cs="Times New Roman"/>
          <w:szCs w:val="21"/>
        </w:rPr>
        <w:t xml:space="preserve">Fig </w:t>
      </w:r>
      <w:r w:rsidR="00B5093D" w:rsidRPr="00EB3F8E">
        <w:rPr>
          <w:rFonts w:ascii="Times New Roman" w:hAnsi="Times New Roman" w:cs="Times New Roman"/>
          <w:szCs w:val="21"/>
        </w:rPr>
        <w:t>.3</w:t>
      </w:r>
      <w:r w:rsidRPr="00EB3F8E">
        <w:rPr>
          <w:rFonts w:ascii="Times New Roman" w:hAnsi="Times New Roman" w:cs="Times New Roman"/>
          <w:szCs w:val="21"/>
        </w:rPr>
        <w:t>. COBIT Principles</w:t>
      </w:r>
    </w:p>
    <w:p w14:paraId="4AA2EC13" w14:textId="5B9E4283" w:rsidR="0090518A" w:rsidRPr="00EB3F8E" w:rsidRDefault="0090518A" w:rsidP="004E4470">
      <w:pPr>
        <w:pStyle w:val="af2"/>
        <w:spacing w:before="180" w:beforeAutospacing="0" w:after="0" w:afterAutospacing="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t>The COBIT framework is based on five principles (Figure 3). Applying these principles to any architecture can ensure business support, consistency, and process optimization.</w:t>
      </w:r>
    </w:p>
    <w:p w14:paraId="7B9754F0" w14:textId="796648BD" w:rsidR="009703E5" w:rsidRPr="00391EFB" w:rsidRDefault="00391EFB" w:rsidP="00EB3F8E">
      <w:pPr>
        <w:pStyle w:val="2"/>
        <w:spacing w:before="260" w:after="260" w:line="416"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2</w:t>
      </w:r>
      <w:r w:rsidR="009703E5" w:rsidRPr="00391EFB">
        <w:rPr>
          <w:rFonts w:ascii="Times New Roman" w:hAnsi="Times New Roman" w:cs="Times New Roman"/>
          <w:b/>
          <w:bCs/>
          <w:color w:val="auto"/>
          <w:sz w:val="24"/>
          <w:szCs w:val="24"/>
        </w:rPr>
        <w:t>.5 Comparison</w:t>
      </w:r>
    </w:p>
    <w:p w14:paraId="2EDD450E" w14:textId="7681372C" w:rsidR="009703E5" w:rsidRPr="00EB3F8E" w:rsidRDefault="00CA16EB" w:rsidP="00EB3F8E">
      <w:pPr>
        <w:pStyle w:val="af2"/>
        <w:spacing w:before="180" w:beforeAutospacing="0" w:after="0" w:afterAutospacing="0"/>
        <w:ind w:firstLineChars="100" w:firstLine="24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t>These frameworks are important tools for IT management and governance, each with its own focus and applicable scenarios. The COBIT framework emphasizes alignment between business and IT, provides comprehensive guidance and control, and focuses on risk, performance, and resources. The COSO framework focuses on enterprise risk management and internal control, providing globally recognized standards that help address risks and protect value. The ITIL framework focuses on improving the quality and efficiency of IT services, providing standardized processes that help improve service levels and enhance alignment between IT and business. The ISO 27000 series is an international standard for information security management systems, focusing on ensuring the three elements of information security: confidentiality, integrity, and availability. It provides a comprehensive information security framework that helps establish and maintain effective information security management systems that comply with regulations and standards.</w:t>
      </w:r>
    </w:p>
    <w:p w14:paraId="17C90FD4" w14:textId="4E793AD5" w:rsidR="008F2A85" w:rsidRPr="00EB3F8E" w:rsidRDefault="008F2A85" w:rsidP="00EB3F8E">
      <w:pPr>
        <w:pStyle w:val="af2"/>
        <w:spacing w:before="180" w:beforeAutospacing="0" w:after="0" w:afterAutospacing="0"/>
        <w:ind w:firstLineChars="100" w:firstLine="240"/>
        <w:jc w:val="both"/>
        <w:rPr>
          <w:rFonts w:ascii="Times New Roman" w:eastAsiaTheme="minorEastAsia" w:hAnsi="Times New Roman" w:cs="Times New Roman"/>
          <w:kern w:val="2"/>
        </w:rPr>
      </w:pPr>
      <w:r w:rsidRPr="00EB3F8E">
        <w:rPr>
          <w:rFonts w:ascii="Times New Roman" w:eastAsiaTheme="minorEastAsia" w:hAnsi="Times New Roman" w:cs="Times New Roman"/>
          <w:kern w:val="2"/>
        </w:rPr>
        <w:t>In contrast, COBIT emphasizes the correlation between business and IT, COSO focuses on overall corporate governance, ITIL focuses on improving IT services, and ISO 27001 focuses on information security. Organizations can adopt these frameworks in combination with their own business goals and risk conditions to establish a more sound and comprehensive governance and management system. Overall, these frameworks can complement each other and be selected and integrated according to the needs and characteristics of the organization.</w:t>
      </w:r>
    </w:p>
    <w:p w14:paraId="4192C88D" w14:textId="1B7D4D45" w:rsidR="00A463E5" w:rsidRPr="00EB3F8E" w:rsidRDefault="002F177B" w:rsidP="00EB3F8E">
      <w:pPr>
        <w:pStyle w:val="3"/>
        <w:numPr>
          <w:ilvl w:val="0"/>
          <w:numId w:val="1"/>
        </w:numPr>
        <w:spacing w:before="260" w:after="260" w:line="416" w:lineRule="auto"/>
        <w:ind w:left="0" w:firstLine="0"/>
        <w:rPr>
          <w:rFonts w:ascii="Times New Roman" w:eastAsiaTheme="minorEastAsia" w:hAnsi="Times New Roman" w:cs="Times New Roman"/>
          <w:b/>
          <w:bCs/>
          <w:color w:val="auto"/>
        </w:rPr>
      </w:pPr>
      <w:r w:rsidRPr="00EB3F8E">
        <w:rPr>
          <w:rFonts w:ascii="Times New Roman" w:eastAsiaTheme="minorEastAsia" w:hAnsi="Times New Roman" w:cs="Times New Roman" w:hint="eastAsia"/>
          <w:b/>
          <w:bCs/>
          <w:color w:val="auto"/>
        </w:rPr>
        <w:lastRenderedPageBreak/>
        <w:t>Current</w:t>
      </w:r>
      <w:r w:rsidRPr="00EB3F8E">
        <w:rPr>
          <w:rFonts w:ascii="Times New Roman" w:eastAsiaTheme="minorEastAsia" w:hAnsi="Times New Roman" w:cs="Times New Roman"/>
          <w:b/>
          <w:bCs/>
          <w:color w:val="auto"/>
        </w:rPr>
        <w:t xml:space="preserve"> </w:t>
      </w:r>
      <w:r w:rsidRPr="00EB3F8E">
        <w:rPr>
          <w:rFonts w:ascii="Times New Roman" w:eastAsiaTheme="minorEastAsia" w:hAnsi="Times New Roman" w:cs="Times New Roman" w:hint="eastAsia"/>
          <w:b/>
          <w:bCs/>
          <w:color w:val="auto"/>
        </w:rPr>
        <w:t>Framework</w:t>
      </w:r>
      <w:r w:rsidR="00AE2C0C" w:rsidRPr="00EB3F8E">
        <w:rPr>
          <w:rFonts w:ascii="Times New Roman" w:eastAsiaTheme="minorEastAsia" w:hAnsi="Times New Roman" w:cs="Times New Roman"/>
          <w:b/>
          <w:bCs/>
          <w:color w:val="auto"/>
        </w:rPr>
        <w:t xml:space="preserve"> </w:t>
      </w:r>
      <w:r w:rsidRPr="00EB3F8E">
        <w:rPr>
          <w:rFonts w:ascii="Times New Roman" w:eastAsiaTheme="minorEastAsia" w:hAnsi="Times New Roman" w:cs="Times New Roman" w:hint="eastAsia"/>
          <w:b/>
          <w:bCs/>
          <w:color w:val="auto"/>
        </w:rPr>
        <w:t>Of</w:t>
      </w:r>
      <w:r w:rsidRPr="00EB3F8E">
        <w:rPr>
          <w:rFonts w:ascii="Times New Roman" w:eastAsiaTheme="minorEastAsia" w:hAnsi="Times New Roman" w:cs="Times New Roman"/>
          <w:b/>
          <w:bCs/>
          <w:color w:val="auto"/>
        </w:rPr>
        <w:t xml:space="preserve"> </w:t>
      </w:r>
      <w:r w:rsidRPr="00EB3F8E">
        <w:rPr>
          <w:rFonts w:ascii="Times New Roman" w:eastAsiaTheme="minorEastAsia" w:hAnsi="Times New Roman" w:cs="Times New Roman" w:hint="eastAsia"/>
          <w:b/>
          <w:bCs/>
          <w:color w:val="auto"/>
        </w:rPr>
        <w:t>COSO</w:t>
      </w:r>
    </w:p>
    <w:p w14:paraId="04536DB5" w14:textId="541A3498" w:rsidR="00914B16" w:rsidRPr="00EB3F8E" w:rsidRDefault="00914B16"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 xml:space="preserve">With the rapid development of information technology and computer technology, information security risks are gradually becoming more prominent. NatureGarden (NG) is a leading global sales company for health and lifestyle products, providing extensive IT services through cloud services. Despite almost 95% of networks adopting wireless technology, NG still faces significant challenges in allowing employees and customers to access company networks/resources using personal devices, raising concerns about the security of employee and customer data. The company is also extremely concerned about protecting its billions of </w:t>
      </w:r>
      <w:r w:rsidR="001A4376" w:rsidRPr="00EB3F8E">
        <w:rPr>
          <w:rFonts w:ascii="Times New Roman" w:hAnsi="Times New Roman" w:cs="Times New Roman"/>
          <w:sz w:val="24"/>
          <w:szCs w:val="24"/>
        </w:rPr>
        <w:t>dollars’ worth</w:t>
      </w:r>
      <w:r w:rsidRPr="00EB3F8E">
        <w:rPr>
          <w:rFonts w:ascii="Times New Roman" w:hAnsi="Times New Roman" w:cs="Times New Roman"/>
          <w:sz w:val="24"/>
          <w:szCs w:val="24"/>
        </w:rPr>
        <w:t xml:space="preserve"> of intellectual property. Although information security is considered a top priority for companies, the overall security situation appears chaotic due to the lack of clearly defined policies.</w:t>
      </w:r>
      <w:r w:rsidR="00111AD2" w:rsidRPr="00EB3F8E">
        <w:rPr>
          <w:rFonts w:ascii="Times New Roman" w:hAnsi="Times New Roman" w:cs="Times New Roman"/>
          <w:sz w:val="24"/>
          <w:szCs w:val="24"/>
        </w:rPr>
        <w:t xml:space="preserve"> For this case, the designed framework is shown in the figure:</w:t>
      </w:r>
    </w:p>
    <w:p w14:paraId="5BDEE8FD" w14:textId="3FD20CA2" w:rsidR="00B92EDC" w:rsidRDefault="00B92EDC" w:rsidP="00B92EDC">
      <w:pPr>
        <w:pStyle w:val="af2"/>
        <w:spacing w:before="180" w:beforeAutospacing="0" w:after="0" w:afterAutospacing="0"/>
        <w:jc w:val="center"/>
      </w:pPr>
      <w:r>
        <w:object w:dxaOrig="14240" w:dyaOrig="9511" w14:anchorId="18C06B0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38pt;height:226pt" o:ole="">
            <v:imagedata r:id="rId11" o:title=""/>
          </v:shape>
          <o:OLEObject Type="Embed" ProgID="Visio.Drawing.15" ShapeID="_x0000_i1025" DrawAspect="Content" ObjectID="_1765837870" r:id="rId12"/>
        </w:object>
      </w:r>
    </w:p>
    <w:p w14:paraId="19E409BD" w14:textId="3BE4DA84" w:rsidR="00B92EDC" w:rsidRPr="00EB3F8E" w:rsidRDefault="00673E7A" w:rsidP="00EB3F8E">
      <w:pPr>
        <w:spacing w:line="360" w:lineRule="auto"/>
        <w:jc w:val="center"/>
        <w:rPr>
          <w:rFonts w:ascii="Times New Roman" w:hAnsi="Times New Roman" w:cs="Times New Roman"/>
          <w:szCs w:val="21"/>
        </w:rPr>
      </w:pPr>
      <w:r w:rsidRPr="00EB3F8E">
        <w:rPr>
          <w:rFonts w:ascii="Times New Roman" w:hAnsi="Times New Roman" w:cs="Times New Roman"/>
          <w:szCs w:val="21"/>
        </w:rPr>
        <w:t xml:space="preserve">Fig </w:t>
      </w:r>
      <w:r w:rsidR="00B5093D" w:rsidRPr="00EB3F8E">
        <w:rPr>
          <w:rFonts w:ascii="Times New Roman" w:hAnsi="Times New Roman" w:cs="Times New Roman"/>
          <w:szCs w:val="21"/>
        </w:rPr>
        <w:t>.4</w:t>
      </w:r>
      <w:r w:rsidRPr="00EB3F8E">
        <w:rPr>
          <w:rFonts w:ascii="Times New Roman" w:hAnsi="Times New Roman" w:cs="Times New Roman"/>
          <w:szCs w:val="21"/>
        </w:rPr>
        <w:t xml:space="preserve">. COSO </w:t>
      </w:r>
      <w:r w:rsidRPr="00EB3F8E">
        <w:rPr>
          <w:rFonts w:ascii="Times New Roman" w:hAnsi="Times New Roman" w:cs="Times New Roman" w:hint="eastAsia"/>
          <w:szCs w:val="21"/>
        </w:rPr>
        <w:t>Design</w:t>
      </w:r>
    </w:p>
    <w:p w14:paraId="6E96DFD1" w14:textId="66808AA1" w:rsidR="004E4470" w:rsidRPr="00EB3F8E" w:rsidRDefault="004E4470"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 xml:space="preserve">This report focuses on the analysis and resolution of the information security issues of NG Company using the COSO security framework. The research mainly </w:t>
      </w:r>
      <w:r w:rsidR="001A4376" w:rsidRPr="00EB3F8E">
        <w:rPr>
          <w:rFonts w:ascii="Times New Roman" w:hAnsi="Times New Roman" w:cs="Times New Roman"/>
          <w:sz w:val="24"/>
          <w:szCs w:val="24"/>
        </w:rPr>
        <w:t>focusses</w:t>
      </w:r>
      <w:r w:rsidRPr="00EB3F8E">
        <w:rPr>
          <w:rFonts w:ascii="Times New Roman" w:hAnsi="Times New Roman" w:cs="Times New Roman"/>
          <w:sz w:val="24"/>
          <w:szCs w:val="24"/>
        </w:rPr>
        <w:t xml:space="preserve"> on the following </w:t>
      </w:r>
      <w:r w:rsidR="002F177B" w:rsidRPr="00EB3F8E">
        <w:rPr>
          <w:rFonts w:ascii="Times New Roman" w:hAnsi="Times New Roman" w:cs="Times New Roman" w:hint="eastAsia"/>
          <w:sz w:val="24"/>
          <w:szCs w:val="24"/>
        </w:rPr>
        <w:t>three</w:t>
      </w:r>
      <w:r w:rsidRPr="00EB3F8E">
        <w:rPr>
          <w:rFonts w:ascii="Times New Roman" w:hAnsi="Times New Roman" w:cs="Times New Roman"/>
          <w:sz w:val="24"/>
          <w:szCs w:val="24"/>
        </w:rPr>
        <w:t xml:space="preserve"> aspects:</w:t>
      </w:r>
    </w:p>
    <w:p w14:paraId="6E41DFB1" w14:textId="77777777" w:rsidR="00061A65" w:rsidRPr="00EB3F8E" w:rsidRDefault="00061A6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In Section 3.1, first conduct an internal environmental analysis and goal setting on the current situation of NG Company.</w:t>
      </w:r>
    </w:p>
    <w:p w14:paraId="702F8DB2" w14:textId="77777777" w:rsidR="00061A65" w:rsidRPr="00EB3F8E" w:rsidRDefault="00061A6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In section 3.2, conduct a risk analysis on the issues of NG company, analyze each issue and provide a description</w:t>
      </w:r>
    </w:p>
    <w:p w14:paraId="6B5BE45E" w14:textId="77777777" w:rsidR="00061A65" w:rsidRPr="00EB3F8E" w:rsidRDefault="00061A6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In section 3.3, control the analyzed risks and improve internal controls.</w:t>
      </w:r>
    </w:p>
    <w:p w14:paraId="2FD7849D" w14:textId="73D05463" w:rsidR="00761669" w:rsidRPr="00391EFB" w:rsidRDefault="007C4BDF" w:rsidP="00EB3F8E">
      <w:pPr>
        <w:pStyle w:val="2"/>
        <w:numPr>
          <w:ilvl w:val="1"/>
          <w:numId w:val="1"/>
        </w:numPr>
        <w:spacing w:before="260" w:after="260" w:line="416" w:lineRule="auto"/>
        <w:ind w:left="0" w:firstLine="0"/>
        <w:rPr>
          <w:rFonts w:ascii="Times New Roman" w:hAnsi="Times New Roman" w:cs="Times New Roman"/>
          <w:b/>
          <w:bCs/>
          <w:color w:val="auto"/>
          <w:sz w:val="24"/>
          <w:szCs w:val="24"/>
        </w:rPr>
      </w:pPr>
      <w:r w:rsidRPr="00391EFB">
        <w:rPr>
          <w:rFonts w:ascii="Times New Roman" w:hAnsi="Times New Roman" w:cs="Times New Roman"/>
          <w:b/>
          <w:bCs/>
          <w:color w:val="auto"/>
          <w:sz w:val="24"/>
          <w:szCs w:val="24"/>
        </w:rPr>
        <w:t xml:space="preserve">Problem </w:t>
      </w:r>
      <w:r w:rsidR="00761669" w:rsidRPr="00391EFB">
        <w:rPr>
          <w:rFonts w:ascii="Times New Roman" w:hAnsi="Times New Roman" w:cs="Times New Roman"/>
          <w:b/>
          <w:bCs/>
          <w:color w:val="auto"/>
          <w:sz w:val="24"/>
          <w:szCs w:val="24"/>
        </w:rPr>
        <w:t>Analysis and Setting Goal</w:t>
      </w:r>
    </w:p>
    <w:p w14:paraId="424D7A6D" w14:textId="61E1D5E4" w:rsidR="00CC2AE5" w:rsidRPr="00EB3F8E" w:rsidRDefault="00CC2AE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 xml:space="preserve">In order to effectively manage these risks, NG needs to establish a solid foundation of enterprise management and implement risk management concepts. Firstly, through a </w:t>
      </w:r>
      <w:r w:rsidRPr="00EB3F8E">
        <w:rPr>
          <w:rFonts w:ascii="Times New Roman" w:hAnsi="Times New Roman" w:cs="Times New Roman"/>
          <w:sz w:val="24"/>
          <w:szCs w:val="24"/>
        </w:rPr>
        <w:lastRenderedPageBreak/>
        <w:t>sound information management system, various internal and external information can be collected, analyzed, and transmitted in a timely manner to provide basis and support for risk decision-making. Secondly, establish a reasonable and effective risk management system to ensure clear risk management objectives, principles, processes, responsibilities, and evaluations, in order to standardize and effectively respond to various risks.</w:t>
      </w:r>
    </w:p>
    <w:p w14:paraId="315E8D34" w14:textId="77777777" w:rsidR="00CC2AE5" w:rsidRPr="00EB3F8E" w:rsidRDefault="00CC2AE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NG should emphasize the rationality of organizational structure, clarify the responsibilities of the security committee and information security department, as well as the collaborative mechanism between management and execution. This helps to ensure effective implementation of information security management and enterprise security management. At the same time, the company needs to pay attention to the cultivation of employee competence, by selecting suitable employees for corresponding positions, providing training and resources, in order to improve the professional ability and comprehensive quality of employees in responding to risks.</w:t>
      </w:r>
    </w:p>
    <w:p w14:paraId="62EC4BDC" w14:textId="135BC30F" w:rsidR="00D61414" w:rsidRPr="00EB3F8E" w:rsidRDefault="00CC2AE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Finally, in order to enhance overall risk management awareness, NG should cultivate employees' risk awareness and prevention abilities through training, publicity, and incentives, and form a positive risk culture. By establishing a reasonable internal control environment, NG can better respond to risks, protect the interests and reputation of the enterprise, enhance competitiveness and sustainable development capabilities.</w:t>
      </w:r>
    </w:p>
    <w:p w14:paraId="0404DBC1" w14:textId="565DC986" w:rsidR="00A463E5" w:rsidRPr="00391EFB" w:rsidRDefault="002626CC" w:rsidP="00EB3F8E">
      <w:pPr>
        <w:pStyle w:val="2"/>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b/>
          <w:bCs/>
          <w:color w:val="auto"/>
          <w:sz w:val="24"/>
          <w:szCs w:val="24"/>
        </w:rPr>
        <w:t>3.</w:t>
      </w:r>
      <w:r w:rsidR="00D61414" w:rsidRPr="00391EFB">
        <w:rPr>
          <w:rFonts w:ascii="Times New Roman" w:hAnsi="Times New Roman" w:cs="Times New Roman"/>
          <w:b/>
          <w:bCs/>
          <w:color w:val="auto"/>
          <w:sz w:val="24"/>
          <w:szCs w:val="24"/>
        </w:rPr>
        <w:t>2</w:t>
      </w:r>
      <w:r w:rsidRPr="00391EFB">
        <w:rPr>
          <w:rFonts w:ascii="Times New Roman" w:hAnsi="Times New Roman" w:cs="Times New Roman"/>
          <w:b/>
          <w:bCs/>
          <w:color w:val="auto"/>
          <w:sz w:val="24"/>
          <w:szCs w:val="24"/>
        </w:rPr>
        <w:t xml:space="preserve"> </w:t>
      </w:r>
      <w:r w:rsidR="007C4BDF" w:rsidRPr="00391EFB">
        <w:rPr>
          <w:rFonts w:ascii="Times New Roman" w:hAnsi="Times New Roman" w:cs="Times New Roman"/>
          <w:b/>
          <w:bCs/>
          <w:color w:val="auto"/>
          <w:sz w:val="24"/>
          <w:szCs w:val="24"/>
        </w:rPr>
        <w:t>R</w:t>
      </w:r>
      <w:r w:rsidR="00A463E5" w:rsidRPr="00391EFB">
        <w:rPr>
          <w:rFonts w:ascii="Times New Roman" w:hAnsi="Times New Roman" w:cs="Times New Roman"/>
          <w:b/>
          <w:bCs/>
          <w:color w:val="auto"/>
          <w:sz w:val="24"/>
          <w:szCs w:val="24"/>
        </w:rPr>
        <w:t xml:space="preserve">isk </w:t>
      </w:r>
      <w:r w:rsidR="007C4BDF" w:rsidRPr="00391EFB">
        <w:rPr>
          <w:rFonts w:ascii="Times New Roman" w:hAnsi="Times New Roman" w:cs="Times New Roman"/>
          <w:b/>
          <w:bCs/>
          <w:color w:val="auto"/>
          <w:sz w:val="24"/>
          <w:szCs w:val="24"/>
        </w:rPr>
        <w:t>A</w:t>
      </w:r>
      <w:r w:rsidR="00A463E5" w:rsidRPr="00391EFB">
        <w:rPr>
          <w:rFonts w:ascii="Times New Roman" w:hAnsi="Times New Roman" w:cs="Times New Roman"/>
          <w:b/>
          <w:bCs/>
          <w:color w:val="auto"/>
          <w:sz w:val="24"/>
          <w:szCs w:val="24"/>
        </w:rPr>
        <w:t>nalysis</w:t>
      </w:r>
    </w:p>
    <w:p w14:paraId="4990F628" w14:textId="3A0430C0" w:rsidR="00A463E5" w:rsidRPr="00EB3F8E" w:rsidRDefault="00A463E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The risks faced by NatureGarden (NG) are diverse due to its extensive global operation, use of cloud services, almost 95% of the network being wireless, large-scale online and social media presence, and allowing employees and customers to access the network/resources using personal devices.</w:t>
      </w:r>
    </w:p>
    <w:p w14:paraId="6640F91D" w14:textId="3ADF88A1" w:rsidR="00F25939" w:rsidRPr="00EB3F8E" w:rsidRDefault="00A463E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Due to almost 95% of networks being wireless, NG may be vulnerable to various network attacks, including malicious intrusions, denial of service attacks, data leaks, etc. This may lead to customer data leakage, service interruption, and damage to the company's reputation.</w:t>
      </w:r>
      <w:r w:rsidR="00F25939" w:rsidRPr="00EB3F8E">
        <w:rPr>
          <w:rFonts w:ascii="Times New Roman" w:hAnsi="Times New Roman" w:cs="Times New Roman"/>
          <w:sz w:val="24"/>
          <w:szCs w:val="24"/>
        </w:rPr>
        <w:t xml:space="preserve"> Moreover,</w:t>
      </w:r>
      <w:r w:rsidR="000D6FDD" w:rsidRPr="00EB3F8E">
        <w:rPr>
          <w:rFonts w:ascii="Times New Roman" w:hAnsi="Times New Roman" w:cs="Times New Roman"/>
          <w:sz w:val="24"/>
          <w:szCs w:val="24"/>
        </w:rPr>
        <w:t xml:space="preserve"> </w:t>
      </w:r>
      <w:r w:rsidR="00F25939" w:rsidRPr="00EB3F8E">
        <w:rPr>
          <w:rFonts w:ascii="Times New Roman" w:hAnsi="Times New Roman" w:cs="Times New Roman"/>
          <w:sz w:val="24"/>
          <w:szCs w:val="24"/>
        </w:rPr>
        <w:t>a</w:t>
      </w:r>
      <w:r w:rsidRPr="00EB3F8E">
        <w:rPr>
          <w:rFonts w:ascii="Times New Roman" w:hAnsi="Times New Roman" w:cs="Times New Roman"/>
          <w:sz w:val="24"/>
          <w:szCs w:val="24"/>
        </w:rPr>
        <w:t xml:space="preserve">llowing employees and customers to use personal devices to access the network may lead to device security issues. Lost or stolen devices may lead to sensitive information leakage, which can have serious impacts on the company and customers. </w:t>
      </w:r>
      <w:r w:rsidR="004D0E78" w:rsidRPr="00EB3F8E">
        <w:rPr>
          <w:rFonts w:ascii="Times New Roman" w:hAnsi="Times New Roman" w:cs="Times New Roman"/>
          <w:sz w:val="24"/>
          <w:szCs w:val="24"/>
        </w:rPr>
        <w:t>Relying on cloud services to provide IT services may face security vulnerabilities from cloud service providers. Improper configuration or management of cloud services may lead to data leakage and service interruption.</w:t>
      </w:r>
    </w:p>
    <w:p w14:paraId="38BD5BAC" w14:textId="77777777" w:rsidR="00D405D9" w:rsidRPr="00EB3F8E" w:rsidRDefault="00D405D9"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 xml:space="preserve">NG is a global company that faces various compliance and regulatory risks in different markets. If it fails to comply with the local or international regulations, it may incur legal liability, fines, and damage to its image. Moreover, NG is exposed to social media risk, as the widespread use of online and social media platforms may enable the spread of false information, harm its reputation, or facilitate social engineering attacks. Another source of risk is the internal threats from employees and partners, who may intentionally or unintentionally disclose sensitive information, abuse their authority, or disrupt the company’s security measures. Furthermore, NG may encounter challenges in managing and securing the personal devices that employees use to access the </w:t>
      </w:r>
      <w:r w:rsidRPr="00EB3F8E">
        <w:rPr>
          <w:rFonts w:ascii="Times New Roman" w:hAnsi="Times New Roman" w:cs="Times New Roman"/>
          <w:sz w:val="24"/>
          <w:szCs w:val="24"/>
        </w:rPr>
        <w:lastRenderedPageBreak/>
        <w:t>company networks, which requires effective mobile device management. Lastly, NG lacks information security policies that can guide its security practices and prevent security vulnerabilities. Therefore, NG needs to address these risks and improve its information security posture.</w:t>
      </w:r>
    </w:p>
    <w:p w14:paraId="0D7263F3" w14:textId="2A7E93E8" w:rsidR="00A463E5" w:rsidRPr="00EB3F8E" w:rsidRDefault="00A463E5"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Overall, the risks faced by NG include multiple aspects such as technology, personnel</w:t>
      </w:r>
      <w:r w:rsidR="00CC63A5" w:rsidRPr="00EB3F8E">
        <w:rPr>
          <w:rFonts w:ascii="Times New Roman" w:hAnsi="Times New Roman" w:cs="Times New Roman"/>
          <w:sz w:val="24"/>
          <w:szCs w:val="24"/>
        </w:rPr>
        <w:t>,</w:t>
      </w:r>
      <w:r w:rsidR="005F2AF1" w:rsidRPr="00EB3F8E">
        <w:rPr>
          <w:rFonts w:ascii="Times New Roman" w:hAnsi="Times New Roman" w:cs="Times New Roman"/>
          <w:sz w:val="24"/>
          <w:szCs w:val="24"/>
        </w:rPr>
        <w:t xml:space="preserve"> </w:t>
      </w:r>
      <w:r w:rsidRPr="00EB3F8E">
        <w:rPr>
          <w:rFonts w:ascii="Times New Roman" w:hAnsi="Times New Roman" w:cs="Times New Roman"/>
          <w:sz w:val="24"/>
          <w:szCs w:val="24"/>
        </w:rPr>
        <w:t>compliance</w:t>
      </w:r>
      <w:r w:rsidR="00CC63A5" w:rsidRPr="00EB3F8E">
        <w:rPr>
          <w:rFonts w:ascii="Times New Roman" w:hAnsi="Times New Roman" w:cs="Times New Roman"/>
          <w:sz w:val="24"/>
          <w:szCs w:val="24"/>
        </w:rPr>
        <w:t xml:space="preserve"> and so on. </w:t>
      </w:r>
      <w:r w:rsidRPr="00EB3F8E">
        <w:rPr>
          <w:rFonts w:ascii="Times New Roman" w:hAnsi="Times New Roman" w:cs="Times New Roman"/>
          <w:sz w:val="24"/>
          <w:szCs w:val="24"/>
        </w:rPr>
        <w:t>Therefore, a comprehensive and flexible information security approach should consider these potential risks and take appropriate measures to mitigate and manage them.</w:t>
      </w:r>
    </w:p>
    <w:p w14:paraId="6FF2E0DE" w14:textId="77777777" w:rsidR="00303BCA" w:rsidRPr="00391EFB" w:rsidRDefault="00914B16" w:rsidP="00EB3F8E">
      <w:pPr>
        <w:pStyle w:val="2"/>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b/>
          <w:bCs/>
          <w:color w:val="auto"/>
          <w:sz w:val="24"/>
          <w:szCs w:val="24"/>
        </w:rPr>
        <w:t>3.3</w:t>
      </w:r>
      <w:r w:rsidR="005F2AF1" w:rsidRPr="00391EFB">
        <w:rPr>
          <w:rFonts w:ascii="Times New Roman" w:hAnsi="Times New Roman" w:cs="Times New Roman"/>
          <w:b/>
          <w:bCs/>
          <w:color w:val="auto"/>
          <w:sz w:val="24"/>
          <w:szCs w:val="24"/>
        </w:rPr>
        <w:t xml:space="preserve"> </w:t>
      </w:r>
      <w:r w:rsidR="00303BCA" w:rsidRPr="00391EFB">
        <w:rPr>
          <w:rFonts w:ascii="Times New Roman" w:hAnsi="Times New Roman" w:cs="Times New Roman" w:hint="eastAsia"/>
          <w:b/>
          <w:bCs/>
          <w:color w:val="auto"/>
          <w:sz w:val="24"/>
          <w:szCs w:val="24"/>
        </w:rPr>
        <w:t>I</w:t>
      </w:r>
      <w:r w:rsidR="00303BCA" w:rsidRPr="00391EFB">
        <w:rPr>
          <w:rFonts w:ascii="Times New Roman" w:hAnsi="Times New Roman" w:cs="Times New Roman"/>
          <w:b/>
          <w:bCs/>
          <w:color w:val="auto"/>
          <w:sz w:val="24"/>
          <w:szCs w:val="24"/>
        </w:rPr>
        <w:t xml:space="preserve">nternal </w:t>
      </w:r>
      <w:r w:rsidR="00303BCA" w:rsidRPr="00391EFB">
        <w:rPr>
          <w:rFonts w:ascii="Times New Roman" w:hAnsi="Times New Roman" w:cs="Times New Roman" w:hint="eastAsia"/>
          <w:b/>
          <w:bCs/>
          <w:color w:val="auto"/>
          <w:sz w:val="24"/>
          <w:szCs w:val="24"/>
        </w:rPr>
        <w:t>C</w:t>
      </w:r>
      <w:r w:rsidR="00303BCA" w:rsidRPr="00391EFB">
        <w:rPr>
          <w:rFonts w:ascii="Times New Roman" w:hAnsi="Times New Roman" w:cs="Times New Roman"/>
          <w:b/>
          <w:bCs/>
          <w:color w:val="auto"/>
          <w:sz w:val="24"/>
          <w:szCs w:val="24"/>
        </w:rPr>
        <w:t xml:space="preserve">ontrols </w:t>
      </w:r>
    </w:p>
    <w:p w14:paraId="6BC4587A" w14:textId="72F95229" w:rsidR="005F2AF1" w:rsidRPr="00EB3F8E" w:rsidRDefault="006132F4"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As analyzed in the previous section, risks and issues can be roughly divided into three types: technology</w:t>
      </w:r>
      <w:r w:rsidR="00CC63A5" w:rsidRPr="00EB3F8E">
        <w:rPr>
          <w:rFonts w:ascii="Times New Roman" w:hAnsi="Times New Roman" w:cs="Times New Roman"/>
          <w:sz w:val="24"/>
          <w:szCs w:val="24"/>
        </w:rPr>
        <w:t xml:space="preserve"> and </w:t>
      </w:r>
      <w:r w:rsidRPr="00EB3F8E">
        <w:rPr>
          <w:rFonts w:ascii="Times New Roman" w:hAnsi="Times New Roman" w:cs="Times New Roman"/>
          <w:sz w:val="24"/>
          <w:szCs w:val="24"/>
        </w:rPr>
        <w:t>personnel</w:t>
      </w:r>
      <w:r w:rsidR="00CC63A5" w:rsidRPr="00EB3F8E">
        <w:rPr>
          <w:rFonts w:ascii="Times New Roman" w:hAnsi="Times New Roman" w:cs="Times New Roman"/>
          <w:sz w:val="24"/>
          <w:szCs w:val="24"/>
        </w:rPr>
        <w:t>.</w:t>
      </w:r>
      <w:r w:rsidRPr="00EB3F8E">
        <w:rPr>
          <w:rFonts w:ascii="Times New Roman" w:hAnsi="Times New Roman" w:cs="Times New Roman"/>
          <w:sz w:val="24"/>
          <w:szCs w:val="24"/>
        </w:rPr>
        <w:t xml:space="preserve"> Therefore, this section discusses </w:t>
      </w:r>
      <w:r w:rsidR="00CC63A5" w:rsidRPr="00EB3F8E">
        <w:rPr>
          <w:rFonts w:ascii="Times New Roman" w:hAnsi="Times New Roman" w:cs="Times New Roman"/>
          <w:sz w:val="24"/>
          <w:szCs w:val="24"/>
        </w:rPr>
        <w:t xml:space="preserve">two </w:t>
      </w:r>
      <w:r w:rsidRPr="00EB3F8E">
        <w:rPr>
          <w:rFonts w:ascii="Times New Roman" w:hAnsi="Times New Roman" w:cs="Times New Roman"/>
          <w:sz w:val="24"/>
          <w:szCs w:val="24"/>
        </w:rPr>
        <w:t>different types of risks and issues.</w:t>
      </w:r>
    </w:p>
    <w:p w14:paraId="35DC362A" w14:textId="72ECAFED" w:rsidR="00BA465C" w:rsidRPr="00391EFB" w:rsidRDefault="005F2AF1" w:rsidP="00EB3F8E">
      <w:pPr>
        <w:pStyle w:val="2"/>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hint="eastAsia"/>
          <w:b/>
          <w:bCs/>
          <w:color w:val="auto"/>
          <w:sz w:val="24"/>
          <w:szCs w:val="24"/>
        </w:rPr>
        <w:t>3</w:t>
      </w:r>
      <w:r w:rsidRPr="00391EFB">
        <w:rPr>
          <w:rFonts w:ascii="Times New Roman" w:hAnsi="Times New Roman" w:cs="Times New Roman"/>
          <w:b/>
          <w:bCs/>
          <w:color w:val="auto"/>
          <w:sz w:val="24"/>
          <w:szCs w:val="24"/>
        </w:rPr>
        <w:t xml:space="preserve">.3.1 </w:t>
      </w:r>
      <w:r w:rsidR="00BA465C" w:rsidRPr="00391EFB">
        <w:rPr>
          <w:rFonts w:ascii="Times New Roman" w:hAnsi="Times New Roman" w:cs="Times New Roman" w:hint="eastAsia"/>
          <w:b/>
          <w:bCs/>
          <w:color w:val="auto"/>
          <w:sz w:val="24"/>
          <w:szCs w:val="24"/>
        </w:rPr>
        <w:t>Personnel</w:t>
      </w:r>
      <w:r w:rsidR="00243CFA" w:rsidRPr="00391EFB">
        <w:rPr>
          <w:rFonts w:ascii="Times New Roman" w:hAnsi="Times New Roman" w:cs="Times New Roman"/>
          <w:b/>
          <w:bCs/>
          <w:color w:val="auto"/>
          <w:sz w:val="24"/>
          <w:szCs w:val="24"/>
        </w:rPr>
        <w:t xml:space="preserve"> </w:t>
      </w:r>
    </w:p>
    <w:p w14:paraId="11E1C72F" w14:textId="3D8710F8" w:rsidR="005F2AF1" w:rsidRPr="00EB3F8E" w:rsidRDefault="00243CFA"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The information security organizational structure of NG Company is not sound. It has not established a dedicated information security management department to be responsible for unified leadership of the company's information security matters, nor has a dedicated security risk management team been established. It is unable to comprehensively plan the company's information security development, nor can it regulate and guide the daily operations of employees. The security of employee personal and customer data cannot be guaranteed. In order to improve the effectiveness and authority of information security management, the company selects suitable employees from various business levels and forms an information security leadership group composed of business leaders and senior managers from various teams, responsible for formulating and implementing various control measures in the information security management system. At the same time, the company also needs to discuss and decide on information security related strategies, provide effective guidance and support for the company's information security work, provide necessary human and financial resources, and ensure information security.</w:t>
      </w:r>
    </w:p>
    <w:p w14:paraId="18DFD305" w14:textId="6387FC73" w:rsidR="006132F4" w:rsidRPr="00EB3F8E" w:rsidRDefault="00303BCA" w:rsidP="00EB3F8E">
      <w:pPr>
        <w:ind w:firstLineChars="100" w:firstLine="240"/>
        <w:rPr>
          <w:rFonts w:ascii="Times New Roman" w:hAnsi="Times New Roman" w:cs="Times New Roman"/>
          <w:sz w:val="24"/>
          <w:szCs w:val="24"/>
        </w:rPr>
      </w:pPr>
      <w:r w:rsidRPr="00EB3F8E">
        <w:rPr>
          <w:rFonts w:ascii="Times New Roman" w:hAnsi="Times New Roman" w:cs="Times New Roman"/>
          <w:sz w:val="24"/>
          <w:szCs w:val="24"/>
        </w:rPr>
        <w:t xml:space="preserve">In order to ensure information security, NG Company has implemented a series of control and testing measures before and after employees take up their positions. When recruiting new employees, the company conducts an information security review to select qualified candidates. After new employees join, the company will clarify their confidentiality obligations and responsibilities, and provide them with training on information security awareness and systems. During employee work, the company will incorporate the execution of information security work into KPI evaluation standards to motivate employees to comply with information security regulations. When an employee resigns, the company will revoke or adjust their related assets or systems to prevent information leakage or abuse. In addition, the information department of the company will regularly organize assessments of data security awareness, and test the </w:t>
      </w:r>
      <w:r w:rsidRPr="00EB3F8E">
        <w:rPr>
          <w:rFonts w:ascii="Times New Roman" w:hAnsi="Times New Roman" w:cs="Times New Roman"/>
          <w:sz w:val="24"/>
          <w:szCs w:val="24"/>
        </w:rPr>
        <w:lastRenderedPageBreak/>
        <w:t>information security awareness of employees through comprehensive testing or spot checks, accurately grasping the data security level of the company's employees based on the test results.</w:t>
      </w:r>
    </w:p>
    <w:p w14:paraId="365C191F" w14:textId="61BC99E9" w:rsidR="00303BCA" w:rsidRPr="00391EFB" w:rsidRDefault="00303BCA" w:rsidP="00391EFB">
      <w:pPr>
        <w:pStyle w:val="2"/>
        <w:spacing w:before="260" w:after="260" w:line="416" w:lineRule="auto"/>
        <w:rPr>
          <w:rFonts w:ascii="Times New Roman" w:hAnsi="Times New Roman" w:cs="Times New Roman"/>
          <w:b/>
          <w:bCs/>
          <w:color w:val="auto"/>
          <w:sz w:val="24"/>
          <w:szCs w:val="24"/>
        </w:rPr>
      </w:pPr>
      <w:r w:rsidRPr="00391EFB">
        <w:rPr>
          <w:rFonts w:ascii="Times New Roman" w:hAnsi="Times New Roman" w:cs="Times New Roman" w:hint="eastAsia"/>
          <w:b/>
          <w:bCs/>
          <w:color w:val="auto"/>
          <w:sz w:val="24"/>
          <w:szCs w:val="24"/>
        </w:rPr>
        <w:t>3</w:t>
      </w:r>
      <w:r w:rsidRPr="00391EFB">
        <w:rPr>
          <w:rFonts w:ascii="Times New Roman" w:hAnsi="Times New Roman" w:cs="Times New Roman"/>
          <w:b/>
          <w:bCs/>
          <w:color w:val="auto"/>
          <w:sz w:val="24"/>
          <w:szCs w:val="24"/>
        </w:rPr>
        <w:t>.3.2</w:t>
      </w:r>
      <w:r w:rsidR="00EB3F8E" w:rsidRPr="00391EFB">
        <w:rPr>
          <w:rFonts w:ascii="Times New Roman" w:hAnsi="Times New Roman" w:cs="Times New Roman"/>
          <w:b/>
          <w:bCs/>
          <w:color w:val="auto"/>
          <w:sz w:val="24"/>
          <w:szCs w:val="24"/>
        </w:rPr>
        <w:t xml:space="preserve"> </w:t>
      </w:r>
      <w:r w:rsidR="002F177B" w:rsidRPr="00391EFB">
        <w:rPr>
          <w:rFonts w:ascii="Times New Roman" w:hAnsi="Times New Roman" w:cs="Times New Roman" w:hint="eastAsia"/>
          <w:b/>
          <w:bCs/>
          <w:color w:val="auto"/>
          <w:sz w:val="24"/>
          <w:szCs w:val="24"/>
        </w:rPr>
        <w:t>Technology</w:t>
      </w:r>
    </w:p>
    <w:p w14:paraId="28B82ACF" w14:textId="0724FDB8" w:rsidR="001A4376" w:rsidRPr="00F564D0" w:rsidRDefault="00673E7A" w:rsidP="00F564D0">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 xml:space="preserve">95% of NG Company's networks are wireless and may be subject to illegal intrusion, destruction, or theft of computer systems or network resources, which can cause serious losses and harm to individuals and organizations. To avoid network attacks, it is necessary to take some technologies and measures to protect network security. The most commonly used method is to use tools such as firewalls, antivirus software, encryption technology, etc. to prevent common network attack methods such as malware, ransomware, and phishing. The company's calculator system should regularly update system and application patches, fix known vulnerabilities and defects, and prevent </w:t>
      </w:r>
      <w:r w:rsidR="001A4376" w:rsidRPr="00F564D0">
        <w:rPr>
          <w:rFonts w:ascii="Times New Roman" w:eastAsiaTheme="minorEastAsia" w:hAnsi="Times New Roman" w:cs="Times New Roman"/>
          <w:kern w:val="2"/>
        </w:rPr>
        <w:t>vulnerability-based</w:t>
      </w:r>
      <w:r w:rsidRPr="00F564D0">
        <w:rPr>
          <w:rFonts w:ascii="Times New Roman" w:eastAsiaTheme="minorEastAsia" w:hAnsi="Times New Roman" w:cs="Times New Roman"/>
          <w:kern w:val="2"/>
        </w:rPr>
        <w:t xml:space="preserve"> network attacks such as SQL injection and cross site scripting</w:t>
      </w:r>
      <w:r w:rsidR="00556BF6" w:rsidRPr="00F564D0">
        <w:rPr>
          <w:rFonts w:ascii="Times New Roman" w:eastAsiaTheme="minorEastAsia" w:hAnsi="Times New Roman" w:cs="Times New Roman"/>
          <w:kern w:val="2"/>
        </w:rPr>
        <w:t xml:space="preserve"> [6]</w:t>
      </w:r>
      <w:r w:rsidRPr="00F564D0">
        <w:rPr>
          <w:rFonts w:ascii="Times New Roman" w:eastAsiaTheme="minorEastAsia" w:hAnsi="Times New Roman" w:cs="Times New Roman"/>
          <w:kern w:val="2"/>
        </w:rPr>
        <w:t xml:space="preserve">. Each staff member's account should strengthen password management, use complex passwords, and regularly modify them to avoid using weak or duplicate passwords, and prevent passwords from being cracked or stolen. Enhance network monitoring, timely detect and report abnormal network traffic or activity, and prevent </w:t>
      </w:r>
      <w:r w:rsidR="001A4376" w:rsidRPr="00F564D0">
        <w:rPr>
          <w:rFonts w:ascii="Times New Roman" w:eastAsiaTheme="minorEastAsia" w:hAnsi="Times New Roman" w:cs="Times New Roman"/>
          <w:kern w:val="2"/>
        </w:rPr>
        <w:t>traffic-based</w:t>
      </w:r>
      <w:r w:rsidRPr="00F564D0">
        <w:rPr>
          <w:rFonts w:ascii="Times New Roman" w:eastAsiaTheme="minorEastAsia" w:hAnsi="Times New Roman" w:cs="Times New Roman"/>
          <w:kern w:val="2"/>
        </w:rPr>
        <w:t xml:space="preserve"> network attacks such as distributed denial of service and botnets. Employees need to raise their awareness of cybersecurity, conduct regular cybersecurity training, educate employees and users on how to identify and prevent threats from </w:t>
      </w:r>
      <w:r w:rsidR="001A4376" w:rsidRPr="00F564D0">
        <w:rPr>
          <w:rFonts w:ascii="Times New Roman" w:eastAsiaTheme="minorEastAsia" w:hAnsi="Times New Roman" w:cs="Times New Roman"/>
          <w:kern w:val="2"/>
        </w:rPr>
        <w:t>cyber-attacks</w:t>
      </w:r>
      <w:r w:rsidRPr="00F564D0">
        <w:rPr>
          <w:rFonts w:ascii="Times New Roman" w:eastAsiaTheme="minorEastAsia" w:hAnsi="Times New Roman" w:cs="Times New Roman"/>
          <w:kern w:val="2"/>
        </w:rPr>
        <w:t xml:space="preserve">, and prevent human based </w:t>
      </w:r>
      <w:r w:rsidR="001A4376" w:rsidRPr="00F564D0">
        <w:rPr>
          <w:rFonts w:ascii="Times New Roman" w:eastAsiaTheme="minorEastAsia" w:hAnsi="Times New Roman" w:cs="Times New Roman"/>
          <w:kern w:val="2"/>
        </w:rPr>
        <w:t>cyber-attacks</w:t>
      </w:r>
      <w:r w:rsidRPr="00F564D0">
        <w:rPr>
          <w:rFonts w:ascii="Times New Roman" w:eastAsiaTheme="minorEastAsia" w:hAnsi="Times New Roman" w:cs="Times New Roman"/>
          <w:kern w:val="2"/>
        </w:rPr>
        <w:t xml:space="preserve"> such as social engineering and internal threats.</w:t>
      </w:r>
    </w:p>
    <w:p w14:paraId="721E6B5B" w14:textId="196C84B3" w:rsidR="00CC2AE5" w:rsidRPr="00F564D0" w:rsidRDefault="000B3726" w:rsidP="00F564D0">
      <w:pPr>
        <w:pStyle w:val="3"/>
        <w:spacing w:before="260" w:after="260" w:line="416" w:lineRule="auto"/>
        <w:rPr>
          <w:rFonts w:ascii="Times New Roman" w:eastAsiaTheme="minorEastAsia" w:hAnsi="Times New Roman" w:cs="Times New Roman"/>
          <w:b/>
          <w:bCs/>
          <w:color w:val="auto"/>
        </w:rPr>
      </w:pPr>
      <w:r w:rsidRPr="00F564D0">
        <w:rPr>
          <w:rFonts w:ascii="Times New Roman" w:eastAsiaTheme="minorEastAsia" w:hAnsi="Times New Roman" w:cs="Times New Roman"/>
          <w:b/>
          <w:bCs/>
          <w:color w:val="auto"/>
        </w:rPr>
        <w:t>4.</w:t>
      </w:r>
      <w:r w:rsidR="00303BCA" w:rsidRPr="00F564D0">
        <w:rPr>
          <w:rFonts w:ascii="Times New Roman" w:eastAsiaTheme="minorEastAsia" w:hAnsi="Times New Roman" w:cs="Times New Roman"/>
          <w:b/>
          <w:bCs/>
          <w:color w:val="auto"/>
        </w:rPr>
        <w:t xml:space="preserve"> </w:t>
      </w:r>
      <w:r w:rsidR="007C4BDF" w:rsidRPr="00F564D0">
        <w:rPr>
          <w:rFonts w:ascii="Times New Roman" w:eastAsiaTheme="minorEastAsia" w:hAnsi="Times New Roman" w:cs="Times New Roman"/>
          <w:b/>
          <w:bCs/>
          <w:color w:val="auto"/>
        </w:rPr>
        <w:t>I</w:t>
      </w:r>
      <w:r w:rsidR="00303BCA" w:rsidRPr="00F564D0">
        <w:rPr>
          <w:rFonts w:ascii="Times New Roman" w:eastAsiaTheme="minorEastAsia" w:hAnsi="Times New Roman" w:cs="Times New Roman"/>
          <w:b/>
          <w:bCs/>
          <w:color w:val="auto"/>
        </w:rPr>
        <w:t xml:space="preserve">nformation and </w:t>
      </w:r>
      <w:r w:rsidR="007C4BDF" w:rsidRPr="00F564D0">
        <w:rPr>
          <w:rFonts w:ascii="Times New Roman" w:eastAsiaTheme="minorEastAsia" w:hAnsi="Times New Roman" w:cs="Times New Roman"/>
          <w:b/>
          <w:bCs/>
          <w:color w:val="auto"/>
        </w:rPr>
        <w:t>C</w:t>
      </w:r>
      <w:r w:rsidR="00303BCA" w:rsidRPr="00F564D0">
        <w:rPr>
          <w:rFonts w:ascii="Times New Roman" w:eastAsiaTheme="minorEastAsia" w:hAnsi="Times New Roman" w:cs="Times New Roman"/>
          <w:b/>
          <w:bCs/>
          <w:color w:val="auto"/>
        </w:rPr>
        <w:t>ommunication</w:t>
      </w:r>
    </w:p>
    <w:p w14:paraId="5C210077" w14:textId="2E431ABB" w:rsidR="00703ED0" w:rsidRPr="00F564D0" w:rsidRDefault="00703ED0" w:rsidP="0072122A">
      <w:pPr>
        <w:pStyle w:val="af2"/>
        <w:spacing w:before="180"/>
        <w:ind w:firstLineChars="100" w:firstLine="240"/>
        <w:rPr>
          <w:rFonts w:ascii="Times New Roman" w:eastAsiaTheme="minorEastAsia" w:hAnsi="Times New Roman" w:cs="Times New Roman"/>
          <w:kern w:val="2"/>
        </w:rPr>
      </w:pPr>
      <w:r w:rsidRPr="00F564D0">
        <w:rPr>
          <w:rFonts w:ascii="Times New Roman" w:eastAsiaTheme="minorEastAsia" w:hAnsi="Times New Roman" w:cs="Times New Roman"/>
          <w:kern w:val="2"/>
        </w:rPr>
        <w:t xml:space="preserve">In order to ensure smooth information and communication, NG Company has taken a series of measures in terms of communication mechanisms and collaboration between information departments and functional departments. In terms of communication mechanisms, the company has shortened the chain of information transmission, expanded communication channels, and ensured the smooth and complete flow of information. The company has established an emergency reporting mechanism to reduce duplication between departments and encourage and allow employees to report any issues they encounter in their work. The company has also established a dedicated team to strengthen regular communication between superiors and subordinates, ensure communication between both parties, and implement a regular risk reporting system. The company believes that effective communication should be an organic combination of "top-down" and "bottom-up", and smooth communication channels are the guarantee for successful and effective communication. In terms of collaboration between information departments and functional departments, the company has strengthened the collaboration between information departments and functional departments. This not only enables better prevention of information security risks, but also ensures better linkage warning and </w:t>
      </w:r>
      <w:r w:rsidRPr="00F564D0">
        <w:rPr>
          <w:rFonts w:ascii="Times New Roman" w:eastAsiaTheme="minorEastAsia" w:hAnsi="Times New Roman" w:cs="Times New Roman"/>
          <w:kern w:val="2"/>
        </w:rPr>
        <w:lastRenderedPageBreak/>
        <w:t>feedback in the event of information security risk events</w:t>
      </w:r>
      <w:r w:rsidR="00556BF6" w:rsidRPr="00F564D0">
        <w:rPr>
          <w:rFonts w:ascii="Times New Roman" w:eastAsiaTheme="minorEastAsia" w:hAnsi="Times New Roman" w:cs="Times New Roman"/>
          <w:kern w:val="2"/>
        </w:rPr>
        <w:t xml:space="preserve"> [7]</w:t>
      </w:r>
      <w:r w:rsidRPr="00F564D0">
        <w:rPr>
          <w:rFonts w:ascii="Times New Roman" w:eastAsiaTheme="minorEastAsia" w:hAnsi="Times New Roman" w:cs="Times New Roman"/>
          <w:kern w:val="2"/>
        </w:rPr>
        <w:t>. Specific measures include:</w:t>
      </w:r>
    </w:p>
    <w:p w14:paraId="791BC326" w14:textId="54269424" w:rsidR="00703ED0" w:rsidRPr="00F564D0" w:rsidRDefault="00703ED0" w:rsidP="0072122A">
      <w:pPr>
        <w:pStyle w:val="af2"/>
        <w:spacing w:before="180"/>
        <w:ind w:firstLineChars="100" w:firstLine="240"/>
        <w:rPr>
          <w:rFonts w:ascii="Times New Roman" w:eastAsiaTheme="minorEastAsia" w:hAnsi="Times New Roman" w:cs="Times New Roman"/>
          <w:kern w:val="2"/>
        </w:rPr>
      </w:pPr>
      <w:r w:rsidRPr="00F564D0">
        <w:rPr>
          <w:rFonts w:ascii="Times New Roman" w:eastAsiaTheme="minorEastAsia" w:hAnsi="Times New Roman" w:cs="Times New Roman"/>
          <w:kern w:val="2"/>
        </w:rPr>
        <w:t xml:space="preserve">Integrate enterprise information security planning with business planning. At the beginning, the company must establish goals to match information security planning and business planning, which often involves defining, confirming, and creating specific indicators that information security planning and business planning should meet. By conducting periodic </w:t>
      </w:r>
      <w:r w:rsidR="001A4376" w:rsidRPr="00F564D0">
        <w:rPr>
          <w:rFonts w:ascii="Times New Roman" w:eastAsiaTheme="minorEastAsia" w:hAnsi="Times New Roman" w:cs="Times New Roman"/>
          <w:kern w:val="2"/>
        </w:rPr>
        <w:t>reevaluations</w:t>
      </w:r>
      <w:r w:rsidRPr="00F564D0">
        <w:rPr>
          <w:rFonts w:ascii="Times New Roman" w:eastAsiaTheme="minorEastAsia" w:hAnsi="Times New Roman" w:cs="Times New Roman"/>
          <w:kern w:val="2"/>
        </w:rPr>
        <w:t xml:space="preserve"> of information security and business impact factors, and balancing their priority, benefits, and costs, we can achieve synchronization between information security and business activities. Only in this way can information security track business changes in a timely manner and adapt to changes in business requirements in a timely manner.</w:t>
      </w:r>
    </w:p>
    <w:p w14:paraId="3102CC32" w14:textId="391A748D" w:rsidR="00CC2AE5" w:rsidRPr="00F564D0" w:rsidRDefault="00703ED0" w:rsidP="0072122A">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Strengthen training on the comprehensive quality of employees in the information security department. Benign business development refers to the involvement of information security management personnel in the overall decision-making process when a company makes business decisions, and providing their own opinions on the application of information technology in business development. From the perspective of information security management, information personnel should not only be technical personnel, but also become composite talents who integrate management and information security technology. They need to become information technology talents who understand enterprise management and can communicate with employees at every level of the enterprise. This puts higher requirements on the information security department itself, and attention should be paid to the cultivation of composite talents.</w:t>
      </w:r>
    </w:p>
    <w:p w14:paraId="16821F17" w14:textId="06E16704" w:rsidR="0072122A" w:rsidRPr="00F564D0" w:rsidRDefault="00271E62" w:rsidP="00F564D0">
      <w:pPr>
        <w:pStyle w:val="3"/>
        <w:spacing w:before="260" w:after="260" w:line="416" w:lineRule="auto"/>
        <w:rPr>
          <w:rFonts w:ascii="Times New Roman" w:eastAsiaTheme="minorEastAsia" w:hAnsi="Times New Roman" w:cs="Times New Roman"/>
          <w:b/>
          <w:bCs/>
          <w:color w:val="auto"/>
        </w:rPr>
      </w:pPr>
      <w:r w:rsidRPr="00F564D0">
        <w:rPr>
          <w:rFonts w:ascii="Times New Roman" w:eastAsiaTheme="minorEastAsia" w:hAnsi="Times New Roman" w:cs="Times New Roman"/>
          <w:b/>
          <w:bCs/>
          <w:color w:val="auto"/>
        </w:rPr>
        <w:t>5</w:t>
      </w:r>
      <w:r w:rsidR="007C4BDF" w:rsidRPr="00F564D0">
        <w:rPr>
          <w:rFonts w:ascii="Times New Roman" w:eastAsiaTheme="minorEastAsia" w:hAnsi="Times New Roman" w:cs="Times New Roman"/>
          <w:b/>
          <w:bCs/>
          <w:color w:val="auto"/>
        </w:rPr>
        <w:t>.</w:t>
      </w:r>
      <w:r w:rsidR="0072122A" w:rsidRPr="00F564D0">
        <w:rPr>
          <w:rFonts w:ascii="Times New Roman" w:eastAsiaTheme="minorEastAsia" w:hAnsi="Times New Roman" w:cs="Times New Roman"/>
          <w:b/>
          <w:bCs/>
          <w:color w:val="auto"/>
        </w:rPr>
        <w:t xml:space="preserve"> Perfect the Supervision System</w:t>
      </w:r>
    </w:p>
    <w:p w14:paraId="7A47090E" w14:textId="77777777" w:rsidR="00271E62" w:rsidRPr="00F564D0" w:rsidRDefault="00271E62" w:rsidP="00F564D0">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 xml:space="preserve">A robust internal governance system is essential for any company that wants to ensure its compliance, security, and performance. </w:t>
      </w:r>
    </w:p>
    <w:p w14:paraId="1E192850" w14:textId="3E2229AA" w:rsidR="007C4BDF" w:rsidRPr="00F564D0" w:rsidRDefault="00271E62" w:rsidP="00F564D0">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 xml:space="preserve">To achieve this, the company should first establish an independent and authoritative internal audit department that is directly led by the board of directors or the main leader of the company. This department should conduct regular and special audits on the key business areas, processes, and positions of the company, such as cloud services, wireless network, online and social media, personal device management, information security, etc. It should also report the audit results and recommendations to the relevant decision-makers and stakeholders, and supervise the implementation of corrective actions. Secondly, the company should establish a comprehensive and effective internal control system that covers the key areas and processes of the company, such as strategy, operation, finance, compliance, risk, etc., and integrates the daily supervision and special supervision methods. This system should also incorporate the external regulatory requirements and the internal ethical standards and values of the company. It should be embedded in the business processes and systems, and ensure that the company’s activities are in compliance with the laws and regulations, and prevent </w:t>
      </w:r>
      <w:r w:rsidRPr="00F564D0">
        <w:rPr>
          <w:rFonts w:ascii="Times New Roman" w:eastAsiaTheme="minorEastAsia" w:hAnsi="Times New Roman" w:cs="Times New Roman"/>
          <w:kern w:val="2"/>
        </w:rPr>
        <w:lastRenderedPageBreak/>
        <w:t>security vulnerabilities and breaches. Thirdly, the company should establish a sound supervision and evaluation system that monitors and evaluates the effectiveness and efficiency of the internal audit and internal control systems, and uses both qualitative and quantitative criteria to identify and rectify the internal control deficiencies, risks, and compliance issues. This system should also use information technology, such as big data, cloud computing, artificial intelligence, etc., to achieve real-time monitoring, automatic warning, and online supervision functions, and improve the timeliness and quality of supervision. Lastly, the company should establish a strong incentive and constraint mechanism that rewards and punishes the employees and partners based on their performance and compliance with the internal audit and internal control systems. This mechanism should also include a clear accountability system that holds the responsible parties accountable for any violations or losses caused by their negligence or misconduct, and imposes legal liability, fines, and damage to their reputation.</w:t>
      </w:r>
    </w:p>
    <w:p w14:paraId="5CD4FDBB" w14:textId="1C8236B4" w:rsidR="000B3726" w:rsidRPr="00F564D0" w:rsidRDefault="00271E62" w:rsidP="00F564D0">
      <w:pPr>
        <w:pStyle w:val="3"/>
        <w:spacing w:before="260" w:after="260" w:line="416" w:lineRule="auto"/>
        <w:rPr>
          <w:rFonts w:ascii="Times New Roman" w:eastAsiaTheme="minorEastAsia" w:hAnsi="Times New Roman" w:cs="Times New Roman"/>
          <w:b/>
          <w:bCs/>
          <w:color w:val="auto"/>
        </w:rPr>
      </w:pPr>
      <w:r w:rsidRPr="00F564D0">
        <w:rPr>
          <w:rFonts w:ascii="Times New Roman" w:eastAsiaTheme="minorEastAsia" w:hAnsi="Times New Roman" w:cs="Times New Roman"/>
          <w:b/>
          <w:bCs/>
          <w:color w:val="auto"/>
        </w:rPr>
        <w:t>6.</w:t>
      </w:r>
      <w:r w:rsidR="002F22E5">
        <w:rPr>
          <w:rFonts w:ascii="Times New Roman" w:eastAsiaTheme="minorEastAsia" w:hAnsi="Times New Roman" w:cs="Times New Roman"/>
          <w:b/>
          <w:bCs/>
          <w:color w:val="auto"/>
        </w:rPr>
        <w:t xml:space="preserve"> </w:t>
      </w:r>
      <w:r w:rsidR="000B3726" w:rsidRPr="00F564D0">
        <w:rPr>
          <w:rFonts w:ascii="Times New Roman" w:eastAsiaTheme="minorEastAsia" w:hAnsi="Times New Roman" w:cs="Times New Roman" w:hint="eastAsia"/>
          <w:b/>
          <w:bCs/>
          <w:color w:val="auto"/>
        </w:rPr>
        <w:t>Conclusion</w:t>
      </w:r>
    </w:p>
    <w:p w14:paraId="03847855" w14:textId="77777777" w:rsidR="000B3726" w:rsidRPr="00F564D0" w:rsidRDefault="000B3726" w:rsidP="0072122A">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In conclusion, the evolving landscape of the digital era has heightened the importance of robust Data Security, Governance, and Compliance (DSC) practices. This is particularly critical for NatureGarden (NG), a global industry leader in health and lifestyle products, facing multifaceted challenges in its extensive online presence, cloud service utilization, and remote workforce engagement.</w:t>
      </w:r>
    </w:p>
    <w:p w14:paraId="4B0394EB" w14:textId="74F2AA75" w:rsidR="000B3726" w:rsidRPr="00F564D0" w:rsidRDefault="000B3726" w:rsidP="00556BF6">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The foundation of effective DSC lies in meticulous data classification, where the identification and categorization of data based on value, sensitivity, and risk become imperative. NG's dynamic environment necessitates a tailored DSC strategy, amalgamating established frameworks and models to navigate the complexity and diversity inherent in its IT landscape.</w:t>
      </w:r>
      <w:r w:rsidR="002F22E5">
        <w:rPr>
          <w:rFonts w:ascii="Times New Roman" w:eastAsiaTheme="minorEastAsia" w:hAnsi="Times New Roman" w:cs="Times New Roman"/>
          <w:kern w:val="2"/>
        </w:rPr>
        <w:t xml:space="preserve"> </w:t>
      </w:r>
      <w:r w:rsidR="00761669" w:rsidRPr="00F564D0">
        <w:rPr>
          <w:rFonts w:ascii="Times New Roman" w:eastAsiaTheme="minorEastAsia" w:hAnsi="Times New Roman" w:cs="Times New Roman"/>
          <w:kern w:val="2"/>
        </w:rPr>
        <w:t>For i</w:t>
      </w:r>
      <w:r w:rsidRPr="00F564D0">
        <w:rPr>
          <w:rFonts w:ascii="Times New Roman" w:eastAsiaTheme="minorEastAsia" w:hAnsi="Times New Roman" w:cs="Times New Roman"/>
          <w:kern w:val="2"/>
        </w:rPr>
        <w:t>nternal controls, whether focusing on personnel, technology, or compliance, play a pivotal role in mitigating risks. Measures include establishing a sound information security management structure, implementing security measures during employee onboarding and offboarding, adopting technological safeguards against network attacks, and ensuring compliance through regular communication, collaboration, and training.</w:t>
      </w:r>
    </w:p>
    <w:p w14:paraId="6374CB05" w14:textId="195EB8BC" w:rsidR="000B3726" w:rsidRPr="00F564D0" w:rsidRDefault="000B3726" w:rsidP="0072122A">
      <w:pPr>
        <w:pStyle w:val="af2"/>
        <w:spacing w:before="180" w:beforeAutospacing="0" w:after="0" w:afterAutospacing="0"/>
        <w:ind w:firstLineChars="100" w:firstLine="240"/>
        <w:jc w:val="both"/>
        <w:rPr>
          <w:rFonts w:ascii="Times New Roman" w:eastAsiaTheme="minorEastAsia" w:hAnsi="Times New Roman" w:cs="Times New Roman"/>
          <w:kern w:val="2"/>
        </w:rPr>
      </w:pPr>
      <w:r w:rsidRPr="00F564D0">
        <w:rPr>
          <w:rFonts w:ascii="Times New Roman" w:eastAsiaTheme="minorEastAsia" w:hAnsi="Times New Roman" w:cs="Times New Roman"/>
          <w:kern w:val="2"/>
        </w:rPr>
        <w:t>T</w:t>
      </w:r>
      <w:r w:rsidR="00761669" w:rsidRPr="00F564D0">
        <w:rPr>
          <w:rFonts w:ascii="Times New Roman" w:eastAsiaTheme="minorEastAsia" w:hAnsi="Times New Roman" w:cs="Times New Roman"/>
          <w:kern w:val="2"/>
        </w:rPr>
        <w:t>his report</w:t>
      </w:r>
      <w:r w:rsidRPr="00F564D0">
        <w:rPr>
          <w:rFonts w:ascii="Times New Roman" w:eastAsiaTheme="minorEastAsia" w:hAnsi="Times New Roman" w:cs="Times New Roman"/>
          <w:kern w:val="2"/>
        </w:rPr>
        <w:t xml:space="preserve"> emphasizes the need for NG to enhance its risk management foundation by establishing a robust information management system, reinforcing the information security organizational structure, and fostering a positive risk culture. It advocates for a holistic approach to DSC that integrates people, processes, and technology, ensuring that information security becomes an integral part of NG's business strategy. By doing so, NG can not only protect its sensitive data but also enhance its overall competitiveness and resilience in the face of evolving cyber threats.</w:t>
      </w:r>
    </w:p>
    <w:p w14:paraId="7E5C57C8" w14:textId="2009EA30" w:rsidR="00A60F35" w:rsidRDefault="00A60F35">
      <w:pPr>
        <w:widowControl/>
        <w:jc w:val="left"/>
        <w:rPr>
          <w:rFonts w:ascii="Roboto" w:eastAsia="宋体" w:hAnsi="Roboto" w:cs="宋体"/>
          <w:color w:val="111111"/>
          <w:kern w:val="0"/>
          <w:sz w:val="24"/>
          <w:szCs w:val="24"/>
        </w:rPr>
      </w:pPr>
      <w:r>
        <w:rPr>
          <w:rFonts w:ascii="Roboto" w:hAnsi="Roboto"/>
          <w:color w:val="111111"/>
        </w:rPr>
        <w:br w:type="page"/>
      </w:r>
    </w:p>
    <w:p w14:paraId="3769FBE5" w14:textId="4EF22543" w:rsidR="000B3726" w:rsidRPr="00F564D0" w:rsidRDefault="00A60F35" w:rsidP="00F564D0">
      <w:pPr>
        <w:rPr>
          <w:rFonts w:ascii="Times New Roman" w:hAnsi="Times New Roman" w:cs="Times New Roman"/>
          <w:sz w:val="24"/>
          <w:szCs w:val="28"/>
        </w:rPr>
      </w:pPr>
      <w:r w:rsidRPr="00F564D0">
        <w:rPr>
          <w:rFonts w:ascii="Times New Roman" w:hAnsi="Times New Roman" w:cs="Times New Roman" w:hint="eastAsia"/>
          <w:sz w:val="24"/>
          <w:szCs w:val="28"/>
        </w:rPr>
        <w:lastRenderedPageBreak/>
        <w:t>R</w:t>
      </w:r>
      <w:r w:rsidRPr="00F564D0">
        <w:rPr>
          <w:rFonts w:ascii="Times New Roman" w:hAnsi="Times New Roman" w:cs="Times New Roman"/>
          <w:sz w:val="24"/>
          <w:szCs w:val="28"/>
        </w:rPr>
        <w:t>eference:</w:t>
      </w:r>
    </w:p>
    <w:p w14:paraId="3080EE3D" w14:textId="7DE12D33" w:rsidR="00A60F35" w:rsidRPr="00F564D0" w:rsidRDefault="00A60F35" w:rsidP="00F564D0">
      <w:pPr>
        <w:rPr>
          <w:rFonts w:ascii="Times New Roman" w:hAnsi="Times New Roman" w:cs="Times New Roman"/>
          <w:sz w:val="24"/>
          <w:szCs w:val="28"/>
        </w:rPr>
      </w:pPr>
      <w:r w:rsidRPr="00F564D0">
        <w:rPr>
          <w:rFonts w:ascii="Times New Roman" w:hAnsi="Times New Roman" w:cs="Times New Roman"/>
          <w:sz w:val="24"/>
          <w:szCs w:val="28"/>
        </w:rPr>
        <w:t>[1] Johannsen, A., Kant, D. and Creutzburg, R. (2020) ‘Measuring IT security, compliance and data governance within small and medium-sized IT enterprises’, Electronic Imaging. Society for Imaging Science and Technology, 2020(3), pp. 252–251.</w:t>
      </w:r>
    </w:p>
    <w:p w14:paraId="53B6971D" w14:textId="7FB7B29D" w:rsidR="00B030FE" w:rsidRPr="00F564D0" w:rsidRDefault="00B030FE" w:rsidP="00F564D0">
      <w:pPr>
        <w:rPr>
          <w:rFonts w:ascii="Times New Roman" w:hAnsi="Times New Roman" w:cs="Times New Roman"/>
          <w:sz w:val="24"/>
          <w:szCs w:val="28"/>
        </w:rPr>
      </w:pPr>
      <w:r w:rsidRPr="00F564D0">
        <w:rPr>
          <w:rFonts w:ascii="Times New Roman" w:hAnsi="Times New Roman" w:cs="Times New Roman"/>
          <w:sz w:val="24"/>
          <w:szCs w:val="28"/>
        </w:rPr>
        <w:t>[2] Mesquida, A.-L. and Mas, A. (2015) ‘Integrating IT service management requirements into the organizational management system’, Computer standards &amp; interfaces. Elsevier, 37, pp. 80–91.</w:t>
      </w:r>
    </w:p>
    <w:p w14:paraId="6474AF27" w14:textId="32549D7D" w:rsidR="00B030FE" w:rsidRPr="00F564D0" w:rsidRDefault="00B030FE" w:rsidP="00F564D0">
      <w:pPr>
        <w:rPr>
          <w:rFonts w:ascii="Times New Roman" w:hAnsi="Times New Roman" w:cs="Times New Roman"/>
          <w:sz w:val="24"/>
          <w:szCs w:val="28"/>
        </w:rPr>
      </w:pPr>
      <w:r w:rsidRPr="00F564D0">
        <w:rPr>
          <w:rFonts w:ascii="Times New Roman" w:hAnsi="Times New Roman" w:cs="Times New Roman"/>
          <w:sz w:val="24"/>
          <w:szCs w:val="28"/>
        </w:rPr>
        <w:t>[3] Barcelo-Valenzuela, M. and Leal-Pompa, C. M. (2020) ‘An ITSM Framework Adaptation: Case Study in an Electoral Institution’, in 2020 International Conference on Computing and Data Science (CDS), pp. 468–473. doi: 10.1109/CDS49703.2020.00098.</w:t>
      </w:r>
    </w:p>
    <w:p w14:paraId="5ADEB614" w14:textId="1E35E2F3" w:rsidR="00B030FE" w:rsidRPr="00F564D0" w:rsidRDefault="00B030FE" w:rsidP="00F564D0">
      <w:pPr>
        <w:rPr>
          <w:rFonts w:ascii="Times New Roman" w:hAnsi="Times New Roman" w:cs="Times New Roman"/>
          <w:sz w:val="24"/>
          <w:szCs w:val="28"/>
        </w:rPr>
      </w:pPr>
      <w:r w:rsidRPr="00F564D0">
        <w:rPr>
          <w:rFonts w:ascii="Times New Roman" w:hAnsi="Times New Roman" w:cs="Times New Roman"/>
          <w:sz w:val="24"/>
          <w:szCs w:val="28"/>
        </w:rPr>
        <w:t>[4] Arabyat, A. A. K. (2020) ‘The Implementation of the Committee of Sponsoring Organizations (COSO) Decisions and their Effect on Reducing Money Laundering (A Field Study in Jordanian Financial Institutions)’, Multi-Knowledge Electronic Comprehensive Journal For Education &amp; Science Publications (MECSJ), (30).</w:t>
      </w:r>
    </w:p>
    <w:p w14:paraId="72EE0447" w14:textId="043CAB17" w:rsidR="00B030FE" w:rsidRPr="00F564D0" w:rsidRDefault="00B030FE" w:rsidP="00F564D0">
      <w:pPr>
        <w:rPr>
          <w:rFonts w:ascii="Times New Roman" w:hAnsi="Times New Roman" w:cs="Times New Roman"/>
          <w:sz w:val="24"/>
          <w:szCs w:val="28"/>
        </w:rPr>
      </w:pPr>
      <w:r w:rsidRPr="00F564D0">
        <w:rPr>
          <w:rFonts w:ascii="Times New Roman" w:hAnsi="Times New Roman" w:cs="Times New Roman" w:hint="eastAsia"/>
          <w:sz w:val="24"/>
          <w:szCs w:val="28"/>
        </w:rPr>
        <w:t>[</w:t>
      </w:r>
      <w:r w:rsidRPr="00F564D0">
        <w:rPr>
          <w:rFonts w:ascii="Times New Roman" w:hAnsi="Times New Roman" w:cs="Times New Roman"/>
          <w:sz w:val="24"/>
          <w:szCs w:val="28"/>
        </w:rPr>
        <w:t>5] De Haes, S., Van Grembergen, W. and Debreceny, R. S. (2013) ‘COBIT 5 and enterprise governance of information technology: Building blocks and research opportunities’, Journal of Information Systems. American Accounting Association, 27(1), pp. 307–324.</w:t>
      </w:r>
    </w:p>
    <w:p w14:paraId="1C5434D6" w14:textId="21DAA27A" w:rsidR="00556BF6" w:rsidRPr="00F564D0" w:rsidRDefault="00556BF6" w:rsidP="00F564D0">
      <w:pPr>
        <w:rPr>
          <w:rFonts w:ascii="Times New Roman" w:hAnsi="Times New Roman" w:cs="Times New Roman"/>
          <w:sz w:val="24"/>
          <w:szCs w:val="28"/>
        </w:rPr>
      </w:pPr>
      <w:r w:rsidRPr="00F564D0">
        <w:rPr>
          <w:rFonts w:ascii="Times New Roman" w:hAnsi="Times New Roman" w:cs="Times New Roman"/>
          <w:sz w:val="24"/>
          <w:szCs w:val="28"/>
        </w:rPr>
        <w:t>[6] Cheng, Q., Goh, B. W. and Kim, J. B. (2018) ‘Internal Control and Operational Efficiency’, Contemporary Accounting Research, 35(2), pp. 1102–1139. doi: 10.1111/1911-3846.12409.</w:t>
      </w:r>
    </w:p>
    <w:p w14:paraId="5F7270D4" w14:textId="4B8CB88F" w:rsidR="00556BF6" w:rsidRPr="00F564D0" w:rsidRDefault="00556BF6" w:rsidP="00F564D0">
      <w:pPr>
        <w:rPr>
          <w:rFonts w:ascii="Times New Roman" w:hAnsi="Times New Roman" w:cs="Times New Roman"/>
          <w:sz w:val="24"/>
          <w:szCs w:val="28"/>
        </w:rPr>
      </w:pPr>
      <w:r w:rsidRPr="00F564D0">
        <w:rPr>
          <w:rFonts w:ascii="Times New Roman" w:hAnsi="Times New Roman" w:cs="Times New Roman"/>
          <w:sz w:val="24"/>
          <w:szCs w:val="28"/>
        </w:rPr>
        <w:t>[7] Uribe-Hernandez, Y. et al. (2021) ‘The Impact of the Information and Internal Communication Systems component of coso III on the profitability of a restaurant of Brasas and Parrillas from Callao 2018’, in 2021 IEEE Sciences and Humanities International Research Conference (SHIRCON), pp. 1–4. doi: 10.1109/SHIRCON53068.2021.9652339.</w:t>
      </w:r>
    </w:p>
    <w:p w14:paraId="33A9E306" w14:textId="30270E42" w:rsidR="00A60F35" w:rsidRPr="00556BF6" w:rsidRDefault="00A60F35" w:rsidP="000B3726">
      <w:pPr>
        <w:pStyle w:val="af2"/>
        <w:spacing w:before="180" w:beforeAutospacing="0" w:after="0" w:afterAutospacing="0"/>
        <w:jc w:val="both"/>
        <w:rPr>
          <w:rFonts w:ascii="Roboto" w:hAnsi="Roboto"/>
          <w:color w:val="111111"/>
        </w:rPr>
      </w:pPr>
    </w:p>
    <w:sectPr w:rsidR="00A60F35" w:rsidRPr="00556BF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43923" w14:textId="77777777" w:rsidR="00714E0D" w:rsidRDefault="00714E0D" w:rsidP="00B43B5E">
      <w:r>
        <w:separator/>
      </w:r>
    </w:p>
  </w:endnote>
  <w:endnote w:type="continuationSeparator" w:id="0">
    <w:p w14:paraId="2F8E9666" w14:textId="77777777" w:rsidR="00714E0D" w:rsidRDefault="00714E0D" w:rsidP="00B43B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6CD34" w14:textId="77777777" w:rsidR="00714E0D" w:rsidRDefault="00714E0D" w:rsidP="00B43B5E">
      <w:r>
        <w:separator/>
      </w:r>
    </w:p>
  </w:footnote>
  <w:footnote w:type="continuationSeparator" w:id="0">
    <w:p w14:paraId="3239277A" w14:textId="77777777" w:rsidR="00714E0D" w:rsidRDefault="00714E0D" w:rsidP="00B43B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12732"/>
    <w:multiLevelType w:val="hybridMultilevel"/>
    <w:tmpl w:val="381E5E86"/>
    <w:lvl w:ilvl="0" w:tplc="69FA10DC">
      <w:start w:val="5"/>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8872CE5"/>
    <w:multiLevelType w:val="hybridMultilevel"/>
    <w:tmpl w:val="1632FD3A"/>
    <w:lvl w:ilvl="0" w:tplc="6CF8D23E">
      <w:start w:val="5"/>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31C64876"/>
    <w:multiLevelType w:val="multilevel"/>
    <w:tmpl w:val="DC787B90"/>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b/>
        <w:bCs w:val="0"/>
      </w:rPr>
    </w:lvl>
    <w:lvl w:ilvl="2">
      <w:start w:val="1"/>
      <w:numFmt w:val="decimal"/>
      <w:isLgl/>
      <w:lvlText w:val="%1.%2.%3"/>
      <w:lvlJc w:val="left"/>
      <w:pPr>
        <w:ind w:left="720" w:hanging="720"/>
      </w:pPr>
      <w:rPr>
        <w:rFonts w:hint="default"/>
        <w:b w:val="0"/>
      </w:rPr>
    </w:lvl>
    <w:lvl w:ilvl="3">
      <w:start w:val="1"/>
      <w:numFmt w:val="decimal"/>
      <w:isLgl/>
      <w:lvlText w:val="%1.%2.%3.%4"/>
      <w:lvlJc w:val="left"/>
      <w:pPr>
        <w:ind w:left="1080" w:hanging="1080"/>
      </w:pPr>
      <w:rPr>
        <w:rFonts w:hint="default"/>
        <w:b w:val="0"/>
      </w:rPr>
    </w:lvl>
    <w:lvl w:ilvl="4">
      <w:start w:val="1"/>
      <w:numFmt w:val="decimal"/>
      <w:isLgl/>
      <w:lvlText w:val="%1.%2.%3.%4.%5"/>
      <w:lvlJc w:val="left"/>
      <w:pPr>
        <w:ind w:left="1080" w:hanging="1080"/>
      </w:pPr>
      <w:rPr>
        <w:rFonts w:hint="default"/>
        <w:b w:val="0"/>
      </w:rPr>
    </w:lvl>
    <w:lvl w:ilvl="5">
      <w:start w:val="1"/>
      <w:numFmt w:val="decimal"/>
      <w:isLgl/>
      <w:lvlText w:val="%1.%2.%3.%4.%5.%6"/>
      <w:lvlJc w:val="left"/>
      <w:pPr>
        <w:ind w:left="1440" w:hanging="1440"/>
      </w:pPr>
      <w:rPr>
        <w:rFonts w:hint="default"/>
        <w:b w:val="0"/>
      </w:rPr>
    </w:lvl>
    <w:lvl w:ilvl="6">
      <w:start w:val="1"/>
      <w:numFmt w:val="decimal"/>
      <w:isLgl/>
      <w:lvlText w:val="%1.%2.%3.%4.%5.%6.%7"/>
      <w:lvlJc w:val="left"/>
      <w:pPr>
        <w:ind w:left="1440" w:hanging="1440"/>
      </w:pPr>
      <w:rPr>
        <w:rFonts w:hint="default"/>
        <w:b w:val="0"/>
      </w:rPr>
    </w:lvl>
    <w:lvl w:ilvl="7">
      <w:start w:val="1"/>
      <w:numFmt w:val="decimal"/>
      <w:isLgl/>
      <w:lvlText w:val="%1.%2.%3.%4.%5.%6.%7.%8"/>
      <w:lvlJc w:val="left"/>
      <w:pPr>
        <w:ind w:left="1800" w:hanging="1800"/>
      </w:pPr>
      <w:rPr>
        <w:rFonts w:hint="default"/>
        <w:b w:val="0"/>
      </w:rPr>
    </w:lvl>
    <w:lvl w:ilvl="8">
      <w:start w:val="1"/>
      <w:numFmt w:val="decimal"/>
      <w:isLgl/>
      <w:lvlText w:val="%1.%2.%3.%4.%5.%6.%7.%8.%9"/>
      <w:lvlJc w:val="left"/>
      <w:pPr>
        <w:ind w:left="2160" w:hanging="2160"/>
      </w:pPr>
      <w:rPr>
        <w:rFonts w:hint="default"/>
        <w:b w:val="0"/>
      </w:rPr>
    </w:lvl>
  </w:abstractNum>
  <w:abstractNum w:abstractNumId="3" w15:restartNumberingAfterBreak="0">
    <w:nsid w:val="5CA452BB"/>
    <w:multiLevelType w:val="multilevel"/>
    <w:tmpl w:val="253A7B7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34317061">
    <w:abstractNumId w:val="2"/>
  </w:num>
  <w:num w:numId="2" w16cid:durableId="442922177">
    <w:abstractNumId w:val="3"/>
  </w:num>
  <w:num w:numId="3" w16cid:durableId="1160848433">
    <w:abstractNumId w:val="1"/>
  </w:num>
  <w:num w:numId="4" w16cid:durableId="468085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96B"/>
    <w:rsid w:val="00024B34"/>
    <w:rsid w:val="00041233"/>
    <w:rsid w:val="00061A65"/>
    <w:rsid w:val="0006767E"/>
    <w:rsid w:val="000B3726"/>
    <w:rsid w:val="000D6FDD"/>
    <w:rsid w:val="00111AD2"/>
    <w:rsid w:val="00145823"/>
    <w:rsid w:val="001A4376"/>
    <w:rsid w:val="00243CFA"/>
    <w:rsid w:val="002626CC"/>
    <w:rsid w:val="00271E62"/>
    <w:rsid w:val="002812B3"/>
    <w:rsid w:val="00287AB3"/>
    <w:rsid w:val="002F177B"/>
    <w:rsid w:val="002F22E5"/>
    <w:rsid w:val="00303BCA"/>
    <w:rsid w:val="003178A0"/>
    <w:rsid w:val="00353258"/>
    <w:rsid w:val="003831AB"/>
    <w:rsid w:val="00391EFB"/>
    <w:rsid w:val="0041511A"/>
    <w:rsid w:val="004D0E78"/>
    <w:rsid w:val="004E4470"/>
    <w:rsid w:val="004E68A5"/>
    <w:rsid w:val="004F5349"/>
    <w:rsid w:val="0050439B"/>
    <w:rsid w:val="00532289"/>
    <w:rsid w:val="00556BF6"/>
    <w:rsid w:val="005A31B7"/>
    <w:rsid w:val="005B3102"/>
    <w:rsid w:val="005F2AF1"/>
    <w:rsid w:val="006132F4"/>
    <w:rsid w:val="0063070E"/>
    <w:rsid w:val="00656F0F"/>
    <w:rsid w:val="00673E7A"/>
    <w:rsid w:val="00691C8E"/>
    <w:rsid w:val="006F5FFC"/>
    <w:rsid w:val="00703ED0"/>
    <w:rsid w:val="00714E0D"/>
    <w:rsid w:val="0072122A"/>
    <w:rsid w:val="00731A13"/>
    <w:rsid w:val="00754B01"/>
    <w:rsid w:val="00761669"/>
    <w:rsid w:val="00775515"/>
    <w:rsid w:val="007A3026"/>
    <w:rsid w:val="007C4BDF"/>
    <w:rsid w:val="007C4EF6"/>
    <w:rsid w:val="007E24F2"/>
    <w:rsid w:val="00803077"/>
    <w:rsid w:val="00822786"/>
    <w:rsid w:val="00877EB9"/>
    <w:rsid w:val="008976FF"/>
    <w:rsid w:val="008D6425"/>
    <w:rsid w:val="008E7B2F"/>
    <w:rsid w:val="008F2A85"/>
    <w:rsid w:val="008F400B"/>
    <w:rsid w:val="0090518A"/>
    <w:rsid w:val="00914B16"/>
    <w:rsid w:val="009703E5"/>
    <w:rsid w:val="00993D3D"/>
    <w:rsid w:val="009B1EE0"/>
    <w:rsid w:val="009D75A7"/>
    <w:rsid w:val="009E696B"/>
    <w:rsid w:val="00A07BB4"/>
    <w:rsid w:val="00A1732E"/>
    <w:rsid w:val="00A20DC2"/>
    <w:rsid w:val="00A274F0"/>
    <w:rsid w:val="00A463E5"/>
    <w:rsid w:val="00A55C29"/>
    <w:rsid w:val="00A60F35"/>
    <w:rsid w:val="00AC7D85"/>
    <w:rsid w:val="00AE2C0C"/>
    <w:rsid w:val="00B030FE"/>
    <w:rsid w:val="00B43B5E"/>
    <w:rsid w:val="00B5093D"/>
    <w:rsid w:val="00B92EDC"/>
    <w:rsid w:val="00BA465C"/>
    <w:rsid w:val="00BF15A0"/>
    <w:rsid w:val="00C8645E"/>
    <w:rsid w:val="00CA16EB"/>
    <w:rsid w:val="00CC2AE5"/>
    <w:rsid w:val="00CC63A5"/>
    <w:rsid w:val="00CE077A"/>
    <w:rsid w:val="00D24CE6"/>
    <w:rsid w:val="00D37616"/>
    <w:rsid w:val="00D405D9"/>
    <w:rsid w:val="00D61414"/>
    <w:rsid w:val="00DB5F7B"/>
    <w:rsid w:val="00DD6E08"/>
    <w:rsid w:val="00DE5FB5"/>
    <w:rsid w:val="00DF5AC6"/>
    <w:rsid w:val="00E135FC"/>
    <w:rsid w:val="00E25067"/>
    <w:rsid w:val="00E46059"/>
    <w:rsid w:val="00EB3F8E"/>
    <w:rsid w:val="00F1339B"/>
    <w:rsid w:val="00F2377B"/>
    <w:rsid w:val="00F25939"/>
    <w:rsid w:val="00F32A62"/>
    <w:rsid w:val="00F564D0"/>
    <w:rsid w:val="00F621A9"/>
    <w:rsid w:val="00F75724"/>
    <w:rsid w:val="00F94C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34C4C"/>
  <w15:chartTrackingRefBased/>
  <w15:docId w15:val="{7530C3F8-B1AE-46E8-8E3B-206C477EA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E696B"/>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9E696B"/>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9E696B"/>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9E696B"/>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9E696B"/>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9E696B"/>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9E696B"/>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E696B"/>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9E696B"/>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E696B"/>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9E696B"/>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9E696B"/>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9E696B"/>
    <w:rPr>
      <w:rFonts w:cstheme="majorBidi"/>
      <w:color w:val="0F4761" w:themeColor="accent1" w:themeShade="BF"/>
      <w:sz w:val="28"/>
      <w:szCs w:val="28"/>
    </w:rPr>
  </w:style>
  <w:style w:type="character" w:customStyle="1" w:styleId="50">
    <w:name w:val="标题 5 字符"/>
    <w:basedOn w:val="a0"/>
    <w:link w:val="5"/>
    <w:uiPriority w:val="9"/>
    <w:semiHidden/>
    <w:rsid w:val="009E696B"/>
    <w:rPr>
      <w:rFonts w:cstheme="majorBidi"/>
      <w:color w:val="0F4761" w:themeColor="accent1" w:themeShade="BF"/>
      <w:sz w:val="24"/>
      <w:szCs w:val="24"/>
    </w:rPr>
  </w:style>
  <w:style w:type="character" w:customStyle="1" w:styleId="60">
    <w:name w:val="标题 6 字符"/>
    <w:basedOn w:val="a0"/>
    <w:link w:val="6"/>
    <w:uiPriority w:val="9"/>
    <w:semiHidden/>
    <w:rsid w:val="009E696B"/>
    <w:rPr>
      <w:rFonts w:cstheme="majorBidi"/>
      <w:b/>
      <w:bCs/>
      <w:color w:val="0F4761" w:themeColor="accent1" w:themeShade="BF"/>
    </w:rPr>
  </w:style>
  <w:style w:type="character" w:customStyle="1" w:styleId="70">
    <w:name w:val="标题 7 字符"/>
    <w:basedOn w:val="a0"/>
    <w:link w:val="7"/>
    <w:uiPriority w:val="9"/>
    <w:semiHidden/>
    <w:rsid w:val="009E696B"/>
    <w:rPr>
      <w:rFonts w:cstheme="majorBidi"/>
      <w:b/>
      <w:bCs/>
      <w:color w:val="595959" w:themeColor="text1" w:themeTint="A6"/>
    </w:rPr>
  </w:style>
  <w:style w:type="character" w:customStyle="1" w:styleId="80">
    <w:name w:val="标题 8 字符"/>
    <w:basedOn w:val="a0"/>
    <w:link w:val="8"/>
    <w:uiPriority w:val="9"/>
    <w:semiHidden/>
    <w:rsid w:val="009E696B"/>
    <w:rPr>
      <w:rFonts w:cstheme="majorBidi"/>
      <w:color w:val="595959" w:themeColor="text1" w:themeTint="A6"/>
    </w:rPr>
  </w:style>
  <w:style w:type="character" w:customStyle="1" w:styleId="90">
    <w:name w:val="标题 9 字符"/>
    <w:basedOn w:val="a0"/>
    <w:link w:val="9"/>
    <w:uiPriority w:val="9"/>
    <w:semiHidden/>
    <w:rsid w:val="009E696B"/>
    <w:rPr>
      <w:rFonts w:eastAsiaTheme="majorEastAsia" w:cstheme="majorBidi"/>
      <w:color w:val="595959" w:themeColor="text1" w:themeTint="A6"/>
    </w:rPr>
  </w:style>
  <w:style w:type="paragraph" w:styleId="a3">
    <w:name w:val="Title"/>
    <w:basedOn w:val="a"/>
    <w:next w:val="a"/>
    <w:link w:val="a4"/>
    <w:uiPriority w:val="10"/>
    <w:qFormat/>
    <w:rsid w:val="009E696B"/>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E696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E696B"/>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E696B"/>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E696B"/>
    <w:pPr>
      <w:spacing w:before="160" w:after="160"/>
      <w:jc w:val="center"/>
    </w:pPr>
    <w:rPr>
      <w:i/>
      <w:iCs/>
      <w:color w:val="404040" w:themeColor="text1" w:themeTint="BF"/>
    </w:rPr>
  </w:style>
  <w:style w:type="character" w:customStyle="1" w:styleId="a8">
    <w:name w:val="引用 字符"/>
    <w:basedOn w:val="a0"/>
    <w:link w:val="a7"/>
    <w:uiPriority w:val="29"/>
    <w:rsid w:val="009E696B"/>
    <w:rPr>
      <w:i/>
      <w:iCs/>
      <w:color w:val="404040" w:themeColor="text1" w:themeTint="BF"/>
    </w:rPr>
  </w:style>
  <w:style w:type="paragraph" w:styleId="a9">
    <w:name w:val="List Paragraph"/>
    <w:basedOn w:val="a"/>
    <w:uiPriority w:val="34"/>
    <w:qFormat/>
    <w:rsid w:val="009E696B"/>
    <w:pPr>
      <w:ind w:left="720"/>
      <w:contextualSpacing/>
    </w:pPr>
  </w:style>
  <w:style w:type="character" w:styleId="aa">
    <w:name w:val="Intense Emphasis"/>
    <w:basedOn w:val="a0"/>
    <w:uiPriority w:val="21"/>
    <w:qFormat/>
    <w:rsid w:val="009E696B"/>
    <w:rPr>
      <w:i/>
      <w:iCs/>
      <w:color w:val="0F4761" w:themeColor="accent1" w:themeShade="BF"/>
    </w:rPr>
  </w:style>
  <w:style w:type="paragraph" w:styleId="ab">
    <w:name w:val="Intense Quote"/>
    <w:basedOn w:val="a"/>
    <w:next w:val="a"/>
    <w:link w:val="ac"/>
    <w:uiPriority w:val="30"/>
    <w:qFormat/>
    <w:rsid w:val="009E69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9E696B"/>
    <w:rPr>
      <w:i/>
      <w:iCs/>
      <w:color w:val="0F4761" w:themeColor="accent1" w:themeShade="BF"/>
    </w:rPr>
  </w:style>
  <w:style w:type="character" w:styleId="ad">
    <w:name w:val="Intense Reference"/>
    <w:basedOn w:val="a0"/>
    <w:uiPriority w:val="32"/>
    <w:qFormat/>
    <w:rsid w:val="009E696B"/>
    <w:rPr>
      <w:b/>
      <w:bCs/>
      <w:smallCaps/>
      <w:color w:val="0F4761" w:themeColor="accent1" w:themeShade="BF"/>
      <w:spacing w:val="5"/>
    </w:rPr>
  </w:style>
  <w:style w:type="paragraph" w:styleId="ae">
    <w:name w:val="header"/>
    <w:basedOn w:val="a"/>
    <w:link w:val="af"/>
    <w:uiPriority w:val="99"/>
    <w:unhideWhenUsed/>
    <w:rsid w:val="00B43B5E"/>
    <w:pPr>
      <w:tabs>
        <w:tab w:val="center" w:pos="4153"/>
        <w:tab w:val="right" w:pos="8306"/>
      </w:tabs>
      <w:snapToGrid w:val="0"/>
      <w:jc w:val="center"/>
    </w:pPr>
    <w:rPr>
      <w:sz w:val="18"/>
      <w:szCs w:val="18"/>
    </w:rPr>
  </w:style>
  <w:style w:type="character" w:customStyle="1" w:styleId="af">
    <w:name w:val="页眉 字符"/>
    <w:basedOn w:val="a0"/>
    <w:link w:val="ae"/>
    <w:uiPriority w:val="99"/>
    <w:rsid w:val="00B43B5E"/>
    <w:rPr>
      <w:sz w:val="18"/>
      <w:szCs w:val="18"/>
    </w:rPr>
  </w:style>
  <w:style w:type="paragraph" w:styleId="af0">
    <w:name w:val="footer"/>
    <w:basedOn w:val="a"/>
    <w:link w:val="af1"/>
    <w:uiPriority w:val="99"/>
    <w:unhideWhenUsed/>
    <w:rsid w:val="00B43B5E"/>
    <w:pPr>
      <w:tabs>
        <w:tab w:val="center" w:pos="4153"/>
        <w:tab w:val="right" w:pos="8306"/>
      </w:tabs>
      <w:snapToGrid w:val="0"/>
      <w:jc w:val="left"/>
    </w:pPr>
    <w:rPr>
      <w:sz w:val="18"/>
      <w:szCs w:val="18"/>
    </w:rPr>
  </w:style>
  <w:style w:type="character" w:customStyle="1" w:styleId="af1">
    <w:name w:val="页脚 字符"/>
    <w:basedOn w:val="a0"/>
    <w:link w:val="af0"/>
    <w:uiPriority w:val="99"/>
    <w:rsid w:val="00B43B5E"/>
    <w:rPr>
      <w:sz w:val="18"/>
      <w:szCs w:val="18"/>
    </w:rPr>
  </w:style>
  <w:style w:type="paragraph" w:styleId="af2">
    <w:name w:val="Normal (Web)"/>
    <w:basedOn w:val="a"/>
    <w:uiPriority w:val="99"/>
    <w:unhideWhenUsed/>
    <w:rsid w:val="00B43B5E"/>
    <w:pPr>
      <w:widowControl/>
      <w:spacing w:before="100" w:beforeAutospacing="1" w:after="100" w:afterAutospacing="1"/>
      <w:jc w:val="left"/>
    </w:pPr>
    <w:rPr>
      <w:rFonts w:ascii="宋体" w:eastAsia="宋体" w:hAnsi="宋体" w:cs="宋体"/>
      <w:kern w:val="0"/>
      <w:sz w:val="24"/>
      <w:szCs w:val="24"/>
    </w:rPr>
  </w:style>
  <w:style w:type="character" w:styleId="af3">
    <w:name w:val="Strong"/>
    <w:basedOn w:val="a0"/>
    <w:uiPriority w:val="22"/>
    <w:qFormat/>
    <w:rsid w:val="00E25067"/>
    <w:rPr>
      <w:b/>
      <w:bCs/>
    </w:rPr>
  </w:style>
  <w:style w:type="paragraph" w:styleId="af4">
    <w:name w:val="Date"/>
    <w:basedOn w:val="a"/>
    <w:next w:val="a"/>
    <w:link w:val="af5"/>
    <w:uiPriority w:val="99"/>
    <w:semiHidden/>
    <w:unhideWhenUsed/>
    <w:rsid w:val="005F2AF1"/>
    <w:pPr>
      <w:ind w:leftChars="2500" w:left="100"/>
    </w:pPr>
  </w:style>
  <w:style w:type="character" w:customStyle="1" w:styleId="af5">
    <w:name w:val="日期 字符"/>
    <w:basedOn w:val="a0"/>
    <w:link w:val="af4"/>
    <w:uiPriority w:val="99"/>
    <w:semiHidden/>
    <w:rsid w:val="005F2AF1"/>
  </w:style>
  <w:style w:type="character" w:styleId="af6">
    <w:name w:val="Hyperlink"/>
    <w:basedOn w:val="a0"/>
    <w:uiPriority w:val="99"/>
    <w:unhideWhenUsed/>
    <w:rsid w:val="00EB3F8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412673">
      <w:bodyDiv w:val="1"/>
      <w:marLeft w:val="0"/>
      <w:marRight w:val="0"/>
      <w:marTop w:val="0"/>
      <w:marBottom w:val="0"/>
      <w:divBdr>
        <w:top w:val="none" w:sz="0" w:space="0" w:color="auto"/>
        <w:left w:val="none" w:sz="0" w:space="0" w:color="auto"/>
        <w:bottom w:val="none" w:sz="0" w:space="0" w:color="auto"/>
        <w:right w:val="none" w:sz="0" w:space="0" w:color="auto"/>
      </w:divBdr>
      <w:divsChild>
        <w:div w:id="736322521">
          <w:marLeft w:val="0"/>
          <w:marRight w:val="0"/>
          <w:marTop w:val="0"/>
          <w:marBottom w:val="0"/>
          <w:divBdr>
            <w:top w:val="none" w:sz="0" w:space="0" w:color="auto"/>
            <w:left w:val="none" w:sz="0" w:space="0" w:color="auto"/>
            <w:bottom w:val="none" w:sz="0" w:space="0" w:color="auto"/>
            <w:right w:val="none" w:sz="0" w:space="0" w:color="auto"/>
          </w:divBdr>
        </w:div>
      </w:divsChild>
    </w:div>
    <w:div w:id="504907558">
      <w:bodyDiv w:val="1"/>
      <w:marLeft w:val="0"/>
      <w:marRight w:val="0"/>
      <w:marTop w:val="0"/>
      <w:marBottom w:val="0"/>
      <w:divBdr>
        <w:top w:val="none" w:sz="0" w:space="0" w:color="auto"/>
        <w:left w:val="none" w:sz="0" w:space="0" w:color="auto"/>
        <w:bottom w:val="none" w:sz="0" w:space="0" w:color="auto"/>
        <w:right w:val="none" w:sz="0" w:space="0" w:color="auto"/>
      </w:divBdr>
      <w:divsChild>
        <w:div w:id="526909547">
          <w:marLeft w:val="0"/>
          <w:marRight w:val="0"/>
          <w:marTop w:val="0"/>
          <w:marBottom w:val="0"/>
          <w:divBdr>
            <w:top w:val="none" w:sz="0" w:space="0" w:color="auto"/>
            <w:left w:val="none" w:sz="0" w:space="0" w:color="auto"/>
            <w:bottom w:val="none" w:sz="0" w:space="0" w:color="auto"/>
            <w:right w:val="none" w:sz="0" w:space="0" w:color="auto"/>
          </w:divBdr>
        </w:div>
      </w:divsChild>
    </w:div>
    <w:div w:id="599141062">
      <w:bodyDiv w:val="1"/>
      <w:marLeft w:val="0"/>
      <w:marRight w:val="0"/>
      <w:marTop w:val="0"/>
      <w:marBottom w:val="0"/>
      <w:divBdr>
        <w:top w:val="none" w:sz="0" w:space="0" w:color="auto"/>
        <w:left w:val="none" w:sz="0" w:space="0" w:color="auto"/>
        <w:bottom w:val="none" w:sz="0" w:space="0" w:color="auto"/>
        <w:right w:val="none" w:sz="0" w:space="0" w:color="auto"/>
      </w:divBdr>
    </w:div>
    <w:div w:id="698314152">
      <w:bodyDiv w:val="1"/>
      <w:marLeft w:val="0"/>
      <w:marRight w:val="0"/>
      <w:marTop w:val="0"/>
      <w:marBottom w:val="0"/>
      <w:divBdr>
        <w:top w:val="none" w:sz="0" w:space="0" w:color="auto"/>
        <w:left w:val="none" w:sz="0" w:space="0" w:color="auto"/>
        <w:bottom w:val="none" w:sz="0" w:space="0" w:color="auto"/>
        <w:right w:val="none" w:sz="0" w:space="0" w:color="auto"/>
      </w:divBdr>
    </w:div>
    <w:div w:id="885335138">
      <w:bodyDiv w:val="1"/>
      <w:marLeft w:val="0"/>
      <w:marRight w:val="0"/>
      <w:marTop w:val="0"/>
      <w:marBottom w:val="0"/>
      <w:divBdr>
        <w:top w:val="none" w:sz="0" w:space="0" w:color="auto"/>
        <w:left w:val="none" w:sz="0" w:space="0" w:color="auto"/>
        <w:bottom w:val="none" w:sz="0" w:space="0" w:color="auto"/>
        <w:right w:val="none" w:sz="0" w:space="0" w:color="auto"/>
      </w:divBdr>
    </w:div>
    <w:div w:id="1074161165">
      <w:bodyDiv w:val="1"/>
      <w:marLeft w:val="0"/>
      <w:marRight w:val="0"/>
      <w:marTop w:val="0"/>
      <w:marBottom w:val="0"/>
      <w:divBdr>
        <w:top w:val="none" w:sz="0" w:space="0" w:color="auto"/>
        <w:left w:val="none" w:sz="0" w:space="0" w:color="auto"/>
        <w:bottom w:val="none" w:sz="0" w:space="0" w:color="auto"/>
        <w:right w:val="none" w:sz="0" w:space="0" w:color="auto"/>
      </w:divBdr>
    </w:div>
    <w:div w:id="1182745963">
      <w:bodyDiv w:val="1"/>
      <w:marLeft w:val="0"/>
      <w:marRight w:val="0"/>
      <w:marTop w:val="0"/>
      <w:marBottom w:val="0"/>
      <w:divBdr>
        <w:top w:val="none" w:sz="0" w:space="0" w:color="auto"/>
        <w:left w:val="none" w:sz="0" w:space="0" w:color="auto"/>
        <w:bottom w:val="none" w:sz="0" w:space="0" w:color="auto"/>
        <w:right w:val="none" w:sz="0" w:space="0" w:color="auto"/>
      </w:divBdr>
      <w:divsChild>
        <w:div w:id="207030074">
          <w:marLeft w:val="0"/>
          <w:marRight w:val="0"/>
          <w:marTop w:val="0"/>
          <w:marBottom w:val="0"/>
          <w:divBdr>
            <w:top w:val="none" w:sz="0" w:space="0" w:color="auto"/>
            <w:left w:val="none" w:sz="0" w:space="0" w:color="auto"/>
            <w:bottom w:val="none" w:sz="0" w:space="0" w:color="auto"/>
            <w:right w:val="none" w:sz="0" w:space="0" w:color="auto"/>
          </w:divBdr>
        </w:div>
      </w:divsChild>
    </w:div>
    <w:div w:id="1330984490">
      <w:bodyDiv w:val="1"/>
      <w:marLeft w:val="0"/>
      <w:marRight w:val="0"/>
      <w:marTop w:val="0"/>
      <w:marBottom w:val="0"/>
      <w:divBdr>
        <w:top w:val="none" w:sz="0" w:space="0" w:color="auto"/>
        <w:left w:val="none" w:sz="0" w:space="0" w:color="auto"/>
        <w:bottom w:val="none" w:sz="0" w:space="0" w:color="auto"/>
        <w:right w:val="none" w:sz="0" w:space="0" w:color="auto"/>
      </w:divBdr>
      <w:divsChild>
        <w:div w:id="1251046030">
          <w:marLeft w:val="0"/>
          <w:marRight w:val="0"/>
          <w:marTop w:val="0"/>
          <w:marBottom w:val="0"/>
          <w:divBdr>
            <w:top w:val="none" w:sz="0" w:space="0" w:color="auto"/>
            <w:left w:val="none" w:sz="0" w:space="0" w:color="auto"/>
            <w:bottom w:val="none" w:sz="0" w:space="0" w:color="auto"/>
            <w:right w:val="none" w:sz="0" w:space="0" w:color="auto"/>
          </w:divBdr>
        </w:div>
      </w:divsChild>
    </w:div>
    <w:div w:id="1353802075">
      <w:bodyDiv w:val="1"/>
      <w:marLeft w:val="0"/>
      <w:marRight w:val="0"/>
      <w:marTop w:val="0"/>
      <w:marBottom w:val="0"/>
      <w:divBdr>
        <w:top w:val="none" w:sz="0" w:space="0" w:color="auto"/>
        <w:left w:val="none" w:sz="0" w:space="0" w:color="auto"/>
        <w:bottom w:val="none" w:sz="0" w:space="0" w:color="auto"/>
        <w:right w:val="none" w:sz="0" w:space="0" w:color="auto"/>
      </w:divBdr>
      <w:divsChild>
        <w:div w:id="802968465">
          <w:marLeft w:val="0"/>
          <w:marRight w:val="0"/>
          <w:marTop w:val="0"/>
          <w:marBottom w:val="0"/>
          <w:divBdr>
            <w:top w:val="single" w:sz="2" w:space="0" w:color="D9D9E3"/>
            <w:left w:val="single" w:sz="2" w:space="0" w:color="D9D9E3"/>
            <w:bottom w:val="single" w:sz="2" w:space="0" w:color="D9D9E3"/>
            <w:right w:val="single" w:sz="2" w:space="0" w:color="D9D9E3"/>
          </w:divBdr>
          <w:divsChild>
            <w:div w:id="361518007">
              <w:marLeft w:val="0"/>
              <w:marRight w:val="0"/>
              <w:marTop w:val="0"/>
              <w:marBottom w:val="0"/>
              <w:divBdr>
                <w:top w:val="single" w:sz="2" w:space="0" w:color="D9D9E3"/>
                <w:left w:val="single" w:sz="2" w:space="0" w:color="D9D9E3"/>
                <w:bottom w:val="single" w:sz="2" w:space="0" w:color="D9D9E3"/>
                <w:right w:val="single" w:sz="2" w:space="0" w:color="D9D9E3"/>
              </w:divBdr>
              <w:divsChild>
                <w:div w:id="1882665427">
                  <w:marLeft w:val="0"/>
                  <w:marRight w:val="0"/>
                  <w:marTop w:val="0"/>
                  <w:marBottom w:val="0"/>
                  <w:divBdr>
                    <w:top w:val="single" w:sz="2" w:space="0" w:color="D9D9E3"/>
                    <w:left w:val="single" w:sz="2" w:space="0" w:color="D9D9E3"/>
                    <w:bottom w:val="single" w:sz="2" w:space="0" w:color="D9D9E3"/>
                    <w:right w:val="single" w:sz="2" w:space="0" w:color="D9D9E3"/>
                  </w:divBdr>
                  <w:divsChild>
                    <w:div w:id="703408137">
                      <w:marLeft w:val="0"/>
                      <w:marRight w:val="0"/>
                      <w:marTop w:val="0"/>
                      <w:marBottom w:val="0"/>
                      <w:divBdr>
                        <w:top w:val="single" w:sz="2" w:space="0" w:color="D9D9E3"/>
                        <w:left w:val="single" w:sz="2" w:space="0" w:color="D9D9E3"/>
                        <w:bottom w:val="single" w:sz="2" w:space="0" w:color="D9D9E3"/>
                        <w:right w:val="single" w:sz="2" w:space="0" w:color="D9D9E3"/>
                      </w:divBdr>
                      <w:divsChild>
                        <w:div w:id="2074622811">
                          <w:marLeft w:val="0"/>
                          <w:marRight w:val="0"/>
                          <w:marTop w:val="0"/>
                          <w:marBottom w:val="0"/>
                          <w:divBdr>
                            <w:top w:val="single" w:sz="2" w:space="0" w:color="D9D9E3"/>
                            <w:left w:val="single" w:sz="2" w:space="0" w:color="D9D9E3"/>
                            <w:bottom w:val="single" w:sz="2" w:space="0" w:color="D9D9E3"/>
                            <w:right w:val="single" w:sz="2" w:space="0" w:color="D9D9E3"/>
                          </w:divBdr>
                          <w:divsChild>
                            <w:div w:id="1964579875">
                              <w:marLeft w:val="0"/>
                              <w:marRight w:val="0"/>
                              <w:marTop w:val="100"/>
                              <w:marBottom w:val="100"/>
                              <w:divBdr>
                                <w:top w:val="single" w:sz="2" w:space="0" w:color="D9D9E3"/>
                                <w:left w:val="single" w:sz="2" w:space="0" w:color="D9D9E3"/>
                                <w:bottom w:val="single" w:sz="2" w:space="0" w:color="D9D9E3"/>
                                <w:right w:val="single" w:sz="2" w:space="0" w:color="D9D9E3"/>
                              </w:divBdr>
                              <w:divsChild>
                                <w:div w:id="1542091457">
                                  <w:marLeft w:val="0"/>
                                  <w:marRight w:val="0"/>
                                  <w:marTop w:val="0"/>
                                  <w:marBottom w:val="0"/>
                                  <w:divBdr>
                                    <w:top w:val="single" w:sz="2" w:space="0" w:color="D9D9E3"/>
                                    <w:left w:val="single" w:sz="2" w:space="0" w:color="D9D9E3"/>
                                    <w:bottom w:val="single" w:sz="2" w:space="0" w:color="D9D9E3"/>
                                    <w:right w:val="single" w:sz="2" w:space="0" w:color="D9D9E3"/>
                                  </w:divBdr>
                                  <w:divsChild>
                                    <w:div w:id="739242">
                                      <w:marLeft w:val="0"/>
                                      <w:marRight w:val="0"/>
                                      <w:marTop w:val="0"/>
                                      <w:marBottom w:val="0"/>
                                      <w:divBdr>
                                        <w:top w:val="single" w:sz="2" w:space="0" w:color="D9D9E3"/>
                                        <w:left w:val="single" w:sz="2" w:space="0" w:color="D9D9E3"/>
                                        <w:bottom w:val="single" w:sz="2" w:space="0" w:color="D9D9E3"/>
                                        <w:right w:val="single" w:sz="2" w:space="0" w:color="D9D9E3"/>
                                      </w:divBdr>
                                      <w:divsChild>
                                        <w:div w:id="872690731">
                                          <w:marLeft w:val="0"/>
                                          <w:marRight w:val="0"/>
                                          <w:marTop w:val="0"/>
                                          <w:marBottom w:val="0"/>
                                          <w:divBdr>
                                            <w:top w:val="single" w:sz="2" w:space="0" w:color="D9D9E3"/>
                                            <w:left w:val="single" w:sz="2" w:space="0" w:color="D9D9E3"/>
                                            <w:bottom w:val="single" w:sz="2" w:space="0" w:color="D9D9E3"/>
                                            <w:right w:val="single" w:sz="2" w:space="0" w:color="D9D9E3"/>
                                          </w:divBdr>
                                          <w:divsChild>
                                            <w:div w:id="1865973296">
                                              <w:marLeft w:val="0"/>
                                              <w:marRight w:val="0"/>
                                              <w:marTop w:val="0"/>
                                              <w:marBottom w:val="0"/>
                                              <w:divBdr>
                                                <w:top w:val="single" w:sz="2" w:space="0" w:color="D9D9E3"/>
                                                <w:left w:val="single" w:sz="2" w:space="0" w:color="D9D9E3"/>
                                                <w:bottom w:val="single" w:sz="2" w:space="0" w:color="D9D9E3"/>
                                                <w:right w:val="single" w:sz="2" w:space="0" w:color="D9D9E3"/>
                                              </w:divBdr>
                                              <w:divsChild>
                                                <w:div w:id="1185442049">
                                                  <w:marLeft w:val="0"/>
                                                  <w:marRight w:val="0"/>
                                                  <w:marTop w:val="0"/>
                                                  <w:marBottom w:val="0"/>
                                                  <w:divBdr>
                                                    <w:top w:val="single" w:sz="2" w:space="0" w:color="D9D9E3"/>
                                                    <w:left w:val="single" w:sz="2" w:space="0" w:color="D9D9E3"/>
                                                    <w:bottom w:val="single" w:sz="2" w:space="0" w:color="D9D9E3"/>
                                                    <w:right w:val="single" w:sz="2" w:space="0" w:color="D9D9E3"/>
                                                  </w:divBdr>
                                                  <w:divsChild>
                                                    <w:div w:id="1330059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22653036">
          <w:marLeft w:val="0"/>
          <w:marRight w:val="0"/>
          <w:marTop w:val="0"/>
          <w:marBottom w:val="0"/>
          <w:divBdr>
            <w:top w:val="none" w:sz="0" w:space="0" w:color="auto"/>
            <w:left w:val="none" w:sz="0" w:space="0" w:color="auto"/>
            <w:bottom w:val="none" w:sz="0" w:space="0" w:color="auto"/>
            <w:right w:val="none" w:sz="0" w:space="0" w:color="auto"/>
          </w:divBdr>
        </w:div>
      </w:divsChild>
    </w:div>
    <w:div w:id="1687438818">
      <w:bodyDiv w:val="1"/>
      <w:marLeft w:val="0"/>
      <w:marRight w:val="0"/>
      <w:marTop w:val="0"/>
      <w:marBottom w:val="0"/>
      <w:divBdr>
        <w:top w:val="none" w:sz="0" w:space="0" w:color="auto"/>
        <w:left w:val="none" w:sz="0" w:space="0" w:color="auto"/>
        <w:bottom w:val="none" w:sz="0" w:space="0" w:color="auto"/>
        <w:right w:val="none" w:sz="0" w:space="0" w:color="auto"/>
      </w:divBdr>
    </w:div>
    <w:div w:id="1710295294">
      <w:bodyDiv w:val="1"/>
      <w:marLeft w:val="0"/>
      <w:marRight w:val="0"/>
      <w:marTop w:val="0"/>
      <w:marBottom w:val="0"/>
      <w:divBdr>
        <w:top w:val="none" w:sz="0" w:space="0" w:color="auto"/>
        <w:left w:val="none" w:sz="0" w:space="0" w:color="auto"/>
        <w:bottom w:val="none" w:sz="0" w:space="0" w:color="auto"/>
        <w:right w:val="none" w:sz="0" w:space="0" w:color="auto"/>
      </w:divBdr>
      <w:divsChild>
        <w:div w:id="850290548">
          <w:marLeft w:val="0"/>
          <w:marRight w:val="0"/>
          <w:marTop w:val="0"/>
          <w:marBottom w:val="0"/>
          <w:divBdr>
            <w:top w:val="none" w:sz="0" w:space="0" w:color="auto"/>
            <w:left w:val="none" w:sz="0" w:space="0" w:color="auto"/>
            <w:bottom w:val="none" w:sz="0" w:space="0" w:color="auto"/>
            <w:right w:val="none" w:sz="0" w:space="0" w:color="auto"/>
          </w:divBdr>
        </w:div>
      </w:divsChild>
    </w:div>
    <w:div w:id="1788356372">
      <w:bodyDiv w:val="1"/>
      <w:marLeft w:val="0"/>
      <w:marRight w:val="0"/>
      <w:marTop w:val="0"/>
      <w:marBottom w:val="0"/>
      <w:divBdr>
        <w:top w:val="none" w:sz="0" w:space="0" w:color="auto"/>
        <w:left w:val="none" w:sz="0" w:space="0" w:color="auto"/>
        <w:bottom w:val="none" w:sz="0" w:space="0" w:color="auto"/>
        <w:right w:val="none" w:sz="0" w:space="0" w:color="auto"/>
      </w:divBdr>
      <w:divsChild>
        <w:div w:id="1801268256">
          <w:marLeft w:val="0"/>
          <w:marRight w:val="0"/>
          <w:marTop w:val="0"/>
          <w:marBottom w:val="0"/>
          <w:divBdr>
            <w:top w:val="none" w:sz="0" w:space="0" w:color="auto"/>
            <w:left w:val="none" w:sz="0" w:space="0" w:color="auto"/>
            <w:bottom w:val="none" w:sz="0" w:space="0" w:color="auto"/>
            <w:right w:val="none" w:sz="0" w:space="0" w:color="auto"/>
          </w:divBdr>
        </w:div>
      </w:divsChild>
    </w:div>
    <w:div w:id="1832984789">
      <w:bodyDiv w:val="1"/>
      <w:marLeft w:val="0"/>
      <w:marRight w:val="0"/>
      <w:marTop w:val="0"/>
      <w:marBottom w:val="0"/>
      <w:divBdr>
        <w:top w:val="none" w:sz="0" w:space="0" w:color="auto"/>
        <w:left w:val="none" w:sz="0" w:space="0" w:color="auto"/>
        <w:bottom w:val="none" w:sz="0" w:space="0" w:color="auto"/>
        <w:right w:val="none" w:sz="0" w:space="0" w:color="auto"/>
      </w:divBdr>
    </w:div>
    <w:div w:id="1921518988">
      <w:bodyDiv w:val="1"/>
      <w:marLeft w:val="0"/>
      <w:marRight w:val="0"/>
      <w:marTop w:val="0"/>
      <w:marBottom w:val="0"/>
      <w:divBdr>
        <w:top w:val="none" w:sz="0" w:space="0" w:color="auto"/>
        <w:left w:val="none" w:sz="0" w:space="0" w:color="auto"/>
        <w:bottom w:val="none" w:sz="0" w:space="0" w:color="auto"/>
        <w:right w:val="none" w:sz="0" w:space="0" w:color="auto"/>
      </w:divBdr>
      <w:divsChild>
        <w:div w:id="17701940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304515@student.uwtsd.ac.uk" TargetMode="External"/><Relationship Id="rId12" Type="http://schemas.openxmlformats.org/officeDocument/2006/relationships/package" Target="embeddings/Microsoft_Visio_Drawing.vsdx"/><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2116</TotalTime>
  <Pages>12</Pages>
  <Words>4315</Words>
  <Characters>24600</Characters>
  <Application>Microsoft Office Word</Application>
  <DocSecurity>0</DocSecurity>
  <Lines>205</Lines>
  <Paragraphs>57</Paragraphs>
  <ScaleCrop>false</ScaleCrop>
  <Company/>
  <LinksUpToDate>false</LinksUpToDate>
  <CharactersWithSpaces>28858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Z</dc:creator>
  <cp:keywords/>
  <dc:description/>
  <cp:lastModifiedBy>S Z</cp:lastModifiedBy>
  <cp:revision>63</cp:revision>
  <dcterms:created xsi:type="dcterms:W3CDTF">2023-12-26T18:38:00Z</dcterms:created>
  <dcterms:modified xsi:type="dcterms:W3CDTF">2024-01-03T17:45:00Z</dcterms:modified>
</cp:coreProperties>
</file>