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7A3C47">
      <w:pPr>
        <w:spacing w:line="360" w:lineRule="auto"/>
        <w:jc w:val="center"/>
        <w:rPr>
          <w:rFonts w:ascii="Tahoma" w:hAnsi="Tahoma" w:cs="Tahoma"/>
          <w:b/>
          <w:u w:val="single"/>
        </w:rPr>
      </w:pPr>
    </w:p>
    <w:p w14:paraId="618BF57D" w14:textId="77777777" w:rsidR="001B69C8" w:rsidRDefault="001B69C8" w:rsidP="007A3C47">
      <w:pPr>
        <w:spacing w:line="360" w:lineRule="auto"/>
        <w:jc w:val="both"/>
        <w:rPr>
          <w:rFonts w:ascii="Tahoma" w:hAnsi="Tahoma" w:cs="Tahoma"/>
          <w:b/>
          <w:u w:val="single"/>
        </w:rPr>
      </w:pPr>
    </w:p>
    <w:p w14:paraId="5E1B2845" w14:textId="77777777" w:rsidR="001B69C8" w:rsidRDefault="001B69C8" w:rsidP="007A3C47">
      <w:pPr>
        <w:spacing w:line="360" w:lineRule="auto"/>
        <w:jc w:val="both"/>
        <w:rPr>
          <w:rFonts w:ascii="Tahoma" w:hAnsi="Tahoma" w:cs="Tahoma"/>
          <w:b/>
          <w:u w:val="single"/>
        </w:rPr>
      </w:pPr>
    </w:p>
    <w:p w14:paraId="3FBC8958" w14:textId="5155A802" w:rsidR="00301AD0" w:rsidRDefault="001B6DB4" w:rsidP="007A3C47">
      <w:pPr>
        <w:spacing w:line="360" w:lineRule="auto"/>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7A3C47">
      <w:pPr>
        <w:spacing w:line="360" w:lineRule="auto"/>
        <w:jc w:val="both"/>
        <w:rPr>
          <w:rFonts w:ascii="Tahoma" w:hAnsi="Tahoma" w:cs="Tahoma"/>
          <w:b/>
          <w:u w:val="single"/>
        </w:rPr>
      </w:pPr>
    </w:p>
    <w:p w14:paraId="4462EA07" w14:textId="524C674A" w:rsidR="00301AD0" w:rsidRDefault="00B21F2E" w:rsidP="007A3C47">
      <w:pPr>
        <w:spacing w:line="360" w:lineRule="auto"/>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A3C47">
      <w:pPr>
        <w:pStyle w:val="NormalWeb"/>
        <w:numPr>
          <w:ilvl w:val="0"/>
          <w:numId w:val="28"/>
        </w:numPr>
        <w:spacing w:line="360" w:lineRule="auto"/>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A3C47">
      <w:pPr>
        <w:pStyle w:val="NormalWeb"/>
        <w:numPr>
          <w:ilvl w:val="0"/>
          <w:numId w:val="28"/>
        </w:numPr>
        <w:spacing w:line="360" w:lineRule="auto"/>
        <w:rPr>
          <w:rFonts w:ascii="SymbolMT" w:hAnsi="SymbolMT"/>
        </w:rPr>
      </w:pPr>
      <w:r>
        <w:rPr>
          <w:rFonts w:ascii="Calibri" w:hAnsi="Calibri" w:cs="Calibri"/>
        </w:rPr>
        <w:t xml:space="preserve">Food Safety Fundamentals (The 4 C’s) </w:t>
      </w:r>
    </w:p>
    <w:p w14:paraId="3CB0DA4B" w14:textId="77777777" w:rsidR="0079230B" w:rsidRDefault="0079230B" w:rsidP="007A3C47">
      <w:pPr>
        <w:pStyle w:val="NormalWeb"/>
        <w:numPr>
          <w:ilvl w:val="0"/>
          <w:numId w:val="28"/>
        </w:numPr>
        <w:spacing w:line="360" w:lineRule="auto"/>
        <w:rPr>
          <w:rFonts w:ascii="SymbolMT" w:hAnsi="SymbolMT"/>
        </w:rPr>
      </w:pPr>
      <w:r>
        <w:rPr>
          <w:rFonts w:ascii="Calibri" w:hAnsi="Calibri" w:cs="Calibri"/>
        </w:rPr>
        <w:t xml:space="preserve">Ratings, Inspections and Reporting Procedures </w:t>
      </w:r>
    </w:p>
    <w:p w14:paraId="1EB2ED0E" w14:textId="77777777" w:rsidR="00B945EA" w:rsidRDefault="00B945EA" w:rsidP="007A3C47">
      <w:pPr>
        <w:spacing w:line="360" w:lineRule="auto"/>
        <w:jc w:val="both"/>
        <w:rPr>
          <w:rFonts w:ascii="Tahoma" w:hAnsi="Tahoma" w:cs="Tahoma"/>
        </w:rPr>
      </w:pPr>
    </w:p>
    <w:p w14:paraId="7011E673" w14:textId="6E901B6D" w:rsidR="00B21F2E" w:rsidRPr="003C3341" w:rsidRDefault="00B21F2E" w:rsidP="007A3C47">
      <w:pPr>
        <w:spacing w:line="360" w:lineRule="auto"/>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rsidP="007A3C47">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6A501A8" w:rsidR="00B21F2E" w:rsidRDefault="00B21F2E" w:rsidP="007A3C47">
            <w:pPr>
              <w:spacing w:line="360" w:lineRule="auto"/>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811686">
              <w:rPr>
                <w:rFonts w:ascii="Tahoma" w:hAnsi="Tahoma" w:cs="Tahoma"/>
                <w:b/>
                <w:sz w:val="20"/>
                <w:szCs w:val="20"/>
              </w:rPr>
              <w:t>Binod Bastakoti</w:t>
            </w:r>
          </w:p>
          <w:p w14:paraId="498F0B10" w14:textId="77777777" w:rsidR="001B69C8" w:rsidRPr="003C3341" w:rsidRDefault="001B69C8" w:rsidP="007A3C47">
            <w:pPr>
              <w:spacing w:line="360" w:lineRule="auto"/>
              <w:rPr>
                <w:rFonts w:ascii="Tahoma" w:hAnsi="Tahoma" w:cs="Tahoma"/>
                <w:b/>
                <w:sz w:val="20"/>
                <w:szCs w:val="20"/>
              </w:rPr>
            </w:pPr>
          </w:p>
          <w:p w14:paraId="69E1F0CF" w14:textId="785EAB8D" w:rsidR="00B21F2E" w:rsidRPr="003C3341" w:rsidRDefault="001B69C8" w:rsidP="007A3C47">
            <w:pPr>
              <w:spacing w:line="360" w:lineRule="auto"/>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11686">
              <w:rPr>
                <w:rFonts w:ascii="Tahoma" w:hAnsi="Tahoma" w:cs="Tahoma"/>
                <w:b/>
                <w:sz w:val="20"/>
                <w:szCs w:val="20"/>
              </w:rPr>
              <w:t>2016806</w:t>
            </w:r>
          </w:p>
          <w:p w14:paraId="1BE02E96" w14:textId="77777777" w:rsidR="00B21F2E" w:rsidRPr="003C3341" w:rsidRDefault="00B21F2E" w:rsidP="007A3C47">
            <w:pPr>
              <w:spacing w:line="360" w:lineRule="auto"/>
              <w:rPr>
                <w:rFonts w:ascii="Tahoma" w:hAnsi="Tahoma" w:cs="Tahoma"/>
                <w:b/>
                <w:sz w:val="20"/>
                <w:szCs w:val="20"/>
              </w:rPr>
            </w:pPr>
          </w:p>
        </w:tc>
        <w:tc>
          <w:tcPr>
            <w:tcW w:w="7195" w:type="dxa"/>
            <w:shd w:val="clear" w:color="auto" w:fill="8DB3E2" w:themeFill="text2" w:themeFillTint="66"/>
          </w:tcPr>
          <w:p w14:paraId="488BCD26" w14:textId="642D7E85" w:rsidR="00B21F2E" w:rsidRDefault="001B69C8" w:rsidP="007A3C47">
            <w:pPr>
              <w:spacing w:line="360" w:lineRule="auto"/>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811686" w:rsidRPr="00811686">
              <w:rPr>
                <w:rFonts w:ascii="Tahoma" w:hAnsi="Tahoma" w:cs="Tahoma"/>
                <w:b/>
                <w:sz w:val="20"/>
                <w:szCs w:val="20"/>
              </w:rPr>
              <w:t>Food &amp; Beverage Operations</w:t>
            </w:r>
            <w:r w:rsidR="00811686">
              <w:rPr>
                <w:rFonts w:ascii="Tahoma" w:hAnsi="Tahoma" w:cs="Tahoma"/>
                <w:b/>
                <w:sz w:val="20"/>
                <w:szCs w:val="20"/>
              </w:rPr>
              <w:t xml:space="preserve"> (</w:t>
            </w:r>
            <w:r w:rsidR="00811686">
              <w:rPr>
                <w:rFonts w:ascii="Calibri-Bold" w:hAnsi="Calibri-Bold" w:cs="Calibri-Bold"/>
                <w:b/>
                <w:bCs/>
                <w:sz w:val="22"/>
                <w:szCs w:val="22"/>
              </w:rPr>
              <w:t>BMIH4002)</w:t>
            </w:r>
          </w:p>
          <w:p w14:paraId="2019D1B6" w14:textId="77777777" w:rsidR="00B21F2E" w:rsidRDefault="00B21F2E" w:rsidP="007A3C47">
            <w:pPr>
              <w:spacing w:line="360" w:lineRule="auto"/>
              <w:rPr>
                <w:rFonts w:ascii="Tahoma" w:hAnsi="Tahoma" w:cs="Tahoma"/>
                <w:b/>
                <w:sz w:val="20"/>
                <w:szCs w:val="20"/>
              </w:rPr>
            </w:pPr>
          </w:p>
          <w:p w14:paraId="450FE136" w14:textId="68082C20" w:rsidR="001B69C8" w:rsidRPr="003C3341" w:rsidRDefault="001B69C8" w:rsidP="007A3C47">
            <w:pPr>
              <w:spacing w:line="360" w:lineRule="auto"/>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811686">
              <w:rPr>
                <w:rFonts w:ascii="Tahoma" w:hAnsi="Tahoma" w:cs="Tahoma"/>
                <w:b/>
                <w:sz w:val="20"/>
                <w:szCs w:val="20"/>
              </w:rPr>
              <w:t>Ryan Peters</w:t>
            </w:r>
          </w:p>
        </w:tc>
      </w:tr>
    </w:tbl>
    <w:p w14:paraId="1F13C318" w14:textId="4D5FFF34" w:rsidR="0062012D" w:rsidRPr="003C3341" w:rsidRDefault="0062012D" w:rsidP="007A3C47">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2D337815" w14:textId="77777777" w:rsidR="00811686" w:rsidRDefault="008F0D83" w:rsidP="007A3C47">
            <w:pPr>
              <w:spacing w:line="360" w:lineRule="auto"/>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p w14:paraId="15299B24" w14:textId="20164E99" w:rsidR="00B21F2E" w:rsidRPr="00946B23" w:rsidRDefault="00811686" w:rsidP="007A3C47">
            <w:pPr>
              <w:spacing w:line="360" w:lineRule="auto"/>
              <w:rPr>
                <w:rFonts w:ascii="Tahoma" w:hAnsi="Tahoma" w:cs="Tahoma"/>
                <w:b/>
                <w:sz w:val="20"/>
                <w:szCs w:val="20"/>
              </w:rPr>
            </w:pPr>
            <w:r>
              <w:rPr>
                <w:rFonts w:ascii="Tahoma" w:hAnsi="Tahoma" w:cs="Tahoma"/>
                <w:b/>
                <w:sz w:val="20"/>
                <w:szCs w:val="20"/>
              </w:rPr>
              <w:t>Food Safety Fundamentals (The 4C</w:t>
            </w:r>
            <w:r w:rsidRPr="00811686">
              <w:rPr>
                <w:rFonts w:ascii="Tahoma" w:hAnsi="Tahoma" w:cs="Tahoma"/>
                <w:b/>
                <w:sz w:val="20"/>
                <w:szCs w:val="20"/>
              </w:rPr>
              <w:t>’</w:t>
            </w:r>
            <w:r>
              <w:rPr>
                <w:rFonts w:ascii="Tahoma" w:hAnsi="Tahoma" w:cs="Tahoma"/>
                <w:b/>
                <w:sz w:val="20"/>
                <w:szCs w:val="20"/>
              </w:rPr>
              <w:t>s)</w:t>
            </w:r>
          </w:p>
        </w:tc>
        <w:tc>
          <w:tcPr>
            <w:tcW w:w="7199" w:type="dxa"/>
            <w:shd w:val="clear" w:color="auto" w:fill="FBD4B4" w:themeFill="accent6" w:themeFillTint="66"/>
          </w:tcPr>
          <w:p w14:paraId="36F1B310" w14:textId="3E2BDD0F" w:rsidR="00B21F2E" w:rsidRDefault="00B945EA" w:rsidP="007A3C47">
            <w:pPr>
              <w:spacing w:line="360" w:lineRule="auto"/>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811686">
              <w:rPr>
                <w:rFonts w:ascii="Tahoma" w:hAnsi="Tahoma" w:cs="Tahoma"/>
                <w:b/>
                <w:sz w:val="20"/>
                <w:szCs w:val="20"/>
              </w:rPr>
              <w:t xml:space="preserve"> 20/10/2021</w:t>
            </w:r>
          </w:p>
          <w:p w14:paraId="33CC5D6B" w14:textId="77777777" w:rsidR="00811686" w:rsidRDefault="00811686" w:rsidP="007A3C47">
            <w:pPr>
              <w:spacing w:line="360" w:lineRule="auto"/>
              <w:rPr>
                <w:rFonts w:ascii="Tahoma" w:hAnsi="Tahoma" w:cs="Tahoma"/>
                <w:b/>
                <w:sz w:val="20"/>
                <w:szCs w:val="20"/>
              </w:rPr>
            </w:pPr>
          </w:p>
          <w:p w14:paraId="5A58C08D" w14:textId="0CB28053" w:rsidR="00B21F2E" w:rsidRPr="003C3341" w:rsidRDefault="00B21F2E" w:rsidP="007A3C47">
            <w:pPr>
              <w:spacing w:line="360" w:lineRule="auto"/>
              <w:jc w:val="center"/>
              <w:rPr>
                <w:rFonts w:ascii="Tahoma" w:hAnsi="Tahoma" w:cs="Tahoma"/>
                <w:b/>
                <w:sz w:val="20"/>
                <w:szCs w:val="20"/>
              </w:rPr>
            </w:pPr>
          </w:p>
        </w:tc>
      </w:tr>
      <w:tr w:rsidR="00B945EA" w:rsidRPr="003B5013" w14:paraId="60CC0225" w14:textId="77777777" w:rsidTr="00A91FD6">
        <w:trPr>
          <w:trHeight w:val="2494"/>
        </w:trPr>
        <w:tc>
          <w:tcPr>
            <w:tcW w:w="11182" w:type="dxa"/>
            <w:gridSpan w:val="2"/>
          </w:tcPr>
          <w:p w14:paraId="4497D0B4" w14:textId="24101B79" w:rsidR="00811686" w:rsidRPr="003B5013" w:rsidRDefault="00811686" w:rsidP="003B5013">
            <w:pPr>
              <w:spacing w:after="100" w:afterAutospacing="1" w:line="360" w:lineRule="auto"/>
              <w:jc w:val="both"/>
              <w:rPr>
                <w:rFonts w:ascii="Arial" w:hAnsi="Arial" w:cs="Arial"/>
              </w:rPr>
            </w:pPr>
            <w:bookmarkStart w:id="0" w:name="_Hlk85657081"/>
            <w:r w:rsidRPr="003B5013">
              <w:rPr>
                <w:rFonts w:ascii="Arial" w:hAnsi="Arial" w:cs="Arial"/>
              </w:rPr>
              <w:t xml:space="preserve">The occurrence of food poisoning has become very common nowadays. Abdominal pain, diarrhoea, </w:t>
            </w:r>
            <w:proofErr w:type="gramStart"/>
            <w:r w:rsidRPr="003B5013">
              <w:rPr>
                <w:rFonts w:ascii="Arial" w:hAnsi="Arial" w:cs="Arial"/>
              </w:rPr>
              <w:t>vomiting</w:t>
            </w:r>
            <w:proofErr w:type="gramEnd"/>
            <w:r w:rsidRPr="003B5013">
              <w:rPr>
                <w:rFonts w:ascii="Arial" w:hAnsi="Arial" w:cs="Arial"/>
              </w:rPr>
              <w:t xml:space="preserve"> and dehydration are the symptoms that can be noticed due to food safety issues. As per the view of </w:t>
            </w:r>
            <w:proofErr w:type="spellStart"/>
            <w:r w:rsidRPr="003B5013">
              <w:rPr>
                <w:rFonts w:ascii="Arial" w:hAnsi="Arial" w:cs="Arial"/>
              </w:rPr>
              <w:t>Suhairom</w:t>
            </w:r>
            <w:proofErr w:type="spellEnd"/>
            <w:r w:rsidRPr="003B5013">
              <w:rPr>
                <w:rFonts w:ascii="Arial" w:hAnsi="Arial" w:cs="Arial"/>
              </w:rPr>
              <w:t xml:space="preserve"> et al. (2019), it has been noted that competencies are the vital factors that can introduce the workflow and performances of culinary professionals. I have learnt that various knowledge must be learnt in the course or get training sessions. Some examples are not reheating the prepared food after keeping it open for long hours, buying from unreliable suppliers must be stopped and many more. </w:t>
            </w:r>
          </w:p>
          <w:p w14:paraId="0F2E5692" w14:textId="77777777" w:rsidR="00811686" w:rsidRPr="003B5013" w:rsidRDefault="00811686" w:rsidP="003B5013">
            <w:pPr>
              <w:spacing w:after="100" w:afterAutospacing="1" w:line="360" w:lineRule="auto"/>
              <w:jc w:val="both"/>
              <w:rPr>
                <w:rFonts w:ascii="Arial" w:hAnsi="Arial" w:cs="Arial"/>
              </w:rPr>
            </w:pPr>
            <w:r w:rsidRPr="003B5013">
              <w:rPr>
                <w:rFonts w:ascii="Arial" w:hAnsi="Arial" w:cs="Arial"/>
              </w:rPr>
              <w:t xml:space="preserve">The 4 types of “C’s” are required to reduce such risk of giving rise to food safety concerns. I think maintenance of hygiene is much more important than just cleanliness. In every aspect of food security, </w:t>
            </w:r>
            <w:r w:rsidRPr="003B5013">
              <w:rPr>
                <w:rFonts w:ascii="Arial" w:hAnsi="Arial" w:cs="Arial"/>
              </w:rPr>
              <w:lastRenderedPageBreak/>
              <w:t xml:space="preserve">we need to maintain cleanliness, avoid cross-contamination, and perform proper cooking and chilling of the food. </w:t>
            </w:r>
          </w:p>
          <w:p w14:paraId="7FBBD5F5" w14:textId="77777777" w:rsidR="00811686" w:rsidRPr="003B5013" w:rsidRDefault="00811686" w:rsidP="003B5013">
            <w:pPr>
              <w:spacing w:after="100" w:afterAutospacing="1" w:line="360" w:lineRule="auto"/>
              <w:jc w:val="both"/>
              <w:rPr>
                <w:rFonts w:ascii="Arial" w:hAnsi="Arial" w:cs="Arial"/>
              </w:rPr>
            </w:pPr>
            <w:proofErr w:type="spellStart"/>
            <w:r w:rsidRPr="003B5013">
              <w:rPr>
                <w:rFonts w:ascii="Arial" w:hAnsi="Arial" w:cs="Arial"/>
              </w:rPr>
              <w:t>Suhairom</w:t>
            </w:r>
            <w:proofErr w:type="spellEnd"/>
            <w:r w:rsidRPr="003B5013">
              <w:rPr>
                <w:rFonts w:ascii="Arial" w:hAnsi="Arial" w:cs="Arial"/>
              </w:rPr>
              <w:t xml:space="preserve"> et al. (2019) has also cited the creativity in the culinary profession depends on the management of the cost and hygiene to attract customers. Disadvantages of the culinary profession might disrupt the entire hospitality management section. It is thus necessary to build up a base that can protect the food from getting contaminated. </w:t>
            </w:r>
          </w:p>
          <w:p w14:paraId="640C1DAD" w14:textId="77777777" w:rsidR="00811686" w:rsidRPr="003B5013" w:rsidRDefault="00811686" w:rsidP="003B5013">
            <w:pPr>
              <w:spacing w:after="100" w:afterAutospacing="1" w:line="360" w:lineRule="auto"/>
              <w:jc w:val="both"/>
              <w:rPr>
                <w:rFonts w:ascii="Arial" w:hAnsi="Arial" w:cs="Arial"/>
              </w:rPr>
            </w:pPr>
            <w:r w:rsidRPr="003B5013">
              <w:rPr>
                <w:rFonts w:ascii="Arial" w:hAnsi="Arial" w:cs="Arial"/>
              </w:rPr>
              <w:t xml:space="preserve">To understand the perspective of the 4C’s there must be the knowledge of using it with order essence. In the previous sections of the study, it has been mentioned that the maintenance of food hygiene can give rise to the betterment of sales and productivity as well. From here, we can learn that the customers are necessary to be handled with proper care to maintain the susceptibility of the hospitality business system. As per Rolfe et al. (2021), the reflection on what are the possible steps to develop a customer-service centred management can be reflected using 4C’s model. I have learnt that there must be proper maintenance of the hospitality in terms of achieving better care services for the customers. I have also learnt that </w:t>
            </w:r>
            <w:proofErr w:type="gramStart"/>
            <w:r w:rsidRPr="003B5013">
              <w:rPr>
                <w:rFonts w:ascii="Arial" w:hAnsi="Arial" w:cs="Arial"/>
              </w:rPr>
              <w:t>in order to</w:t>
            </w:r>
            <w:proofErr w:type="gramEnd"/>
            <w:r w:rsidRPr="003B5013">
              <w:rPr>
                <w:rFonts w:ascii="Arial" w:hAnsi="Arial" w:cs="Arial"/>
              </w:rPr>
              <w:t xml:space="preserve"> increase the competencies in culinary professionals the management of the 4c’s is necessary. </w:t>
            </w:r>
          </w:p>
          <w:p w14:paraId="3FDB517C" w14:textId="6ECA6AEA" w:rsidR="00811686" w:rsidRPr="003B5013" w:rsidRDefault="00811686" w:rsidP="003B5013">
            <w:pPr>
              <w:spacing w:after="100" w:afterAutospacing="1" w:line="360" w:lineRule="auto"/>
              <w:jc w:val="both"/>
              <w:rPr>
                <w:rFonts w:ascii="Arial" w:hAnsi="Arial" w:cs="Arial"/>
              </w:rPr>
            </w:pPr>
            <w:r w:rsidRPr="003B5013">
              <w:rPr>
                <w:rFonts w:ascii="Arial" w:hAnsi="Arial" w:cs="Arial"/>
              </w:rPr>
              <w:t xml:space="preserve">I have read a journal containing “Rule of Law '' that shows the need for proper packaging of food is required to reduce contamination. I also came to know that the Food Security Standards or FSA of the UK is planning to make hyper-sensitive about food security and consumer security. As per the view of </w:t>
            </w:r>
            <w:proofErr w:type="spellStart"/>
            <w:r w:rsidRPr="003B5013">
              <w:rPr>
                <w:rFonts w:ascii="Arial" w:hAnsi="Arial" w:cs="Arial"/>
              </w:rPr>
              <w:t>Akyazi</w:t>
            </w:r>
            <w:proofErr w:type="spellEnd"/>
            <w:r w:rsidRPr="003B5013">
              <w:rPr>
                <w:rFonts w:ascii="Arial" w:hAnsi="Arial" w:cs="Arial"/>
              </w:rPr>
              <w:t xml:space="preserve"> et al. (2019), it has been noted that the food industry has rapidly faced several challenges due to disruption in the maintenance of food security. Accessories and jewellery, use of fake nails, and use of strong perfumes that can impact the prepared food should be avoided by the food handlers. It is also necessary to keep the food below 5 degrees Celsius or hot food above 63 degrees Celsius. The temperature between that is considered a danger zone. </w:t>
            </w:r>
            <w:proofErr w:type="spellStart"/>
            <w:r w:rsidRPr="003B5013">
              <w:rPr>
                <w:rFonts w:ascii="Arial" w:hAnsi="Arial" w:cs="Arial"/>
              </w:rPr>
              <w:t>Bacterias</w:t>
            </w:r>
            <w:proofErr w:type="spellEnd"/>
            <w:r w:rsidRPr="003B5013">
              <w:rPr>
                <w:rFonts w:ascii="Arial" w:hAnsi="Arial" w:cs="Arial"/>
              </w:rPr>
              <w:t xml:space="preserve"> die above 63 degrees and multiplies very slowly below 5 degrees. But we need to be sure that the cooked food can be consumed immediately, only if it stays in the danger zone for less than 4 hours. The food can be refrigerated if it stays in the danger zone for less than 2 hours. If food stays more than 4 hours in the danger zone, it should be discarded.</w:t>
            </w:r>
          </w:p>
          <w:p w14:paraId="5BD1E181" w14:textId="25BA8972" w:rsidR="00811686" w:rsidRPr="003B5013" w:rsidRDefault="00811686" w:rsidP="003B5013">
            <w:pPr>
              <w:spacing w:after="100" w:afterAutospacing="1" w:line="360" w:lineRule="auto"/>
              <w:jc w:val="both"/>
              <w:rPr>
                <w:rFonts w:ascii="Arial" w:hAnsi="Arial" w:cs="Arial"/>
              </w:rPr>
            </w:pPr>
            <w:r w:rsidRPr="003B5013">
              <w:rPr>
                <w:rFonts w:ascii="Arial" w:hAnsi="Arial" w:cs="Arial"/>
              </w:rPr>
              <w:t xml:space="preserve">The skills that I have learned can be evaluated in terms of giving rise to customer satisfaction. As per the view of </w:t>
            </w:r>
            <w:proofErr w:type="spellStart"/>
            <w:r w:rsidRPr="003B5013">
              <w:rPr>
                <w:rFonts w:ascii="Arial" w:hAnsi="Arial" w:cs="Arial"/>
              </w:rPr>
              <w:t>Kenington</w:t>
            </w:r>
            <w:proofErr w:type="spellEnd"/>
            <w:r w:rsidRPr="003B5013">
              <w:rPr>
                <w:rFonts w:ascii="Arial" w:hAnsi="Arial" w:cs="Arial"/>
              </w:rPr>
              <w:t xml:space="preserve"> et al. (2020), it has been noticed that the 4C’s framework is also responsible for giving rise to community-based questions in the hospitality management system. However, to mitigate this risk </w:t>
            </w:r>
            <w:r w:rsidRPr="003B5013">
              <w:rPr>
                <w:rFonts w:ascii="Arial" w:hAnsi="Arial" w:cs="Arial"/>
              </w:rPr>
              <w:lastRenderedPageBreak/>
              <w:t>by introducing the theory of “Farm to fork”. As demonstrated by Riggio et al. (2019) it has been noticed that the trade of high-risk microorganisms can only be mitigated by giving immense care while managing the framing till it is harvested. As per my view, I can justify that there is a need to maintain the food security concerns since the plantation of the crops alone. On the other hand, I would also like to recommend that reduction of the risk of microorganisms can only be possible by collecting foods from better suppliers. Improper harvesting of the foods might disrupt the tissue and give rise to the infection of microorganisms</w:t>
            </w:r>
            <w:proofErr w:type="gramStart"/>
            <w:r w:rsidRPr="003B5013">
              <w:rPr>
                <w:rFonts w:ascii="Arial" w:hAnsi="Arial" w:cs="Arial"/>
              </w:rPr>
              <w:t xml:space="preserve">.  </w:t>
            </w:r>
            <w:proofErr w:type="gramEnd"/>
            <w:r w:rsidRPr="003B5013">
              <w:rPr>
                <w:rFonts w:ascii="Arial" w:hAnsi="Arial" w:cs="Arial"/>
              </w:rPr>
              <w:t xml:space="preserve">As per Rolfe et al. (2021) reflection model it can be stated that I can bring out changes in the food security cases by implementing several strategies. The maintenance of food safety must be done by using 4C’s model. An action plan can also be raised that would contain the necessary steps for reducing food safety risks. </w:t>
            </w:r>
          </w:p>
          <w:p w14:paraId="6C845E3D" w14:textId="23766BBD" w:rsidR="00811686" w:rsidRDefault="00811686" w:rsidP="003B5013">
            <w:pPr>
              <w:spacing w:after="100" w:afterAutospacing="1" w:line="360" w:lineRule="auto"/>
              <w:jc w:val="both"/>
              <w:rPr>
                <w:rFonts w:ascii="Arial" w:hAnsi="Arial" w:cs="Arial"/>
              </w:rPr>
            </w:pPr>
            <w:r w:rsidRPr="003B5013">
              <w:rPr>
                <w:rFonts w:ascii="Arial" w:hAnsi="Arial" w:cs="Arial"/>
              </w:rPr>
              <w:t xml:space="preserve">After learning, at my workplace, </w:t>
            </w:r>
            <w:proofErr w:type="gramStart"/>
            <w:r w:rsidRPr="003B5013">
              <w:rPr>
                <w:rFonts w:ascii="Arial" w:hAnsi="Arial" w:cs="Arial"/>
              </w:rPr>
              <w:t>We</w:t>
            </w:r>
            <w:proofErr w:type="gramEnd"/>
            <w:r w:rsidRPr="003B5013">
              <w:rPr>
                <w:rFonts w:ascii="Arial" w:hAnsi="Arial" w:cs="Arial"/>
              </w:rPr>
              <w:t xml:space="preserve"> have created a flowchart for all the foods from supplier to the table, the risks, how to solve them. I have started to </w:t>
            </w:r>
            <w:proofErr w:type="gramStart"/>
            <w:r w:rsidRPr="003B5013">
              <w:rPr>
                <w:rFonts w:ascii="Arial" w:hAnsi="Arial" w:cs="Arial"/>
              </w:rPr>
              <w:t>continuously and responsibly monitor the temperatures of the foods and the fridges and the hot hold too</w:t>
            </w:r>
            <w:proofErr w:type="gramEnd"/>
            <w:r w:rsidRPr="003B5013">
              <w:rPr>
                <w:rFonts w:ascii="Arial" w:hAnsi="Arial" w:cs="Arial"/>
              </w:rPr>
              <w:t>. I am learning and trying to reduce the food safety risk as much as I should and can do</w:t>
            </w:r>
            <w:bookmarkEnd w:id="0"/>
            <w:r w:rsidRPr="003B5013">
              <w:rPr>
                <w:rFonts w:ascii="Arial" w:hAnsi="Arial" w:cs="Arial"/>
              </w:rPr>
              <w:t>.</w:t>
            </w:r>
          </w:p>
          <w:p w14:paraId="110FEC08" w14:textId="532CDB38" w:rsidR="003B5013" w:rsidRDefault="003B5013" w:rsidP="003B5013">
            <w:pPr>
              <w:spacing w:after="100" w:afterAutospacing="1" w:line="360" w:lineRule="auto"/>
              <w:jc w:val="both"/>
              <w:rPr>
                <w:rFonts w:ascii="Arial" w:hAnsi="Arial" w:cs="Arial"/>
                <w:b/>
                <w:bCs/>
                <w:u w:val="single"/>
              </w:rPr>
            </w:pPr>
          </w:p>
          <w:p w14:paraId="7AE2D5CC" w14:textId="6B30E6DF" w:rsidR="003B5013" w:rsidRDefault="003B5013" w:rsidP="003B5013">
            <w:pPr>
              <w:spacing w:after="100" w:afterAutospacing="1" w:line="360" w:lineRule="auto"/>
              <w:jc w:val="both"/>
              <w:rPr>
                <w:rFonts w:ascii="Arial" w:hAnsi="Arial" w:cs="Arial"/>
                <w:b/>
                <w:bCs/>
                <w:u w:val="single"/>
              </w:rPr>
            </w:pPr>
          </w:p>
          <w:p w14:paraId="4E15EB47" w14:textId="39EFDCC8" w:rsidR="003B5013" w:rsidRDefault="003B5013" w:rsidP="003B5013">
            <w:pPr>
              <w:spacing w:after="100" w:afterAutospacing="1" w:line="360" w:lineRule="auto"/>
              <w:jc w:val="both"/>
              <w:rPr>
                <w:rFonts w:ascii="Arial" w:hAnsi="Arial" w:cs="Arial"/>
                <w:b/>
                <w:bCs/>
                <w:u w:val="single"/>
              </w:rPr>
            </w:pPr>
          </w:p>
          <w:p w14:paraId="41F5C444" w14:textId="0C7735DB" w:rsidR="003B5013" w:rsidRDefault="003B5013" w:rsidP="003B5013">
            <w:pPr>
              <w:spacing w:after="100" w:afterAutospacing="1" w:line="360" w:lineRule="auto"/>
              <w:jc w:val="both"/>
              <w:rPr>
                <w:rFonts w:ascii="Arial" w:hAnsi="Arial" w:cs="Arial"/>
                <w:b/>
                <w:bCs/>
                <w:u w:val="single"/>
              </w:rPr>
            </w:pPr>
          </w:p>
          <w:p w14:paraId="5459BB2B" w14:textId="116E4BB2" w:rsidR="003B5013" w:rsidRDefault="003B5013" w:rsidP="003B5013">
            <w:pPr>
              <w:spacing w:after="100" w:afterAutospacing="1" w:line="360" w:lineRule="auto"/>
              <w:jc w:val="both"/>
              <w:rPr>
                <w:rFonts w:ascii="Arial" w:hAnsi="Arial" w:cs="Arial"/>
                <w:b/>
                <w:bCs/>
                <w:u w:val="single"/>
              </w:rPr>
            </w:pPr>
          </w:p>
          <w:p w14:paraId="4F5AB4CB" w14:textId="65D6B45F" w:rsidR="003B5013" w:rsidRDefault="003B5013" w:rsidP="003B5013">
            <w:pPr>
              <w:spacing w:after="100" w:afterAutospacing="1" w:line="360" w:lineRule="auto"/>
              <w:jc w:val="both"/>
              <w:rPr>
                <w:rFonts w:ascii="Arial" w:hAnsi="Arial" w:cs="Arial"/>
                <w:b/>
                <w:bCs/>
                <w:u w:val="single"/>
              </w:rPr>
            </w:pPr>
          </w:p>
          <w:p w14:paraId="78D29E8A" w14:textId="431901E7" w:rsidR="003B5013" w:rsidRDefault="003B5013" w:rsidP="003B5013">
            <w:pPr>
              <w:spacing w:after="100" w:afterAutospacing="1" w:line="360" w:lineRule="auto"/>
              <w:jc w:val="both"/>
              <w:rPr>
                <w:rFonts w:ascii="Arial" w:hAnsi="Arial" w:cs="Arial"/>
                <w:b/>
                <w:bCs/>
                <w:u w:val="single"/>
              </w:rPr>
            </w:pPr>
          </w:p>
          <w:p w14:paraId="316AD8CE" w14:textId="6B0C212A" w:rsidR="003B5013" w:rsidRDefault="003B5013" w:rsidP="003B5013">
            <w:pPr>
              <w:spacing w:after="100" w:afterAutospacing="1" w:line="360" w:lineRule="auto"/>
              <w:jc w:val="both"/>
              <w:rPr>
                <w:rFonts w:ascii="Arial" w:hAnsi="Arial" w:cs="Arial"/>
                <w:b/>
                <w:bCs/>
                <w:u w:val="single"/>
              </w:rPr>
            </w:pPr>
          </w:p>
          <w:p w14:paraId="4B61294A" w14:textId="77777777" w:rsidR="003B5013" w:rsidRPr="003B5013" w:rsidRDefault="003B5013" w:rsidP="003B5013">
            <w:pPr>
              <w:spacing w:after="100" w:afterAutospacing="1" w:line="360" w:lineRule="auto"/>
              <w:jc w:val="both"/>
              <w:rPr>
                <w:rFonts w:ascii="Arial" w:hAnsi="Arial" w:cs="Arial"/>
                <w:b/>
                <w:bCs/>
                <w:u w:val="single"/>
              </w:rPr>
            </w:pPr>
          </w:p>
          <w:p w14:paraId="3B344F1E" w14:textId="4F66D5C5" w:rsidR="00375882" w:rsidRPr="003B5013" w:rsidRDefault="00375882" w:rsidP="003B5013">
            <w:pPr>
              <w:spacing w:after="100" w:afterAutospacing="1" w:line="360" w:lineRule="auto"/>
              <w:jc w:val="both"/>
              <w:rPr>
                <w:rFonts w:ascii="Arial" w:hAnsi="Arial" w:cs="Arial"/>
              </w:rPr>
            </w:pPr>
          </w:p>
        </w:tc>
      </w:tr>
    </w:tbl>
    <w:p w14:paraId="7D9A52CF" w14:textId="77777777" w:rsidR="00B00678" w:rsidRPr="003B5013" w:rsidRDefault="00B00678" w:rsidP="003B5013">
      <w:pPr>
        <w:spacing w:after="100" w:afterAutospacing="1" w:line="360" w:lineRule="auto"/>
        <w:jc w:val="both"/>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3B5013" w14:paraId="693FCD7B" w14:textId="77777777" w:rsidTr="00375882">
        <w:tc>
          <w:tcPr>
            <w:tcW w:w="10910" w:type="dxa"/>
            <w:shd w:val="clear" w:color="auto" w:fill="FBD4B4" w:themeFill="accent6" w:themeFillTint="66"/>
          </w:tcPr>
          <w:p w14:paraId="0731D9DE" w14:textId="3AF3D5E7" w:rsidR="00375882" w:rsidRPr="003B5013" w:rsidRDefault="00375882" w:rsidP="003B5013">
            <w:pPr>
              <w:spacing w:after="100" w:afterAutospacing="1" w:line="360" w:lineRule="auto"/>
              <w:jc w:val="both"/>
              <w:rPr>
                <w:rFonts w:ascii="Arial" w:hAnsi="Arial" w:cs="Arial"/>
                <w:b/>
              </w:rPr>
            </w:pPr>
            <w:r w:rsidRPr="003B5013">
              <w:rPr>
                <w:rFonts w:ascii="Arial" w:hAnsi="Arial" w:cs="Arial"/>
                <w:b/>
              </w:rPr>
              <w:lastRenderedPageBreak/>
              <w:t xml:space="preserve">REFERENCE LIST </w:t>
            </w:r>
          </w:p>
        </w:tc>
        <w:tc>
          <w:tcPr>
            <w:tcW w:w="272" w:type="dxa"/>
            <w:shd w:val="clear" w:color="auto" w:fill="FBD4B4" w:themeFill="accent6" w:themeFillTint="66"/>
          </w:tcPr>
          <w:p w14:paraId="2A993785" w14:textId="77777777" w:rsidR="00375882" w:rsidRPr="003B5013" w:rsidRDefault="00375882" w:rsidP="003B5013">
            <w:pPr>
              <w:spacing w:after="100" w:afterAutospacing="1" w:line="360" w:lineRule="auto"/>
              <w:jc w:val="both"/>
              <w:rPr>
                <w:rFonts w:ascii="Arial" w:hAnsi="Arial" w:cs="Arial"/>
                <w:b/>
              </w:rPr>
            </w:pPr>
          </w:p>
          <w:p w14:paraId="52F3ACFA" w14:textId="77777777" w:rsidR="00375882" w:rsidRPr="003B5013" w:rsidRDefault="00375882" w:rsidP="003B5013">
            <w:pPr>
              <w:spacing w:after="100" w:afterAutospacing="1" w:line="360" w:lineRule="auto"/>
              <w:jc w:val="both"/>
              <w:rPr>
                <w:rFonts w:ascii="Arial" w:hAnsi="Arial" w:cs="Arial"/>
                <w:b/>
              </w:rPr>
            </w:pPr>
          </w:p>
        </w:tc>
      </w:tr>
      <w:tr w:rsidR="00375882" w:rsidRPr="003B5013" w14:paraId="130E5631" w14:textId="77777777" w:rsidTr="007F6692">
        <w:trPr>
          <w:trHeight w:val="2494"/>
        </w:trPr>
        <w:tc>
          <w:tcPr>
            <w:tcW w:w="11182" w:type="dxa"/>
            <w:gridSpan w:val="2"/>
          </w:tcPr>
          <w:p w14:paraId="4FBADFA5" w14:textId="77777777" w:rsidR="00375882" w:rsidRPr="003B5013" w:rsidRDefault="00375882" w:rsidP="003B5013">
            <w:pPr>
              <w:spacing w:after="100" w:afterAutospacing="1" w:line="360" w:lineRule="auto"/>
              <w:jc w:val="both"/>
              <w:rPr>
                <w:rFonts w:ascii="Arial" w:hAnsi="Arial" w:cs="Arial"/>
              </w:rPr>
            </w:pPr>
          </w:p>
          <w:p w14:paraId="169D0A8D" w14:textId="77777777" w:rsidR="00811686" w:rsidRPr="003B5013" w:rsidRDefault="00811686" w:rsidP="003B5013">
            <w:pPr>
              <w:spacing w:after="100" w:afterAutospacing="1" w:line="360" w:lineRule="auto"/>
              <w:jc w:val="both"/>
              <w:rPr>
                <w:rFonts w:ascii="Arial" w:hAnsi="Arial" w:cs="Arial"/>
              </w:rPr>
            </w:pPr>
            <w:proofErr w:type="spellStart"/>
            <w:r w:rsidRPr="003B5013">
              <w:rPr>
                <w:rFonts w:ascii="Arial" w:hAnsi="Arial" w:cs="Arial"/>
              </w:rPr>
              <w:t>Akyazi</w:t>
            </w:r>
            <w:proofErr w:type="spellEnd"/>
            <w:r w:rsidRPr="003B5013">
              <w:rPr>
                <w:rFonts w:ascii="Arial" w:hAnsi="Arial" w:cs="Arial"/>
              </w:rPr>
              <w:t xml:space="preserve">, T., </w:t>
            </w:r>
            <w:proofErr w:type="spellStart"/>
            <w:r w:rsidRPr="003B5013">
              <w:rPr>
                <w:rFonts w:ascii="Arial" w:hAnsi="Arial" w:cs="Arial"/>
              </w:rPr>
              <w:t>Goti</w:t>
            </w:r>
            <w:proofErr w:type="spellEnd"/>
            <w:r w:rsidRPr="003B5013">
              <w:rPr>
                <w:rFonts w:ascii="Arial" w:hAnsi="Arial" w:cs="Arial"/>
              </w:rPr>
              <w:t xml:space="preserve">, A., </w:t>
            </w:r>
            <w:proofErr w:type="spellStart"/>
            <w:r w:rsidRPr="003B5013">
              <w:rPr>
                <w:rFonts w:ascii="Arial" w:hAnsi="Arial" w:cs="Arial"/>
              </w:rPr>
              <w:t>Oyarbide</w:t>
            </w:r>
            <w:proofErr w:type="spellEnd"/>
            <w:r w:rsidRPr="003B5013">
              <w:rPr>
                <w:rFonts w:ascii="Arial" w:hAnsi="Arial" w:cs="Arial"/>
              </w:rPr>
              <w:t xml:space="preserve">, A., </w:t>
            </w:r>
            <w:proofErr w:type="spellStart"/>
            <w:r w:rsidRPr="003B5013">
              <w:rPr>
                <w:rFonts w:ascii="Arial" w:hAnsi="Arial" w:cs="Arial"/>
              </w:rPr>
              <w:t>Alberdi</w:t>
            </w:r>
            <w:proofErr w:type="spellEnd"/>
            <w:r w:rsidRPr="003B5013">
              <w:rPr>
                <w:rFonts w:ascii="Arial" w:hAnsi="Arial" w:cs="Arial"/>
              </w:rPr>
              <w:t xml:space="preserve">, E., &amp; </w:t>
            </w:r>
            <w:proofErr w:type="spellStart"/>
            <w:r w:rsidRPr="003B5013">
              <w:rPr>
                <w:rFonts w:ascii="Arial" w:hAnsi="Arial" w:cs="Arial"/>
              </w:rPr>
              <w:t>Bayon</w:t>
            </w:r>
            <w:proofErr w:type="spellEnd"/>
            <w:r w:rsidRPr="003B5013">
              <w:rPr>
                <w:rFonts w:ascii="Arial" w:hAnsi="Arial" w:cs="Arial"/>
              </w:rPr>
              <w:t>, F. (2020). A guide for the food industry to meet the future skills requirements emerging with industry 4.0. Foods, 9(4), 492.</w:t>
            </w:r>
          </w:p>
          <w:p w14:paraId="21AA72BB" w14:textId="77777777" w:rsidR="00811686" w:rsidRPr="003B5013" w:rsidRDefault="00811686" w:rsidP="003B5013">
            <w:pPr>
              <w:spacing w:after="100" w:afterAutospacing="1" w:line="360" w:lineRule="auto"/>
              <w:jc w:val="both"/>
              <w:rPr>
                <w:rFonts w:ascii="Arial" w:hAnsi="Arial" w:cs="Arial"/>
              </w:rPr>
            </w:pPr>
            <w:proofErr w:type="spellStart"/>
            <w:r w:rsidRPr="003B5013">
              <w:rPr>
                <w:rFonts w:ascii="Arial" w:hAnsi="Arial" w:cs="Arial"/>
              </w:rPr>
              <w:t>Kenington</w:t>
            </w:r>
            <w:proofErr w:type="spellEnd"/>
            <w:r w:rsidRPr="003B5013">
              <w:rPr>
                <w:rFonts w:ascii="Arial" w:hAnsi="Arial" w:cs="Arial"/>
              </w:rPr>
              <w:t xml:space="preserve">, D., Chiu, L. F., </w:t>
            </w:r>
            <w:proofErr w:type="spellStart"/>
            <w:r w:rsidRPr="003B5013">
              <w:rPr>
                <w:rFonts w:ascii="Arial" w:hAnsi="Arial" w:cs="Arial"/>
              </w:rPr>
              <w:t>Janda</w:t>
            </w:r>
            <w:proofErr w:type="spellEnd"/>
            <w:r w:rsidRPr="003B5013">
              <w:rPr>
                <w:rFonts w:ascii="Arial" w:hAnsi="Arial" w:cs="Arial"/>
              </w:rPr>
              <w:t xml:space="preserve">, K. B., &amp; </w:t>
            </w:r>
            <w:proofErr w:type="spellStart"/>
            <w:r w:rsidRPr="003B5013">
              <w:rPr>
                <w:rFonts w:ascii="Arial" w:hAnsi="Arial" w:cs="Arial"/>
              </w:rPr>
              <w:t>Ruyssevelt</w:t>
            </w:r>
            <w:proofErr w:type="spellEnd"/>
            <w:r w:rsidRPr="003B5013">
              <w:rPr>
                <w:rFonts w:ascii="Arial" w:hAnsi="Arial" w:cs="Arial"/>
              </w:rPr>
              <w:t xml:space="preserve">, P. (2020). Encouraging energy efficiency in United Kingdom independent retail? The case of the butcher, </w:t>
            </w:r>
            <w:proofErr w:type="gramStart"/>
            <w:r w:rsidRPr="003B5013">
              <w:rPr>
                <w:rFonts w:ascii="Arial" w:hAnsi="Arial" w:cs="Arial"/>
              </w:rPr>
              <w:t>fishmonger</w:t>
            </w:r>
            <w:proofErr w:type="gramEnd"/>
            <w:r w:rsidRPr="003B5013">
              <w:rPr>
                <w:rFonts w:ascii="Arial" w:hAnsi="Arial" w:cs="Arial"/>
              </w:rPr>
              <w:t xml:space="preserve"> and cycle-shop. Energy Research &amp; Social Science, 62, 101347.</w:t>
            </w:r>
          </w:p>
          <w:p w14:paraId="2300298E" w14:textId="77777777" w:rsidR="00811686" w:rsidRPr="003B5013" w:rsidRDefault="00811686" w:rsidP="003B5013">
            <w:pPr>
              <w:spacing w:after="100" w:afterAutospacing="1" w:line="360" w:lineRule="auto"/>
              <w:jc w:val="both"/>
              <w:rPr>
                <w:rFonts w:ascii="Arial" w:hAnsi="Arial" w:cs="Arial"/>
              </w:rPr>
            </w:pPr>
            <w:r w:rsidRPr="003B5013">
              <w:rPr>
                <w:rFonts w:ascii="Arial" w:hAnsi="Arial" w:cs="Arial"/>
              </w:rPr>
              <w:t xml:space="preserve">Riggio, G. M., Wang, Q., </w:t>
            </w:r>
            <w:proofErr w:type="spellStart"/>
            <w:r w:rsidRPr="003B5013">
              <w:rPr>
                <w:rFonts w:ascii="Arial" w:hAnsi="Arial" w:cs="Arial"/>
              </w:rPr>
              <w:t>Kniel</w:t>
            </w:r>
            <w:proofErr w:type="spellEnd"/>
            <w:r w:rsidRPr="003B5013">
              <w:rPr>
                <w:rFonts w:ascii="Arial" w:hAnsi="Arial" w:cs="Arial"/>
              </w:rPr>
              <w:t>, K. E., &amp; Gibson, K. E. (2019). Microgreens—A review of food safety considerations along the farm to fork continuum. International journal of food microbiology, 290, 76-85.</w:t>
            </w:r>
          </w:p>
          <w:p w14:paraId="5846FA36" w14:textId="77777777" w:rsidR="00811686" w:rsidRPr="003B5013" w:rsidRDefault="00811686" w:rsidP="003B5013">
            <w:pPr>
              <w:spacing w:after="100" w:afterAutospacing="1" w:line="360" w:lineRule="auto"/>
              <w:jc w:val="both"/>
              <w:rPr>
                <w:rFonts w:ascii="Arial" w:hAnsi="Arial" w:cs="Arial"/>
              </w:rPr>
            </w:pPr>
            <w:r w:rsidRPr="003B5013">
              <w:rPr>
                <w:rFonts w:ascii="Arial" w:hAnsi="Arial" w:cs="Arial"/>
              </w:rPr>
              <w:t>Rolfe, G., Freshwater, D., Jasper, M. (2001) Critical reflection in nursing and the helping professions: a user's guide. Basingstoke: Palgrave Macmillan</w:t>
            </w:r>
          </w:p>
          <w:p w14:paraId="6944CF61" w14:textId="5950D358" w:rsidR="00375882" w:rsidRPr="003B5013" w:rsidRDefault="00811686" w:rsidP="003B5013">
            <w:pPr>
              <w:spacing w:after="100" w:afterAutospacing="1" w:line="360" w:lineRule="auto"/>
              <w:jc w:val="both"/>
              <w:rPr>
                <w:rFonts w:ascii="Arial" w:hAnsi="Arial" w:cs="Arial"/>
              </w:rPr>
            </w:pPr>
            <w:proofErr w:type="spellStart"/>
            <w:r w:rsidRPr="003B5013">
              <w:rPr>
                <w:rFonts w:ascii="Arial" w:hAnsi="Arial" w:cs="Arial"/>
              </w:rPr>
              <w:t>Suhairom</w:t>
            </w:r>
            <w:proofErr w:type="spellEnd"/>
            <w:r w:rsidRPr="003B5013">
              <w:rPr>
                <w:rFonts w:ascii="Arial" w:hAnsi="Arial" w:cs="Arial"/>
              </w:rPr>
              <w:t xml:space="preserve">, N., </w:t>
            </w:r>
            <w:proofErr w:type="spellStart"/>
            <w:r w:rsidRPr="003B5013">
              <w:rPr>
                <w:rFonts w:ascii="Arial" w:hAnsi="Arial" w:cs="Arial"/>
              </w:rPr>
              <w:t>Musta’amal</w:t>
            </w:r>
            <w:proofErr w:type="spellEnd"/>
            <w:r w:rsidRPr="003B5013">
              <w:rPr>
                <w:rFonts w:ascii="Arial" w:hAnsi="Arial" w:cs="Arial"/>
              </w:rPr>
              <w:t xml:space="preserve">, A. H., Amin, N. F. M., </w:t>
            </w:r>
            <w:proofErr w:type="spellStart"/>
            <w:r w:rsidRPr="003B5013">
              <w:rPr>
                <w:rFonts w:ascii="Arial" w:hAnsi="Arial" w:cs="Arial"/>
              </w:rPr>
              <w:t>Kamin</w:t>
            </w:r>
            <w:proofErr w:type="spellEnd"/>
            <w:r w:rsidRPr="003B5013">
              <w:rPr>
                <w:rFonts w:ascii="Arial" w:hAnsi="Arial" w:cs="Arial"/>
              </w:rPr>
              <w:t>, Y., &amp; Wahid, N. H. A. (2019). Quality culinary workforce competencies for sustainable career development among culinary professionals. International Journal of Hospitality Management, 81, 205-220.</w:t>
            </w:r>
          </w:p>
          <w:p w14:paraId="6DF51C3D" w14:textId="6F494BB7" w:rsidR="00375882" w:rsidRPr="003B5013" w:rsidRDefault="00375882" w:rsidP="003B5013">
            <w:pPr>
              <w:spacing w:after="100" w:afterAutospacing="1" w:line="360" w:lineRule="auto"/>
              <w:jc w:val="both"/>
              <w:rPr>
                <w:rFonts w:ascii="Arial" w:hAnsi="Arial" w:cs="Arial"/>
              </w:rPr>
            </w:pPr>
          </w:p>
          <w:p w14:paraId="69EA998C" w14:textId="6811899E" w:rsidR="00375882" w:rsidRPr="003B5013" w:rsidRDefault="00375882" w:rsidP="003B5013">
            <w:pPr>
              <w:spacing w:after="100" w:afterAutospacing="1" w:line="360" w:lineRule="auto"/>
              <w:jc w:val="both"/>
              <w:rPr>
                <w:rFonts w:ascii="Arial" w:hAnsi="Arial" w:cs="Arial"/>
              </w:rPr>
            </w:pPr>
          </w:p>
          <w:p w14:paraId="03D9529C" w14:textId="4342E6D7" w:rsidR="00375882" w:rsidRPr="003B5013" w:rsidRDefault="00375882" w:rsidP="003B5013">
            <w:pPr>
              <w:spacing w:after="100" w:afterAutospacing="1" w:line="360" w:lineRule="auto"/>
              <w:jc w:val="both"/>
              <w:rPr>
                <w:rFonts w:ascii="Arial" w:hAnsi="Arial" w:cs="Arial"/>
              </w:rPr>
            </w:pPr>
          </w:p>
          <w:p w14:paraId="789E9A79" w14:textId="77990206" w:rsidR="00375882" w:rsidRPr="003B5013" w:rsidRDefault="00375882" w:rsidP="003B5013">
            <w:pPr>
              <w:spacing w:after="100" w:afterAutospacing="1" w:line="360" w:lineRule="auto"/>
              <w:jc w:val="both"/>
              <w:rPr>
                <w:rFonts w:ascii="Arial" w:hAnsi="Arial" w:cs="Arial"/>
              </w:rPr>
            </w:pPr>
          </w:p>
          <w:p w14:paraId="43EF99F0" w14:textId="59F16C78" w:rsidR="00375882" w:rsidRPr="003B5013" w:rsidRDefault="00375882" w:rsidP="003B5013">
            <w:pPr>
              <w:spacing w:after="100" w:afterAutospacing="1" w:line="360" w:lineRule="auto"/>
              <w:jc w:val="both"/>
              <w:rPr>
                <w:rFonts w:ascii="Arial" w:hAnsi="Arial" w:cs="Arial"/>
              </w:rPr>
            </w:pPr>
          </w:p>
          <w:p w14:paraId="47FB6995" w14:textId="77777777" w:rsidR="00375882" w:rsidRPr="003B5013" w:rsidRDefault="00375882" w:rsidP="003B5013">
            <w:pPr>
              <w:spacing w:after="100" w:afterAutospacing="1" w:line="360" w:lineRule="auto"/>
              <w:jc w:val="both"/>
              <w:rPr>
                <w:rFonts w:ascii="Arial" w:hAnsi="Arial" w:cs="Arial"/>
              </w:rPr>
            </w:pPr>
          </w:p>
        </w:tc>
      </w:tr>
    </w:tbl>
    <w:p w14:paraId="3A480543" w14:textId="77777777" w:rsidR="00B00678" w:rsidRDefault="00B00678" w:rsidP="007A3C47">
      <w:pPr>
        <w:spacing w:line="360" w:lineRule="auto"/>
        <w:rPr>
          <w:rFonts w:ascii="Tahoma" w:hAnsi="Tahoma" w:cs="Tahoma"/>
          <w:b/>
        </w:rPr>
      </w:pPr>
    </w:p>
    <w:p w14:paraId="02BE48C6" w14:textId="77777777" w:rsidR="00B00678" w:rsidRDefault="00B00678" w:rsidP="007A3C47">
      <w:pPr>
        <w:spacing w:line="360" w:lineRule="auto"/>
        <w:rPr>
          <w:rFonts w:ascii="Tahoma" w:hAnsi="Tahoma" w:cs="Tahoma"/>
          <w:b/>
        </w:rPr>
      </w:pPr>
    </w:p>
    <w:p w14:paraId="25B9E4A6" w14:textId="77777777" w:rsidR="00A45D42" w:rsidRDefault="00A45D42" w:rsidP="007A3C47">
      <w:pPr>
        <w:spacing w:line="360" w:lineRule="auto"/>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0E139" w14:textId="77777777" w:rsidR="003E62FA" w:rsidRDefault="003E62FA">
      <w:r>
        <w:separator/>
      </w:r>
    </w:p>
  </w:endnote>
  <w:endnote w:type="continuationSeparator" w:id="0">
    <w:p w14:paraId="4FF309E7" w14:textId="77777777" w:rsidR="003E62FA" w:rsidRDefault="003E6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charset w:val="00"/>
    <w:family w:val="auto"/>
    <w:pitch w:val="default"/>
  </w:font>
  <w:font w:name="Calibr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FD61B" w14:textId="77777777" w:rsidR="003E62FA" w:rsidRDefault="003E62FA">
      <w:r>
        <w:separator/>
      </w:r>
    </w:p>
  </w:footnote>
  <w:footnote w:type="continuationSeparator" w:id="0">
    <w:p w14:paraId="503A6FE4" w14:textId="77777777" w:rsidR="003E62FA" w:rsidRDefault="003E6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CEuZGJoYWBuYWRko6SsGpxcWZ+XkgBca1AAuNYLgsAAAA"/>
  </w:docVars>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5013"/>
    <w:rsid w:val="003C3341"/>
    <w:rsid w:val="003C7C45"/>
    <w:rsid w:val="003E36D1"/>
    <w:rsid w:val="003E46A6"/>
    <w:rsid w:val="003E62FA"/>
    <w:rsid w:val="003F52F1"/>
    <w:rsid w:val="004131C5"/>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3C47"/>
    <w:rsid w:val="007A5E44"/>
    <w:rsid w:val="007D18CA"/>
    <w:rsid w:val="007E500C"/>
    <w:rsid w:val="007E7BB4"/>
    <w:rsid w:val="007F055A"/>
    <w:rsid w:val="007F418B"/>
    <w:rsid w:val="00811686"/>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128D"/>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51458"/>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Binod Bastakoti (2016806)</cp:lastModifiedBy>
  <cp:revision>3</cp:revision>
  <cp:lastPrinted>2020-09-28T20:53:00Z</cp:lastPrinted>
  <dcterms:created xsi:type="dcterms:W3CDTF">2021-10-20T20:20:00Z</dcterms:created>
  <dcterms:modified xsi:type="dcterms:W3CDTF">2021-10-20T21:55:00Z</dcterms:modified>
</cp:coreProperties>
</file>