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E195F2" w14:textId="77777777" w:rsidR="00A55B97" w:rsidRPr="00A624ED" w:rsidRDefault="00A55B97" w:rsidP="00DA3F59">
      <w:pPr>
        <w:jc w:val="center"/>
        <w:rPr>
          <w:rFonts w:ascii="Times New Roman" w:eastAsiaTheme="minorEastAsia" w:hAnsi="Times New Roman" w:cs="Times New Roman"/>
          <w:b/>
          <w:bCs/>
          <w:color w:val="000000"/>
          <w:sz w:val="36"/>
          <w:szCs w:val="36"/>
          <w:lang w:val="en-GB" w:eastAsia="en-GB"/>
        </w:rPr>
      </w:pPr>
      <w:r w:rsidRPr="00A624ED">
        <w:rPr>
          <w:rFonts w:eastAsiaTheme="minorEastAsia"/>
          <w:noProof/>
          <w:color w:val="000000" w:themeColor="text1"/>
          <w:kern w:val="2"/>
          <w:sz w:val="28"/>
          <w:szCs w:val="28"/>
          <w:lang w:val="en-GB" w:eastAsia="en-GB"/>
          <w14:ligatures w14:val="standardContextual"/>
        </w:rPr>
        <w:drawing>
          <wp:inline distT="114300" distB="114300" distL="114300" distR="114300" wp14:anchorId="6133C8B4" wp14:editId="1AA798FB">
            <wp:extent cx="3028950" cy="714375"/>
            <wp:effectExtent l="0" t="0" r="0" b="9525"/>
            <wp:docPr id="2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028950" cy="714375"/>
                    </a:xfrm>
                    <a:prstGeom prst="rect">
                      <a:avLst/>
                    </a:prstGeom>
                    <a:ln/>
                  </pic:spPr>
                </pic:pic>
              </a:graphicData>
            </a:graphic>
          </wp:inline>
        </w:drawing>
      </w:r>
    </w:p>
    <w:p w14:paraId="15421F96" w14:textId="77777777" w:rsidR="00A55B97" w:rsidRPr="00A624ED" w:rsidRDefault="00A55B97" w:rsidP="00DA3F59">
      <w:pPr>
        <w:jc w:val="center"/>
        <w:rPr>
          <w:rFonts w:ascii="Times New Roman" w:eastAsiaTheme="minorEastAsia" w:hAnsi="Times New Roman" w:cs="Times New Roman"/>
          <w:b/>
          <w:bCs/>
          <w:color w:val="000000"/>
          <w:sz w:val="36"/>
          <w:szCs w:val="36"/>
          <w:lang w:val="en-GB" w:eastAsia="en-GB"/>
        </w:rPr>
      </w:pPr>
    </w:p>
    <w:p w14:paraId="24C27996" w14:textId="77777777" w:rsidR="00A55B97" w:rsidRPr="00A624ED" w:rsidRDefault="00A55B97" w:rsidP="00DA3F59">
      <w:pPr>
        <w:spacing w:before="240" w:after="240" w:line="480" w:lineRule="auto"/>
        <w:jc w:val="center"/>
        <w:rPr>
          <w:rFonts w:ascii="Arial" w:eastAsia="Arial" w:hAnsi="Arial" w:cs="Arial"/>
          <w:b/>
          <w:color w:val="000000" w:themeColor="text1"/>
          <w:sz w:val="28"/>
          <w:szCs w:val="28"/>
          <w:lang w:val="en-GB"/>
        </w:rPr>
      </w:pPr>
      <w:r w:rsidRPr="00A624ED">
        <w:rPr>
          <w:rFonts w:ascii="Arial" w:eastAsia="Arial" w:hAnsi="Arial" w:cs="Arial"/>
          <w:b/>
          <w:color w:val="000000" w:themeColor="text1"/>
          <w:sz w:val="28"/>
          <w:szCs w:val="28"/>
          <w:lang w:val="en-GB"/>
        </w:rPr>
        <w:t>LEVEL 7 ASSESSMENT REPORT</w:t>
      </w:r>
    </w:p>
    <w:p w14:paraId="53BF3CE4" w14:textId="77777777" w:rsidR="00A55B97" w:rsidRPr="00A624ED" w:rsidRDefault="00A55B97" w:rsidP="00DA3F59">
      <w:pPr>
        <w:spacing w:before="240" w:after="240" w:line="480" w:lineRule="auto"/>
        <w:jc w:val="center"/>
        <w:rPr>
          <w:rFonts w:ascii="Times New Roman" w:eastAsia="Times New Roman" w:hAnsi="Times New Roman" w:cs="Times New Roman"/>
          <w:b/>
          <w:bCs/>
          <w:color w:val="000000" w:themeColor="text1"/>
          <w:sz w:val="32"/>
          <w:szCs w:val="32"/>
          <w:lang w:val="en-GB" w:eastAsia="en-IN"/>
        </w:rPr>
      </w:pPr>
      <w:r w:rsidRPr="00A624ED">
        <w:rPr>
          <w:rFonts w:ascii="Times New Roman" w:eastAsia="Times New Roman" w:hAnsi="Times New Roman" w:cs="Times New Roman"/>
          <w:b/>
          <w:bCs/>
          <w:color w:val="000000" w:themeColor="text1"/>
          <w:sz w:val="32"/>
          <w:szCs w:val="32"/>
          <w:lang w:val="en-GB" w:eastAsia="en-IN"/>
        </w:rPr>
        <w:t>Master of Business Administration</w:t>
      </w:r>
    </w:p>
    <w:p w14:paraId="6A8FE904" w14:textId="77777777" w:rsidR="00A55B97" w:rsidRPr="00A624ED" w:rsidRDefault="00A55B97" w:rsidP="00DA3F59">
      <w:pPr>
        <w:spacing w:line="480" w:lineRule="auto"/>
        <w:jc w:val="center"/>
        <w:rPr>
          <w:rFonts w:ascii="Times New Roman" w:eastAsia="Times New Roman" w:hAnsi="Times New Roman" w:cs="Times New Roman"/>
          <w:b/>
          <w:bCs/>
          <w:color w:val="000000"/>
          <w:sz w:val="32"/>
          <w:szCs w:val="32"/>
          <w:lang w:val="en"/>
        </w:rPr>
      </w:pPr>
      <w:r w:rsidRPr="00A624ED">
        <w:rPr>
          <w:rFonts w:ascii="Times New Roman" w:eastAsia="Times New Roman" w:hAnsi="Times New Roman" w:cs="Times New Roman"/>
          <w:b/>
          <w:bCs/>
          <w:color w:val="000000"/>
          <w:sz w:val="32"/>
          <w:szCs w:val="32"/>
          <w:lang w:val="en"/>
        </w:rPr>
        <w:t>International Business Concepts</w:t>
      </w:r>
      <w:r w:rsidRPr="00A624ED">
        <w:rPr>
          <w:rFonts w:ascii="Times New Roman" w:eastAsia="Times New Roman" w:hAnsi="Times New Roman" w:cs="Times New Roman"/>
          <w:sz w:val="32"/>
          <w:szCs w:val="32"/>
          <w:lang w:val="en"/>
        </w:rPr>
        <w:t xml:space="preserve"> - </w:t>
      </w:r>
      <w:r w:rsidRPr="00A624ED">
        <w:rPr>
          <w:rFonts w:ascii="Times New Roman" w:eastAsia="Times New Roman" w:hAnsi="Times New Roman" w:cs="Times New Roman"/>
          <w:b/>
          <w:bCs/>
          <w:color w:val="000000"/>
          <w:sz w:val="32"/>
          <w:szCs w:val="32"/>
          <w:lang w:val="en"/>
        </w:rPr>
        <w:t>LCMB7034</w:t>
      </w:r>
    </w:p>
    <w:p w14:paraId="2DEB37C3" w14:textId="77777777" w:rsidR="00A55B97" w:rsidRPr="00A624ED" w:rsidRDefault="00A55B97" w:rsidP="00DA3F59">
      <w:pPr>
        <w:spacing w:line="480" w:lineRule="auto"/>
        <w:jc w:val="center"/>
        <w:rPr>
          <w:rFonts w:ascii="Times New Roman" w:eastAsia="Times New Roman" w:hAnsi="Times New Roman" w:cs="Times New Roman"/>
          <w:b/>
          <w:bCs/>
          <w:color w:val="000000"/>
          <w:sz w:val="32"/>
          <w:szCs w:val="32"/>
          <w:lang w:val="en"/>
        </w:rPr>
      </w:pPr>
    </w:p>
    <w:p w14:paraId="33C7109A" w14:textId="77777777" w:rsidR="00A55B97" w:rsidRPr="00A624ED" w:rsidRDefault="00A55B97" w:rsidP="00DA3F59">
      <w:pPr>
        <w:spacing w:after="200" w:line="480" w:lineRule="auto"/>
        <w:jc w:val="center"/>
        <w:rPr>
          <w:rFonts w:ascii="Times New Roman" w:eastAsia="Times New Roman" w:hAnsi="Times New Roman" w:cs="Times New Roman"/>
          <w:b/>
          <w:bCs/>
          <w:color w:val="000000"/>
          <w:sz w:val="34"/>
          <w:szCs w:val="34"/>
          <w:lang w:val="en"/>
        </w:rPr>
      </w:pPr>
      <w:r w:rsidRPr="00A624ED">
        <w:rPr>
          <w:rFonts w:ascii="Times New Roman" w:eastAsia="Times New Roman" w:hAnsi="Times New Roman" w:cs="Times New Roman"/>
          <w:b/>
          <w:bCs/>
          <w:color w:val="000000"/>
          <w:sz w:val="34"/>
          <w:szCs w:val="34"/>
          <w:lang w:val="en"/>
        </w:rPr>
        <w:t>Country- United States of America | Industry- Automobile</w:t>
      </w:r>
    </w:p>
    <w:p w14:paraId="76D4B8D6" w14:textId="77777777" w:rsidR="00A55B97" w:rsidRPr="00A624ED" w:rsidRDefault="00A55B97" w:rsidP="00DA3F59">
      <w:pPr>
        <w:spacing w:after="200" w:line="480" w:lineRule="auto"/>
        <w:jc w:val="center"/>
        <w:rPr>
          <w:rFonts w:ascii="Times New Roman" w:eastAsia="Times New Roman" w:hAnsi="Times New Roman" w:cs="Times New Roman"/>
          <w:b/>
          <w:bCs/>
          <w:color w:val="000000"/>
          <w:sz w:val="34"/>
          <w:szCs w:val="34"/>
          <w:lang w:val="en"/>
        </w:rPr>
      </w:pPr>
      <w:r w:rsidRPr="00A624ED">
        <w:rPr>
          <w:rFonts w:ascii="Times New Roman" w:eastAsia="Times New Roman" w:hAnsi="Times New Roman" w:cs="Times New Roman"/>
          <w:b/>
          <w:bCs/>
          <w:color w:val="000000"/>
          <w:sz w:val="34"/>
          <w:szCs w:val="34"/>
          <w:lang w:val="en"/>
        </w:rPr>
        <w:t>Company- Toyota</w:t>
      </w:r>
    </w:p>
    <w:p w14:paraId="59C3E23A" w14:textId="77777777" w:rsidR="00A55B97" w:rsidRPr="00A624ED" w:rsidRDefault="00A55B97" w:rsidP="00DA3F59">
      <w:pPr>
        <w:spacing w:after="200" w:line="480" w:lineRule="auto"/>
        <w:jc w:val="center"/>
        <w:rPr>
          <w:rFonts w:ascii="Times New Roman" w:eastAsia="Times New Roman" w:hAnsi="Times New Roman" w:cs="Times New Roman"/>
          <w:b/>
          <w:bCs/>
          <w:color w:val="000000"/>
          <w:sz w:val="36"/>
          <w:szCs w:val="36"/>
          <w:lang w:val="en"/>
        </w:rPr>
      </w:pPr>
      <w:r w:rsidRPr="00A624ED">
        <w:rPr>
          <w:rFonts w:ascii="Times New Roman" w:eastAsia="Times New Roman" w:hAnsi="Times New Roman" w:cs="Times New Roman"/>
          <w:b/>
          <w:bCs/>
          <w:color w:val="000000" w:themeColor="text1"/>
          <w:sz w:val="36"/>
          <w:szCs w:val="36"/>
          <w:lang w:val="en-GB" w:eastAsia="en-IN"/>
        </w:rPr>
        <w:t xml:space="preserve">Student Name- </w:t>
      </w:r>
      <w:proofErr w:type="spellStart"/>
      <w:r w:rsidRPr="00A624ED">
        <w:rPr>
          <w:rFonts w:ascii="Times New Roman" w:eastAsia="Times New Roman" w:hAnsi="Times New Roman" w:cs="Times New Roman"/>
          <w:b/>
          <w:bCs/>
          <w:color w:val="000000" w:themeColor="text1"/>
          <w:sz w:val="36"/>
          <w:szCs w:val="36"/>
          <w:lang w:val="en-GB" w:eastAsia="en-IN"/>
        </w:rPr>
        <w:t>Harshkumar</w:t>
      </w:r>
      <w:proofErr w:type="spellEnd"/>
      <w:r w:rsidRPr="00A624ED">
        <w:rPr>
          <w:rFonts w:ascii="Times New Roman" w:eastAsia="Times New Roman" w:hAnsi="Times New Roman" w:cs="Times New Roman"/>
          <w:b/>
          <w:bCs/>
          <w:color w:val="000000" w:themeColor="text1"/>
          <w:sz w:val="36"/>
          <w:szCs w:val="36"/>
          <w:lang w:val="en-GB" w:eastAsia="en-IN"/>
        </w:rPr>
        <w:t xml:space="preserve"> Manojkumar Patel</w:t>
      </w:r>
    </w:p>
    <w:p w14:paraId="4ACAA7E8" w14:textId="77777777" w:rsidR="00A55B97" w:rsidRPr="00A624ED" w:rsidRDefault="00A55B97" w:rsidP="00DA3F59">
      <w:pPr>
        <w:spacing w:after="200" w:line="480" w:lineRule="auto"/>
        <w:jc w:val="center"/>
        <w:rPr>
          <w:rFonts w:ascii="Times New Roman" w:eastAsia="Times New Roman" w:hAnsi="Times New Roman" w:cs="Times New Roman"/>
          <w:sz w:val="36"/>
          <w:szCs w:val="36"/>
          <w:lang w:val="en"/>
        </w:rPr>
      </w:pPr>
      <w:r w:rsidRPr="00A624ED">
        <w:rPr>
          <w:rFonts w:ascii="Times New Roman" w:eastAsia="Times New Roman" w:hAnsi="Times New Roman" w:cs="Times New Roman"/>
          <w:b/>
          <w:bCs/>
          <w:color w:val="000000" w:themeColor="text1"/>
          <w:sz w:val="36"/>
          <w:szCs w:val="36"/>
          <w:lang w:val="en-GB" w:eastAsia="en-IN"/>
        </w:rPr>
        <w:t>Student ID- 2503790</w:t>
      </w:r>
    </w:p>
    <w:p w14:paraId="5B984B24" w14:textId="77777777" w:rsidR="00A55B97" w:rsidRPr="00A624ED" w:rsidRDefault="00A55B97" w:rsidP="00DA3F59">
      <w:pPr>
        <w:spacing w:after="200" w:line="480" w:lineRule="auto"/>
        <w:jc w:val="center"/>
        <w:rPr>
          <w:rFonts w:ascii="Times New Roman" w:eastAsia="Times New Roman" w:hAnsi="Times New Roman" w:cs="Times New Roman"/>
          <w:b/>
          <w:bCs/>
          <w:color w:val="000000" w:themeColor="text1"/>
          <w:sz w:val="36"/>
          <w:szCs w:val="36"/>
          <w:lang w:val="en-GB" w:eastAsia="en-IN"/>
        </w:rPr>
      </w:pPr>
      <w:r w:rsidRPr="00A624ED">
        <w:rPr>
          <w:rFonts w:ascii="Times New Roman" w:eastAsia="Times New Roman" w:hAnsi="Times New Roman" w:cs="Times New Roman"/>
          <w:b/>
          <w:bCs/>
          <w:color w:val="000000" w:themeColor="text1"/>
          <w:sz w:val="36"/>
          <w:szCs w:val="36"/>
          <w:lang w:val="en-GB" w:eastAsia="en-IN"/>
        </w:rPr>
        <w:t>Lecturer Name- Dr. Jean Wang</w:t>
      </w:r>
    </w:p>
    <w:p w14:paraId="7C879870" w14:textId="77777777" w:rsidR="00A55B97" w:rsidRPr="00A624ED" w:rsidRDefault="00A55B97" w:rsidP="00DA3F59">
      <w:pPr>
        <w:spacing w:after="200" w:line="480" w:lineRule="auto"/>
        <w:jc w:val="center"/>
        <w:rPr>
          <w:rFonts w:ascii="Times New Roman" w:eastAsia="Times New Roman" w:hAnsi="Times New Roman" w:cs="Times New Roman"/>
          <w:b/>
          <w:bCs/>
          <w:color w:val="000000" w:themeColor="text1"/>
          <w:sz w:val="36"/>
          <w:szCs w:val="36"/>
          <w:lang w:val="en-GB" w:eastAsia="en-IN"/>
        </w:rPr>
      </w:pPr>
      <w:r w:rsidRPr="00A624ED">
        <w:rPr>
          <w:rFonts w:ascii="Times New Roman" w:eastAsia="Times New Roman" w:hAnsi="Times New Roman" w:cs="Times New Roman"/>
          <w:b/>
          <w:bCs/>
          <w:color w:val="000000" w:themeColor="text1"/>
          <w:sz w:val="36"/>
          <w:szCs w:val="36"/>
          <w:lang w:val="en-GB" w:eastAsia="en-IN"/>
        </w:rPr>
        <w:t>Word Count -</w:t>
      </w:r>
      <w:r>
        <w:rPr>
          <w:rFonts w:ascii="Times New Roman" w:eastAsia="Times New Roman" w:hAnsi="Times New Roman" w:cs="Times New Roman"/>
          <w:b/>
          <w:bCs/>
          <w:color w:val="000000" w:themeColor="text1"/>
          <w:sz w:val="36"/>
          <w:szCs w:val="36"/>
          <w:lang w:val="en-GB" w:eastAsia="en-IN"/>
        </w:rPr>
        <w:t xml:space="preserve"> 4765</w:t>
      </w:r>
    </w:p>
    <w:p w14:paraId="78F00442" w14:textId="77777777" w:rsidR="00A55B97" w:rsidRDefault="00A55B97" w:rsidP="00DA3F59">
      <w:pPr>
        <w:pStyle w:val="Heading2"/>
        <w:rPr>
          <w:color w:val="000000"/>
        </w:rPr>
      </w:pPr>
    </w:p>
    <w:p w14:paraId="2AE056AF" w14:textId="77777777" w:rsidR="00A55B97" w:rsidRDefault="00A55B97" w:rsidP="00DA3F59">
      <w:pPr>
        <w:pStyle w:val="Heading2"/>
        <w:rPr>
          <w:color w:val="000000"/>
        </w:rPr>
      </w:pPr>
    </w:p>
    <w:p w14:paraId="7B6A310A" w14:textId="77777777" w:rsidR="00A55B97" w:rsidRDefault="00A55B97" w:rsidP="00DA3F59">
      <w:pPr>
        <w:pStyle w:val="Heading2"/>
        <w:rPr>
          <w:color w:val="000000"/>
        </w:rPr>
      </w:pPr>
    </w:p>
    <w:p w14:paraId="33E8590D" w14:textId="77777777" w:rsidR="00A55B97" w:rsidRDefault="00A55B97" w:rsidP="00DA3F59">
      <w:pPr>
        <w:pStyle w:val="Heading2"/>
        <w:rPr>
          <w:color w:val="000000"/>
        </w:rPr>
      </w:pPr>
    </w:p>
    <w:p w14:paraId="73AD0A55" w14:textId="77777777" w:rsidR="00A55B97" w:rsidRDefault="00A55B97" w:rsidP="00DA3F59">
      <w:pPr>
        <w:pStyle w:val="Heading2"/>
        <w:ind w:left="0" w:firstLine="0"/>
        <w:rPr>
          <w:color w:val="000000"/>
        </w:rPr>
      </w:pPr>
    </w:p>
    <w:p w14:paraId="50724B13" w14:textId="77777777" w:rsidR="00A55B97" w:rsidRDefault="00A55B97" w:rsidP="00DA3F59">
      <w:pPr>
        <w:pStyle w:val="Heading2"/>
        <w:ind w:left="0" w:firstLine="0"/>
        <w:rPr>
          <w:color w:val="000000"/>
        </w:rPr>
      </w:pPr>
    </w:p>
    <w:p w14:paraId="4BB6FCD5" w14:textId="77777777" w:rsidR="00A55B97" w:rsidRPr="002D0559" w:rsidRDefault="00A55B97" w:rsidP="00DA3F59">
      <w:pPr>
        <w:keepNext/>
        <w:keepLines/>
        <w:pBdr>
          <w:top w:val="nil"/>
          <w:left w:val="nil"/>
          <w:bottom w:val="nil"/>
          <w:right w:val="nil"/>
          <w:between w:val="nil"/>
        </w:pBdr>
        <w:spacing w:before="240" w:after="240" w:line="480" w:lineRule="auto"/>
        <w:rPr>
          <w:rFonts w:ascii="Calibri" w:eastAsia="Calibri" w:hAnsi="Calibri" w:cs="Calibri"/>
          <w:b/>
          <w:bCs/>
          <w:color w:val="000000"/>
          <w:lang w:val="en" w:eastAsia="en-GB"/>
        </w:rPr>
      </w:pPr>
      <w:r w:rsidRPr="002D0559">
        <w:rPr>
          <w:rFonts w:ascii="Calibri" w:eastAsia="Calibri" w:hAnsi="Calibri" w:cs="Calibri"/>
          <w:b/>
          <w:bCs/>
          <w:color w:val="000000"/>
          <w:lang w:val="en" w:eastAsia="en-GB"/>
        </w:rPr>
        <w:t>Table of Contents</w:t>
      </w:r>
    </w:p>
    <w:sdt>
      <w:sdtPr>
        <w:rPr>
          <w:rFonts w:ascii="Times New Roman" w:eastAsia="Times New Roman" w:hAnsi="Times New Roman" w:cs="Times New Roman"/>
          <w:lang w:val="en" w:eastAsia="en-GB"/>
        </w:rPr>
        <w:id w:val="1395808188"/>
        <w:docPartObj>
          <w:docPartGallery w:val="Table of Contents"/>
          <w:docPartUnique/>
        </w:docPartObj>
      </w:sdtPr>
      <w:sdtContent>
        <w:p w14:paraId="460E448E" w14:textId="77777777" w:rsidR="00A55B97" w:rsidRPr="002D0559" w:rsidRDefault="00A55B97" w:rsidP="00DA3F59">
          <w:pPr>
            <w:pBdr>
              <w:top w:val="nil"/>
              <w:left w:val="nil"/>
              <w:bottom w:val="nil"/>
              <w:right w:val="nil"/>
              <w:between w:val="nil"/>
            </w:pBdr>
            <w:tabs>
              <w:tab w:val="right" w:leader="dot" w:pos="9350"/>
            </w:tabs>
            <w:spacing w:before="240" w:after="100" w:line="480" w:lineRule="auto"/>
            <w:rPr>
              <w:rFonts w:ascii="Cambria" w:eastAsia="Cambria" w:hAnsi="Cambria" w:cs="Cambria"/>
              <w:color w:val="000000"/>
              <w:lang w:val="en" w:eastAsia="en-GB"/>
            </w:rPr>
          </w:pPr>
          <w:r w:rsidRPr="002D0559">
            <w:rPr>
              <w:rFonts w:ascii="Times New Roman" w:eastAsia="Times New Roman" w:hAnsi="Times New Roman" w:cs="Times New Roman"/>
              <w:lang w:val="en" w:eastAsia="en-GB"/>
            </w:rPr>
            <w:fldChar w:fldCharType="begin"/>
          </w:r>
          <w:r w:rsidRPr="002D0559">
            <w:rPr>
              <w:rFonts w:ascii="Times New Roman" w:eastAsia="Times New Roman" w:hAnsi="Times New Roman" w:cs="Times New Roman"/>
              <w:lang w:val="en" w:eastAsia="en-GB"/>
            </w:rPr>
            <w:instrText xml:space="preserve"> TOC \h \u \z \t "Heading 1,1,Heading 2,2,Heading 3,3,"</w:instrText>
          </w:r>
          <w:r w:rsidRPr="002D0559">
            <w:rPr>
              <w:rFonts w:ascii="Times New Roman" w:eastAsia="Times New Roman" w:hAnsi="Times New Roman" w:cs="Times New Roman"/>
              <w:lang w:val="en" w:eastAsia="en-GB"/>
            </w:rPr>
            <w:fldChar w:fldCharType="separate"/>
          </w:r>
          <w:hyperlink w:anchor="_idfsutovyei4">
            <w:r w:rsidRPr="002D0559">
              <w:rPr>
                <w:rFonts w:ascii="Times New Roman" w:eastAsia="Times New Roman" w:hAnsi="Times New Roman" w:cs="Times New Roman"/>
                <w:color w:val="000000"/>
                <w:lang w:val="en" w:eastAsia="en-GB"/>
              </w:rPr>
              <w:t>1. Introduction</w:t>
            </w:r>
            <w:r w:rsidRPr="002D0559">
              <w:rPr>
                <w:rFonts w:ascii="Times New Roman" w:eastAsia="Times New Roman" w:hAnsi="Times New Roman" w:cs="Times New Roman"/>
                <w:color w:val="000000"/>
                <w:lang w:val="en" w:eastAsia="en-GB"/>
              </w:rPr>
              <w:tab/>
              <w:t>3</w:t>
            </w:r>
          </w:hyperlink>
        </w:p>
        <w:p w14:paraId="2C68D8E0" w14:textId="77777777" w:rsidR="00A55B97" w:rsidRPr="002D0559" w:rsidRDefault="00A55B97" w:rsidP="00DA3F59">
          <w:pPr>
            <w:pBdr>
              <w:top w:val="nil"/>
              <w:left w:val="nil"/>
              <w:bottom w:val="nil"/>
              <w:right w:val="nil"/>
              <w:between w:val="nil"/>
            </w:pBdr>
            <w:tabs>
              <w:tab w:val="right" w:leader="dot" w:pos="9350"/>
            </w:tabs>
            <w:spacing w:before="240" w:after="100" w:line="480" w:lineRule="auto"/>
            <w:rPr>
              <w:rFonts w:ascii="Cambria" w:eastAsia="Cambria" w:hAnsi="Cambria" w:cs="Cambria"/>
              <w:color w:val="000000"/>
              <w:lang w:val="en" w:eastAsia="en-GB"/>
            </w:rPr>
          </w:pPr>
          <w:hyperlink w:anchor="_clotq7dkpc9a">
            <w:r w:rsidRPr="002D0559">
              <w:rPr>
                <w:rFonts w:ascii="Times New Roman" w:eastAsia="Times New Roman" w:hAnsi="Times New Roman" w:cs="Times New Roman"/>
                <w:color w:val="000000"/>
                <w:lang w:val="en" w:eastAsia="en-GB"/>
              </w:rPr>
              <w:t>2. Industry and Country Overview</w:t>
            </w:r>
            <w:r w:rsidRPr="002D0559">
              <w:rPr>
                <w:rFonts w:ascii="Times New Roman" w:eastAsia="Times New Roman" w:hAnsi="Times New Roman" w:cs="Times New Roman"/>
                <w:color w:val="000000"/>
                <w:lang w:val="en" w:eastAsia="en-GB"/>
              </w:rPr>
              <w:tab/>
              <w:t>4</w:t>
            </w:r>
          </w:hyperlink>
        </w:p>
        <w:p w14:paraId="4D54C252" w14:textId="77777777" w:rsidR="00A55B97" w:rsidRPr="002D0559" w:rsidRDefault="00A55B97" w:rsidP="00DA3F59">
          <w:pPr>
            <w:pBdr>
              <w:top w:val="nil"/>
              <w:left w:val="nil"/>
              <w:bottom w:val="nil"/>
              <w:right w:val="nil"/>
              <w:between w:val="nil"/>
            </w:pBdr>
            <w:tabs>
              <w:tab w:val="right" w:leader="dot" w:pos="9350"/>
            </w:tabs>
            <w:spacing w:before="240" w:after="100" w:line="480" w:lineRule="auto"/>
            <w:ind w:left="240"/>
            <w:rPr>
              <w:rFonts w:ascii="Cambria" w:eastAsia="Cambria" w:hAnsi="Cambria" w:cs="Cambria"/>
              <w:color w:val="000000"/>
              <w:lang w:val="en" w:eastAsia="en-GB"/>
            </w:rPr>
          </w:pPr>
          <w:hyperlink w:anchor="_3eyhetf0iwz9">
            <w:r w:rsidRPr="002D0559">
              <w:rPr>
                <w:rFonts w:ascii="Times New Roman" w:eastAsia="Times New Roman" w:hAnsi="Times New Roman" w:cs="Times New Roman"/>
                <w:color w:val="000000"/>
                <w:lang w:val="en" w:eastAsia="en-GB"/>
              </w:rPr>
              <w:t>2.1 Competitive positioning of major firms</w:t>
            </w:r>
            <w:r w:rsidRPr="002D0559">
              <w:rPr>
                <w:rFonts w:ascii="Times New Roman" w:eastAsia="Times New Roman" w:hAnsi="Times New Roman" w:cs="Times New Roman"/>
                <w:color w:val="000000"/>
                <w:lang w:val="en" w:eastAsia="en-GB"/>
              </w:rPr>
              <w:tab/>
              <w:t>7</w:t>
            </w:r>
          </w:hyperlink>
        </w:p>
        <w:p w14:paraId="47AF9F6D" w14:textId="77777777" w:rsidR="00A55B97" w:rsidRPr="002D0559" w:rsidRDefault="00A55B97" w:rsidP="00DA3F59">
          <w:pPr>
            <w:pBdr>
              <w:top w:val="nil"/>
              <w:left w:val="nil"/>
              <w:bottom w:val="nil"/>
              <w:right w:val="nil"/>
              <w:between w:val="nil"/>
            </w:pBdr>
            <w:tabs>
              <w:tab w:val="right" w:leader="dot" w:pos="9350"/>
            </w:tabs>
            <w:spacing w:before="240" w:after="100" w:line="480" w:lineRule="auto"/>
            <w:ind w:left="240"/>
            <w:rPr>
              <w:rFonts w:ascii="Cambria" w:eastAsia="Cambria" w:hAnsi="Cambria" w:cs="Cambria"/>
              <w:color w:val="000000"/>
              <w:lang w:val="en" w:eastAsia="en-GB"/>
            </w:rPr>
          </w:pPr>
          <w:hyperlink w:anchor="_j1gv97nvxd4n">
            <w:r w:rsidRPr="002D0559">
              <w:rPr>
                <w:rFonts w:ascii="Times New Roman" w:eastAsia="Times New Roman" w:hAnsi="Times New Roman" w:cs="Times New Roman"/>
                <w:color w:val="000000"/>
                <w:lang w:val="en" w:eastAsia="en-GB"/>
              </w:rPr>
              <w:t>2.2 Domestic demand, finance, and rivalry</w:t>
            </w:r>
            <w:r w:rsidRPr="002D0559">
              <w:rPr>
                <w:rFonts w:ascii="Times New Roman" w:eastAsia="Times New Roman" w:hAnsi="Times New Roman" w:cs="Times New Roman"/>
                <w:color w:val="000000"/>
                <w:lang w:val="en" w:eastAsia="en-GB"/>
              </w:rPr>
              <w:tab/>
              <w:t>8</w:t>
            </w:r>
          </w:hyperlink>
        </w:p>
        <w:p w14:paraId="3783F80F" w14:textId="77777777" w:rsidR="00A55B97" w:rsidRPr="002D0559" w:rsidRDefault="00A55B97" w:rsidP="00DA3F59">
          <w:pPr>
            <w:pBdr>
              <w:top w:val="nil"/>
              <w:left w:val="nil"/>
              <w:bottom w:val="nil"/>
              <w:right w:val="nil"/>
              <w:between w:val="nil"/>
            </w:pBdr>
            <w:tabs>
              <w:tab w:val="right" w:leader="dot" w:pos="9350"/>
            </w:tabs>
            <w:spacing w:before="240" w:after="100" w:line="480" w:lineRule="auto"/>
            <w:rPr>
              <w:rFonts w:ascii="Cambria" w:eastAsia="Cambria" w:hAnsi="Cambria" w:cs="Cambria"/>
              <w:color w:val="000000"/>
              <w:lang w:val="en" w:eastAsia="en-GB"/>
            </w:rPr>
          </w:pPr>
          <w:hyperlink w:anchor="_olgk395wotnh">
            <w:r w:rsidRPr="002D0559">
              <w:rPr>
                <w:rFonts w:ascii="Times New Roman" w:eastAsia="Times New Roman" w:hAnsi="Times New Roman" w:cs="Times New Roman"/>
                <w:color w:val="000000"/>
                <w:lang w:val="en" w:eastAsia="en-GB"/>
              </w:rPr>
              <w:t>3. Porter’s Diamond Model and National Advantage</w:t>
            </w:r>
            <w:r w:rsidRPr="002D0559">
              <w:rPr>
                <w:rFonts w:ascii="Times New Roman" w:eastAsia="Times New Roman" w:hAnsi="Times New Roman" w:cs="Times New Roman"/>
                <w:color w:val="000000"/>
                <w:lang w:val="en" w:eastAsia="en-GB"/>
              </w:rPr>
              <w:tab/>
              <w:t>10</w:t>
            </w:r>
          </w:hyperlink>
        </w:p>
        <w:p w14:paraId="5CD01AA9" w14:textId="77777777" w:rsidR="00A55B97" w:rsidRPr="002D0559" w:rsidRDefault="00A55B97" w:rsidP="00DA3F59">
          <w:pPr>
            <w:pBdr>
              <w:top w:val="nil"/>
              <w:left w:val="nil"/>
              <w:bottom w:val="nil"/>
              <w:right w:val="nil"/>
              <w:between w:val="nil"/>
            </w:pBdr>
            <w:tabs>
              <w:tab w:val="right" w:leader="dot" w:pos="9350"/>
            </w:tabs>
            <w:spacing w:before="240" w:after="100" w:line="480" w:lineRule="auto"/>
            <w:ind w:left="240"/>
            <w:rPr>
              <w:rFonts w:ascii="Cambria" w:eastAsia="Cambria" w:hAnsi="Cambria" w:cs="Cambria"/>
              <w:color w:val="000000"/>
              <w:lang w:val="en" w:eastAsia="en-GB"/>
            </w:rPr>
          </w:pPr>
          <w:hyperlink w:anchor="_6xf3lgh7cfjw">
            <w:r w:rsidRPr="002D0559">
              <w:rPr>
                <w:rFonts w:ascii="Times New Roman" w:eastAsia="Times New Roman" w:hAnsi="Times New Roman" w:cs="Times New Roman"/>
                <w:color w:val="000000"/>
                <w:lang w:val="en" w:eastAsia="en-GB"/>
              </w:rPr>
              <w:t>3.1 Demand Conditions, Government, and Chance</w:t>
            </w:r>
            <w:r w:rsidRPr="002D0559">
              <w:rPr>
                <w:rFonts w:ascii="Times New Roman" w:eastAsia="Times New Roman" w:hAnsi="Times New Roman" w:cs="Times New Roman"/>
                <w:color w:val="000000"/>
                <w:lang w:val="en" w:eastAsia="en-GB"/>
              </w:rPr>
              <w:tab/>
              <w:t>12</w:t>
            </w:r>
          </w:hyperlink>
        </w:p>
        <w:p w14:paraId="369B9C9D" w14:textId="77777777" w:rsidR="00A55B97" w:rsidRPr="002D0559" w:rsidRDefault="00A55B97" w:rsidP="00DA3F59">
          <w:pPr>
            <w:pBdr>
              <w:top w:val="nil"/>
              <w:left w:val="nil"/>
              <w:bottom w:val="nil"/>
              <w:right w:val="nil"/>
              <w:between w:val="nil"/>
            </w:pBdr>
            <w:tabs>
              <w:tab w:val="right" w:leader="dot" w:pos="9350"/>
            </w:tabs>
            <w:spacing w:before="240" w:after="100" w:line="480" w:lineRule="auto"/>
            <w:rPr>
              <w:rFonts w:ascii="Cambria" w:eastAsia="Cambria" w:hAnsi="Cambria" w:cs="Cambria"/>
              <w:color w:val="000000"/>
              <w:lang w:val="en" w:eastAsia="en-GB"/>
            </w:rPr>
          </w:pPr>
          <w:hyperlink w:anchor="_g4xykcwemoh7">
            <w:r w:rsidRPr="002D0559">
              <w:rPr>
                <w:rFonts w:ascii="Times New Roman" w:eastAsia="Times New Roman" w:hAnsi="Times New Roman" w:cs="Times New Roman"/>
                <w:color w:val="000000"/>
                <w:lang w:val="en" w:eastAsia="en-GB"/>
              </w:rPr>
              <w:t>4. Toyota in the United States: Market Attractiveness and Success Factors</w:t>
            </w:r>
            <w:r w:rsidRPr="002D0559">
              <w:rPr>
                <w:rFonts w:ascii="Times New Roman" w:eastAsia="Times New Roman" w:hAnsi="Times New Roman" w:cs="Times New Roman"/>
                <w:color w:val="000000"/>
                <w:lang w:val="en" w:eastAsia="en-GB"/>
              </w:rPr>
              <w:tab/>
              <w:t>13</w:t>
            </w:r>
          </w:hyperlink>
        </w:p>
        <w:p w14:paraId="0AD3F700" w14:textId="77777777" w:rsidR="00A55B97" w:rsidRPr="002D0559" w:rsidRDefault="00A55B97" w:rsidP="00DA3F59">
          <w:pPr>
            <w:pBdr>
              <w:top w:val="nil"/>
              <w:left w:val="nil"/>
              <w:bottom w:val="nil"/>
              <w:right w:val="nil"/>
              <w:between w:val="nil"/>
            </w:pBdr>
            <w:tabs>
              <w:tab w:val="right" w:leader="dot" w:pos="9350"/>
            </w:tabs>
            <w:spacing w:before="240" w:after="100" w:line="480" w:lineRule="auto"/>
            <w:ind w:left="240"/>
            <w:rPr>
              <w:rFonts w:ascii="Cambria" w:eastAsia="Cambria" w:hAnsi="Cambria" w:cs="Cambria"/>
              <w:color w:val="000000"/>
              <w:lang w:val="en" w:eastAsia="en-GB"/>
            </w:rPr>
          </w:pPr>
          <w:hyperlink w:anchor="_k5uidkv2vhkh">
            <w:r w:rsidRPr="002D0559">
              <w:rPr>
                <w:rFonts w:ascii="Times New Roman" w:eastAsia="Times New Roman" w:hAnsi="Times New Roman" w:cs="Times New Roman"/>
                <w:color w:val="000000"/>
                <w:lang w:val="en" w:eastAsia="en-GB"/>
              </w:rPr>
              <w:t>4.1 Toyota’s Strategic Fit, Risk, and Opportunity</w:t>
            </w:r>
            <w:r w:rsidRPr="002D0559">
              <w:rPr>
                <w:rFonts w:ascii="Times New Roman" w:eastAsia="Times New Roman" w:hAnsi="Times New Roman" w:cs="Times New Roman"/>
                <w:color w:val="000000"/>
                <w:lang w:val="en" w:eastAsia="en-GB"/>
              </w:rPr>
              <w:tab/>
              <w:t>17</w:t>
            </w:r>
          </w:hyperlink>
        </w:p>
        <w:p w14:paraId="00B764D0" w14:textId="77777777" w:rsidR="00A55B97" w:rsidRPr="002D0559" w:rsidRDefault="00A55B97" w:rsidP="00DA3F59">
          <w:pPr>
            <w:pBdr>
              <w:top w:val="nil"/>
              <w:left w:val="nil"/>
              <w:bottom w:val="nil"/>
              <w:right w:val="nil"/>
              <w:between w:val="nil"/>
            </w:pBdr>
            <w:tabs>
              <w:tab w:val="right" w:leader="dot" w:pos="9350"/>
            </w:tabs>
            <w:spacing w:before="240" w:after="100" w:line="480" w:lineRule="auto"/>
            <w:ind w:left="240"/>
            <w:rPr>
              <w:rFonts w:ascii="Cambria" w:eastAsia="Cambria" w:hAnsi="Cambria" w:cs="Cambria"/>
              <w:color w:val="000000"/>
              <w:lang w:val="en" w:eastAsia="en-GB"/>
            </w:rPr>
          </w:pPr>
          <w:hyperlink w:anchor="_4i3jr1w20vei">
            <w:r w:rsidRPr="002D0559">
              <w:rPr>
                <w:rFonts w:ascii="Times New Roman" w:eastAsia="Times New Roman" w:hAnsi="Times New Roman" w:cs="Times New Roman"/>
                <w:color w:val="000000"/>
                <w:lang w:val="en" w:eastAsia="en-GB"/>
              </w:rPr>
              <w:t>4.2 Government Support, Legal Uncertainty, and Chance</w:t>
            </w:r>
            <w:r w:rsidRPr="002D0559">
              <w:rPr>
                <w:rFonts w:ascii="Times New Roman" w:eastAsia="Times New Roman" w:hAnsi="Times New Roman" w:cs="Times New Roman"/>
                <w:color w:val="000000"/>
                <w:lang w:val="en" w:eastAsia="en-GB"/>
              </w:rPr>
              <w:tab/>
              <w:t>17</w:t>
            </w:r>
          </w:hyperlink>
        </w:p>
        <w:p w14:paraId="16A340AE" w14:textId="77777777" w:rsidR="00A55B97" w:rsidRPr="002D0559" w:rsidRDefault="00A55B97" w:rsidP="00DA3F59">
          <w:pPr>
            <w:pBdr>
              <w:top w:val="nil"/>
              <w:left w:val="nil"/>
              <w:bottom w:val="nil"/>
              <w:right w:val="nil"/>
              <w:between w:val="nil"/>
            </w:pBdr>
            <w:tabs>
              <w:tab w:val="right" w:leader="dot" w:pos="9350"/>
            </w:tabs>
            <w:spacing w:before="240" w:after="100" w:line="480" w:lineRule="auto"/>
            <w:rPr>
              <w:rFonts w:ascii="Cambria" w:eastAsia="Cambria" w:hAnsi="Cambria" w:cs="Cambria"/>
              <w:color w:val="000000"/>
              <w:lang w:val="en" w:eastAsia="en-GB"/>
            </w:rPr>
          </w:pPr>
          <w:hyperlink w:anchor="_7cwbept6lttg">
            <w:r w:rsidRPr="002D0559">
              <w:rPr>
                <w:rFonts w:ascii="Times New Roman" w:eastAsia="Times New Roman" w:hAnsi="Times New Roman" w:cs="Times New Roman"/>
                <w:color w:val="000000"/>
                <w:lang w:val="en" w:eastAsia="en-GB"/>
              </w:rPr>
              <w:t>5. Conclusion</w:t>
            </w:r>
            <w:r w:rsidRPr="002D0559">
              <w:rPr>
                <w:rFonts w:ascii="Times New Roman" w:eastAsia="Times New Roman" w:hAnsi="Times New Roman" w:cs="Times New Roman"/>
                <w:color w:val="000000"/>
                <w:lang w:val="en" w:eastAsia="en-GB"/>
              </w:rPr>
              <w:tab/>
              <w:t>19</w:t>
            </w:r>
          </w:hyperlink>
        </w:p>
        <w:p w14:paraId="0FF500C6" w14:textId="77777777" w:rsidR="00A55B97" w:rsidRPr="002D0559" w:rsidRDefault="00A55B97" w:rsidP="00DA3F59">
          <w:pPr>
            <w:pBdr>
              <w:top w:val="nil"/>
              <w:left w:val="nil"/>
              <w:bottom w:val="nil"/>
              <w:right w:val="nil"/>
              <w:between w:val="nil"/>
            </w:pBdr>
            <w:tabs>
              <w:tab w:val="right" w:leader="dot" w:pos="9350"/>
            </w:tabs>
            <w:spacing w:before="240" w:after="100" w:line="480" w:lineRule="auto"/>
            <w:rPr>
              <w:rFonts w:ascii="Cambria" w:eastAsia="Cambria" w:hAnsi="Cambria" w:cs="Cambria"/>
              <w:color w:val="000000"/>
              <w:lang w:val="en" w:eastAsia="en-GB"/>
            </w:rPr>
          </w:pPr>
          <w:hyperlink w:anchor="_cey5oza7xi4w">
            <w:r w:rsidRPr="002D0559">
              <w:rPr>
                <w:rFonts w:ascii="Times New Roman" w:eastAsia="Times New Roman" w:hAnsi="Times New Roman" w:cs="Times New Roman"/>
                <w:color w:val="000000"/>
                <w:lang w:val="en" w:eastAsia="en-GB"/>
              </w:rPr>
              <w:t>6. Reflective Account Using Gibbs’ Cycle</w:t>
            </w:r>
            <w:r w:rsidRPr="002D0559">
              <w:rPr>
                <w:rFonts w:ascii="Times New Roman" w:eastAsia="Times New Roman" w:hAnsi="Times New Roman" w:cs="Times New Roman"/>
                <w:color w:val="000000"/>
                <w:lang w:val="en" w:eastAsia="en-GB"/>
              </w:rPr>
              <w:tab/>
              <w:t>20</w:t>
            </w:r>
          </w:hyperlink>
        </w:p>
        <w:p w14:paraId="452B5554" w14:textId="77777777" w:rsidR="00A55B97" w:rsidRPr="002D0559" w:rsidRDefault="00A55B97" w:rsidP="00DA3F59">
          <w:pPr>
            <w:pBdr>
              <w:top w:val="nil"/>
              <w:left w:val="nil"/>
              <w:bottom w:val="nil"/>
              <w:right w:val="nil"/>
              <w:between w:val="nil"/>
            </w:pBdr>
            <w:tabs>
              <w:tab w:val="right" w:leader="dot" w:pos="9350"/>
            </w:tabs>
            <w:spacing w:before="240" w:after="100" w:line="480" w:lineRule="auto"/>
            <w:ind w:left="240"/>
            <w:rPr>
              <w:rFonts w:ascii="Cambria" w:eastAsia="Cambria" w:hAnsi="Cambria" w:cs="Cambria"/>
              <w:color w:val="000000"/>
              <w:lang w:val="en" w:eastAsia="en-GB"/>
            </w:rPr>
          </w:pPr>
          <w:hyperlink w:anchor="_quct8jqnjfgb">
            <w:r w:rsidRPr="002D0559">
              <w:rPr>
                <w:rFonts w:ascii="Times New Roman" w:eastAsia="Times New Roman" w:hAnsi="Times New Roman" w:cs="Times New Roman"/>
                <w:color w:val="000000"/>
                <w:lang w:val="en" w:eastAsia="en-GB"/>
              </w:rPr>
              <w:t>6.1 Learning Gained from the Research Process</w:t>
            </w:r>
            <w:r w:rsidRPr="002D0559">
              <w:rPr>
                <w:rFonts w:ascii="Times New Roman" w:eastAsia="Times New Roman" w:hAnsi="Times New Roman" w:cs="Times New Roman"/>
                <w:color w:val="000000"/>
                <w:lang w:val="en" w:eastAsia="en-GB"/>
              </w:rPr>
              <w:tab/>
              <w:t>22</w:t>
            </w:r>
          </w:hyperlink>
        </w:p>
        <w:p w14:paraId="2A754BD9" w14:textId="77777777" w:rsidR="00A55B97" w:rsidRPr="002D0559" w:rsidRDefault="00A55B97" w:rsidP="00DA3F59">
          <w:pPr>
            <w:pBdr>
              <w:top w:val="nil"/>
              <w:left w:val="nil"/>
              <w:bottom w:val="nil"/>
              <w:right w:val="nil"/>
              <w:between w:val="nil"/>
            </w:pBdr>
            <w:tabs>
              <w:tab w:val="right" w:leader="dot" w:pos="9350"/>
            </w:tabs>
            <w:spacing w:before="240" w:after="100" w:line="480" w:lineRule="auto"/>
            <w:ind w:left="240"/>
            <w:rPr>
              <w:rFonts w:ascii="Cambria" w:eastAsia="Cambria" w:hAnsi="Cambria" w:cs="Cambria"/>
              <w:color w:val="000000"/>
              <w:lang w:val="en" w:eastAsia="en-GB"/>
            </w:rPr>
          </w:pPr>
          <w:hyperlink w:anchor="_vjjekfmafaj">
            <w:r w:rsidRPr="002D0559">
              <w:rPr>
                <w:rFonts w:ascii="Times New Roman" w:eastAsia="Times New Roman" w:hAnsi="Times New Roman" w:cs="Times New Roman"/>
                <w:color w:val="000000"/>
                <w:lang w:val="en" w:eastAsia="en-GB"/>
              </w:rPr>
              <w:t>6.2 Limitations and Future Development</w:t>
            </w:r>
            <w:r w:rsidRPr="002D0559">
              <w:rPr>
                <w:rFonts w:ascii="Times New Roman" w:eastAsia="Times New Roman" w:hAnsi="Times New Roman" w:cs="Times New Roman"/>
                <w:color w:val="000000"/>
                <w:lang w:val="en" w:eastAsia="en-GB"/>
              </w:rPr>
              <w:tab/>
              <w:t>23</w:t>
            </w:r>
          </w:hyperlink>
        </w:p>
        <w:p w14:paraId="70EB9B45" w14:textId="77777777" w:rsidR="00A55B97" w:rsidRPr="002D0559" w:rsidRDefault="00A55B97" w:rsidP="00DA3F59">
          <w:pPr>
            <w:pBdr>
              <w:top w:val="nil"/>
              <w:left w:val="nil"/>
              <w:bottom w:val="nil"/>
              <w:right w:val="nil"/>
              <w:between w:val="nil"/>
            </w:pBdr>
            <w:tabs>
              <w:tab w:val="right" w:leader="dot" w:pos="9350"/>
            </w:tabs>
            <w:spacing w:before="240" w:after="100" w:line="480" w:lineRule="auto"/>
            <w:rPr>
              <w:rFonts w:ascii="Cambria" w:eastAsia="Cambria" w:hAnsi="Cambria" w:cs="Cambria"/>
              <w:color w:val="000000"/>
              <w:lang w:val="en" w:eastAsia="en-GB"/>
            </w:rPr>
          </w:pPr>
          <w:hyperlink w:anchor="_aklki8pqc29">
            <w:r w:rsidRPr="002D0559">
              <w:rPr>
                <w:rFonts w:ascii="Times New Roman" w:eastAsia="Times New Roman" w:hAnsi="Times New Roman" w:cs="Times New Roman"/>
                <w:color w:val="000000"/>
                <w:lang w:val="en" w:eastAsia="en-GB"/>
              </w:rPr>
              <w:t>References</w:t>
            </w:r>
            <w:r w:rsidRPr="002D0559">
              <w:rPr>
                <w:rFonts w:ascii="Times New Roman" w:eastAsia="Times New Roman" w:hAnsi="Times New Roman" w:cs="Times New Roman"/>
                <w:color w:val="000000"/>
                <w:lang w:val="en" w:eastAsia="en-GB"/>
              </w:rPr>
              <w:tab/>
              <w:t>25</w:t>
            </w:r>
          </w:hyperlink>
        </w:p>
        <w:p w14:paraId="19B0A54C" w14:textId="77777777" w:rsidR="00A55B97" w:rsidRPr="002D0559" w:rsidRDefault="00A55B97" w:rsidP="00DA3F59">
          <w:pPr>
            <w:spacing w:before="240" w:after="240" w:line="480" w:lineRule="auto"/>
            <w:rPr>
              <w:rFonts w:ascii="Times New Roman" w:eastAsia="Times New Roman" w:hAnsi="Times New Roman" w:cs="Times New Roman"/>
              <w:lang w:val="en" w:eastAsia="en-GB"/>
            </w:rPr>
          </w:pPr>
          <w:r w:rsidRPr="002D0559">
            <w:rPr>
              <w:rFonts w:ascii="Times New Roman" w:eastAsia="Times New Roman" w:hAnsi="Times New Roman" w:cs="Times New Roman"/>
              <w:lang w:val="en" w:eastAsia="en-GB"/>
            </w:rPr>
            <w:fldChar w:fldCharType="end"/>
          </w:r>
        </w:p>
      </w:sdtContent>
    </w:sdt>
    <w:p w14:paraId="28C2186C" w14:textId="77777777" w:rsidR="00A55B97" w:rsidRPr="002D0559" w:rsidRDefault="00A55B97" w:rsidP="00DA3F59">
      <w:pPr>
        <w:keepNext/>
        <w:keepLines/>
        <w:spacing w:before="240" w:after="240" w:line="480" w:lineRule="auto"/>
        <w:jc w:val="both"/>
        <w:outlineLvl w:val="0"/>
        <w:rPr>
          <w:rFonts w:ascii="Times New Roman" w:eastAsia="Times New Roman" w:hAnsi="Times New Roman" w:cs="Times New Roman"/>
          <w:b/>
          <w:bCs/>
          <w:color w:val="000000"/>
          <w:lang w:val="en" w:eastAsia="en-GB"/>
        </w:rPr>
      </w:pPr>
      <w:bookmarkStart w:id="0" w:name="_idfsutovyei4" w:colFirst="0" w:colLast="0"/>
      <w:bookmarkEnd w:id="0"/>
      <w:r w:rsidRPr="002D0559">
        <w:rPr>
          <w:rFonts w:ascii="Times New Roman" w:eastAsia="Times New Roman" w:hAnsi="Times New Roman" w:cs="Times New Roman"/>
          <w:b/>
          <w:bCs/>
          <w:color w:val="000000"/>
          <w:lang w:val="en" w:eastAsia="en-GB"/>
        </w:rPr>
        <w:t>1. Introduction</w:t>
      </w:r>
    </w:p>
    <w:p w14:paraId="392FA979"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This piece looks at the car business in the United States, using Toyota Motor Corporation as the international company under review. Despite shifts in global trade, America remains central to auto makers due to strong buying power, advanced tech systems, along with established rules guiding operations. Market demand is drivers by a number of forces, such as increasing environmental concern, increasingly stringent fuel-efficiency requirements, and a surge in electric vehicle (EV) sales. These are shaping customer attitudes - and also the strategies of the industry.</w:t>
      </w:r>
    </w:p>
    <w:p w14:paraId="7485504F"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The report starts with a overview of the car industry in the U.S. describing its industry size, scope and economic importance. It highlights key U.S. players like General Motors and Ford Motor, and international players like Hyundai and Toyota. These firms' market positions, strategies and performance are also </w:t>
      </w:r>
      <w:proofErr w:type="spellStart"/>
      <w:r w:rsidRPr="002D0559">
        <w:rPr>
          <w:rFonts w:ascii="Times New Roman" w:eastAsia="Times New Roman" w:hAnsi="Times New Roman" w:cs="Times New Roman"/>
          <w:color w:val="000000"/>
          <w:lang w:val="en" w:eastAsia="en-GB"/>
        </w:rPr>
        <w:t>analysed</w:t>
      </w:r>
      <w:proofErr w:type="spellEnd"/>
      <w:r w:rsidRPr="002D0559">
        <w:rPr>
          <w:rFonts w:ascii="Times New Roman" w:eastAsia="Times New Roman" w:hAnsi="Times New Roman" w:cs="Times New Roman"/>
          <w:color w:val="000000"/>
          <w:lang w:val="en" w:eastAsia="en-GB"/>
        </w:rPr>
        <w:t xml:space="preserve"> to gain insight into the industry competition.</w:t>
      </w:r>
    </w:p>
    <w:p w14:paraId="3966E03C"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Next, the report examines the national competitive advantage of U.S. car industry by evaluating the Porter's Diamond Model. This model elucidates the role of factor conditions, demand conditions, related and supporting industries and firm strategy and rivalry in improving the nation's competitive advantage.</w:t>
      </w:r>
    </w:p>
    <w:p w14:paraId="3AB5291A"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Next, the report turns to assess Toyota's potential in the U.S. in terms of political, economic, legal and cultural factors. This includes factors such as regulatory adherence, trade regulations, cultural values and the application of technology.</w:t>
      </w:r>
    </w:p>
    <w:p w14:paraId="52F692FA"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Finally, the report concludes with a reflective piece on the research and writing process of this report, including what was learnt, what were the challenges faced and what insights were obtained in the preparation of this report.</w:t>
      </w:r>
    </w:p>
    <w:p w14:paraId="58715411" w14:textId="77777777" w:rsidR="00A55B97" w:rsidRPr="002D0559" w:rsidRDefault="00A55B97" w:rsidP="00DA3F59">
      <w:pPr>
        <w:keepNext/>
        <w:keepLines/>
        <w:spacing w:before="240" w:after="240" w:line="480" w:lineRule="auto"/>
        <w:jc w:val="both"/>
        <w:outlineLvl w:val="0"/>
        <w:rPr>
          <w:rFonts w:ascii="Times New Roman" w:eastAsia="Times New Roman" w:hAnsi="Times New Roman" w:cs="Times New Roman"/>
          <w:b/>
          <w:bCs/>
          <w:color w:val="000000"/>
          <w:lang w:val="en" w:eastAsia="en-GB"/>
        </w:rPr>
      </w:pPr>
      <w:bookmarkStart w:id="1" w:name="_clotq7dkpc9a" w:colFirst="0" w:colLast="0"/>
      <w:bookmarkEnd w:id="1"/>
      <w:r w:rsidRPr="002D0559">
        <w:rPr>
          <w:rFonts w:ascii="Times New Roman" w:eastAsia="Times New Roman" w:hAnsi="Times New Roman" w:cs="Times New Roman"/>
          <w:b/>
          <w:bCs/>
          <w:color w:val="000000"/>
          <w:lang w:val="en" w:eastAsia="en-GB"/>
        </w:rPr>
        <w:t>2. Industry and Country Overview</w:t>
      </w:r>
    </w:p>
    <w:p w14:paraId="0EB2E273"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proofErr w:type="spellStart"/>
      <w:r w:rsidRPr="002D0559">
        <w:rPr>
          <w:rFonts w:ascii="Times New Roman" w:eastAsia="Times New Roman" w:hAnsi="Times New Roman" w:cs="Times New Roman"/>
          <w:color w:val="000000"/>
          <w:lang w:val="en" w:eastAsia="en-GB"/>
        </w:rPr>
        <w:t>Automaking</w:t>
      </w:r>
      <w:proofErr w:type="spellEnd"/>
      <w:r w:rsidRPr="002D0559">
        <w:rPr>
          <w:rFonts w:ascii="Times New Roman" w:eastAsia="Times New Roman" w:hAnsi="Times New Roman" w:cs="Times New Roman"/>
          <w:color w:val="000000"/>
          <w:lang w:val="en" w:eastAsia="en-GB"/>
        </w:rPr>
        <w:t xml:space="preserve"> is not the only sector of the U.S. automobile industry. It includes the design, manufacturing of components, wholesaling, retail, financing, fleet, </w:t>
      </w:r>
      <w:proofErr w:type="spellStart"/>
      <w:r w:rsidRPr="002D0559">
        <w:rPr>
          <w:rFonts w:ascii="Times New Roman" w:eastAsia="Times New Roman" w:hAnsi="Times New Roman" w:cs="Times New Roman"/>
          <w:color w:val="000000"/>
          <w:lang w:val="en" w:eastAsia="en-GB"/>
        </w:rPr>
        <w:t>aftersales</w:t>
      </w:r>
      <w:proofErr w:type="spellEnd"/>
      <w:r w:rsidRPr="002D0559">
        <w:rPr>
          <w:rFonts w:ascii="Times New Roman" w:eastAsia="Times New Roman" w:hAnsi="Times New Roman" w:cs="Times New Roman"/>
          <w:color w:val="000000"/>
          <w:lang w:val="en" w:eastAsia="en-GB"/>
        </w:rPr>
        <w:t>, and new software-based mobility services. It takes more than just building cars to describe what the auto sector really does - think selling, fixing, parts making, moving goods. Out of every ten jobs, one ties back somehow to moving parts and machines meant for roads (Alliance for Automotive Innovation, 2025a). Though loans cost more now, people still reached for keys - nearly 16.4 million new trucks and cars found homes in 2024 (General Motors, 2025; Ford Motor Company, 2025). When counting assembly lines, repair shops, design desks, that effort pumps close to $1.2 trillion into what the country earns each year (Alliance for Automotive Innovation, 2025a). Step further than steel and tires - you see numbers like these shift how growth gets tallied up (BLS, 2026).</w:t>
      </w:r>
    </w:p>
    <w:p w14:paraId="7FA61A2F"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Another aspect of the industry's economic significance is its geographies. Michigan, Indiana, Ohio, Kentucky, Alabama and Tennessee are home to numerous clusters of components manufacturers and final assembly plants, which have significant local multiplier effects in logistics, tooling, engineering and </w:t>
      </w:r>
      <w:proofErr w:type="spellStart"/>
      <w:r w:rsidRPr="002D0559">
        <w:rPr>
          <w:rFonts w:ascii="Times New Roman" w:eastAsia="Times New Roman" w:hAnsi="Times New Roman" w:cs="Times New Roman"/>
          <w:color w:val="000000"/>
          <w:lang w:val="en" w:eastAsia="en-GB"/>
        </w:rPr>
        <w:t>specialised</w:t>
      </w:r>
      <w:proofErr w:type="spellEnd"/>
      <w:r w:rsidRPr="002D0559">
        <w:rPr>
          <w:rFonts w:ascii="Times New Roman" w:eastAsia="Times New Roman" w:hAnsi="Times New Roman" w:cs="Times New Roman"/>
          <w:color w:val="000000"/>
          <w:lang w:val="en" w:eastAsia="en-GB"/>
        </w:rPr>
        <w:t xml:space="preserve"> manufacturing (BLS, 2026). At the national level, the U.S. continues to be an important hub for global trade and innovation in the automotive industry as both a source of supply and a market for consumption. The U.S. International Trade Commission (USITC) notes that the U.S. is in the middle of the major manufacturers: it is open to imports and foreign investment, but still has the ability to produce engines, components and advanced manufacturing processes (USITC, 2024). This mix is significant because an industry's competitive advantage is the result of its ability to control aspects of technology, production and sales.</w:t>
      </w:r>
    </w:p>
    <w:p w14:paraId="2247770F"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noProof/>
          <w:color w:val="000000"/>
          <w:lang w:val="en" w:eastAsia="en-GB"/>
        </w:rPr>
        <w:drawing>
          <wp:inline distT="0" distB="0" distL="0" distR="0" wp14:anchorId="2AA484C4" wp14:editId="048613CC">
            <wp:extent cx="5760720" cy="342572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60720" cy="3425722"/>
                    </a:xfrm>
                    <a:prstGeom prst="rect">
                      <a:avLst/>
                    </a:prstGeom>
                    <a:ln/>
                  </pic:spPr>
                </pic:pic>
              </a:graphicData>
            </a:graphic>
          </wp:inline>
        </w:drawing>
      </w:r>
    </w:p>
    <w:p w14:paraId="2AAF4933"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b/>
          <w:bCs/>
          <w:color w:val="000000"/>
          <w:lang w:val="en" w:eastAsia="en-GB"/>
        </w:rPr>
        <w:t>Figure 1: U.S. Sales Comparison for Key Automakers</w:t>
      </w:r>
    </w:p>
    <w:p w14:paraId="2197FFB2"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Here’s what puts the U.S. market under pressure: Toyota matches GM and Ford in scale, while Hyundai signals how efficient overseas makers are raising the bar.</w:t>
      </w:r>
    </w:p>
    <w:p w14:paraId="5F392528"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noProof/>
          <w:color w:val="000000"/>
          <w:lang w:val="en" w:eastAsia="en-GB"/>
        </w:rPr>
        <w:drawing>
          <wp:inline distT="0" distB="0" distL="0" distR="0" wp14:anchorId="26B21C41" wp14:editId="19F2A45C">
            <wp:extent cx="5760720" cy="2588358"/>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60720" cy="2588358"/>
                    </a:xfrm>
                    <a:prstGeom prst="rect">
                      <a:avLst/>
                    </a:prstGeom>
                    <a:ln/>
                  </pic:spPr>
                </pic:pic>
              </a:graphicData>
            </a:graphic>
          </wp:inline>
        </w:drawing>
      </w:r>
    </w:p>
    <w:p w14:paraId="2E53530A"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b/>
          <w:bCs/>
          <w:color w:val="000000"/>
          <w:lang w:val="en" w:eastAsia="en-GB"/>
        </w:rPr>
        <w:t>Figure 2: Toyota’s U.S. Strategic Timeline</w:t>
      </w:r>
    </w:p>
    <w:p w14:paraId="4DA56280"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The chart shows Toyota's method to U.S. roots in automotive manufacturing with its most recent investments in electrification and battery technologies, which is the focus of the report's assessment of competitiveness.</w:t>
      </w:r>
    </w:p>
    <w:p w14:paraId="5CC0A75C"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noProof/>
          <w:color w:val="000000"/>
          <w:lang w:val="en" w:eastAsia="en-GB"/>
        </w:rPr>
        <w:drawing>
          <wp:inline distT="0" distB="0" distL="0" distR="0" wp14:anchorId="0C98207C" wp14:editId="4322FE54">
            <wp:extent cx="5760720" cy="3425722"/>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60720" cy="3425722"/>
                    </a:xfrm>
                    <a:prstGeom prst="rect">
                      <a:avLst/>
                    </a:prstGeom>
                    <a:ln/>
                  </pic:spPr>
                </pic:pic>
              </a:graphicData>
            </a:graphic>
          </wp:inline>
        </w:drawing>
      </w:r>
    </w:p>
    <w:p w14:paraId="65E14C9C"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b/>
          <w:bCs/>
          <w:color w:val="000000"/>
          <w:lang w:val="en" w:eastAsia="en-GB"/>
        </w:rPr>
        <w:t>Figure 3: Motor Vehicle and Parts Manufacturing Employment by State</w:t>
      </w:r>
    </w:p>
    <w:p w14:paraId="0F44F4DC"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This pattern by state highlights the geographical concentration that enhances the factor conditions and supplier clusters in the U.S. automobile industry.</w:t>
      </w:r>
    </w:p>
    <w:p w14:paraId="63725CE2" w14:textId="77777777" w:rsidR="00A55B97" w:rsidRPr="002D0559" w:rsidRDefault="00A55B97" w:rsidP="00DA3F59">
      <w:pPr>
        <w:keepNext/>
        <w:keepLines/>
        <w:spacing w:before="240" w:after="240" w:line="480" w:lineRule="auto"/>
        <w:jc w:val="both"/>
        <w:outlineLvl w:val="1"/>
        <w:rPr>
          <w:rFonts w:ascii="Times New Roman" w:eastAsia="Times New Roman" w:hAnsi="Times New Roman" w:cs="Times New Roman"/>
          <w:b/>
          <w:bCs/>
          <w:color w:val="000000"/>
          <w:lang w:val="en" w:eastAsia="en-GB"/>
        </w:rPr>
      </w:pPr>
      <w:bookmarkStart w:id="2" w:name="_3eyhetf0iwz9" w:colFirst="0" w:colLast="0"/>
      <w:bookmarkEnd w:id="2"/>
      <w:r w:rsidRPr="002D0559">
        <w:rPr>
          <w:rFonts w:ascii="Times New Roman" w:eastAsia="Times New Roman" w:hAnsi="Times New Roman" w:cs="Times New Roman"/>
          <w:b/>
          <w:bCs/>
          <w:color w:val="000000"/>
          <w:lang w:val="en" w:eastAsia="en-GB"/>
        </w:rPr>
        <w:t>2.1 Competitive positioning of major firms</w:t>
      </w:r>
    </w:p>
    <w:p w14:paraId="35623673"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A more detailed comparison of the major players illustrates the segments in the industry. General Motors has adopted a strategy of a portfolio model for internal-combustion vehicles, pickups and </w:t>
      </w:r>
      <w:proofErr w:type="spellStart"/>
      <w:r w:rsidRPr="002D0559">
        <w:rPr>
          <w:rFonts w:ascii="Times New Roman" w:eastAsia="Times New Roman" w:hAnsi="Times New Roman" w:cs="Times New Roman"/>
          <w:color w:val="000000"/>
          <w:lang w:val="en" w:eastAsia="en-GB"/>
        </w:rPr>
        <w:t>EVs</w:t>
      </w:r>
      <w:proofErr w:type="spellEnd"/>
      <w:r w:rsidRPr="002D0559">
        <w:rPr>
          <w:rFonts w:ascii="Times New Roman" w:eastAsia="Times New Roman" w:hAnsi="Times New Roman" w:cs="Times New Roman"/>
          <w:color w:val="000000"/>
          <w:lang w:val="en" w:eastAsia="en-GB"/>
        </w:rPr>
        <w:t xml:space="preserve"> within a single scale model. It provides GM with price point coverage, but it also presents a challenge for integrating activities because the company needs to invest in EV technologies while protecting its profitable truck and SUV revenue (General Motors, 2025). Ford has a more focused strategy of trucks, fleet and fleet intelligence. Its Ford Pro strategy is significant because it connects hardware, software and service revenue, which enhances profits in its new-vehicle life cycle (Ford Motor Company, 2025). Toyota, in comparison, is focused on quality, size and engine diversity. By not dictating the market with a single technology alternative, Toyota has adopted hybrids as a transition vehicle between today and tomorrow, and this lowers the risk of electric vehicle adoption for the mass market (Toyota Motor North America, 2025).</w:t>
      </w:r>
    </w:p>
    <w:p w14:paraId="13CFA648"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Hyundai is in a different place. It is winning market share with design, warranty and a quicker product cycle than traditional carmakers. It has also enjoyed sales gains with electrified vehicles and an image of quality for the price with modern features, which allows it to appeal to younger, tech-savvy consumers (Hyundai Motor America, 2025). Tesla, though not covered in this report, is still critical as it set the bar for software, direct sales, over-the-air software upgrades and EV performance. It promotes the need to develop digital platforms and battery policies. But this means that in the U.S. the contest is no longer just about horsepower or dealer density; it's about ownership and software experience, charging and confidence, and the pain of change.</w:t>
      </w:r>
    </w:p>
    <w:p w14:paraId="202ADD18"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This explains why incumbent firms do well in some segments (e.g. fleets and pickups) and foreign firms in others (e.g. quality and global learning). Local firms like GM and Ford remain US-focused, politically connected and have extensive commercial networks to support fleet and pickup sales. Foreign firms like Toyota and Hyundai typically have superior quality and manufacturing, and "fast-learning" abilities. Toyota's success in the U.S. demonstrates that a foreign MNC can become a "domestically oriented" competitor by investing in local production, jobs and suppliers. The U.S. industry is therefore a mix of competitive strategies, rather than a monopoly of a single business model.</w:t>
      </w:r>
    </w:p>
    <w:p w14:paraId="27709964" w14:textId="77777777" w:rsidR="00A55B97" w:rsidRPr="002D0559" w:rsidRDefault="00A55B97" w:rsidP="00DA3F59">
      <w:pPr>
        <w:keepNext/>
        <w:keepLines/>
        <w:spacing w:before="240" w:after="240" w:line="480" w:lineRule="auto"/>
        <w:jc w:val="both"/>
        <w:outlineLvl w:val="1"/>
        <w:rPr>
          <w:rFonts w:ascii="Times New Roman" w:eastAsia="Times New Roman" w:hAnsi="Times New Roman" w:cs="Times New Roman"/>
          <w:b/>
          <w:bCs/>
          <w:color w:val="000000"/>
          <w:lang w:val="en" w:eastAsia="en-GB"/>
        </w:rPr>
      </w:pPr>
      <w:bookmarkStart w:id="3" w:name="_j1gv97nvxd4n" w:colFirst="0" w:colLast="0"/>
      <w:bookmarkEnd w:id="3"/>
      <w:r w:rsidRPr="002D0559">
        <w:rPr>
          <w:rFonts w:ascii="Times New Roman" w:eastAsia="Times New Roman" w:hAnsi="Times New Roman" w:cs="Times New Roman"/>
          <w:b/>
          <w:bCs/>
          <w:color w:val="000000"/>
          <w:lang w:val="en" w:eastAsia="en-GB"/>
        </w:rPr>
        <w:t>2.2 Domestic demand, finance, and rivalry</w:t>
      </w:r>
    </w:p>
    <w:p w14:paraId="25B96998"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The U.S. market is also characterized by consumers' financing and vehicle replacement practices. Vehicle purchases are long-term investments, meaning that interest rates, insurance rates and monthly payments are important considerations, alongside sticker price. That is why consumers may put off buying or extend their loans, or buy used, if new-vehicle prices increase. And why Toyota’s hybrids sell: they reduce monthly fuel costs without the consumer having to accept the risks of the recharging infrastructure for fully electric vehicles. In other words, tradeoffs of value, trust and flexibility, not novelty, are rewarded by the market. In terms of strategy, good demand conditions do not just lead to higher sales; they drive firms to enhance quality, service and the total cost of ownership.</w:t>
      </w:r>
    </w:p>
    <w:p w14:paraId="5514C502" w14:textId="77777777" w:rsidR="00A55B97" w:rsidRPr="002D0559" w:rsidRDefault="00A55B97" w:rsidP="00DA3F59">
      <w:pPr>
        <w:spacing w:after="200" w:line="276" w:lineRule="auto"/>
        <w:rPr>
          <w:rFonts w:ascii="Times New Roman" w:eastAsia="Times New Roman" w:hAnsi="Times New Roman" w:cs="Times New Roman"/>
          <w:color w:val="000000"/>
          <w:lang w:val="en" w:eastAsia="en-GB"/>
        </w:rPr>
      </w:pPr>
      <w:r w:rsidRPr="002D0559">
        <w:rPr>
          <w:rFonts w:ascii="Times New Roman" w:eastAsia="Times New Roman" w:hAnsi="Times New Roman" w:cs="Times New Roman"/>
          <w:lang w:val="en" w:eastAsia="en-GB"/>
        </w:rPr>
        <w:br w:type="page"/>
      </w:r>
    </w:p>
    <w:p w14:paraId="18D6C0EF"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The effect of domestic rivalry. The primacy of GM and Ford persists because they are omnipresent in U.S. commercial enterprise and American consumption, particularly in pickups and SUVs, fleet management and commercial transport. Being domestic is important because they are politically connected, have deep supplier networks, and long-term dealer relationships. But Toyota proves that an international company can succeed if it establishes local production and matches its product offerings to the American market. Hyundai's ascent is another example showing that they use novel product and value-oriented positioning to target consumers with a desire for technology while avoiding luxury brand premiums. Competition in the U.S. feels sharp, yet full of lessons; firms watch rivals closely, picking up moves and countermoves - this constant back-and-forth is what shapes lasting strength, according to Porter’s view on how nations stay ahead (USITC, 2024; OECD, 2024).</w:t>
      </w:r>
    </w:p>
    <w:p w14:paraId="01B45730"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Among these moves, Toyota stands alongside GM, Ford, and Hyundai as a major force. Leading the U.S. market in 2024 wasn’t by accident - General Motors moved 2.7 million units, grabbing 16.5 percent of the space, thanks to trucks, SUVs, traditional engines, along with an expanding range of electric models (General Motors, 2025). That same year, Ford reached about 2.1 million sales across the country, holding 12.6 percent; its strength rooted in pickup rigs, work-focused vans, plus the Ford Pro setup - a blend of connected tech and ongoing services tied to each vehicle (Ford Motor Company, 2025). Toyota sold 2.33 million vehicles in the U.S. in 2024 and experienced continued success from its reputation for durability, quality and hybrid innovation, while Hyundai sold 836,802 vehicles to continue its ascent in U.S. sales through product design, and retail and electric vehicles sales (Toyota Motor North America, 2025; Hyundai Motor America, 2025).</w:t>
      </w:r>
    </w:p>
    <w:p w14:paraId="7E816F0D" w14:textId="77777777" w:rsidR="00A55B97" w:rsidRPr="002D0559" w:rsidRDefault="00A55B97" w:rsidP="00DA3F59">
      <w:pPr>
        <w:keepNext/>
        <w:keepLines/>
        <w:spacing w:before="240" w:after="240" w:line="480" w:lineRule="auto"/>
        <w:jc w:val="both"/>
        <w:outlineLvl w:val="0"/>
        <w:rPr>
          <w:rFonts w:ascii="Times New Roman" w:eastAsia="Times New Roman" w:hAnsi="Times New Roman" w:cs="Times New Roman"/>
          <w:b/>
          <w:bCs/>
          <w:color w:val="000000"/>
          <w:lang w:val="en" w:eastAsia="en-GB"/>
        </w:rPr>
      </w:pPr>
      <w:bookmarkStart w:id="4" w:name="_olgk395wotnh" w:colFirst="0" w:colLast="0"/>
      <w:bookmarkEnd w:id="4"/>
      <w:r w:rsidRPr="002D0559">
        <w:rPr>
          <w:rFonts w:ascii="Times New Roman" w:eastAsia="Times New Roman" w:hAnsi="Times New Roman" w:cs="Times New Roman"/>
          <w:b/>
          <w:bCs/>
          <w:color w:val="000000"/>
          <w:lang w:val="en" w:eastAsia="en-GB"/>
        </w:rPr>
        <w:t>3. Porter’s Diamond Model and National Advantage</w:t>
      </w:r>
    </w:p>
    <w:p w14:paraId="468E42C8"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Porter's Diamond Model identifies why the U.S. car industry continues to thrive, in spite of intense global competition. The first dimension, factor conditions, is robust due to the U.S. having a deep technical talent, sophisticated logistics, capital markets, suppliers and industrial base. But these same factor conditions face challenges from workforce shortages in </w:t>
      </w:r>
      <w:proofErr w:type="spellStart"/>
      <w:r w:rsidRPr="002D0559">
        <w:rPr>
          <w:rFonts w:ascii="Times New Roman" w:eastAsia="Times New Roman" w:hAnsi="Times New Roman" w:cs="Times New Roman"/>
          <w:color w:val="000000"/>
          <w:lang w:val="en" w:eastAsia="en-GB"/>
        </w:rPr>
        <w:t>specialised</w:t>
      </w:r>
      <w:proofErr w:type="spellEnd"/>
      <w:r w:rsidRPr="002D0559">
        <w:rPr>
          <w:rFonts w:ascii="Times New Roman" w:eastAsia="Times New Roman" w:hAnsi="Times New Roman" w:cs="Times New Roman"/>
          <w:color w:val="000000"/>
          <w:lang w:val="en" w:eastAsia="en-GB"/>
        </w:rPr>
        <w:t xml:space="preserve"> manufacturing, the cost of automation, and the need for work skills in manufacturing electric vehicles and "software-defined" vehicles (OECD, 2024; USITC, 2024). The second factor is more crucial demand conditions. American buyers are pressuring producers with larger vehicles, digital services and new safety features, and more recently, low emissions or electric vehicles. This has required local and foreign firms to now compete on product range, availability of finance and placing confidence in charging points, not just price.</w:t>
      </w:r>
    </w:p>
    <w:p w14:paraId="5AA4C334"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This is complemented by a robust supplier ecosystem. The U.S. has a rich system of battery, semiconductor design, steel, plastics, transportation, engineering, finance and software firms. It can help firms innovate, unlike markets in which the network of suppliers is not as deep, but it also leaves them vulnerable in imposing constraints when key parts are imported. The fourth factor, firm strategy, structure and rivalry, is fierce. Firms in the industry share a market but not a strategy: Ford's strategy is trucks and fleets, GM has both scale and high bet technologies on </w:t>
      </w:r>
      <w:proofErr w:type="spellStart"/>
      <w:r w:rsidRPr="002D0559">
        <w:rPr>
          <w:rFonts w:ascii="Times New Roman" w:eastAsia="Times New Roman" w:hAnsi="Times New Roman" w:cs="Times New Roman"/>
          <w:color w:val="000000"/>
          <w:lang w:val="en" w:eastAsia="en-GB"/>
        </w:rPr>
        <w:t>EVs</w:t>
      </w:r>
      <w:proofErr w:type="spellEnd"/>
      <w:r w:rsidRPr="002D0559">
        <w:rPr>
          <w:rFonts w:ascii="Times New Roman" w:eastAsia="Times New Roman" w:hAnsi="Times New Roman" w:cs="Times New Roman"/>
          <w:color w:val="000000"/>
          <w:lang w:val="en" w:eastAsia="en-GB"/>
        </w:rPr>
        <w:t xml:space="preserve"> and software, Toyota adds hybrids and quality, and Hyundai has new product introductions and good warranties. Rivalry is thus productive and entails cost, technology and customer experience improvement (Toyota Motor Corporation, 2025; Ford Motor Company, 2025; General Motors, 2025).</w:t>
      </w:r>
    </w:p>
    <w:p w14:paraId="7DE185D7" w14:textId="77777777" w:rsidR="00A55B97" w:rsidRPr="002D0559" w:rsidRDefault="00A55B97" w:rsidP="00DA3F59">
      <w:pPr>
        <w:spacing w:before="240" w:after="240" w:line="480" w:lineRule="auto"/>
        <w:jc w:val="center"/>
        <w:rPr>
          <w:rFonts w:ascii="Times New Roman" w:eastAsia="Times New Roman" w:hAnsi="Times New Roman" w:cs="Times New Roman"/>
          <w:color w:val="000000"/>
          <w:lang w:val="en" w:eastAsia="en-GB"/>
        </w:rPr>
      </w:pPr>
      <w:r w:rsidRPr="002D0559">
        <w:rPr>
          <w:rFonts w:ascii="Times New Roman" w:eastAsia="Times New Roman" w:hAnsi="Times New Roman" w:cs="Times New Roman"/>
          <w:noProof/>
          <w:color w:val="000000"/>
          <w:lang w:val="en" w:eastAsia="en-GB"/>
        </w:rPr>
        <w:drawing>
          <wp:inline distT="0" distB="0" distL="0" distR="0" wp14:anchorId="3083A8B8" wp14:editId="45EC6A45">
            <wp:extent cx="3437745" cy="2491182"/>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3437745" cy="2491182"/>
                    </a:xfrm>
                    <a:prstGeom prst="rect">
                      <a:avLst/>
                    </a:prstGeom>
                    <a:ln/>
                  </pic:spPr>
                </pic:pic>
              </a:graphicData>
            </a:graphic>
          </wp:inline>
        </w:drawing>
      </w:r>
    </w:p>
    <w:p w14:paraId="4FD89525" w14:textId="77777777" w:rsidR="00A55B97" w:rsidRPr="002D0559" w:rsidRDefault="00A55B97" w:rsidP="00DA3F59">
      <w:pPr>
        <w:spacing w:before="240" w:after="240" w:line="480" w:lineRule="auto"/>
        <w:jc w:val="center"/>
        <w:rPr>
          <w:rFonts w:ascii="Times New Roman" w:eastAsia="Times New Roman" w:hAnsi="Times New Roman" w:cs="Times New Roman"/>
          <w:color w:val="000000"/>
          <w:lang w:val="en" w:eastAsia="en-GB"/>
        </w:rPr>
      </w:pPr>
      <w:r w:rsidRPr="002D0559">
        <w:rPr>
          <w:rFonts w:ascii="Times New Roman" w:eastAsia="Times New Roman" w:hAnsi="Times New Roman" w:cs="Times New Roman"/>
          <w:b/>
          <w:bCs/>
          <w:color w:val="000000"/>
          <w:lang w:val="en" w:eastAsia="en-GB"/>
        </w:rPr>
        <w:t>Figure 4: Porter Diamond Model Applied to the U.S. Automobile Industry</w:t>
      </w:r>
    </w:p>
    <w:p w14:paraId="42DE9903"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This flowchart illustrates the four determinants of national advantage and where the U.S. industry excels, and where it's under pressure due to technology change.</w:t>
      </w:r>
    </w:p>
    <w:p w14:paraId="70A0E97E" w14:textId="77777777" w:rsidR="00A55B97" w:rsidRPr="002D0559" w:rsidRDefault="00A55B97" w:rsidP="00DA3F59">
      <w:pPr>
        <w:spacing w:before="240" w:after="240" w:line="480" w:lineRule="auto"/>
        <w:jc w:val="center"/>
        <w:rPr>
          <w:rFonts w:ascii="Times New Roman" w:eastAsia="Times New Roman" w:hAnsi="Times New Roman" w:cs="Times New Roman"/>
          <w:color w:val="000000"/>
          <w:lang w:val="en" w:eastAsia="en-GB"/>
        </w:rPr>
      </w:pPr>
      <w:r w:rsidRPr="002D0559">
        <w:rPr>
          <w:rFonts w:ascii="Times New Roman" w:eastAsia="Times New Roman" w:hAnsi="Times New Roman" w:cs="Times New Roman"/>
          <w:noProof/>
          <w:color w:val="000000"/>
          <w:lang w:val="en" w:eastAsia="en-GB"/>
        </w:rPr>
        <w:drawing>
          <wp:inline distT="0" distB="0" distL="0" distR="0" wp14:anchorId="19B5A13A" wp14:editId="67F6DE79">
            <wp:extent cx="4565867" cy="2646702"/>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4565867" cy="2646702"/>
                    </a:xfrm>
                    <a:prstGeom prst="rect">
                      <a:avLst/>
                    </a:prstGeom>
                    <a:ln/>
                  </pic:spPr>
                </pic:pic>
              </a:graphicData>
            </a:graphic>
          </wp:inline>
        </w:drawing>
      </w:r>
    </w:p>
    <w:p w14:paraId="682A8C12" w14:textId="77777777" w:rsidR="00A55B97" w:rsidRPr="002D0559" w:rsidRDefault="00A55B97" w:rsidP="00DA3F59">
      <w:pPr>
        <w:spacing w:before="240" w:after="240" w:line="480" w:lineRule="auto"/>
        <w:jc w:val="center"/>
        <w:rPr>
          <w:rFonts w:ascii="Times New Roman" w:eastAsia="Times New Roman" w:hAnsi="Times New Roman" w:cs="Times New Roman"/>
          <w:color w:val="000000"/>
          <w:lang w:val="en" w:eastAsia="en-GB"/>
        </w:rPr>
      </w:pPr>
      <w:r w:rsidRPr="002D0559">
        <w:rPr>
          <w:rFonts w:ascii="Times New Roman" w:eastAsia="Times New Roman" w:hAnsi="Times New Roman" w:cs="Times New Roman"/>
          <w:b/>
          <w:bCs/>
          <w:color w:val="000000"/>
          <w:lang w:val="en" w:eastAsia="en-GB"/>
        </w:rPr>
        <w:t>Figure 5: Supporting Industries and Supply-Chain Relationships</w:t>
      </w:r>
    </w:p>
    <w:p w14:paraId="434C6DC6"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This flowchart supports the view that the U.S. advantage extends to the upstream and downstream as well as to final assembly.</w:t>
      </w:r>
    </w:p>
    <w:p w14:paraId="661C1999" w14:textId="77777777" w:rsidR="00A55B97" w:rsidRPr="002D0559" w:rsidRDefault="00A55B97" w:rsidP="00DA3F59">
      <w:pPr>
        <w:keepNext/>
        <w:keepLines/>
        <w:spacing w:before="240" w:after="240" w:line="480" w:lineRule="auto"/>
        <w:jc w:val="both"/>
        <w:outlineLvl w:val="1"/>
        <w:rPr>
          <w:rFonts w:ascii="Times New Roman" w:eastAsia="Times New Roman" w:hAnsi="Times New Roman" w:cs="Times New Roman"/>
          <w:b/>
          <w:bCs/>
          <w:color w:val="000000"/>
          <w:lang w:val="en" w:eastAsia="en-GB"/>
        </w:rPr>
      </w:pPr>
      <w:bookmarkStart w:id="5" w:name="_6xf3lgh7cfjw" w:colFirst="0" w:colLast="0"/>
      <w:bookmarkEnd w:id="5"/>
      <w:r w:rsidRPr="002D0559">
        <w:rPr>
          <w:rFonts w:ascii="Times New Roman" w:eastAsia="Times New Roman" w:hAnsi="Times New Roman" w:cs="Times New Roman"/>
          <w:b/>
          <w:bCs/>
          <w:color w:val="000000"/>
          <w:lang w:val="en" w:eastAsia="en-GB"/>
        </w:rPr>
        <w:t>3.1 Demand Conditions, Government, and Chance</w:t>
      </w:r>
    </w:p>
    <w:p w14:paraId="5F0EE629"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U.S. demand is particularly advanced, one of the reasons that U.S. markets are competitive. Consumers seek safe and reliable products, good infotainment systems, ample passenger room, and financing options. But preferences also vary between consumers sensitive to fuel prices, from state to state in terms of distance driven and from city to suburb in terms of access to recharging stations. The EV transition shows that demand is no longer evenly distributed. Sales of electric vehicles show uneven patterns across regions. Where household earnings rise, so does interest in EV ownership. Charging access matters too - especially private setups at residence. Confidence in secondhand models pushes adoption forward in certain markets. Data from OECD and IEA in 2023 supports this trend, echoed by </w:t>
      </w:r>
      <w:proofErr w:type="spellStart"/>
      <w:r w:rsidRPr="002D0559">
        <w:rPr>
          <w:rFonts w:ascii="Times New Roman" w:eastAsia="Times New Roman" w:hAnsi="Times New Roman" w:cs="Times New Roman"/>
          <w:color w:val="000000"/>
          <w:lang w:val="en" w:eastAsia="en-GB"/>
        </w:rPr>
        <w:t>Bryła</w:t>
      </w:r>
      <w:proofErr w:type="spellEnd"/>
      <w:r w:rsidRPr="002D0559">
        <w:rPr>
          <w:rFonts w:ascii="Times New Roman" w:eastAsia="Times New Roman" w:hAnsi="Times New Roman" w:cs="Times New Roman"/>
          <w:color w:val="000000"/>
          <w:lang w:val="en" w:eastAsia="en-GB"/>
        </w:rPr>
        <w:t xml:space="preserve"> and team the same year. From January through June of 2024, numbers hit beyond seven hundred thirty thousand units sold. That amount sounds large until placed beside total vehicle transactions overall. So, demand is increasing but not yet consistent.</w:t>
      </w:r>
    </w:p>
    <w:p w14:paraId="59A09C18"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The other component of the diamond is government. Now U.S. policy affects product design by providing tax credits, </w:t>
      </w:r>
      <w:proofErr w:type="spellStart"/>
      <w:r w:rsidRPr="002D0559">
        <w:rPr>
          <w:rFonts w:ascii="Times New Roman" w:eastAsia="Times New Roman" w:hAnsi="Times New Roman" w:cs="Times New Roman"/>
          <w:color w:val="000000"/>
          <w:lang w:val="en" w:eastAsia="en-GB"/>
        </w:rPr>
        <w:t>localisation</w:t>
      </w:r>
      <w:proofErr w:type="spellEnd"/>
      <w:r w:rsidRPr="002D0559">
        <w:rPr>
          <w:rFonts w:ascii="Times New Roman" w:eastAsia="Times New Roman" w:hAnsi="Times New Roman" w:cs="Times New Roman"/>
          <w:color w:val="000000"/>
          <w:lang w:val="en" w:eastAsia="en-GB"/>
        </w:rPr>
        <w:t xml:space="preserve"> mandates and fuel-economy rules. The Inflation Reduction Act and specific rules on clean vehicles have led to a greater incentive to invest in local battery and assembly, while the IRS has also demonstrated that rules on eligibility can be fast moving (IRS, 2025). Meanwhile, NHTSA efficiency standards keep the market moving towards better efficiency (NHTSA, 2022a; NHTSA, 2024). Hence, government is less a "security guard" on the market and more a "market maker". This means a capacity for lobby, compliance, and domestic production is part of Toyota's (and its competitors') core capabilities. Even so, public policy ties into how roads and systems grow. Charging spots are rising fast, yet today’s numbers still fall short when matched against what will be needed down the line. Sources from the Department of Energy back this up - two reports from 2025 make it clear. Though progress moves quickly, reaching full readiness feels distant.</w:t>
      </w:r>
    </w:p>
    <w:p w14:paraId="01911F76"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Luck plays a role because the sector faces disruptions it cannot prevent. When chip supplies run short, or prices of raw materials swing wildly, things shift - geopolitical strain adds pressure, so does unpredictable trade policy, along with storms growing more intense. As cars turn electric, as software reshapes how they work, the OECD notes risks climb; friction across borders grows sharper, supply lines thinner. Here, chance isn’t random - it highlights how fragile systems have become. Toyota's experience with supply-chain issues helps it during these times but does not eradicate them. The more interesting result is that U.S. competitiveness is partly determined by the capacity of firms (and institutions) to withstand shocks, not only by their ability to thrive under stable conditions.</w:t>
      </w:r>
    </w:p>
    <w:p w14:paraId="3770A412" w14:textId="77777777" w:rsidR="00A55B97" w:rsidRPr="002D0559" w:rsidRDefault="00A55B97" w:rsidP="00DA3F59">
      <w:pPr>
        <w:keepNext/>
        <w:keepLines/>
        <w:spacing w:before="240" w:after="240" w:line="480" w:lineRule="auto"/>
        <w:jc w:val="both"/>
        <w:outlineLvl w:val="0"/>
        <w:rPr>
          <w:rFonts w:ascii="Times New Roman" w:eastAsia="Times New Roman" w:hAnsi="Times New Roman" w:cs="Times New Roman"/>
          <w:b/>
          <w:bCs/>
          <w:color w:val="000000"/>
          <w:lang w:val="en" w:eastAsia="en-GB"/>
        </w:rPr>
      </w:pPr>
      <w:bookmarkStart w:id="6" w:name="_g4xykcwemoh7" w:colFirst="0" w:colLast="0"/>
      <w:bookmarkEnd w:id="6"/>
      <w:r w:rsidRPr="002D0559">
        <w:rPr>
          <w:rFonts w:ascii="Times New Roman" w:eastAsia="Times New Roman" w:hAnsi="Times New Roman" w:cs="Times New Roman"/>
          <w:b/>
          <w:bCs/>
          <w:color w:val="000000"/>
          <w:lang w:val="en" w:eastAsia="en-GB"/>
        </w:rPr>
        <w:t>4. Toyota in the United States: Market Attractiveness and Success Factors</w:t>
      </w:r>
    </w:p>
    <w:p w14:paraId="775314D6"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Toyota is an established foreign MNC in the U.S. and provides an example of how market attractiveness integrates with company strategy. Toyota's success is contingent on the degree to which the political, economic, legal and cultural attractiveness of the U.S. market persists. Politically, the market is friendly but growingly interventionist. Federal government policy now </w:t>
      </w:r>
      <w:proofErr w:type="spellStart"/>
      <w:r w:rsidRPr="002D0559">
        <w:rPr>
          <w:rFonts w:ascii="Times New Roman" w:eastAsia="Times New Roman" w:hAnsi="Times New Roman" w:cs="Times New Roman"/>
          <w:color w:val="000000"/>
          <w:lang w:val="en" w:eastAsia="en-GB"/>
        </w:rPr>
        <w:t>incentivises</w:t>
      </w:r>
      <w:proofErr w:type="spellEnd"/>
      <w:r w:rsidRPr="002D0559">
        <w:rPr>
          <w:rFonts w:ascii="Times New Roman" w:eastAsia="Times New Roman" w:hAnsi="Times New Roman" w:cs="Times New Roman"/>
          <w:color w:val="000000"/>
          <w:lang w:val="en" w:eastAsia="en-GB"/>
        </w:rPr>
        <w:t xml:space="preserve"> domestic EV and battery manufacturing with tax credits and other incentives, and also requires increased fuel efficiency through the Corporate Average Fuel Economy (CAFE) program (IRS, 2025; NHTSA, 2022a; NHTSA, 2024). This is good for Toyota's U.S. manufacturing, but it also means operating in the U.S. is a constantly evolving process of compliance, </w:t>
      </w:r>
      <w:proofErr w:type="spellStart"/>
      <w:r w:rsidRPr="002D0559">
        <w:rPr>
          <w:rFonts w:ascii="Times New Roman" w:eastAsia="Times New Roman" w:hAnsi="Times New Roman" w:cs="Times New Roman"/>
          <w:color w:val="000000"/>
          <w:lang w:val="en" w:eastAsia="en-GB"/>
        </w:rPr>
        <w:t>localisation</w:t>
      </w:r>
      <w:proofErr w:type="spellEnd"/>
      <w:r w:rsidRPr="002D0559">
        <w:rPr>
          <w:rFonts w:ascii="Times New Roman" w:eastAsia="Times New Roman" w:hAnsi="Times New Roman" w:cs="Times New Roman"/>
          <w:color w:val="000000"/>
          <w:lang w:val="en" w:eastAsia="en-GB"/>
        </w:rPr>
        <w:t xml:space="preserve"> and investment.</w:t>
      </w:r>
    </w:p>
    <w:p w14:paraId="49535A4A"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The U.S. market is economically appealing for its size, wealth and technology. But demand is segmented. The rise in interest, insurance and vehicle costs make affordability a crucial consideration, encouraging buyers to adopt hybrids, pre-owned "certified" vehicles, or push out replacements (Toyota Motor North America, 2024b). Toyota profits from these concerns being matched by its hybrid vehicles: more than 1 million of Toyota's sales in North America in 2024 came from electrified vehicles, demonstrating that it is turning fuel-price anxiety and range anxiety into a positive (Toyota Motor North America, 2025). It benefits from a strong manufacturing presence in North America, which includes massive plants in Kentucky, Indiana, Mississippi, Texas and other states, </w:t>
      </w:r>
      <w:proofErr w:type="spellStart"/>
      <w:r w:rsidRPr="002D0559">
        <w:rPr>
          <w:rFonts w:ascii="Times New Roman" w:eastAsia="Times New Roman" w:hAnsi="Times New Roman" w:cs="Times New Roman"/>
          <w:color w:val="000000"/>
          <w:lang w:val="en" w:eastAsia="en-GB"/>
        </w:rPr>
        <w:t>minimising</w:t>
      </w:r>
      <w:proofErr w:type="spellEnd"/>
      <w:r w:rsidRPr="002D0559">
        <w:rPr>
          <w:rFonts w:ascii="Times New Roman" w:eastAsia="Times New Roman" w:hAnsi="Times New Roman" w:cs="Times New Roman"/>
          <w:color w:val="000000"/>
          <w:lang w:val="en" w:eastAsia="en-GB"/>
        </w:rPr>
        <w:t xml:space="preserve"> logistical risks and contributing to local legitimacy (Toyota Motor North America, 2024a).</w:t>
      </w:r>
    </w:p>
    <w:p w14:paraId="1DBBAF2A"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noProof/>
          <w:color w:val="000000"/>
          <w:lang w:val="en" w:eastAsia="en-GB"/>
        </w:rPr>
        <w:drawing>
          <wp:inline distT="0" distB="0" distL="0" distR="0" wp14:anchorId="04C1AED6" wp14:editId="155D0A48">
            <wp:extent cx="5760720" cy="3823603"/>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5760720" cy="3823603"/>
                    </a:xfrm>
                    <a:prstGeom prst="rect">
                      <a:avLst/>
                    </a:prstGeom>
                    <a:ln/>
                  </pic:spPr>
                </pic:pic>
              </a:graphicData>
            </a:graphic>
          </wp:inline>
        </w:drawing>
      </w:r>
    </w:p>
    <w:p w14:paraId="443B8F69"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b/>
          <w:bCs/>
          <w:color w:val="000000"/>
          <w:lang w:val="en" w:eastAsia="en-GB"/>
        </w:rPr>
        <w:t>Figure 6: PESTLE Analysis of Toyota’s U.S. Operating Environment</w:t>
      </w:r>
    </w:p>
    <w:p w14:paraId="3BF98EFA"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The PESTLE framework reveals that the U.S. is highly attractive but that policy instability, infrastructure and technology uptake issues affect Toyota execution risk.</w:t>
      </w:r>
    </w:p>
    <w:p w14:paraId="6FEEF2DF"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Legal issues are key. The electric vehicle incentive structure has shifted rapidly, with the IRS noting that the new clean vehicle credit is not available for vehicles acquired after 30 September 2025 unless new rules apply (average credit of $4870 vs $3750 before retraction; price and model attractiveness change overnight); this policy risk can shift price and model attractiveness almost overnight (IRS, 2025). And fuel-economy regulation adds another concern to improve fleet efficiency in the face of NHTSA's 2027-2031 rule, that drives the market towards a much higher efficiency (NHTSA, 2024). Toyota's reaction has been to maintain hybrids while growing battery-electrically-enabled capacity. This makes technological sense because it avoids locking into some single technological pathway in a market where consumer preference is differentiated. The evidence we have from research on EV uptake confirms that access to charging, incentives, value proposition and associated risk perceptions are critical, so the question about EV uptake is not only a product design question, but a system question involving design and trust (</w:t>
      </w:r>
      <w:proofErr w:type="spellStart"/>
      <w:r w:rsidRPr="002D0559">
        <w:rPr>
          <w:rFonts w:ascii="Times New Roman" w:eastAsia="Times New Roman" w:hAnsi="Times New Roman" w:cs="Times New Roman"/>
          <w:color w:val="000000"/>
          <w:lang w:val="en" w:eastAsia="en-GB"/>
        </w:rPr>
        <w:t>Bryła</w:t>
      </w:r>
      <w:proofErr w:type="spellEnd"/>
      <w:r w:rsidRPr="002D0559">
        <w:rPr>
          <w:rFonts w:ascii="Times New Roman" w:eastAsia="Times New Roman" w:hAnsi="Times New Roman" w:cs="Times New Roman"/>
          <w:color w:val="000000"/>
          <w:lang w:val="en" w:eastAsia="en-GB"/>
        </w:rPr>
        <w:t xml:space="preserve">, Chatterjee and </w:t>
      </w:r>
      <w:proofErr w:type="spellStart"/>
      <w:r w:rsidRPr="002D0559">
        <w:rPr>
          <w:rFonts w:ascii="Times New Roman" w:eastAsia="Times New Roman" w:hAnsi="Times New Roman" w:cs="Times New Roman"/>
          <w:color w:val="000000"/>
          <w:lang w:val="en" w:eastAsia="en-GB"/>
        </w:rPr>
        <w:t>Ciabiada-Bryła</w:t>
      </w:r>
      <w:proofErr w:type="spellEnd"/>
      <w:r w:rsidRPr="002D0559">
        <w:rPr>
          <w:rFonts w:ascii="Times New Roman" w:eastAsia="Times New Roman" w:hAnsi="Times New Roman" w:cs="Times New Roman"/>
          <w:color w:val="000000"/>
          <w:lang w:val="en" w:eastAsia="en-GB"/>
        </w:rPr>
        <w:t xml:space="preserve">, 2023; </w:t>
      </w:r>
      <w:proofErr w:type="spellStart"/>
      <w:r w:rsidRPr="002D0559">
        <w:rPr>
          <w:rFonts w:ascii="Times New Roman" w:eastAsia="Times New Roman" w:hAnsi="Times New Roman" w:cs="Times New Roman"/>
          <w:color w:val="000000"/>
          <w:lang w:val="en" w:eastAsia="en-GB"/>
        </w:rPr>
        <w:t>Zaino</w:t>
      </w:r>
      <w:proofErr w:type="spellEnd"/>
      <w:r w:rsidRPr="002D0559">
        <w:rPr>
          <w:rFonts w:ascii="Times New Roman" w:eastAsia="Times New Roman" w:hAnsi="Times New Roman" w:cs="Times New Roman"/>
          <w:color w:val="000000"/>
          <w:lang w:val="en" w:eastAsia="en-GB"/>
        </w:rPr>
        <w:t xml:space="preserve"> et al, 2024).</w:t>
      </w:r>
    </w:p>
    <w:p w14:paraId="3CE83DFD"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Culturally, Toyota: culturally fits well with many US buyers, as it connotes reliability, longevity, and moderate costs. That's important in a country where automobiles are not just purchased for performance, but also for resale value, costs of ownership and value in family or commuter contexts. Toyota's hybrid-heavy stance fits this model because it delivers reduced fuels costs without an entirely new </w:t>
      </w:r>
      <w:proofErr w:type="spellStart"/>
      <w:r w:rsidRPr="002D0559">
        <w:rPr>
          <w:rFonts w:ascii="Times New Roman" w:eastAsia="Times New Roman" w:hAnsi="Times New Roman" w:cs="Times New Roman"/>
          <w:color w:val="000000"/>
          <w:lang w:val="en" w:eastAsia="en-GB"/>
        </w:rPr>
        <w:t>behaviour</w:t>
      </w:r>
      <w:proofErr w:type="spellEnd"/>
      <w:r w:rsidRPr="002D0559">
        <w:rPr>
          <w:rFonts w:ascii="Times New Roman" w:eastAsia="Times New Roman" w:hAnsi="Times New Roman" w:cs="Times New Roman"/>
          <w:color w:val="000000"/>
          <w:lang w:val="en" w:eastAsia="en-GB"/>
        </w:rPr>
        <w:t xml:space="preserve"> change on charging. The cultural catch, though, is that American customers are now expecting more digital features, services, cabin space and tech-loads. Toyota therefore needs to continue to transform from a reliability-led to a software-led and user-focused brand.</w:t>
      </w:r>
    </w:p>
    <w:p w14:paraId="349ED8D2" w14:textId="77777777" w:rsidR="00A55B97" w:rsidRPr="002D0559" w:rsidRDefault="00A55B97" w:rsidP="00DA3F59">
      <w:pPr>
        <w:spacing w:after="200" w:line="276" w:lineRule="auto"/>
        <w:rPr>
          <w:rFonts w:ascii="Times New Roman" w:eastAsia="Times New Roman" w:hAnsi="Times New Roman" w:cs="Times New Roman"/>
          <w:color w:val="000000"/>
          <w:lang w:val="en" w:eastAsia="en-GB"/>
        </w:rPr>
      </w:pPr>
    </w:p>
    <w:p w14:paraId="4CF0B5D2" w14:textId="77777777" w:rsidR="00A55B97" w:rsidRPr="002D0559" w:rsidRDefault="00A55B97" w:rsidP="00DA3F59">
      <w:pPr>
        <w:spacing w:before="240" w:after="240" w:line="480" w:lineRule="auto"/>
        <w:jc w:val="center"/>
        <w:rPr>
          <w:rFonts w:ascii="Times New Roman" w:eastAsia="Times New Roman" w:hAnsi="Times New Roman" w:cs="Times New Roman"/>
          <w:color w:val="000000"/>
          <w:lang w:val="en" w:eastAsia="en-GB"/>
        </w:rPr>
      </w:pPr>
      <w:r w:rsidRPr="002D0559">
        <w:rPr>
          <w:rFonts w:ascii="Times New Roman" w:eastAsia="Times New Roman" w:hAnsi="Times New Roman" w:cs="Times New Roman"/>
          <w:noProof/>
          <w:color w:val="000000"/>
          <w:lang w:val="en" w:eastAsia="en-GB"/>
        </w:rPr>
        <w:drawing>
          <wp:inline distT="0" distB="0" distL="0" distR="0" wp14:anchorId="2D602B06" wp14:editId="5D5F47DD">
            <wp:extent cx="3898079" cy="2708591"/>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3898079" cy="2708591"/>
                    </a:xfrm>
                    <a:prstGeom prst="rect">
                      <a:avLst/>
                    </a:prstGeom>
                    <a:ln/>
                  </pic:spPr>
                </pic:pic>
              </a:graphicData>
            </a:graphic>
          </wp:inline>
        </w:drawing>
      </w:r>
    </w:p>
    <w:p w14:paraId="497C28B5" w14:textId="77777777" w:rsidR="00A55B97" w:rsidRPr="002D0559" w:rsidRDefault="00A55B97" w:rsidP="00DA3F59">
      <w:pPr>
        <w:spacing w:before="240" w:after="240" w:line="480" w:lineRule="auto"/>
        <w:jc w:val="center"/>
        <w:rPr>
          <w:rFonts w:ascii="Times New Roman" w:eastAsia="Times New Roman" w:hAnsi="Times New Roman" w:cs="Times New Roman"/>
          <w:color w:val="000000"/>
          <w:lang w:val="en" w:eastAsia="en-GB"/>
        </w:rPr>
      </w:pPr>
      <w:r w:rsidRPr="002D0559">
        <w:rPr>
          <w:rFonts w:ascii="Times New Roman" w:eastAsia="Times New Roman" w:hAnsi="Times New Roman" w:cs="Times New Roman"/>
          <w:b/>
          <w:bCs/>
          <w:color w:val="000000"/>
          <w:lang w:val="en" w:eastAsia="en-GB"/>
        </w:rPr>
        <w:t>Figure 7: Illustrative Competitive Positioning in the U.S. Market</w:t>
      </w:r>
    </w:p>
    <w:p w14:paraId="3B32856A" w14:textId="77777777" w:rsidR="00A55B97" w:rsidRPr="002D0559" w:rsidRDefault="00A55B97" w:rsidP="00DA3F59">
      <w:pPr>
        <w:spacing w:before="240" w:after="240" w:line="480" w:lineRule="auto"/>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Toyota is positioned in the middle of the field between highly tech-oriented premium rivals and domestic scale-based rivals; the hybrid is a unique play.</w:t>
      </w:r>
    </w:p>
    <w:p w14:paraId="1C350F4C" w14:textId="77777777" w:rsidR="00A55B97" w:rsidRPr="002D0559" w:rsidRDefault="00A55B97" w:rsidP="00DA3F59">
      <w:pPr>
        <w:spacing w:before="240" w:after="240" w:line="480" w:lineRule="auto"/>
        <w:jc w:val="center"/>
        <w:rPr>
          <w:rFonts w:ascii="Times New Roman" w:eastAsia="Times New Roman" w:hAnsi="Times New Roman" w:cs="Times New Roman"/>
          <w:color w:val="000000"/>
          <w:lang w:val="en" w:eastAsia="en-GB"/>
        </w:rPr>
      </w:pPr>
      <w:r w:rsidRPr="002D0559">
        <w:rPr>
          <w:rFonts w:ascii="Times New Roman" w:eastAsia="Times New Roman" w:hAnsi="Times New Roman" w:cs="Times New Roman"/>
          <w:noProof/>
          <w:color w:val="000000"/>
          <w:lang w:val="en" w:eastAsia="en-GB"/>
        </w:rPr>
        <w:drawing>
          <wp:inline distT="0" distB="0" distL="0" distR="0" wp14:anchorId="2B54DC74" wp14:editId="719A0895">
            <wp:extent cx="3728864" cy="2214013"/>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a:stretch>
                      <a:fillRect/>
                    </a:stretch>
                  </pic:blipFill>
                  <pic:spPr>
                    <a:xfrm>
                      <a:off x="0" y="0"/>
                      <a:ext cx="3728864" cy="2214013"/>
                    </a:xfrm>
                    <a:prstGeom prst="rect">
                      <a:avLst/>
                    </a:prstGeom>
                    <a:ln/>
                  </pic:spPr>
                </pic:pic>
              </a:graphicData>
            </a:graphic>
          </wp:inline>
        </w:drawing>
      </w:r>
    </w:p>
    <w:p w14:paraId="3A989DA4" w14:textId="77777777" w:rsidR="00A55B97" w:rsidRPr="002D0559" w:rsidRDefault="00A55B97" w:rsidP="00DA3F59">
      <w:pPr>
        <w:spacing w:before="240" w:after="240" w:line="480" w:lineRule="auto"/>
        <w:jc w:val="center"/>
        <w:rPr>
          <w:rFonts w:ascii="Times New Roman" w:eastAsia="Times New Roman" w:hAnsi="Times New Roman" w:cs="Times New Roman"/>
          <w:color w:val="000000"/>
          <w:lang w:val="en" w:eastAsia="en-GB"/>
        </w:rPr>
      </w:pPr>
      <w:r w:rsidRPr="002D0559">
        <w:rPr>
          <w:rFonts w:ascii="Times New Roman" w:eastAsia="Times New Roman" w:hAnsi="Times New Roman" w:cs="Times New Roman"/>
          <w:b/>
          <w:bCs/>
          <w:color w:val="000000"/>
          <w:lang w:val="en" w:eastAsia="en-GB"/>
        </w:rPr>
        <w:t>Figure 8: U.S. EV Charging Infrastructure Gap</w:t>
      </w:r>
    </w:p>
    <w:p w14:paraId="0BE47DEA" w14:textId="77777777" w:rsidR="00A55B97" w:rsidRPr="002D0559" w:rsidRDefault="00A55B97" w:rsidP="00DA3F59">
      <w:pPr>
        <w:spacing w:before="240" w:after="240" w:line="480" w:lineRule="auto"/>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This chart highlights Toyota will not be able to rely on EV demand; charging infrastructure continues to be a primary barrier of rapid adoption.</w:t>
      </w:r>
    </w:p>
    <w:p w14:paraId="57BF2B9C" w14:textId="77777777" w:rsidR="00A55B97" w:rsidRPr="002D0559" w:rsidRDefault="00A55B97" w:rsidP="00DA3F59">
      <w:pPr>
        <w:keepNext/>
        <w:keepLines/>
        <w:spacing w:before="240" w:after="240" w:line="480" w:lineRule="auto"/>
        <w:jc w:val="both"/>
        <w:outlineLvl w:val="1"/>
        <w:rPr>
          <w:rFonts w:ascii="Times New Roman" w:eastAsia="Times New Roman" w:hAnsi="Times New Roman" w:cs="Times New Roman"/>
          <w:b/>
          <w:bCs/>
          <w:color w:val="000000"/>
          <w:lang w:val="en" w:eastAsia="en-GB"/>
        </w:rPr>
      </w:pPr>
      <w:bookmarkStart w:id="7" w:name="_k5uidkv2vhkh" w:colFirst="0" w:colLast="0"/>
      <w:bookmarkEnd w:id="7"/>
      <w:r w:rsidRPr="002D0559">
        <w:rPr>
          <w:rFonts w:ascii="Times New Roman" w:eastAsia="Times New Roman" w:hAnsi="Times New Roman" w:cs="Times New Roman"/>
          <w:b/>
          <w:bCs/>
          <w:color w:val="000000"/>
          <w:lang w:val="en" w:eastAsia="en-GB"/>
        </w:rPr>
        <w:t>4.1 Toyota’s Strategic Fit, Risk, and Opportunity</w:t>
      </w:r>
    </w:p>
    <w:p w14:paraId="5BF8E2F3" w14:textId="77777777" w:rsidR="00A55B97" w:rsidRPr="002D0559" w:rsidRDefault="00A55B97" w:rsidP="00DA3F59">
      <w:pPr>
        <w:keepNext/>
        <w:keepLines/>
        <w:spacing w:before="240" w:after="240" w:line="480" w:lineRule="auto"/>
        <w:jc w:val="both"/>
        <w:outlineLvl w:val="1"/>
        <w:rPr>
          <w:rFonts w:ascii="Times New Roman" w:eastAsia="Times New Roman" w:hAnsi="Times New Roman" w:cs="Times New Roman"/>
          <w:b/>
          <w:bCs/>
          <w:color w:val="000000"/>
          <w:lang w:val="en" w:eastAsia="en-GB"/>
        </w:rPr>
      </w:pPr>
      <w:bookmarkStart w:id="8" w:name="_4i3jr1w20vei" w:colFirst="0" w:colLast="0"/>
      <w:bookmarkEnd w:id="8"/>
      <w:r w:rsidRPr="002D0559">
        <w:rPr>
          <w:rFonts w:ascii="Times New Roman" w:eastAsia="Times New Roman" w:hAnsi="Times New Roman" w:cs="Times New Roman"/>
          <w:b/>
          <w:bCs/>
          <w:color w:val="000000"/>
          <w:lang w:val="en" w:eastAsia="en-GB"/>
        </w:rPr>
        <w:t>4.2 Government Support, Legal Uncertainty, and Chance</w:t>
      </w:r>
    </w:p>
    <w:p w14:paraId="762777F7"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For Toyota, the most important government issue is not whether policy supports electrification, but how quickly and predictably that support changes. Incentives can help build demand, yet frequent rule changes can also raise planning risk for product launches, battery sourcing, and pricing. The IRS has already shown that consumer credits can end or shift on a short timeline, which means Toyota cannot base its U.S. strategy on subsidies alone (IRS, 2025). Instead, the firm has to treat regulation as a moving target and keep a diverse powertrain mix. That is one reason the hybrid strategy is so useful: it reduces dependency on one policy regime and gives Toyota time to scale BEVs where infrastructure and consumer confidence are stronger.</w:t>
      </w:r>
    </w:p>
    <w:p w14:paraId="633229F3"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Chance also matters because the market is exposed to events that can rapidly alter both cost and demand. A port disruption, a strike, a battery-material shortage, or a geopolitical shock can hit production planning far more quickly than a normal strategy review cycle. The OECD’s analysis of the automotive value chain shows that global fragmentation and trade tension are now strategic realities rather than occasional interruptions (OECD, 2024). Toyota’s response should therefore be resilience-oriented: maintain regional sourcing where possible, deepen battery partnerships, and use North American plants to buffer supply volatility. In practical terms, this means Toyota’s U.S. success will depend not only on product appeal but also on </w:t>
      </w:r>
      <w:proofErr w:type="spellStart"/>
      <w:r w:rsidRPr="002D0559">
        <w:rPr>
          <w:rFonts w:ascii="Times New Roman" w:eastAsia="Times New Roman" w:hAnsi="Times New Roman" w:cs="Times New Roman"/>
          <w:color w:val="000000"/>
          <w:lang w:val="en" w:eastAsia="en-GB"/>
        </w:rPr>
        <w:t>organisational</w:t>
      </w:r>
      <w:proofErr w:type="spellEnd"/>
      <w:r w:rsidRPr="002D0559">
        <w:rPr>
          <w:rFonts w:ascii="Times New Roman" w:eastAsia="Times New Roman" w:hAnsi="Times New Roman" w:cs="Times New Roman"/>
          <w:color w:val="000000"/>
          <w:lang w:val="en" w:eastAsia="en-GB"/>
        </w:rPr>
        <w:t xml:space="preserve"> agility, inventory management, and the ability to absorb shocks without losing customer confidence.</w:t>
      </w:r>
    </w:p>
    <w:p w14:paraId="16804CC9"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Toyota’s strategic fit in the United States is particularly strong because the company aligns its operating model with the country’s demand profile. The U.S. remains an SUV, pickup, and crossover market, so Toyota’s mix of Camry, Corolla, RAV4, Tacoma, Highlander, and hybrid variants matches mainstream preferences better than a narrow EV-only offer would. Toyota also benefits from manufacturing </w:t>
      </w:r>
      <w:proofErr w:type="spellStart"/>
      <w:r w:rsidRPr="002D0559">
        <w:rPr>
          <w:rFonts w:ascii="Times New Roman" w:eastAsia="Times New Roman" w:hAnsi="Times New Roman" w:cs="Times New Roman"/>
          <w:color w:val="000000"/>
          <w:lang w:val="en" w:eastAsia="en-GB"/>
        </w:rPr>
        <w:t>localisation</w:t>
      </w:r>
      <w:proofErr w:type="spellEnd"/>
      <w:r w:rsidRPr="002D0559">
        <w:rPr>
          <w:rFonts w:ascii="Times New Roman" w:eastAsia="Times New Roman" w:hAnsi="Times New Roman" w:cs="Times New Roman"/>
          <w:color w:val="000000"/>
          <w:lang w:val="en" w:eastAsia="en-GB"/>
        </w:rPr>
        <w:t xml:space="preserve">. The company operates a large North American footprint, and its Kentucky plant is one of the clearest examples of how foreign firms can become embedded in the U.S. industrial landscape (Toyota Motor North America, 2024a). This is important because </w:t>
      </w:r>
      <w:proofErr w:type="spellStart"/>
      <w:r w:rsidRPr="002D0559">
        <w:rPr>
          <w:rFonts w:ascii="Times New Roman" w:eastAsia="Times New Roman" w:hAnsi="Times New Roman" w:cs="Times New Roman"/>
          <w:color w:val="000000"/>
          <w:lang w:val="en" w:eastAsia="en-GB"/>
        </w:rPr>
        <w:t>localisation</w:t>
      </w:r>
      <w:proofErr w:type="spellEnd"/>
      <w:r w:rsidRPr="002D0559">
        <w:rPr>
          <w:rFonts w:ascii="Times New Roman" w:eastAsia="Times New Roman" w:hAnsi="Times New Roman" w:cs="Times New Roman"/>
          <w:color w:val="000000"/>
          <w:lang w:val="en" w:eastAsia="en-GB"/>
        </w:rPr>
        <w:t xml:space="preserve"> reduces logistics costs, strengthens political legitimacy, and helps Toyota adapt to regional taste differences.</w:t>
      </w:r>
    </w:p>
    <w:p w14:paraId="530E7803"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Slow transition, not low demand, represents the risk. Toyota's portfolio strategy has appeal where consumers continue to have concerns about charging speed, cost of batteries, resale value and the effectiveness of charging networks. Numerous studies of EV uptake have demonstrated that infrastructure, incentives and perceived risk are critical factors in the EV purchase decision-making process (</w:t>
      </w:r>
      <w:proofErr w:type="spellStart"/>
      <w:r w:rsidRPr="002D0559">
        <w:rPr>
          <w:rFonts w:ascii="Times New Roman" w:eastAsia="Times New Roman" w:hAnsi="Times New Roman" w:cs="Times New Roman"/>
          <w:color w:val="000000"/>
          <w:lang w:val="en" w:eastAsia="en-GB"/>
        </w:rPr>
        <w:t>Bryła</w:t>
      </w:r>
      <w:proofErr w:type="spellEnd"/>
      <w:r w:rsidRPr="002D0559">
        <w:rPr>
          <w:rFonts w:ascii="Times New Roman" w:eastAsia="Times New Roman" w:hAnsi="Times New Roman" w:cs="Times New Roman"/>
          <w:color w:val="000000"/>
          <w:lang w:val="en" w:eastAsia="en-GB"/>
        </w:rPr>
        <w:t xml:space="preserve">, Chatterjee and </w:t>
      </w:r>
      <w:proofErr w:type="spellStart"/>
      <w:r w:rsidRPr="002D0559">
        <w:rPr>
          <w:rFonts w:ascii="Times New Roman" w:eastAsia="Times New Roman" w:hAnsi="Times New Roman" w:cs="Times New Roman"/>
          <w:color w:val="000000"/>
          <w:lang w:val="en" w:eastAsia="en-GB"/>
        </w:rPr>
        <w:t>Ciabiada-Bryła</w:t>
      </w:r>
      <w:proofErr w:type="spellEnd"/>
      <w:r w:rsidRPr="002D0559">
        <w:rPr>
          <w:rFonts w:ascii="Times New Roman" w:eastAsia="Times New Roman" w:hAnsi="Times New Roman" w:cs="Times New Roman"/>
          <w:color w:val="000000"/>
          <w:lang w:val="en" w:eastAsia="en-GB"/>
        </w:rPr>
        <w:t xml:space="preserve">, 2023; </w:t>
      </w:r>
      <w:proofErr w:type="spellStart"/>
      <w:r w:rsidRPr="002D0559">
        <w:rPr>
          <w:rFonts w:ascii="Times New Roman" w:eastAsia="Times New Roman" w:hAnsi="Times New Roman" w:cs="Times New Roman"/>
          <w:color w:val="000000"/>
          <w:lang w:val="en" w:eastAsia="en-GB"/>
        </w:rPr>
        <w:t>Zaino</w:t>
      </w:r>
      <w:proofErr w:type="spellEnd"/>
      <w:r w:rsidRPr="002D0559">
        <w:rPr>
          <w:rFonts w:ascii="Times New Roman" w:eastAsia="Times New Roman" w:hAnsi="Times New Roman" w:cs="Times New Roman"/>
          <w:color w:val="000000"/>
          <w:lang w:val="en" w:eastAsia="en-GB"/>
        </w:rPr>
        <w:t xml:space="preserve"> et al., 2024). The charging infrastructure is growing but the gap between current infrastructure and future demand remains excessive, and this gap will determine the pace of adoption of Toyota’s electric vehicles (U.S. Department of Energy, Alternative Fuels Data Center, 2025b; Alliance for Automotive Innovation, 2025b). Toyota can continue to provide hybrids and plug-in hybrids and embrace BEVs only where the policy and infrastructure challenges can be met.</w:t>
      </w:r>
    </w:p>
    <w:p w14:paraId="6D1EDF62"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From this view, Toyota has the major advantage of deploying a portfolio logic over a single-bet logic. That decreases the risk of policy and market uncertainty. Another strength of the company's US strategy is its brand equity: it is perceived as a </w:t>
      </w:r>
      <w:proofErr w:type="spellStart"/>
      <w:r w:rsidRPr="002D0559">
        <w:rPr>
          <w:rFonts w:ascii="Times New Roman" w:eastAsia="Times New Roman" w:hAnsi="Times New Roman" w:cs="Times New Roman"/>
          <w:color w:val="000000"/>
          <w:lang w:val="en" w:eastAsia="en-GB"/>
        </w:rPr>
        <w:t>favourite</w:t>
      </w:r>
      <w:proofErr w:type="spellEnd"/>
      <w:r w:rsidRPr="002D0559">
        <w:rPr>
          <w:rFonts w:ascii="Times New Roman" w:eastAsia="Times New Roman" w:hAnsi="Times New Roman" w:cs="Times New Roman"/>
          <w:color w:val="000000"/>
          <w:lang w:val="en" w:eastAsia="en-GB"/>
        </w:rPr>
        <w:t xml:space="preserve"> safety bet due to longevity, residual values and life-cycle costs. This reputation is useful in a market where interest rates are soaring and monthly budgets and long-term affordability are critical issues. The problem is that trust is not (yet) sufficient; Toyota has to continue to enhance its software, </w:t>
      </w:r>
      <w:proofErr w:type="spellStart"/>
      <w:r w:rsidRPr="002D0559">
        <w:rPr>
          <w:rFonts w:ascii="Times New Roman" w:eastAsia="Times New Roman" w:hAnsi="Times New Roman" w:cs="Times New Roman"/>
          <w:color w:val="000000"/>
          <w:lang w:val="en" w:eastAsia="en-GB"/>
        </w:rPr>
        <w:t>omnichannel</w:t>
      </w:r>
      <w:proofErr w:type="spellEnd"/>
      <w:r w:rsidRPr="002D0559">
        <w:rPr>
          <w:rFonts w:ascii="Times New Roman" w:eastAsia="Times New Roman" w:hAnsi="Times New Roman" w:cs="Times New Roman"/>
          <w:color w:val="000000"/>
          <w:lang w:val="en" w:eastAsia="en-GB"/>
        </w:rPr>
        <w:t xml:space="preserve"> retailing and battery integration, because those features are important to buyers. That is, Toyota must bring together old-style reliability (quality and durability) and a new mobility skill.</w:t>
      </w:r>
    </w:p>
    <w:p w14:paraId="546C99B4" w14:textId="77777777" w:rsidR="00A55B97" w:rsidRPr="002D0559" w:rsidRDefault="00A55B97" w:rsidP="00DA3F59">
      <w:pPr>
        <w:keepNext/>
        <w:keepLines/>
        <w:spacing w:before="240" w:after="240" w:line="480" w:lineRule="auto"/>
        <w:jc w:val="both"/>
        <w:outlineLvl w:val="0"/>
        <w:rPr>
          <w:rFonts w:ascii="Times New Roman" w:eastAsia="Times New Roman" w:hAnsi="Times New Roman" w:cs="Times New Roman"/>
          <w:b/>
          <w:bCs/>
          <w:color w:val="000000"/>
          <w:lang w:val="en" w:eastAsia="en-GB"/>
        </w:rPr>
      </w:pPr>
      <w:bookmarkStart w:id="9" w:name="_7cwbept6lttg" w:colFirst="0" w:colLast="0"/>
      <w:bookmarkEnd w:id="9"/>
      <w:r w:rsidRPr="002D0559">
        <w:rPr>
          <w:rFonts w:ascii="Times New Roman" w:eastAsia="Times New Roman" w:hAnsi="Times New Roman" w:cs="Times New Roman"/>
          <w:b/>
          <w:bCs/>
          <w:color w:val="000000"/>
          <w:lang w:val="en" w:eastAsia="en-GB"/>
        </w:rPr>
        <w:t>5. Conclusion</w:t>
      </w:r>
    </w:p>
    <w:p w14:paraId="655165D4"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The United States automobile industry is a competitive world leader based on the strong economies of scale, the well-informed consumers and the deep support of other industries. While domestic companies like General Motors and Ford Motor Company remain important players, international players such as Toyota Motor Corporation and Hyundai Motor Company show the benefits of employing cutting-edge technology, adaptable product development and marketing strategies.</w:t>
      </w:r>
    </w:p>
    <w:p w14:paraId="7EBC753E"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From a Porter's Diamond Model point of view, in the United States, competitiveness is determined not only by the basic factors. Rigid domestic competition, sophisticated consumers and supporting related industries are key factors that enhance competitiveness, by increasing innovation.</w:t>
      </w:r>
    </w:p>
    <w:p w14:paraId="1EEAB5B3"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The United States is a space of opportunity for Toyota, but also one which poses challenges. It is not enough to produce and export vehicles; manufacturing locally, and being adaptable and responsive to consumer demand are crucial. Excellence in hybrid technologies, investments in electric vehicle technologies, and the ability to meet customer expectations for value, convenience and sustainability are critical.</w:t>
      </w:r>
    </w:p>
    <w:p w14:paraId="2D495657"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Ultimately, America serves as a proving ground. Staying ahead means balancing rules, innovation, and shifting customer demands - especially when conditions shift fast.</w:t>
      </w:r>
    </w:p>
    <w:p w14:paraId="718217ED" w14:textId="77777777" w:rsidR="00A55B97" w:rsidRPr="002D0559" w:rsidRDefault="00A55B97" w:rsidP="00DA3F59">
      <w:pPr>
        <w:keepNext/>
        <w:keepLines/>
        <w:spacing w:before="240" w:after="240" w:line="480" w:lineRule="auto"/>
        <w:jc w:val="both"/>
        <w:outlineLvl w:val="0"/>
        <w:rPr>
          <w:rFonts w:ascii="Times New Roman" w:eastAsia="Times New Roman" w:hAnsi="Times New Roman" w:cs="Times New Roman"/>
          <w:b/>
          <w:bCs/>
          <w:color w:val="000000"/>
          <w:lang w:val="en" w:eastAsia="en-GB"/>
        </w:rPr>
      </w:pPr>
      <w:bookmarkStart w:id="10" w:name="_cey5oza7xi4w" w:colFirst="0" w:colLast="0"/>
      <w:bookmarkEnd w:id="10"/>
      <w:r w:rsidRPr="002D0559">
        <w:rPr>
          <w:rFonts w:ascii="Times New Roman" w:eastAsia="Times New Roman" w:hAnsi="Times New Roman" w:cs="Times New Roman"/>
          <w:b/>
          <w:bCs/>
          <w:color w:val="000000"/>
          <w:lang w:val="en" w:eastAsia="en-GB"/>
        </w:rPr>
        <w:t>6. Reflective Account Using Gibbs’ Cycle</w:t>
      </w:r>
    </w:p>
    <w:p w14:paraId="26DCD483"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Gibbs' cycle could be used to reflect on the process of researching and writing the report. In the description stage, I started by reading the assessment brief and rubric to make sure the report headings covered the requirements, particularly the industry overview and background, Porter analysis, foreign MNC analysis, and reflection. This ensured that I worked on an international business report rather than a traditional business essay (University of Edinburgh, 2024). In the feelings stage, I initially felt the topic was too broad because there are many subtopics in the automobile industry such as manufacturing, </w:t>
      </w:r>
      <w:proofErr w:type="spellStart"/>
      <w:r w:rsidRPr="002D0559">
        <w:rPr>
          <w:rFonts w:ascii="Times New Roman" w:eastAsia="Times New Roman" w:hAnsi="Times New Roman" w:cs="Times New Roman"/>
          <w:color w:val="000000"/>
          <w:lang w:val="en" w:eastAsia="en-GB"/>
        </w:rPr>
        <w:t>EVs</w:t>
      </w:r>
      <w:proofErr w:type="spellEnd"/>
      <w:r w:rsidRPr="002D0559">
        <w:rPr>
          <w:rFonts w:ascii="Times New Roman" w:eastAsia="Times New Roman" w:hAnsi="Times New Roman" w:cs="Times New Roman"/>
          <w:color w:val="000000"/>
          <w:lang w:val="en" w:eastAsia="en-GB"/>
        </w:rPr>
        <w:t xml:space="preserve">, trade and consumer </w:t>
      </w:r>
      <w:proofErr w:type="spellStart"/>
      <w:r w:rsidRPr="002D0559">
        <w:rPr>
          <w:rFonts w:ascii="Times New Roman" w:eastAsia="Times New Roman" w:hAnsi="Times New Roman" w:cs="Times New Roman"/>
          <w:color w:val="000000"/>
          <w:lang w:val="en" w:eastAsia="en-GB"/>
        </w:rPr>
        <w:t>behaviour</w:t>
      </w:r>
      <w:proofErr w:type="spellEnd"/>
      <w:r w:rsidRPr="002D0559">
        <w:rPr>
          <w:rFonts w:ascii="Times New Roman" w:eastAsia="Times New Roman" w:hAnsi="Times New Roman" w:cs="Times New Roman"/>
          <w:color w:val="000000"/>
          <w:lang w:val="en" w:eastAsia="en-GB"/>
        </w:rPr>
        <w:t>. To reduce this risk, I chose Toyota in the U.S. because it was a clear country-industry combination with easily accessible public data.</w:t>
      </w:r>
    </w:p>
    <w:p w14:paraId="00D17159"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In the evaluation phase, I discovered that the most helpful pages included recent corporate reports, government websites and analyses of an industry, as these offered the latest information about the industry and policy. Journal articles were crucial to take the report beyond description, particularly in the area of EV take up and charging infrastructure. The challenge was how to provide detail and discipline: the report needed to have sufficient detail to prove expertise in the sector, but also have structure. I did this through the use of Porter’s Diamond model and PESTLE for the attractiveness of the United States for Toyota. During the analysis stage, I found the best arguments were made by linking data to anecdote. For instance, the U.S. market sales data do not demonstrate competitiveness; it is significant when combined with considerations of demand segmentation, U.S. policy, and Toyota hybrid strategy.</w:t>
      </w:r>
    </w:p>
    <w:p w14:paraId="7DF608F1"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In the reflection stage, I saw that my report has two features of strength: first, I chose sources which are generally recent and reliable; second, I link macro market analysis with micro strategy. I also identified a weakness: the report is largely based on published secondary sources, and so I rely on inference in some of the strategic recommendations that should be based on private company information. In future projects, I will enhance my work by incorporating more peer-reviewed industry studies, more international comparative data, and strengthen the connection between each framework and the recommendations. This would improve the </w:t>
      </w:r>
      <w:proofErr w:type="spellStart"/>
      <w:r w:rsidRPr="002D0559">
        <w:rPr>
          <w:rFonts w:ascii="Times New Roman" w:eastAsia="Times New Roman" w:hAnsi="Times New Roman" w:cs="Times New Roman"/>
          <w:color w:val="000000"/>
          <w:lang w:val="en" w:eastAsia="en-GB"/>
        </w:rPr>
        <w:t>rigour</w:t>
      </w:r>
      <w:proofErr w:type="spellEnd"/>
      <w:r w:rsidRPr="002D0559">
        <w:rPr>
          <w:rFonts w:ascii="Times New Roman" w:eastAsia="Times New Roman" w:hAnsi="Times New Roman" w:cs="Times New Roman"/>
          <w:color w:val="000000"/>
          <w:lang w:val="en" w:eastAsia="en-GB"/>
        </w:rPr>
        <w:t xml:space="preserve"> and usefulness of the study.</w:t>
      </w:r>
    </w:p>
    <w:p w14:paraId="62C20CCC" w14:textId="77777777" w:rsidR="00A55B97" w:rsidRPr="002D0559" w:rsidRDefault="00A55B97" w:rsidP="00DA3F59">
      <w:pPr>
        <w:spacing w:before="240" w:after="240" w:line="480" w:lineRule="auto"/>
        <w:jc w:val="center"/>
        <w:rPr>
          <w:rFonts w:ascii="Times New Roman" w:eastAsia="Times New Roman" w:hAnsi="Times New Roman" w:cs="Times New Roman"/>
          <w:color w:val="000000"/>
          <w:lang w:val="en" w:eastAsia="en-GB"/>
        </w:rPr>
      </w:pPr>
      <w:r w:rsidRPr="002D0559">
        <w:rPr>
          <w:rFonts w:ascii="Times New Roman" w:eastAsia="Times New Roman" w:hAnsi="Times New Roman" w:cs="Times New Roman"/>
          <w:noProof/>
          <w:color w:val="000000"/>
          <w:lang w:val="en" w:eastAsia="en-GB"/>
        </w:rPr>
        <w:drawing>
          <wp:inline distT="0" distB="0" distL="0" distR="0" wp14:anchorId="3D48300B" wp14:editId="1567EFD7">
            <wp:extent cx="5362351" cy="4278551"/>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5362351" cy="4278551"/>
                    </a:xfrm>
                    <a:prstGeom prst="rect">
                      <a:avLst/>
                    </a:prstGeom>
                    <a:ln/>
                  </pic:spPr>
                </pic:pic>
              </a:graphicData>
            </a:graphic>
          </wp:inline>
        </w:drawing>
      </w:r>
    </w:p>
    <w:p w14:paraId="4971CE18"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b/>
          <w:bCs/>
          <w:color w:val="000000"/>
          <w:lang w:val="en" w:eastAsia="en-GB"/>
        </w:rPr>
        <w:t>Figure 9: Gibbs Reflective Cycle Applied to the Research Process</w:t>
      </w:r>
    </w:p>
    <w:p w14:paraId="2DFC3C59"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The reflective model illustrates the influence of the planning, source selection, analysis, and the revising used in the final report.</w:t>
      </w:r>
    </w:p>
    <w:p w14:paraId="40A3DCB4" w14:textId="77777777" w:rsidR="00A55B97" w:rsidRPr="002D0559" w:rsidRDefault="00A55B97" w:rsidP="00DA3F59">
      <w:pPr>
        <w:keepNext/>
        <w:keepLines/>
        <w:spacing w:before="240" w:after="240" w:line="480" w:lineRule="auto"/>
        <w:jc w:val="both"/>
        <w:outlineLvl w:val="1"/>
        <w:rPr>
          <w:rFonts w:ascii="Times New Roman" w:eastAsia="Times New Roman" w:hAnsi="Times New Roman" w:cs="Times New Roman"/>
          <w:b/>
          <w:bCs/>
          <w:color w:val="000000"/>
          <w:lang w:val="en" w:eastAsia="en-GB"/>
        </w:rPr>
      </w:pPr>
      <w:bookmarkStart w:id="11" w:name="_quct8jqnjfgb" w:colFirst="0" w:colLast="0"/>
      <w:bookmarkEnd w:id="11"/>
      <w:r w:rsidRPr="002D0559">
        <w:rPr>
          <w:rFonts w:ascii="Times New Roman" w:eastAsia="Times New Roman" w:hAnsi="Times New Roman" w:cs="Times New Roman"/>
          <w:b/>
          <w:bCs/>
          <w:color w:val="000000"/>
          <w:lang w:val="en" w:eastAsia="en-GB"/>
        </w:rPr>
        <w:t>6.1 Learning Gained from the Research Process</w:t>
      </w:r>
    </w:p>
    <w:p w14:paraId="6956ABF9"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A more profound lesson was that a good research project is more about depth, not breadth. There is so much going on in the car industry that you can't describe everything, so it was best to concentrate on a few models and issues: market structure, Porter's Diamond, and Toyota's fit. This provided structure and </w:t>
      </w:r>
      <w:proofErr w:type="spellStart"/>
      <w:r w:rsidRPr="002D0559">
        <w:rPr>
          <w:rFonts w:ascii="Times New Roman" w:eastAsia="Times New Roman" w:hAnsi="Times New Roman" w:cs="Times New Roman"/>
          <w:color w:val="000000"/>
          <w:lang w:val="en" w:eastAsia="en-GB"/>
        </w:rPr>
        <w:t>rigour</w:t>
      </w:r>
      <w:proofErr w:type="spellEnd"/>
      <w:r w:rsidRPr="002D0559">
        <w:rPr>
          <w:rFonts w:ascii="Times New Roman" w:eastAsia="Times New Roman" w:hAnsi="Times New Roman" w:cs="Times New Roman"/>
          <w:color w:val="000000"/>
          <w:lang w:val="en" w:eastAsia="en-GB"/>
        </w:rPr>
        <w:t xml:space="preserve"> for the report, and bolstered the case the report made. It also helped in taking description to evaluation, one of the key skills of postgraduate work. Rather than merely describing facts, I had to evaluate the facts for the impact on competitiveness, government, and company strategy.</w:t>
      </w:r>
    </w:p>
    <w:p w14:paraId="3D104D58"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Another point was the hierarchy of evidence. Firm annual reports and government statistics provided details for the numbers and policy, but scholarly articles provided clarifications on how consumers adopt, infrastructure issues, business uncertainty, and strategies. This strengthened the report by accounting for current data and thought. The work could be improved if I had more direct comparison with another foreign automaker to ground the comparison with Toyota; and if I had better analysis of the way software, self-driving features, and source of batteries are transforming aggregate competitive advantage. However, I have gained some research </w:t>
      </w:r>
      <w:proofErr w:type="spellStart"/>
      <w:r w:rsidRPr="002D0559">
        <w:rPr>
          <w:rFonts w:ascii="Times New Roman" w:eastAsia="Times New Roman" w:hAnsi="Times New Roman" w:cs="Times New Roman"/>
          <w:color w:val="000000"/>
          <w:lang w:val="en" w:eastAsia="en-GB"/>
        </w:rPr>
        <w:t>rigour</w:t>
      </w:r>
      <w:proofErr w:type="spellEnd"/>
      <w:r w:rsidRPr="002D0559">
        <w:rPr>
          <w:rFonts w:ascii="Times New Roman" w:eastAsia="Times New Roman" w:hAnsi="Times New Roman" w:cs="Times New Roman"/>
          <w:color w:val="000000"/>
          <w:lang w:val="en" w:eastAsia="en-GB"/>
        </w:rPr>
        <w:t>, source critique and master's level writing from this current version.</w:t>
      </w:r>
    </w:p>
    <w:p w14:paraId="3573F34C"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Further, this research process improved my skills of integrating theory with industry practice. Porter's Diamond Model was applied not only to develop a theoretical understanding of the model, but also to apply it in the context of a dynamic industry. Sorting through loads of details sharpened my ability to pull out what actually matters, making insights clearer without extra noise. Staying on track with timelines meant fitting deep work into tight windows, thanks to careful layout of each step ahead.</w:t>
      </w:r>
    </w:p>
    <w:p w14:paraId="3C498BA4"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Additionally, the writing process improved my academic writing skills and the ability to maintain a cohesive structure between the sections, and integrate arguments throughout the report. Sorting through loads of details sharpened my ability to pull out what actually matters, making insights clearer without extra noise. Staying on track with timelines meant fitting deep work into tight windows, thanks to careful layout of each step ahead.</w:t>
      </w:r>
    </w:p>
    <w:p w14:paraId="6C7EF508" w14:textId="77777777" w:rsidR="00A55B97" w:rsidRPr="002D0559" w:rsidRDefault="00A55B97" w:rsidP="00DA3F59">
      <w:pPr>
        <w:keepNext/>
        <w:keepLines/>
        <w:spacing w:before="240" w:after="240" w:line="480" w:lineRule="auto"/>
        <w:jc w:val="both"/>
        <w:outlineLvl w:val="1"/>
        <w:rPr>
          <w:rFonts w:ascii="Times New Roman" w:eastAsia="Times New Roman" w:hAnsi="Times New Roman" w:cs="Times New Roman"/>
          <w:b/>
          <w:bCs/>
          <w:color w:val="000000"/>
          <w:lang w:val="en" w:eastAsia="en-GB"/>
        </w:rPr>
      </w:pPr>
      <w:bookmarkStart w:id="12" w:name="_vjjekfmafaj" w:colFirst="0" w:colLast="0"/>
      <w:bookmarkEnd w:id="12"/>
      <w:r w:rsidRPr="002D0559">
        <w:rPr>
          <w:rFonts w:ascii="Times New Roman" w:eastAsia="Times New Roman" w:hAnsi="Times New Roman" w:cs="Times New Roman"/>
          <w:b/>
          <w:bCs/>
          <w:color w:val="000000"/>
          <w:lang w:val="en" w:eastAsia="en-GB"/>
        </w:rPr>
        <w:t>6.2 Limitations and Future Development</w:t>
      </w:r>
    </w:p>
    <w:p w14:paraId="5D8B27AB"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An issue with this process was that the report was based on </w:t>
      </w:r>
      <w:proofErr w:type="spellStart"/>
      <w:r w:rsidRPr="002D0559">
        <w:rPr>
          <w:rFonts w:ascii="Times New Roman" w:eastAsia="Times New Roman" w:hAnsi="Times New Roman" w:cs="Times New Roman"/>
          <w:color w:val="000000"/>
          <w:lang w:val="en" w:eastAsia="en-GB"/>
        </w:rPr>
        <w:t>publically</w:t>
      </w:r>
      <w:proofErr w:type="spellEnd"/>
      <w:r w:rsidRPr="002D0559">
        <w:rPr>
          <w:rFonts w:ascii="Times New Roman" w:eastAsia="Times New Roman" w:hAnsi="Times New Roman" w:cs="Times New Roman"/>
          <w:color w:val="000000"/>
          <w:lang w:val="en" w:eastAsia="en-GB"/>
        </w:rPr>
        <w:t xml:space="preserve"> accessible data, which is great in terms of openness but does not completely reflect internal decision making, negotiations with suppliers, and private cost structures. So, some of our decisions were based on inferences from outside the </w:t>
      </w:r>
      <w:proofErr w:type="spellStart"/>
      <w:r w:rsidRPr="002D0559">
        <w:rPr>
          <w:rFonts w:ascii="Times New Roman" w:eastAsia="Times New Roman" w:hAnsi="Times New Roman" w:cs="Times New Roman"/>
          <w:color w:val="000000"/>
          <w:lang w:val="en" w:eastAsia="en-GB"/>
        </w:rPr>
        <w:t>organisation</w:t>
      </w:r>
      <w:proofErr w:type="spellEnd"/>
      <w:r w:rsidRPr="002D0559">
        <w:rPr>
          <w:rFonts w:ascii="Times New Roman" w:eastAsia="Times New Roman" w:hAnsi="Times New Roman" w:cs="Times New Roman"/>
          <w:color w:val="000000"/>
          <w:lang w:val="en" w:eastAsia="en-GB"/>
        </w:rPr>
        <w:t xml:space="preserve">, rather than evidence provided in interviews. However, the process was valuable because it mimicked how managers do their jobs in the international business world: they often have imperfect information, and rely on making logical judgements from likely but not certain information. I would do this better next time by comparing Toyota with an additional non-domestic competitor in the U.S., and by incorporating more up-to-date sources on EV adoption, </w:t>
      </w:r>
      <w:proofErr w:type="spellStart"/>
      <w:r w:rsidRPr="002D0559">
        <w:rPr>
          <w:rFonts w:ascii="Times New Roman" w:eastAsia="Times New Roman" w:hAnsi="Times New Roman" w:cs="Times New Roman"/>
          <w:color w:val="000000"/>
          <w:lang w:val="en" w:eastAsia="en-GB"/>
        </w:rPr>
        <w:t>localisation</w:t>
      </w:r>
      <w:proofErr w:type="spellEnd"/>
      <w:r w:rsidRPr="002D0559">
        <w:rPr>
          <w:rFonts w:ascii="Times New Roman" w:eastAsia="Times New Roman" w:hAnsi="Times New Roman" w:cs="Times New Roman"/>
          <w:color w:val="000000"/>
          <w:lang w:val="en" w:eastAsia="en-GB"/>
        </w:rPr>
        <w:t xml:space="preserve"> and automotive supply-chain management. It made me </w:t>
      </w:r>
      <w:proofErr w:type="spellStart"/>
      <w:r w:rsidRPr="002D0559">
        <w:rPr>
          <w:rFonts w:ascii="Times New Roman" w:eastAsia="Times New Roman" w:hAnsi="Times New Roman" w:cs="Times New Roman"/>
          <w:color w:val="000000"/>
          <w:lang w:val="en" w:eastAsia="en-GB"/>
        </w:rPr>
        <w:t>realise</w:t>
      </w:r>
      <w:proofErr w:type="spellEnd"/>
      <w:r w:rsidRPr="002D0559">
        <w:rPr>
          <w:rFonts w:ascii="Times New Roman" w:eastAsia="Times New Roman" w:hAnsi="Times New Roman" w:cs="Times New Roman"/>
          <w:color w:val="000000"/>
          <w:lang w:val="en" w:eastAsia="en-GB"/>
        </w:rPr>
        <w:t xml:space="preserve"> again that good postgraduate writing is not just about gathering evidence, but about using evidence that supports the argument, keeping to a consistent writing structure, and presenting evidence and analysis in a way that is easy for readers to follow along without getting lost.</w:t>
      </w:r>
    </w:p>
    <w:p w14:paraId="3E7DBD63"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A further constraint was the potential bias in secondary data sources, especially corporate reports which are likely to </w:t>
      </w:r>
      <w:proofErr w:type="spellStart"/>
      <w:r w:rsidRPr="002D0559">
        <w:rPr>
          <w:rFonts w:ascii="Times New Roman" w:eastAsia="Times New Roman" w:hAnsi="Times New Roman" w:cs="Times New Roman"/>
          <w:color w:val="000000"/>
          <w:lang w:val="en" w:eastAsia="en-GB"/>
        </w:rPr>
        <w:t>emphasise</w:t>
      </w:r>
      <w:proofErr w:type="spellEnd"/>
      <w:r w:rsidRPr="002D0559">
        <w:rPr>
          <w:rFonts w:ascii="Times New Roman" w:eastAsia="Times New Roman" w:hAnsi="Times New Roman" w:cs="Times New Roman"/>
          <w:color w:val="000000"/>
          <w:lang w:val="en" w:eastAsia="en-GB"/>
        </w:rPr>
        <w:t xml:space="preserve"> positive outcomes and downplay risk and challenges. This setup leaned on outside voices - like researchers or pros from the field - to keep things steady. Down the line, pulling in firsthand material could add depth: think expert talks, polls, even repeat conversations with those deep in the trade.</w:t>
      </w:r>
    </w:p>
    <w:p w14:paraId="78D758E0"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On top of that, fresh tech like AI inside factories deserves more spotlight. Think self-driving transport networks - those matter too. Digital tools that move people around cities? They’re part of it just as much. These are increasingly important for an international automotive competitive environment. This would provide wider insights and recommendations as to how companies such as Toyota Motor corporation can maintain their competitive advantage in an ever-changing industry.</w:t>
      </w:r>
    </w:p>
    <w:p w14:paraId="78798860"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p>
    <w:p w14:paraId="6971C694" w14:textId="77777777" w:rsidR="00A55B97" w:rsidRPr="002D0559" w:rsidRDefault="00A55B97" w:rsidP="00DA3F59">
      <w:pPr>
        <w:spacing w:after="200" w:line="276" w:lineRule="auto"/>
        <w:rPr>
          <w:rFonts w:ascii="Times New Roman" w:eastAsia="Times New Roman" w:hAnsi="Times New Roman" w:cs="Times New Roman"/>
          <w:b/>
          <w:bCs/>
          <w:color w:val="000000"/>
          <w:lang w:val="en" w:eastAsia="en-GB"/>
        </w:rPr>
      </w:pPr>
      <w:r w:rsidRPr="002D0559">
        <w:rPr>
          <w:rFonts w:ascii="Times New Roman" w:eastAsia="Times New Roman" w:hAnsi="Times New Roman" w:cs="Times New Roman"/>
          <w:lang w:val="en" w:eastAsia="en-GB"/>
        </w:rPr>
        <w:br w:type="page"/>
      </w:r>
    </w:p>
    <w:p w14:paraId="4CDC17C6" w14:textId="77777777" w:rsidR="00A55B97" w:rsidRPr="002D0559" w:rsidRDefault="00A55B97" w:rsidP="00DA3F59">
      <w:pPr>
        <w:keepNext/>
        <w:keepLines/>
        <w:spacing w:before="240" w:after="240" w:line="480" w:lineRule="auto"/>
        <w:jc w:val="both"/>
        <w:outlineLvl w:val="0"/>
        <w:rPr>
          <w:rFonts w:ascii="Times New Roman" w:eastAsia="Times New Roman" w:hAnsi="Times New Roman" w:cs="Times New Roman"/>
          <w:b/>
          <w:bCs/>
          <w:color w:val="000000"/>
          <w:lang w:val="en" w:eastAsia="en-GB"/>
        </w:rPr>
      </w:pPr>
      <w:bookmarkStart w:id="13" w:name="_aklki8pqc29" w:colFirst="0" w:colLast="0"/>
      <w:bookmarkEnd w:id="13"/>
      <w:r w:rsidRPr="002D0559">
        <w:rPr>
          <w:rFonts w:ascii="Times New Roman" w:eastAsia="Times New Roman" w:hAnsi="Times New Roman" w:cs="Times New Roman"/>
          <w:b/>
          <w:bCs/>
          <w:color w:val="000000"/>
          <w:lang w:val="en" w:eastAsia="en-GB"/>
        </w:rPr>
        <w:t>References</w:t>
      </w:r>
    </w:p>
    <w:p w14:paraId="3288D202"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Alliance for Automotive Innovation (2025a) </w:t>
      </w:r>
      <w:r w:rsidRPr="002D0559">
        <w:rPr>
          <w:rFonts w:ascii="Times New Roman" w:eastAsia="Times New Roman" w:hAnsi="Times New Roman" w:cs="Times New Roman"/>
          <w:i/>
          <w:iCs/>
          <w:color w:val="000000"/>
          <w:lang w:val="en" w:eastAsia="en-GB"/>
        </w:rPr>
        <w:t>Data Driven</w:t>
      </w:r>
      <w:r w:rsidRPr="002D0559">
        <w:rPr>
          <w:rFonts w:ascii="Times New Roman" w:eastAsia="Times New Roman" w:hAnsi="Times New Roman" w:cs="Times New Roman"/>
          <w:color w:val="000000"/>
          <w:lang w:val="en" w:eastAsia="en-GB"/>
        </w:rPr>
        <w:t xml:space="preserve">. Available at: </w:t>
      </w:r>
      <w:hyperlink r:id="rId17">
        <w:r w:rsidRPr="002D0559">
          <w:rPr>
            <w:rFonts w:ascii="Times New Roman" w:eastAsia="Times New Roman" w:hAnsi="Times New Roman" w:cs="Times New Roman"/>
            <w:color w:val="0000FF"/>
            <w:u w:val="single"/>
            <w:lang w:val="en" w:eastAsia="en-GB"/>
          </w:rPr>
          <w:t>https://datadriven.autosinnovate.org/</w:t>
        </w:r>
      </w:hyperlink>
      <w:r w:rsidRPr="002D0559">
        <w:rPr>
          <w:rFonts w:ascii="Times New Roman" w:eastAsia="Times New Roman" w:hAnsi="Times New Roman" w:cs="Times New Roman"/>
          <w:color w:val="000000"/>
          <w:lang w:val="en" w:eastAsia="en-GB"/>
        </w:rPr>
        <w:t xml:space="preserve"> (Accessed: 27 April 2026).</w:t>
      </w:r>
    </w:p>
    <w:p w14:paraId="45ED70B7"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Alliance for Automotive Innovation (2025b) </w:t>
      </w:r>
      <w:r w:rsidRPr="002D0559">
        <w:rPr>
          <w:rFonts w:ascii="Times New Roman" w:eastAsia="Times New Roman" w:hAnsi="Times New Roman" w:cs="Times New Roman"/>
          <w:i/>
          <w:iCs/>
          <w:color w:val="000000"/>
          <w:lang w:val="en" w:eastAsia="en-GB"/>
        </w:rPr>
        <w:t>Future</w:t>
      </w:r>
      <w:r w:rsidRPr="002D0559">
        <w:rPr>
          <w:rFonts w:ascii="Times New Roman" w:eastAsia="Times New Roman" w:hAnsi="Times New Roman" w:cs="Times New Roman"/>
          <w:color w:val="000000"/>
          <w:lang w:val="en" w:eastAsia="en-GB"/>
        </w:rPr>
        <w:t xml:space="preserve">. Available at: </w:t>
      </w:r>
      <w:hyperlink r:id="rId18">
        <w:r w:rsidRPr="002D0559">
          <w:rPr>
            <w:rFonts w:ascii="Times New Roman" w:eastAsia="Times New Roman" w:hAnsi="Times New Roman" w:cs="Times New Roman"/>
            <w:color w:val="0000FF"/>
            <w:u w:val="single"/>
            <w:lang w:val="en" w:eastAsia="en-GB"/>
          </w:rPr>
          <w:t>https://datadriven.autosinnovate.org/future</w:t>
        </w:r>
      </w:hyperlink>
      <w:r w:rsidRPr="002D0559">
        <w:rPr>
          <w:rFonts w:ascii="Times New Roman" w:eastAsia="Times New Roman" w:hAnsi="Times New Roman" w:cs="Times New Roman"/>
          <w:color w:val="000000"/>
          <w:lang w:val="en" w:eastAsia="en-GB"/>
        </w:rPr>
        <w:t xml:space="preserve"> (Accessed: 27 April 2026).</w:t>
      </w:r>
    </w:p>
    <w:p w14:paraId="4109FC17"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Alliance for Automotive Innovation (2025c) </w:t>
      </w:r>
      <w:r w:rsidRPr="002D0559">
        <w:rPr>
          <w:rFonts w:ascii="Times New Roman" w:eastAsia="Times New Roman" w:hAnsi="Times New Roman" w:cs="Times New Roman"/>
          <w:i/>
          <w:iCs/>
          <w:color w:val="000000"/>
          <w:lang w:val="en" w:eastAsia="en-GB"/>
        </w:rPr>
        <w:t>Global Impact</w:t>
      </w:r>
      <w:r w:rsidRPr="002D0559">
        <w:rPr>
          <w:rFonts w:ascii="Times New Roman" w:eastAsia="Times New Roman" w:hAnsi="Times New Roman" w:cs="Times New Roman"/>
          <w:color w:val="000000"/>
          <w:lang w:val="en" w:eastAsia="en-GB"/>
        </w:rPr>
        <w:t xml:space="preserve">. Available at: </w:t>
      </w:r>
      <w:hyperlink r:id="rId19">
        <w:r w:rsidRPr="002D0559">
          <w:rPr>
            <w:rFonts w:ascii="Times New Roman" w:eastAsia="Times New Roman" w:hAnsi="Times New Roman" w:cs="Times New Roman"/>
            <w:color w:val="0000FF"/>
            <w:u w:val="single"/>
            <w:lang w:val="en" w:eastAsia="en-GB"/>
          </w:rPr>
          <w:t>https://datadriven.autosinnovate.org/global-impact</w:t>
        </w:r>
      </w:hyperlink>
      <w:r w:rsidRPr="002D0559">
        <w:rPr>
          <w:rFonts w:ascii="Times New Roman" w:eastAsia="Times New Roman" w:hAnsi="Times New Roman" w:cs="Times New Roman"/>
          <w:color w:val="000000"/>
          <w:lang w:val="en" w:eastAsia="en-GB"/>
        </w:rPr>
        <w:t xml:space="preserve"> (Accessed: 27 April 2026).</w:t>
      </w:r>
    </w:p>
    <w:p w14:paraId="3718CF81"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Bureau of Labor Statistics (2026) </w:t>
      </w:r>
      <w:r w:rsidRPr="002D0559">
        <w:rPr>
          <w:rFonts w:ascii="Times New Roman" w:eastAsia="Times New Roman" w:hAnsi="Times New Roman" w:cs="Times New Roman"/>
          <w:i/>
          <w:iCs/>
          <w:color w:val="000000"/>
          <w:lang w:val="en" w:eastAsia="en-GB"/>
        </w:rPr>
        <w:t>Automotive Industry: Employment, Earnings, and Hours</w:t>
      </w:r>
      <w:r w:rsidRPr="002D0559">
        <w:rPr>
          <w:rFonts w:ascii="Times New Roman" w:eastAsia="Times New Roman" w:hAnsi="Times New Roman" w:cs="Times New Roman"/>
          <w:color w:val="000000"/>
          <w:lang w:val="en" w:eastAsia="en-GB"/>
        </w:rPr>
        <w:t xml:space="preserve">. Available at: </w:t>
      </w:r>
      <w:hyperlink r:id="rId20">
        <w:r w:rsidRPr="002D0559">
          <w:rPr>
            <w:rFonts w:ascii="Times New Roman" w:eastAsia="Times New Roman" w:hAnsi="Times New Roman" w:cs="Times New Roman"/>
            <w:color w:val="0000FF"/>
            <w:u w:val="single"/>
            <w:lang w:val="en" w:eastAsia="en-GB"/>
          </w:rPr>
          <w:t>https://www.bls.gov/iag/tgs/iagauto.htm</w:t>
        </w:r>
      </w:hyperlink>
      <w:r w:rsidRPr="002D0559">
        <w:rPr>
          <w:rFonts w:ascii="Times New Roman" w:eastAsia="Times New Roman" w:hAnsi="Times New Roman" w:cs="Times New Roman"/>
          <w:color w:val="000000"/>
          <w:lang w:val="en" w:eastAsia="en-GB"/>
        </w:rPr>
        <w:t xml:space="preserve"> (Accessed: 27 April 2026).</w:t>
      </w:r>
    </w:p>
    <w:p w14:paraId="4DDD56D6"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proofErr w:type="spellStart"/>
      <w:r w:rsidRPr="002D0559">
        <w:rPr>
          <w:rFonts w:ascii="Times New Roman" w:eastAsia="Times New Roman" w:hAnsi="Times New Roman" w:cs="Times New Roman"/>
          <w:color w:val="000000"/>
          <w:lang w:val="en" w:eastAsia="en-GB"/>
        </w:rPr>
        <w:t>Bryła</w:t>
      </w:r>
      <w:proofErr w:type="spellEnd"/>
      <w:r w:rsidRPr="002D0559">
        <w:rPr>
          <w:rFonts w:ascii="Times New Roman" w:eastAsia="Times New Roman" w:hAnsi="Times New Roman" w:cs="Times New Roman"/>
          <w:color w:val="000000"/>
          <w:lang w:val="en" w:eastAsia="en-GB"/>
        </w:rPr>
        <w:t xml:space="preserve">, P., Chatterjee, S. and </w:t>
      </w:r>
      <w:proofErr w:type="spellStart"/>
      <w:r w:rsidRPr="002D0559">
        <w:rPr>
          <w:rFonts w:ascii="Times New Roman" w:eastAsia="Times New Roman" w:hAnsi="Times New Roman" w:cs="Times New Roman"/>
          <w:color w:val="000000"/>
          <w:lang w:val="en" w:eastAsia="en-GB"/>
        </w:rPr>
        <w:t>Ciabiada-Bryła</w:t>
      </w:r>
      <w:proofErr w:type="spellEnd"/>
      <w:r w:rsidRPr="002D0559">
        <w:rPr>
          <w:rFonts w:ascii="Times New Roman" w:eastAsia="Times New Roman" w:hAnsi="Times New Roman" w:cs="Times New Roman"/>
          <w:color w:val="000000"/>
          <w:lang w:val="en" w:eastAsia="en-GB"/>
        </w:rPr>
        <w:t xml:space="preserve">, B. (2023) </w:t>
      </w:r>
      <w:r w:rsidRPr="002D0559">
        <w:rPr>
          <w:rFonts w:ascii="Times New Roman" w:eastAsia="Times New Roman" w:hAnsi="Times New Roman" w:cs="Times New Roman"/>
          <w:i/>
          <w:iCs/>
          <w:color w:val="000000"/>
          <w:lang w:val="en" w:eastAsia="en-GB"/>
        </w:rPr>
        <w:t>Consumer Adoption of Electric Vehicles: A Systematic Literature Review</w:t>
      </w:r>
      <w:r w:rsidRPr="002D0559">
        <w:rPr>
          <w:rFonts w:ascii="Times New Roman" w:eastAsia="Times New Roman" w:hAnsi="Times New Roman" w:cs="Times New Roman"/>
          <w:color w:val="000000"/>
          <w:lang w:val="en" w:eastAsia="en-GB"/>
        </w:rPr>
        <w:t xml:space="preserve">. </w:t>
      </w:r>
      <w:r w:rsidRPr="002D0559">
        <w:rPr>
          <w:rFonts w:ascii="Times New Roman" w:eastAsia="Times New Roman" w:hAnsi="Times New Roman" w:cs="Times New Roman"/>
          <w:i/>
          <w:iCs/>
          <w:color w:val="000000"/>
          <w:lang w:val="en" w:eastAsia="en-GB"/>
        </w:rPr>
        <w:t>Energies</w:t>
      </w:r>
      <w:r w:rsidRPr="002D0559">
        <w:rPr>
          <w:rFonts w:ascii="Times New Roman" w:eastAsia="Times New Roman" w:hAnsi="Times New Roman" w:cs="Times New Roman"/>
          <w:color w:val="000000"/>
          <w:lang w:val="en" w:eastAsia="en-GB"/>
        </w:rPr>
        <w:t xml:space="preserve">, 16(1), 205. Available at: </w:t>
      </w:r>
      <w:hyperlink r:id="rId21">
        <w:r w:rsidRPr="002D0559">
          <w:rPr>
            <w:rFonts w:ascii="Times New Roman" w:eastAsia="Times New Roman" w:hAnsi="Times New Roman" w:cs="Times New Roman"/>
            <w:color w:val="0000FF"/>
            <w:u w:val="single"/>
            <w:lang w:val="en" w:eastAsia="en-GB"/>
          </w:rPr>
          <w:t>https://www.mdpi.com/1996-1073/16/1/205</w:t>
        </w:r>
      </w:hyperlink>
      <w:r w:rsidRPr="002D0559">
        <w:rPr>
          <w:rFonts w:ascii="Times New Roman" w:eastAsia="Times New Roman" w:hAnsi="Times New Roman" w:cs="Times New Roman"/>
          <w:color w:val="000000"/>
          <w:lang w:val="en" w:eastAsia="en-GB"/>
        </w:rPr>
        <w:t xml:space="preserve"> (Accessed: 27 April 2026).</w:t>
      </w:r>
    </w:p>
    <w:p w14:paraId="3F593AD1"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Ford Motor Company (2025) </w:t>
      </w:r>
      <w:r w:rsidRPr="002D0559">
        <w:rPr>
          <w:rFonts w:ascii="Times New Roman" w:eastAsia="Times New Roman" w:hAnsi="Times New Roman" w:cs="Times New Roman"/>
          <w:i/>
          <w:iCs/>
          <w:color w:val="000000"/>
          <w:lang w:val="en" w:eastAsia="en-GB"/>
        </w:rPr>
        <w:t>2024 Annual Report</w:t>
      </w:r>
      <w:r w:rsidRPr="002D0559">
        <w:rPr>
          <w:rFonts w:ascii="Times New Roman" w:eastAsia="Times New Roman" w:hAnsi="Times New Roman" w:cs="Times New Roman"/>
          <w:color w:val="000000"/>
          <w:lang w:val="en" w:eastAsia="en-GB"/>
        </w:rPr>
        <w:t xml:space="preserve">. Available at: </w:t>
      </w:r>
      <w:hyperlink r:id="rId22">
        <w:r w:rsidRPr="002D0559">
          <w:rPr>
            <w:rFonts w:ascii="Times New Roman" w:eastAsia="Times New Roman" w:hAnsi="Times New Roman" w:cs="Times New Roman"/>
            <w:color w:val="0000FF"/>
            <w:u w:val="single"/>
            <w:lang w:val="en" w:eastAsia="en-GB"/>
          </w:rPr>
          <w:t>https://s205.q4cdn.com/882619693/files/doc_financials/2024/ar/Ford-2024-Annual-Report.pdf</w:t>
        </w:r>
      </w:hyperlink>
      <w:r w:rsidRPr="002D0559">
        <w:rPr>
          <w:rFonts w:ascii="Times New Roman" w:eastAsia="Times New Roman" w:hAnsi="Times New Roman" w:cs="Times New Roman"/>
          <w:color w:val="000000"/>
          <w:lang w:val="en" w:eastAsia="en-GB"/>
        </w:rPr>
        <w:t xml:space="preserve"> (Accessed: 27 April 2026).</w:t>
      </w:r>
    </w:p>
    <w:p w14:paraId="5D322D0E"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General Motors (2025) </w:t>
      </w:r>
      <w:r w:rsidRPr="002D0559">
        <w:rPr>
          <w:rFonts w:ascii="Times New Roman" w:eastAsia="Times New Roman" w:hAnsi="Times New Roman" w:cs="Times New Roman"/>
          <w:i/>
          <w:iCs/>
          <w:color w:val="000000"/>
          <w:lang w:val="en" w:eastAsia="en-GB"/>
        </w:rPr>
        <w:t>2024 Annual Report</w:t>
      </w:r>
      <w:r w:rsidRPr="002D0559">
        <w:rPr>
          <w:rFonts w:ascii="Times New Roman" w:eastAsia="Times New Roman" w:hAnsi="Times New Roman" w:cs="Times New Roman"/>
          <w:color w:val="000000"/>
          <w:lang w:val="en" w:eastAsia="en-GB"/>
        </w:rPr>
        <w:t xml:space="preserve">. Available at: </w:t>
      </w:r>
      <w:hyperlink r:id="rId23">
        <w:r w:rsidRPr="002D0559">
          <w:rPr>
            <w:rFonts w:ascii="Times New Roman" w:eastAsia="Times New Roman" w:hAnsi="Times New Roman" w:cs="Times New Roman"/>
            <w:color w:val="0000FF"/>
            <w:u w:val="single"/>
            <w:lang w:val="en" w:eastAsia="en-GB"/>
          </w:rPr>
          <w:t>https://investor.gm.com/static-files/e86cba95-5077-4097-bf21-b3de40126ca8</w:t>
        </w:r>
      </w:hyperlink>
      <w:r w:rsidRPr="002D0559">
        <w:rPr>
          <w:rFonts w:ascii="Times New Roman" w:eastAsia="Times New Roman" w:hAnsi="Times New Roman" w:cs="Times New Roman"/>
          <w:color w:val="000000"/>
          <w:lang w:val="en" w:eastAsia="en-GB"/>
        </w:rPr>
        <w:t xml:space="preserve"> (Accessed: 27 April 2026).</w:t>
      </w:r>
    </w:p>
    <w:p w14:paraId="68F756B6"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Hyundai Motor America (2025) </w:t>
      </w:r>
      <w:r w:rsidRPr="002D0559">
        <w:rPr>
          <w:rFonts w:ascii="Times New Roman" w:eastAsia="Times New Roman" w:hAnsi="Times New Roman" w:cs="Times New Roman"/>
          <w:i/>
          <w:iCs/>
          <w:color w:val="000000"/>
          <w:lang w:val="en" w:eastAsia="en-GB"/>
        </w:rPr>
        <w:t>Hyundai Motor America Reports All-Time December, Q4 and 2024 Sales Records</w:t>
      </w:r>
      <w:r w:rsidRPr="002D0559">
        <w:rPr>
          <w:rFonts w:ascii="Times New Roman" w:eastAsia="Times New Roman" w:hAnsi="Times New Roman" w:cs="Times New Roman"/>
          <w:color w:val="000000"/>
          <w:lang w:val="en" w:eastAsia="en-GB"/>
        </w:rPr>
        <w:t xml:space="preserve">. Available at: </w:t>
      </w:r>
      <w:hyperlink r:id="rId24">
        <w:r w:rsidRPr="002D0559">
          <w:rPr>
            <w:rFonts w:ascii="Times New Roman" w:eastAsia="Times New Roman" w:hAnsi="Times New Roman" w:cs="Times New Roman"/>
            <w:color w:val="0000FF"/>
            <w:u w:val="single"/>
            <w:lang w:val="en" w:eastAsia="en-GB"/>
          </w:rPr>
          <w:t>https://www.hyundainews.com/assets/documents/original/64673-HYUNDAIDECEMBER2024SalesRelease1225FINALCLEAN.pdf</w:t>
        </w:r>
      </w:hyperlink>
      <w:r w:rsidRPr="002D0559">
        <w:rPr>
          <w:rFonts w:ascii="Times New Roman" w:eastAsia="Times New Roman" w:hAnsi="Times New Roman" w:cs="Times New Roman"/>
          <w:color w:val="000000"/>
          <w:lang w:val="en" w:eastAsia="en-GB"/>
        </w:rPr>
        <w:t xml:space="preserve"> (Accessed: 27 April 2026).</w:t>
      </w:r>
    </w:p>
    <w:p w14:paraId="73C68225"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Internal Revenue Service (2025) </w:t>
      </w:r>
      <w:r w:rsidRPr="002D0559">
        <w:rPr>
          <w:rFonts w:ascii="Times New Roman" w:eastAsia="Times New Roman" w:hAnsi="Times New Roman" w:cs="Times New Roman"/>
          <w:i/>
          <w:iCs/>
          <w:color w:val="000000"/>
          <w:lang w:val="en" w:eastAsia="en-GB"/>
        </w:rPr>
        <w:t>Credits for New Clean Vehicles Purchased in 2023 or After</w:t>
      </w:r>
      <w:r w:rsidRPr="002D0559">
        <w:rPr>
          <w:rFonts w:ascii="Times New Roman" w:eastAsia="Times New Roman" w:hAnsi="Times New Roman" w:cs="Times New Roman"/>
          <w:color w:val="000000"/>
          <w:lang w:val="en" w:eastAsia="en-GB"/>
        </w:rPr>
        <w:t xml:space="preserve">. Available at: </w:t>
      </w:r>
      <w:hyperlink r:id="rId25">
        <w:r w:rsidRPr="002D0559">
          <w:rPr>
            <w:rFonts w:ascii="Times New Roman" w:eastAsia="Times New Roman" w:hAnsi="Times New Roman" w:cs="Times New Roman"/>
            <w:color w:val="0000FF"/>
            <w:u w:val="single"/>
            <w:lang w:val="en" w:eastAsia="en-GB"/>
          </w:rPr>
          <w:t>https://www.irs.gov/credits-deductions/credits-for-new-clean-vehicles-purchased-in-2023-or-after</w:t>
        </w:r>
      </w:hyperlink>
      <w:r w:rsidRPr="002D0559">
        <w:rPr>
          <w:rFonts w:ascii="Times New Roman" w:eastAsia="Times New Roman" w:hAnsi="Times New Roman" w:cs="Times New Roman"/>
          <w:color w:val="000000"/>
          <w:lang w:val="en" w:eastAsia="en-GB"/>
        </w:rPr>
        <w:t xml:space="preserve"> (Accessed: 27 April 2026).</w:t>
      </w:r>
    </w:p>
    <w:p w14:paraId="217BB337"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National Highway Traffic Safety Administration (2022a) </w:t>
      </w:r>
      <w:r w:rsidRPr="002D0559">
        <w:rPr>
          <w:rFonts w:ascii="Times New Roman" w:eastAsia="Times New Roman" w:hAnsi="Times New Roman" w:cs="Times New Roman"/>
          <w:i/>
          <w:iCs/>
          <w:color w:val="000000"/>
          <w:lang w:val="en" w:eastAsia="en-GB"/>
        </w:rPr>
        <w:t>Corporate Average Fuel Economy (CAFE)</w:t>
      </w:r>
      <w:r w:rsidRPr="002D0559">
        <w:rPr>
          <w:rFonts w:ascii="Times New Roman" w:eastAsia="Times New Roman" w:hAnsi="Times New Roman" w:cs="Times New Roman"/>
          <w:color w:val="000000"/>
          <w:lang w:val="en" w:eastAsia="en-GB"/>
        </w:rPr>
        <w:t xml:space="preserve">. Available at: </w:t>
      </w:r>
      <w:hyperlink r:id="rId26">
        <w:r w:rsidRPr="002D0559">
          <w:rPr>
            <w:rFonts w:ascii="Times New Roman" w:eastAsia="Times New Roman" w:hAnsi="Times New Roman" w:cs="Times New Roman"/>
            <w:color w:val="0000FF"/>
            <w:u w:val="single"/>
            <w:lang w:val="en" w:eastAsia="en-GB"/>
          </w:rPr>
          <w:t>https://www.nhtsa.gov/laws-regulations/corporate-average-fuel-economy</w:t>
        </w:r>
      </w:hyperlink>
      <w:r w:rsidRPr="002D0559">
        <w:rPr>
          <w:rFonts w:ascii="Times New Roman" w:eastAsia="Times New Roman" w:hAnsi="Times New Roman" w:cs="Times New Roman"/>
          <w:color w:val="000000"/>
          <w:lang w:val="en" w:eastAsia="en-GB"/>
        </w:rPr>
        <w:t xml:space="preserve"> (Accessed: 27 April 2026).</w:t>
      </w:r>
    </w:p>
    <w:p w14:paraId="2196FC81"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National Highway Traffic Safety Administration (2022b) </w:t>
      </w:r>
      <w:r w:rsidRPr="002D0559">
        <w:rPr>
          <w:rFonts w:ascii="Times New Roman" w:eastAsia="Times New Roman" w:hAnsi="Times New Roman" w:cs="Times New Roman"/>
          <w:i/>
          <w:iCs/>
          <w:color w:val="000000"/>
          <w:lang w:val="en" w:eastAsia="en-GB"/>
        </w:rPr>
        <w:t>USDOT Announces New Vehicle Fuel Economy Standards for Model Year 2024-2026</w:t>
      </w:r>
      <w:r w:rsidRPr="002D0559">
        <w:rPr>
          <w:rFonts w:ascii="Times New Roman" w:eastAsia="Times New Roman" w:hAnsi="Times New Roman" w:cs="Times New Roman"/>
          <w:color w:val="000000"/>
          <w:lang w:val="en" w:eastAsia="en-GB"/>
        </w:rPr>
        <w:t xml:space="preserve">. Available at: </w:t>
      </w:r>
      <w:hyperlink r:id="rId27">
        <w:r w:rsidRPr="002D0559">
          <w:rPr>
            <w:rFonts w:ascii="Times New Roman" w:eastAsia="Times New Roman" w:hAnsi="Times New Roman" w:cs="Times New Roman"/>
            <w:color w:val="0000FF"/>
            <w:u w:val="single"/>
            <w:lang w:val="en" w:eastAsia="en-GB"/>
          </w:rPr>
          <w:t>https://www.nhtsa.gov/press-releases/usdot-announces-new-vehicle-fuel-economy-standards-model-year-2024-2026</w:t>
        </w:r>
      </w:hyperlink>
      <w:r w:rsidRPr="002D0559">
        <w:rPr>
          <w:rFonts w:ascii="Times New Roman" w:eastAsia="Times New Roman" w:hAnsi="Times New Roman" w:cs="Times New Roman"/>
          <w:color w:val="000000"/>
          <w:lang w:val="en" w:eastAsia="en-GB"/>
        </w:rPr>
        <w:t xml:space="preserve"> (Accessed: 27 April 2026).</w:t>
      </w:r>
    </w:p>
    <w:p w14:paraId="3861AB31"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National Highway Traffic Safety Administration (2024) </w:t>
      </w:r>
      <w:r w:rsidRPr="002D0559">
        <w:rPr>
          <w:rFonts w:ascii="Times New Roman" w:eastAsia="Times New Roman" w:hAnsi="Times New Roman" w:cs="Times New Roman"/>
          <w:i/>
          <w:iCs/>
          <w:color w:val="000000"/>
          <w:lang w:val="en" w:eastAsia="en-GB"/>
        </w:rPr>
        <w:t>CAFE 2027-2031, HDPUV 2030-2035: Final Rule</w:t>
      </w:r>
      <w:r w:rsidRPr="002D0559">
        <w:rPr>
          <w:rFonts w:ascii="Times New Roman" w:eastAsia="Times New Roman" w:hAnsi="Times New Roman" w:cs="Times New Roman"/>
          <w:color w:val="000000"/>
          <w:lang w:val="en" w:eastAsia="en-GB"/>
        </w:rPr>
        <w:t xml:space="preserve">. Available at: </w:t>
      </w:r>
      <w:hyperlink r:id="rId28">
        <w:r w:rsidRPr="002D0559">
          <w:rPr>
            <w:rFonts w:ascii="Times New Roman" w:eastAsia="Times New Roman" w:hAnsi="Times New Roman" w:cs="Times New Roman"/>
            <w:color w:val="0000FF"/>
            <w:u w:val="single"/>
            <w:lang w:val="en" w:eastAsia="en-GB"/>
          </w:rPr>
          <w:t>https://www.nhtsa.gov/sites/nhtsa.gov/files/2024-06/CAFE-2027-2031-HDPUV-2030-2035_Final-Rule_web_0.pdf</w:t>
        </w:r>
      </w:hyperlink>
      <w:r w:rsidRPr="002D0559">
        <w:rPr>
          <w:rFonts w:ascii="Times New Roman" w:eastAsia="Times New Roman" w:hAnsi="Times New Roman" w:cs="Times New Roman"/>
          <w:color w:val="000000"/>
          <w:lang w:val="en" w:eastAsia="en-GB"/>
        </w:rPr>
        <w:t xml:space="preserve"> (Accessed: 27 April 2026).</w:t>
      </w:r>
    </w:p>
    <w:p w14:paraId="15F157D6"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OECD (2024) </w:t>
      </w:r>
      <w:r w:rsidRPr="002D0559">
        <w:rPr>
          <w:rFonts w:ascii="Times New Roman" w:eastAsia="Times New Roman" w:hAnsi="Times New Roman" w:cs="Times New Roman"/>
          <w:i/>
          <w:iCs/>
          <w:color w:val="000000"/>
          <w:lang w:val="en" w:eastAsia="en-GB"/>
        </w:rPr>
        <w:t>The Future of the Automotive Value Chain</w:t>
      </w:r>
      <w:r w:rsidRPr="002D0559">
        <w:rPr>
          <w:rFonts w:ascii="Times New Roman" w:eastAsia="Times New Roman" w:hAnsi="Times New Roman" w:cs="Times New Roman"/>
          <w:color w:val="000000"/>
          <w:lang w:val="en" w:eastAsia="en-GB"/>
        </w:rPr>
        <w:t xml:space="preserve">. Available at: </w:t>
      </w:r>
      <w:hyperlink r:id="rId29">
        <w:r w:rsidRPr="002D0559">
          <w:rPr>
            <w:rFonts w:ascii="Times New Roman" w:eastAsia="Times New Roman" w:hAnsi="Times New Roman" w:cs="Times New Roman"/>
            <w:color w:val="0000FF"/>
            <w:u w:val="single"/>
            <w:lang w:val="en" w:eastAsia="en-GB"/>
          </w:rPr>
          <w:t>https://www.oecd.org/content/dam/oecd/en/publications/reports/2024/11/the-future-of-the-automotive-value-chain_91460165/cb730d65-en.pdf</w:t>
        </w:r>
      </w:hyperlink>
      <w:r w:rsidRPr="002D0559">
        <w:rPr>
          <w:rFonts w:ascii="Times New Roman" w:eastAsia="Times New Roman" w:hAnsi="Times New Roman" w:cs="Times New Roman"/>
          <w:color w:val="000000"/>
          <w:lang w:val="en" w:eastAsia="en-GB"/>
        </w:rPr>
        <w:t xml:space="preserve"> (Accessed: 27 April 2026).</w:t>
      </w:r>
    </w:p>
    <w:p w14:paraId="66C368D5"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OECD and IEA (2023) </w:t>
      </w:r>
      <w:r w:rsidRPr="002D0559">
        <w:rPr>
          <w:rFonts w:ascii="Times New Roman" w:eastAsia="Times New Roman" w:hAnsi="Times New Roman" w:cs="Times New Roman"/>
          <w:i/>
          <w:iCs/>
          <w:color w:val="000000"/>
          <w:lang w:val="en" w:eastAsia="en-GB"/>
        </w:rPr>
        <w:t>Global EV Outlook 2023</w:t>
      </w:r>
      <w:r w:rsidRPr="002D0559">
        <w:rPr>
          <w:rFonts w:ascii="Times New Roman" w:eastAsia="Times New Roman" w:hAnsi="Times New Roman" w:cs="Times New Roman"/>
          <w:color w:val="000000"/>
          <w:lang w:val="en" w:eastAsia="en-GB"/>
        </w:rPr>
        <w:t xml:space="preserve">. Available at: </w:t>
      </w:r>
      <w:hyperlink r:id="rId30">
        <w:r w:rsidRPr="002D0559">
          <w:rPr>
            <w:rFonts w:ascii="Times New Roman" w:eastAsia="Times New Roman" w:hAnsi="Times New Roman" w:cs="Times New Roman"/>
            <w:color w:val="0000FF"/>
            <w:u w:val="single"/>
            <w:lang w:val="en" w:eastAsia="en-GB"/>
          </w:rPr>
          <w:t>https://www.oecd.org/content/dam/oecd/en/publications/reports/2023/04/global-ev-outlook-2023_b2dcfab2/cbe724e8-en.pdf</w:t>
        </w:r>
      </w:hyperlink>
      <w:r w:rsidRPr="002D0559">
        <w:rPr>
          <w:rFonts w:ascii="Times New Roman" w:eastAsia="Times New Roman" w:hAnsi="Times New Roman" w:cs="Times New Roman"/>
          <w:color w:val="000000"/>
          <w:lang w:val="en" w:eastAsia="en-GB"/>
        </w:rPr>
        <w:t xml:space="preserve"> (Accessed: 27 April 2026).</w:t>
      </w:r>
    </w:p>
    <w:p w14:paraId="7199A724"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Toyota Motor Corporation (2025) </w:t>
      </w:r>
      <w:r w:rsidRPr="002D0559">
        <w:rPr>
          <w:rFonts w:ascii="Times New Roman" w:eastAsia="Times New Roman" w:hAnsi="Times New Roman" w:cs="Times New Roman"/>
          <w:i/>
          <w:iCs/>
          <w:color w:val="000000"/>
          <w:lang w:val="en" w:eastAsia="en-GB"/>
        </w:rPr>
        <w:t>Form 20-F</w:t>
      </w:r>
      <w:r w:rsidRPr="002D0559">
        <w:rPr>
          <w:rFonts w:ascii="Times New Roman" w:eastAsia="Times New Roman" w:hAnsi="Times New Roman" w:cs="Times New Roman"/>
          <w:color w:val="000000"/>
          <w:lang w:val="en" w:eastAsia="en-GB"/>
        </w:rPr>
        <w:t xml:space="preserve">. Available at: </w:t>
      </w:r>
      <w:hyperlink r:id="rId31">
        <w:r w:rsidRPr="002D0559">
          <w:rPr>
            <w:rFonts w:ascii="Times New Roman" w:eastAsia="Times New Roman" w:hAnsi="Times New Roman" w:cs="Times New Roman"/>
            <w:color w:val="0000FF"/>
            <w:u w:val="single"/>
            <w:lang w:val="en" w:eastAsia="en-GB"/>
          </w:rPr>
          <w:t>https://global.toyota/pages/global_toyota/ir/library/sec/20-F_202503_final.pdf</w:t>
        </w:r>
      </w:hyperlink>
      <w:r w:rsidRPr="002D0559">
        <w:rPr>
          <w:rFonts w:ascii="Times New Roman" w:eastAsia="Times New Roman" w:hAnsi="Times New Roman" w:cs="Times New Roman"/>
          <w:color w:val="000000"/>
          <w:lang w:val="en" w:eastAsia="en-GB"/>
        </w:rPr>
        <w:t xml:space="preserve"> (Accessed: 27 April 2026).</w:t>
      </w:r>
    </w:p>
    <w:p w14:paraId="2EAE0245"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Toyota Motor North America (2024a) </w:t>
      </w:r>
      <w:r w:rsidRPr="002D0559">
        <w:rPr>
          <w:rFonts w:ascii="Times New Roman" w:eastAsia="Times New Roman" w:hAnsi="Times New Roman" w:cs="Times New Roman"/>
          <w:i/>
          <w:iCs/>
          <w:color w:val="000000"/>
          <w:lang w:val="en" w:eastAsia="en-GB"/>
        </w:rPr>
        <w:t>10 Interesting Facts About Toyota’s U.S. Plants</w:t>
      </w:r>
      <w:r w:rsidRPr="002D0559">
        <w:rPr>
          <w:rFonts w:ascii="Times New Roman" w:eastAsia="Times New Roman" w:hAnsi="Times New Roman" w:cs="Times New Roman"/>
          <w:color w:val="000000"/>
          <w:lang w:val="en" w:eastAsia="en-GB"/>
        </w:rPr>
        <w:t xml:space="preserve">. Available at: </w:t>
      </w:r>
      <w:hyperlink r:id="rId32">
        <w:r w:rsidRPr="002D0559">
          <w:rPr>
            <w:rFonts w:ascii="Times New Roman" w:eastAsia="Times New Roman" w:hAnsi="Times New Roman" w:cs="Times New Roman"/>
            <w:color w:val="0000FF"/>
            <w:u w:val="single"/>
            <w:lang w:val="en" w:eastAsia="en-GB"/>
          </w:rPr>
          <w:t>https://pressroom.toyota.com/celebrating-manufacturing-day-10-interesting-facts-about-toyotas-u-s-plants/</w:t>
        </w:r>
      </w:hyperlink>
      <w:r w:rsidRPr="002D0559">
        <w:rPr>
          <w:rFonts w:ascii="Times New Roman" w:eastAsia="Times New Roman" w:hAnsi="Times New Roman" w:cs="Times New Roman"/>
          <w:color w:val="000000"/>
          <w:lang w:val="en" w:eastAsia="en-GB"/>
        </w:rPr>
        <w:t xml:space="preserve"> (Accessed: 27 April 2026).</w:t>
      </w:r>
    </w:p>
    <w:p w14:paraId="6499E403"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Toyota Motor North America (2024b) </w:t>
      </w:r>
      <w:r w:rsidRPr="002D0559">
        <w:rPr>
          <w:rFonts w:ascii="Times New Roman" w:eastAsia="Times New Roman" w:hAnsi="Times New Roman" w:cs="Times New Roman"/>
          <w:i/>
          <w:iCs/>
          <w:color w:val="000000"/>
          <w:lang w:val="en" w:eastAsia="en-GB"/>
        </w:rPr>
        <w:t>Environmental Sustainability Report 2024</w:t>
      </w:r>
      <w:r w:rsidRPr="002D0559">
        <w:rPr>
          <w:rFonts w:ascii="Times New Roman" w:eastAsia="Times New Roman" w:hAnsi="Times New Roman" w:cs="Times New Roman"/>
          <w:color w:val="000000"/>
          <w:lang w:val="en" w:eastAsia="en-GB"/>
        </w:rPr>
        <w:t xml:space="preserve">. Available at: </w:t>
      </w:r>
      <w:hyperlink r:id="rId33">
        <w:r w:rsidRPr="002D0559">
          <w:rPr>
            <w:rFonts w:ascii="Times New Roman" w:eastAsia="Times New Roman" w:hAnsi="Times New Roman" w:cs="Times New Roman"/>
            <w:color w:val="0000FF"/>
            <w:u w:val="single"/>
            <w:lang w:val="en" w:eastAsia="en-GB"/>
          </w:rPr>
          <w:t>https://www.toyota.com/content/dam/tusa/environmentreport/downloads/2024NAER_Final.pdf</w:t>
        </w:r>
      </w:hyperlink>
      <w:r w:rsidRPr="002D0559">
        <w:rPr>
          <w:rFonts w:ascii="Times New Roman" w:eastAsia="Times New Roman" w:hAnsi="Times New Roman" w:cs="Times New Roman"/>
          <w:color w:val="000000"/>
          <w:lang w:val="en" w:eastAsia="en-GB"/>
        </w:rPr>
        <w:t xml:space="preserve"> (Accessed: 27 April 2026).</w:t>
      </w:r>
    </w:p>
    <w:p w14:paraId="7ECD23D9"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Toyota Motor North America (2024c) </w:t>
      </w:r>
      <w:r w:rsidRPr="002D0559">
        <w:rPr>
          <w:rFonts w:ascii="Times New Roman" w:eastAsia="Times New Roman" w:hAnsi="Times New Roman" w:cs="Times New Roman"/>
          <w:i/>
          <w:iCs/>
          <w:color w:val="000000"/>
          <w:lang w:val="en" w:eastAsia="en-GB"/>
        </w:rPr>
        <w:t>Toyota Publishes 2024 North American D+I Annual Report</w:t>
      </w:r>
      <w:r w:rsidRPr="002D0559">
        <w:rPr>
          <w:rFonts w:ascii="Times New Roman" w:eastAsia="Times New Roman" w:hAnsi="Times New Roman" w:cs="Times New Roman"/>
          <w:color w:val="000000"/>
          <w:lang w:val="en" w:eastAsia="en-GB"/>
        </w:rPr>
        <w:t xml:space="preserve">. Available at: </w:t>
      </w:r>
      <w:hyperlink r:id="rId34">
        <w:r w:rsidRPr="002D0559">
          <w:rPr>
            <w:rFonts w:ascii="Times New Roman" w:eastAsia="Times New Roman" w:hAnsi="Times New Roman" w:cs="Times New Roman"/>
            <w:color w:val="0000FF"/>
            <w:u w:val="single"/>
            <w:lang w:val="en" w:eastAsia="en-GB"/>
          </w:rPr>
          <w:t>https://pressroom.toyota.com/the-journey-continues-toyota-publishes-2024-north-american-di-annual-report/</w:t>
        </w:r>
      </w:hyperlink>
      <w:r w:rsidRPr="002D0559">
        <w:rPr>
          <w:rFonts w:ascii="Times New Roman" w:eastAsia="Times New Roman" w:hAnsi="Times New Roman" w:cs="Times New Roman"/>
          <w:color w:val="000000"/>
          <w:lang w:val="en" w:eastAsia="en-GB"/>
        </w:rPr>
        <w:t xml:space="preserve"> (Accessed: 27 April 2026).</w:t>
      </w:r>
    </w:p>
    <w:p w14:paraId="1EE53717"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Toyota Motor North America (2025) </w:t>
      </w:r>
      <w:r w:rsidRPr="002D0559">
        <w:rPr>
          <w:rFonts w:ascii="Times New Roman" w:eastAsia="Times New Roman" w:hAnsi="Times New Roman" w:cs="Times New Roman"/>
          <w:i/>
          <w:iCs/>
          <w:color w:val="000000"/>
          <w:lang w:val="en" w:eastAsia="en-GB"/>
        </w:rPr>
        <w:t>Toyota Motor North America Reports 2024 U.S. Sales Results</w:t>
      </w:r>
      <w:r w:rsidRPr="002D0559">
        <w:rPr>
          <w:rFonts w:ascii="Times New Roman" w:eastAsia="Times New Roman" w:hAnsi="Times New Roman" w:cs="Times New Roman"/>
          <w:color w:val="000000"/>
          <w:lang w:val="en" w:eastAsia="en-GB"/>
        </w:rPr>
        <w:t xml:space="preserve">. Available at: </w:t>
      </w:r>
      <w:hyperlink r:id="rId35">
        <w:r w:rsidRPr="002D0559">
          <w:rPr>
            <w:rFonts w:ascii="Times New Roman" w:eastAsia="Times New Roman" w:hAnsi="Times New Roman" w:cs="Times New Roman"/>
            <w:color w:val="0000FF"/>
            <w:u w:val="single"/>
            <w:lang w:val="en" w:eastAsia="en-GB"/>
          </w:rPr>
          <w:t>https://pressroom.toyota.com/toyota-motor-north-america-reports-2024-u-s-sales-results/</w:t>
        </w:r>
      </w:hyperlink>
      <w:r w:rsidRPr="002D0559">
        <w:rPr>
          <w:rFonts w:ascii="Times New Roman" w:eastAsia="Times New Roman" w:hAnsi="Times New Roman" w:cs="Times New Roman"/>
          <w:color w:val="000000"/>
          <w:lang w:val="en" w:eastAsia="en-GB"/>
        </w:rPr>
        <w:t xml:space="preserve"> (Accessed: 27 April 2026).</w:t>
      </w:r>
    </w:p>
    <w:p w14:paraId="5A7F3F8D"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Toyota Motor North America (2025) </w:t>
      </w:r>
      <w:r w:rsidRPr="002D0559">
        <w:rPr>
          <w:rFonts w:ascii="Times New Roman" w:eastAsia="Times New Roman" w:hAnsi="Times New Roman" w:cs="Times New Roman"/>
          <w:i/>
          <w:iCs/>
          <w:color w:val="000000"/>
          <w:lang w:val="en" w:eastAsia="en-GB"/>
        </w:rPr>
        <w:t>Toyota Announces North American Manufacturing Operations and Executive Changes</w:t>
      </w:r>
      <w:r w:rsidRPr="002D0559">
        <w:rPr>
          <w:rFonts w:ascii="Times New Roman" w:eastAsia="Times New Roman" w:hAnsi="Times New Roman" w:cs="Times New Roman"/>
          <w:color w:val="000000"/>
          <w:lang w:val="en" w:eastAsia="en-GB"/>
        </w:rPr>
        <w:t xml:space="preserve">. Available at: </w:t>
      </w:r>
      <w:hyperlink r:id="rId36">
        <w:r w:rsidRPr="002D0559">
          <w:rPr>
            <w:rFonts w:ascii="Times New Roman" w:eastAsia="Times New Roman" w:hAnsi="Times New Roman" w:cs="Times New Roman"/>
            <w:color w:val="0000FF"/>
            <w:u w:val="single"/>
            <w:lang w:val="en" w:eastAsia="en-GB"/>
          </w:rPr>
          <w:t>https://pressroom.toyota.com/toyota-announces-north-american-manufacturing-operations-and-executive-changes/</w:t>
        </w:r>
      </w:hyperlink>
      <w:r w:rsidRPr="002D0559">
        <w:rPr>
          <w:rFonts w:ascii="Times New Roman" w:eastAsia="Times New Roman" w:hAnsi="Times New Roman" w:cs="Times New Roman"/>
          <w:color w:val="000000"/>
          <w:lang w:val="en" w:eastAsia="en-GB"/>
        </w:rPr>
        <w:t xml:space="preserve"> (Accessed: 27 April 2026).</w:t>
      </w:r>
    </w:p>
    <w:p w14:paraId="5EB5E807"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U.S. Department of Energy (2024) </w:t>
      </w:r>
      <w:r w:rsidRPr="002D0559">
        <w:rPr>
          <w:rFonts w:ascii="Times New Roman" w:eastAsia="Times New Roman" w:hAnsi="Times New Roman" w:cs="Times New Roman"/>
          <w:i/>
          <w:iCs/>
          <w:color w:val="000000"/>
          <w:lang w:val="en" w:eastAsia="en-GB"/>
        </w:rPr>
        <w:t>Securing EV Charging Infrastructure Part 2: Game-Changing Research</w:t>
      </w:r>
      <w:r w:rsidRPr="002D0559">
        <w:rPr>
          <w:rFonts w:ascii="Times New Roman" w:eastAsia="Times New Roman" w:hAnsi="Times New Roman" w:cs="Times New Roman"/>
          <w:color w:val="000000"/>
          <w:lang w:val="en" w:eastAsia="en-GB"/>
        </w:rPr>
        <w:t xml:space="preserve">. Available at: </w:t>
      </w:r>
      <w:hyperlink r:id="rId37">
        <w:r w:rsidRPr="002D0559">
          <w:rPr>
            <w:rFonts w:ascii="Times New Roman" w:eastAsia="Times New Roman" w:hAnsi="Times New Roman" w:cs="Times New Roman"/>
            <w:color w:val="0000FF"/>
            <w:u w:val="single"/>
            <w:lang w:val="en" w:eastAsia="en-GB"/>
          </w:rPr>
          <w:t>https://www.energy.gov/ceser/articles/securing-ev-charging-infrastructure-part-2-game-changing-research</w:t>
        </w:r>
      </w:hyperlink>
      <w:r w:rsidRPr="002D0559">
        <w:rPr>
          <w:rFonts w:ascii="Times New Roman" w:eastAsia="Times New Roman" w:hAnsi="Times New Roman" w:cs="Times New Roman"/>
          <w:color w:val="000000"/>
          <w:lang w:val="en" w:eastAsia="en-GB"/>
        </w:rPr>
        <w:t xml:space="preserve"> (Accessed: 27 April 2026).</w:t>
      </w:r>
    </w:p>
    <w:p w14:paraId="03932C4A"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U.S. Department of Energy, Alternative Fuels Data Center (2025a) </w:t>
      </w:r>
      <w:r w:rsidRPr="002D0559">
        <w:rPr>
          <w:rFonts w:ascii="Times New Roman" w:eastAsia="Times New Roman" w:hAnsi="Times New Roman" w:cs="Times New Roman"/>
          <w:i/>
          <w:iCs/>
          <w:color w:val="000000"/>
          <w:lang w:val="en" w:eastAsia="en-GB"/>
        </w:rPr>
        <w:t>Electric Vehicle Charging Stations</w:t>
      </w:r>
      <w:r w:rsidRPr="002D0559">
        <w:rPr>
          <w:rFonts w:ascii="Times New Roman" w:eastAsia="Times New Roman" w:hAnsi="Times New Roman" w:cs="Times New Roman"/>
          <w:color w:val="000000"/>
          <w:lang w:val="en" w:eastAsia="en-GB"/>
        </w:rPr>
        <w:t xml:space="preserve">. Available at: </w:t>
      </w:r>
      <w:hyperlink r:id="rId38">
        <w:r w:rsidRPr="002D0559">
          <w:rPr>
            <w:rFonts w:ascii="Times New Roman" w:eastAsia="Times New Roman" w:hAnsi="Times New Roman" w:cs="Times New Roman"/>
            <w:color w:val="0000FF"/>
            <w:u w:val="single"/>
            <w:lang w:val="en" w:eastAsia="en-GB"/>
          </w:rPr>
          <w:t>https://afdc.energy.gov/fuels/electricity-stations</w:t>
        </w:r>
      </w:hyperlink>
      <w:r w:rsidRPr="002D0559">
        <w:rPr>
          <w:rFonts w:ascii="Times New Roman" w:eastAsia="Times New Roman" w:hAnsi="Times New Roman" w:cs="Times New Roman"/>
          <w:color w:val="000000"/>
          <w:lang w:val="en" w:eastAsia="en-GB"/>
        </w:rPr>
        <w:t xml:space="preserve"> (Accessed: 27 April 2026).</w:t>
      </w:r>
    </w:p>
    <w:p w14:paraId="4016BAE5"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U.S. Department of Energy, Alternative Fuels Data Center (2025b) </w:t>
      </w:r>
      <w:r w:rsidRPr="002D0559">
        <w:rPr>
          <w:rFonts w:ascii="Times New Roman" w:eastAsia="Times New Roman" w:hAnsi="Times New Roman" w:cs="Times New Roman"/>
          <w:i/>
          <w:iCs/>
          <w:color w:val="000000"/>
          <w:lang w:val="en" w:eastAsia="en-GB"/>
        </w:rPr>
        <w:t>U.S. Public Electric Vehicle Charging Infrastructure</w:t>
      </w:r>
      <w:r w:rsidRPr="002D0559">
        <w:rPr>
          <w:rFonts w:ascii="Times New Roman" w:eastAsia="Times New Roman" w:hAnsi="Times New Roman" w:cs="Times New Roman"/>
          <w:color w:val="000000"/>
          <w:lang w:val="en" w:eastAsia="en-GB"/>
        </w:rPr>
        <w:t xml:space="preserve">. Available at: </w:t>
      </w:r>
      <w:hyperlink r:id="rId39">
        <w:r w:rsidRPr="002D0559">
          <w:rPr>
            <w:rFonts w:ascii="Times New Roman" w:eastAsia="Times New Roman" w:hAnsi="Times New Roman" w:cs="Times New Roman"/>
            <w:color w:val="0000FF"/>
            <w:u w:val="single"/>
            <w:lang w:val="en" w:eastAsia="en-GB"/>
          </w:rPr>
          <w:t>https://afdc.energy.gov/data/10972</w:t>
        </w:r>
      </w:hyperlink>
      <w:r w:rsidRPr="002D0559">
        <w:rPr>
          <w:rFonts w:ascii="Times New Roman" w:eastAsia="Times New Roman" w:hAnsi="Times New Roman" w:cs="Times New Roman"/>
          <w:color w:val="000000"/>
          <w:lang w:val="en" w:eastAsia="en-GB"/>
        </w:rPr>
        <w:t xml:space="preserve"> (Accessed: 27 April 2026).</w:t>
      </w:r>
    </w:p>
    <w:p w14:paraId="430CBCE1"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U.S. International Trade Commission (2024) </w:t>
      </w:r>
      <w:r w:rsidRPr="002D0559">
        <w:rPr>
          <w:rFonts w:ascii="Times New Roman" w:eastAsia="Times New Roman" w:hAnsi="Times New Roman" w:cs="Times New Roman"/>
          <w:i/>
          <w:iCs/>
          <w:color w:val="000000"/>
          <w:lang w:val="en" w:eastAsia="en-GB"/>
        </w:rPr>
        <w:t>National Automotive Competitiveness</w:t>
      </w:r>
      <w:r w:rsidRPr="002D0559">
        <w:rPr>
          <w:rFonts w:ascii="Times New Roman" w:eastAsia="Times New Roman" w:hAnsi="Times New Roman" w:cs="Times New Roman"/>
          <w:color w:val="000000"/>
          <w:lang w:val="en" w:eastAsia="en-GB"/>
        </w:rPr>
        <w:t xml:space="preserve">. Available at: </w:t>
      </w:r>
      <w:hyperlink r:id="rId40">
        <w:r w:rsidRPr="002D0559">
          <w:rPr>
            <w:rFonts w:ascii="Times New Roman" w:eastAsia="Times New Roman" w:hAnsi="Times New Roman" w:cs="Times New Roman"/>
            <w:color w:val="0000FF"/>
            <w:u w:val="single"/>
            <w:lang w:val="en" w:eastAsia="en-GB"/>
          </w:rPr>
          <w:t>https://www.usitc.gov/sites/default/files/publications/332/working_papers/national_automotive_competitiveness.pdf</w:t>
        </w:r>
      </w:hyperlink>
      <w:r w:rsidRPr="002D0559">
        <w:rPr>
          <w:rFonts w:ascii="Times New Roman" w:eastAsia="Times New Roman" w:hAnsi="Times New Roman" w:cs="Times New Roman"/>
          <w:color w:val="000000"/>
          <w:lang w:val="en" w:eastAsia="en-GB"/>
        </w:rPr>
        <w:t xml:space="preserve"> (Accessed: 27 April 2026).</w:t>
      </w:r>
    </w:p>
    <w:p w14:paraId="5AB6EDD6"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University of Edinburgh (2024) </w:t>
      </w:r>
      <w:r w:rsidRPr="002D0559">
        <w:rPr>
          <w:rFonts w:ascii="Times New Roman" w:eastAsia="Times New Roman" w:hAnsi="Times New Roman" w:cs="Times New Roman"/>
          <w:i/>
          <w:iCs/>
          <w:color w:val="000000"/>
          <w:lang w:val="en" w:eastAsia="en-GB"/>
        </w:rPr>
        <w:t>Gibbs’ Reflective Cycle</w:t>
      </w:r>
      <w:r w:rsidRPr="002D0559">
        <w:rPr>
          <w:rFonts w:ascii="Times New Roman" w:eastAsia="Times New Roman" w:hAnsi="Times New Roman" w:cs="Times New Roman"/>
          <w:color w:val="000000"/>
          <w:lang w:val="en" w:eastAsia="en-GB"/>
        </w:rPr>
        <w:t xml:space="preserve">. Available at: </w:t>
      </w:r>
      <w:hyperlink r:id="rId41">
        <w:r w:rsidRPr="002D0559">
          <w:rPr>
            <w:rFonts w:ascii="Times New Roman" w:eastAsia="Times New Roman" w:hAnsi="Times New Roman" w:cs="Times New Roman"/>
            <w:color w:val="0000FF"/>
            <w:u w:val="single"/>
            <w:lang w:val="en" w:eastAsia="en-GB"/>
          </w:rPr>
          <w:t>https://reflection.ed.ac.uk/reflectors-toolkit/reflecting-on-experience/gibbs-reflective-cycle</w:t>
        </w:r>
      </w:hyperlink>
      <w:r w:rsidRPr="002D0559">
        <w:rPr>
          <w:rFonts w:ascii="Times New Roman" w:eastAsia="Times New Roman" w:hAnsi="Times New Roman" w:cs="Times New Roman"/>
          <w:color w:val="000000"/>
          <w:lang w:val="en" w:eastAsia="en-GB"/>
        </w:rPr>
        <w:t xml:space="preserve"> (Accessed: 27 April 2026).</w:t>
      </w:r>
    </w:p>
    <w:p w14:paraId="36CF0C60"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World Trade Organization (2025) </w:t>
      </w:r>
      <w:r w:rsidRPr="002D0559">
        <w:rPr>
          <w:rFonts w:ascii="Times New Roman" w:eastAsia="Times New Roman" w:hAnsi="Times New Roman" w:cs="Times New Roman"/>
          <w:i/>
          <w:iCs/>
          <w:color w:val="000000"/>
          <w:lang w:val="en" w:eastAsia="en-GB"/>
        </w:rPr>
        <w:t>Global Electric Vehicle Value Chains: Paradigm Shifts and New Opportunities for Developing Economies</w:t>
      </w:r>
      <w:r w:rsidRPr="002D0559">
        <w:rPr>
          <w:rFonts w:ascii="Times New Roman" w:eastAsia="Times New Roman" w:hAnsi="Times New Roman" w:cs="Times New Roman"/>
          <w:color w:val="000000"/>
          <w:lang w:val="en" w:eastAsia="en-GB"/>
        </w:rPr>
        <w:t xml:space="preserve">. Available at: </w:t>
      </w:r>
      <w:hyperlink r:id="rId42">
        <w:r w:rsidRPr="002D0559">
          <w:rPr>
            <w:rFonts w:ascii="Times New Roman" w:eastAsia="Times New Roman" w:hAnsi="Times New Roman" w:cs="Times New Roman"/>
            <w:color w:val="0000FF"/>
            <w:u w:val="single"/>
            <w:lang w:val="en" w:eastAsia="en-GB"/>
          </w:rPr>
          <w:t>https://www.wto.org/english/res_e/booksp_e/gvcreport2025-03_e.pdf</w:t>
        </w:r>
      </w:hyperlink>
      <w:r w:rsidRPr="002D0559">
        <w:rPr>
          <w:rFonts w:ascii="Times New Roman" w:eastAsia="Times New Roman" w:hAnsi="Times New Roman" w:cs="Times New Roman"/>
          <w:color w:val="000000"/>
          <w:lang w:val="en" w:eastAsia="en-GB"/>
        </w:rPr>
        <w:t xml:space="preserve"> (Accessed: 27 April 2026).</w:t>
      </w:r>
    </w:p>
    <w:p w14:paraId="401A8C5A"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proofErr w:type="spellStart"/>
      <w:r w:rsidRPr="002D0559">
        <w:rPr>
          <w:rFonts w:ascii="Times New Roman" w:eastAsia="Times New Roman" w:hAnsi="Times New Roman" w:cs="Times New Roman"/>
          <w:color w:val="000000"/>
          <w:lang w:val="en" w:eastAsia="en-GB"/>
        </w:rPr>
        <w:t>Zaino</w:t>
      </w:r>
      <w:proofErr w:type="spellEnd"/>
      <w:r w:rsidRPr="002D0559">
        <w:rPr>
          <w:rFonts w:ascii="Times New Roman" w:eastAsia="Times New Roman" w:hAnsi="Times New Roman" w:cs="Times New Roman"/>
          <w:color w:val="000000"/>
          <w:lang w:val="en" w:eastAsia="en-GB"/>
        </w:rPr>
        <w:t xml:space="preserve">, R., Ahmed, V., </w:t>
      </w:r>
      <w:proofErr w:type="spellStart"/>
      <w:r w:rsidRPr="002D0559">
        <w:rPr>
          <w:rFonts w:ascii="Times New Roman" w:eastAsia="Times New Roman" w:hAnsi="Times New Roman" w:cs="Times New Roman"/>
          <w:color w:val="000000"/>
          <w:lang w:val="en" w:eastAsia="en-GB"/>
        </w:rPr>
        <w:t>Alhammadi</w:t>
      </w:r>
      <w:proofErr w:type="spellEnd"/>
      <w:r w:rsidRPr="002D0559">
        <w:rPr>
          <w:rFonts w:ascii="Times New Roman" w:eastAsia="Times New Roman" w:hAnsi="Times New Roman" w:cs="Times New Roman"/>
          <w:color w:val="000000"/>
          <w:lang w:val="en" w:eastAsia="en-GB"/>
        </w:rPr>
        <w:t xml:space="preserve">, A.M. and </w:t>
      </w:r>
      <w:proofErr w:type="spellStart"/>
      <w:r w:rsidRPr="002D0559">
        <w:rPr>
          <w:rFonts w:ascii="Times New Roman" w:eastAsia="Times New Roman" w:hAnsi="Times New Roman" w:cs="Times New Roman"/>
          <w:color w:val="000000"/>
          <w:lang w:val="en" w:eastAsia="en-GB"/>
        </w:rPr>
        <w:t>Alghoush</w:t>
      </w:r>
      <w:proofErr w:type="spellEnd"/>
      <w:r w:rsidRPr="002D0559">
        <w:rPr>
          <w:rFonts w:ascii="Times New Roman" w:eastAsia="Times New Roman" w:hAnsi="Times New Roman" w:cs="Times New Roman"/>
          <w:color w:val="000000"/>
          <w:lang w:val="en" w:eastAsia="en-GB"/>
        </w:rPr>
        <w:t xml:space="preserve">, M. (2024) </w:t>
      </w:r>
      <w:r w:rsidRPr="002D0559">
        <w:rPr>
          <w:rFonts w:ascii="Times New Roman" w:eastAsia="Times New Roman" w:hAnsi="Times New Roman" w:cs="Times New Roman"/>
          <w:i/>
          <w:iCs/>
          <w:color w:val="000000"/>
          <w:lang w:val="en" w:eastAsia="en-GB"/>
        </w:rPr>
        <w:t>Electric Vehicle Adoption: A Comprehensive Systematic Review of Technological, Environmental, Organizational and Policy Impacts</w:t>
      </w:r>
      <w:r w:rsidRPr="002D0559">
        <w:rPr>
          <w:rFonts w:ascii="Times New Roman" w:eastAsia="Times New Roman" w:hAnsi="Times New Roman" w:cs="Times New Roman"/>
          <w:color w:val="000000"/>
          <w:lang w:val="en" w:eastAsia="en-GB"/>
        </w:rPr>
        <w:t xml:space="preserve">. </w:t>
      </w:r>
      <w:r w:rsidRPr="002D0559">
        <w:rPr>
          <w:rFonts w:ascii="Times New Roman" w:eastAsia="Times New Roman" w:hAnsi="Times New Roman" w:cs="Times New Roman"/>
          <w:i/>
          <w:iCs/>
          <w:color w:val="000000"/>
          <w:lang w:val="en" w:eastAsia="en-GB"/>
        </w:rPr>
        <w:t>World Electric Vehicle Journal</w:t>
      </w:r>
      <w:r w:rsidRPr="002D0559">
        <w:rPr>
          <w:rFonts w:ascii="Times New Roman" w:eastAsia="Times New Roman" w:hAnsi="Times New Roman" w:cs="Times New Roman"/>
          <w:color w:val="000000"/>
          <w:lang w:val="en" w:eastAsia="en-GB"/>
        </w:rPr>
        <w:t xml:space="preserve">, 15(8), 375. Available at: </w:t>
      </w:r>
      <w:hyperlink r:id="rId43">
        <w:r w:rsidRPr="002D0559">
          <w:rPr>
            <w:rFonts w:ascii="Times New Roman" w:eastAsia="Times New Roman" w:hAnsi="Times New Roman" w:cs="Times New Roman"/>
            <w:color w:val="0000FF"/>
            <w:u w:val="single"/>
            <w:lang w:val="en" w:eastAsia="en-GB"/>
          </w:rPr>
          <w:t>https://www.mdpi.com/2032-6653/15/8/375</w:t>
        </w:r>
      </w:hyperlink>
      <w:r w:rsidRPr="002D0559">
        <w:rPr>
          <w:rFonts w:ascii="Times New Roman" w:eastAsia="Times New Roman" w:hAnsi="Times New Roman" w:cs="Times New Roman"/>
          <w:color w:val="000000"/>
          <w:lang w:val="en" w:eastAsia="en-GB"/>
        </w:rPr>
        <w:t xml:space="preserve"> (Accessed: 27 April 2026).</w:t>
      </w:r>
    </w:p>
    <w:p w14:paraId="55872B7D"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Census Bureau (2025) </w:t>
      </w:r>
      <w:r w:rsidRPr="002D0559">
        <w:rPr>
          <w:rFonts w:ascii="Times New Roman" w:eastAsia="Times New Roman" w:hAnsi="Times New Roman" w:cs="Times New Roman"/>
          <w:i/>
          <w:iCs/>
          <w:color w:val="000000"/>
          <w:lang w:val="en" w:eastAsia="en-GB"/>
        </w:rPr>
        <w:t>Monthly Full Report on Manufacturers’ Shipments, Inventories, and Orders</w:t>
      </w:r>
      <w:r w:rsidRPr="002D0559">
        <w:rPr>
          <w:rFonts w:ascii="Times New Roman" w:eastAsia="Times New Roman" w:hAnsi="Times New Roman" w:cs="Times New Roman"/>
          <w:color w:val="000000"/>
          <w:lang w:val="en" w:eastAsia="en-GB"/>
        </w:rPr>
        <w:t xml:space="preserve">. Available at: </w:t>
      </w:r>
      <w:hyperlink r:id="rId44">
        <w:r w:rsidRPr="002D0559">
          <w:rPr>
            <w:rFonts w:ascii="Times New Roman" w:eastAsia="Times New Roman" w:hAnsi="Times New Roman" w:cs="Times New Roman"/>
            <w:color w:val="0000FF"/>
            <w:u w:val="single"/>
            <w:lang w:val="en" w:eastAsia="en-GB"/>
          </w:rPr>
          <w:t>https://www.census.gov/manufacturing/m3/historical_data/pressreleases/prel/2024/dec24prel.pdf</w:t>
        </w:r>
      </w:hyperlink>
      <w:r w:rsidRPr="002D0559">
        <w:rPr>
          <w:rFonts w:ascii="Times New Roman" w:eastAsia="Times New Roman" w:hAnsi="Times New Roman" w:cs="Times New Roman"/>
          <w:color w:val="000000"/>
          <w:lang w:val="en" w:eastAsia="en-GB"/>
        </w:rPr>
        <w:t xml:space="preserve"> (Accessed: 27 April 2026).</w:t>
      </w:r>
    </w:p>
    <w:p w14:paraId="3D9C4F99"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ICCT (2023) </w:t>
      </w:r>
      <w:r w:rsidRPr="002D0559">
        <w:rPr>
          <w:rFonts w:ascii="Times New Roman" w:eastAsia="Times New Roman" w:hAnsi="Times New Roman" w:cs="Times New Roman"/>
          <w:i/>
          <w:iCs/>
          <w:color w:val="000000"/>
          <w:lang w:val="en" w:eastAsia="en-GB"/>
        </w:rPr>
        <w:t>Analyzing the Impact of the Inflation Reduction Act on Electric Vehicle Uptake in the United States</w:t>
      </w:r>
      <w:r w:rsidRPr="002D0559">
        <w:rPr>
          <w:rFonts w:ascii="Times New Roman" w:eastAsia="Times New Roman" w:hAnsi="Times New Roman" w:cs="Times New Roman"/>
          <w:color w:val="000000"/>
          <w:lang w:val="en" w:eastAsia="en-GB"/>
        </w:rPr>
        <w:t xml:space="preserve">. Available at: </w:t>
      </w:r>
      <w:hyperlink r:id="rId45">
        <w:r w:rsidRPr="002D0559">
          <w:rPr>
            <w:rFonts w:ascii="Times New Roman" w:eastAsia="Times New Roman" w:hAnsi="Times New Roman" w:cs="Times New Roman"/>
            <w:color w:val="0000FF"/>
            <w:u w:val="single"/>
            <w:lang w:val="en" w:eastAsia="en-GB"/>
          </w:rPr>
          <w:t>https://theicct.org/wp-content/uploads/2023/01/ira-impact-evs-us-jan23.pdf</w:t>
        </w:r>
      </w:hyperlink>
      <w:r w:rsidRPr="002D0559">
        <w:rPr>
          <w:rFonts w:ascii="Times New Roman" w:eastAsia="Times New Roman" w:hAnsi="Times New Roman" w:cs="Times New Roman"/>
          <w:color w:val="000000"/>
          <w:lang w:val="en" w:eastAsia="en-GB"/>
        </w:rPr>
        <w:t xml:space="preserve"> (Accessed: 27 April 2026).</w:t>
      </w:r>
    </w:p>
    <w:p w14:paraId="30A67DB8"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U.S. Bureau of Economic Analysis (2026) </w:t>
      </w:r>
      <w:r w:rsidRPr="002D0559">
        <w:rPr>
          <w:rFonts w:ascii="Times New Roman" w:eastAsia="Times New Roman" w:hAnsi="Times New Roman" w:cs="Times New Roman"/>
          <w:i/>
          <w:iCs/>
          <w:color w:val="000000"/>
          <w:lang w:val="en" w:eastAsia="en-GB"/>
        </w:rPr>
        <w:t>U.S. International Trade in Goods and Services, January 2026</w:t>
      </w:r>
      <w:r w:rsidRPr="002D0559">
        <w:rPr>
          <w:rFonts w:ascii="Times New Roman" w:eastAsia="Times New Roman" w:hAnsi="Times New Roman" w:cs="Times New Roman"/>
          <w:color w:val="000000"/>
          <w:lang w:val="en" w:eastAsia="en-GB"/>
        </w:rPr>
        <w:t xml:space="preserve">. Available at: </w:t>
      </w:r>
      <w:hyperlink r:id="rId46">
        <w:r w:rsidRPr="002D0559">
          <w:rPr>
            <w:rFonts w:ascii="Times New Roman" w:eastAsia="Times New Roman" w:hAnsi="Times New Roman" w:cs="Times New Roman"/>
            <w:color w:val="0000FF"/>
            <w:u w:val="single"/>
            <w:lang w:val="en" w:eastAsia="en-GB"/>
          </w:rPr>
          <w:t>https://www.bea.gov/sites/default/files/2026-03/trad0126.pdf</w:t>
        </w:r>
      </w:hyperlink>
      <w:r w:rsidRPr="002D0559">
        <w:rPr>
          <w:rFonts w:ascii="Times New Roman" w:eastAsia="Times New Roman" w:hAnsi="Times New Roman" w:cs="Times New Roman"/>
          <w:color w:val="000000"/>
          <w:lang w:val="en" w:eastAsia="en-GB"/>
        </w:rPr>
        <w:t xml:space="preserve"> (Accessed: 27 April 2026).</w:t>
      </w:r>
    </w:p>
    <w:p w14:paraId="7E31CD36" w14:textId="77777777" w:rsidR="00A55B97" w:rsidRPr="002D0559" w:rsidRDefault="00A55B97" w:rsidP="00DA3F59">
      <w:pPr>
        <w:spacing w:before="240" w:after="240" w:line="480" w:lineRule="auto"/>
        <w:jc w:val="both"/>
        <w:rPr>
          <w:rFonts w:ascii="Times New Roman" w:eastAsia="Times New Roman" w:hAnsi="Times New Roman" w:cs="Times New Roman"/>
          <w:color w:val="000000"/>
          <w:lang w:val="en" w:eastAsia="en-GB"/>
        </w:rPr>
      </w:pPr>
      <w:r w:rsidRPr="002D0559">
        <w:rPr>
          <w:rFonts w:ascii="Times New Roman" w:eastAsia="Times New Roman" w:hAnsi="Times New Roman" w:cs="Times New Roman"/>
          <w:color w:val="000000"/>
          <w:lang w:val="en" w:eastAsia="en-GB"/>
        </w:rPr>
        <w:t xml:space="preserve">OECD (2025) </w:t>
      </w:r>
      <w:r w:rsidRPr="002D0559">
        <w:rPr>
          <w:rFonts w:ascii="Times New Roman" w:eastAsia="Times New Roman" w:hAnsi="Times New Roman" w:cs="Times New Roman"/>
          <w:i/>
          <w:iCs/>
          <w:color w:val="000000"/>
          <w:lang w:val="en" w:eastAsia="en-GB"/>
        </w:rPr>
        <w:t>The Future of the Automotive Value Chain: Additional insights on innovation and supply chains</w:t>
      </w:r>
      <w:r w:rsidRPr="002D0559">
        <w:rPr>
          <w:rFonts w:ascii="Times New Roman" w:eastAsia="Times New Roman" w:hAnsi="Times New Roman" w:cs="Times New Roman"/>
          <w:color w:val="000000"/>
          <w:lang w:val="en" w:eastAsia="en-GB"/>
        </w:rPr>
        <w:t xml:space="preserve">. Available at: </w:t>
      </w:r>
      <w:hyperlink r:id="rId47">
        <w:r w:rsidRPr="002D0559">
          <w:rPr>
            <w:rFonts w:ascii="Times New Roman" w:eastAsia="Times New Roman" w:hAnsi="Times New Roman" w:cs="Times New Roman"/>
            <w:color w:val="0000FF"/>
            <w:u w:val="single"/>
            <w:lang w:val="en" w:eastAsia="en-GB"/>
          </w:rPr>
          <w:t>https://www.oecd.org/content/dam/oecd/en/publications/reports/2024/11/the-future-of-the-automotive-value-chain_91460165/cb730d65-en.pdf</w:t>
        </w:r>
      </w:hyperlink>
      <w:r w:rsidRPr="002D0559">
        <w:rPr>
          <w:rFonts w:ascii="Times New Roman" w:eastAsia="Times New Roman" w:hAnsi="Times New Roman" w:cs="Times New Roman"/>
          <w:color w:val="000000"/>
          <w:lang w:val="en" w:eastAsia="en-GB"/>
        </w:rPr>
        <w:t xml:space="preserve"> (Accessed: 27 April 2026).</w:t>
      </w:r>
    </w:p>
    <w:p w14:paraId="579A9ADC" w14:textId="77777777" w:rsidR="00A55B97" w:rsidRDefault="00A55B97" w:rsidP="00DA3F59"/>
    <w:sectPr w:rsidR="00A55B97">
      <w:headerReference w:type="even" r:id="rId48"/>
      <w:headerReference w:type="default" r:id="rId49"/>
      <w:footerReference w:type="even" r:id="rId50"/>
      <w:footerReference w:type="default" r:id="rId51"/>
      <w:headerReference w:type="first" r:id="rId52"/>
      <w:footerReference w:type="firs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8C2081" w14:textId="77777777" w:rsidR="006E0AF9" w:rsidRDefault="006E0AF9">
      <w:r>
        <w:separator/>
      </w:r>
    </w:p>
  </w:endnote>
  <w:endnote w:type="continuationSeparator" w:id="0">
    <w:p w14:paraId="6A1DC0BF" w14:textId="77777777" w:rsidR="006E0AF9" w:rsidRDefault="006E0A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44607588"/>
      <w:docPartObj>
        <w:docPartGallery w:val="Page Numbers (Bottom of Page)"/>
        <w:docPartUnique/>
      </w:docPartObj>
    </w:sdtPr>
    <w:sdtContent>
      <w:p w14:paraId="7625235C" w14:textId="3947E534" w:rsidR="006E0AF9" w:rsidRDefault="006E0AF9" w:rsidP="00C32FC0">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9222E0B" w14:textId="77777777" w:rsidR="006A1D46" w:rsidRDefault="006A1D4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14296860"/>
      <w:docPartObj>
        <w:docPartGallery w:val="Page Numbers (Bottom of Page)"/>
        <w:docPartUnique/>
      </w:docPartObj>
    </w:sdtPr>
    <w:sdtContent>
      <w:p w14:paraId="4E729924" w14:textId="28BDE3F6" w:rsidR="006E0AF9" w:rsidRDefault="006E0AF9" w:rsidP="00C32FC0">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F2BC770" w14:textId="322B5330" w:rsidR="005A4392" w:rsidRDefault="005A4392">
    <w:pPr>
      <w:pStyle w:val="BodyText"/>
      <w:spacing w:line="14" w:lineRule="auto"/>
      <w:ind w:left="0"/>
      <w:rPr>
        <w:sz w:val="2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5A4B5C" w14:textId="77777777" w:rsidR="006A1D46" w:rsidRDefault="006A1D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0ADA3E" w14:textId="77777777" w:rsidR="006E0AF9" w:rsidRDefault="006E0AF9">
      <w:r>
        <w:separator/>
      </w:r>
    </w:p>
  </w:footnote>
  <w:footnote w:type="continuationSeparator" w:id="0">
    <w:p w14:paraId="2F95F3EB" w14:textId="77777777" w:rsidR="006E0AF9" w:rsidRDefault="006E0AF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2349B3" w14:textId="77777777" w:rsidR="006A1D46" w:rsidRDefault="006A1D4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CDB075" w14:textId="77777777" w:rsidR="006A1D46" w:rsidRDefault="006A1D46">
    <w:pPr>
      <w:pStyle w:val="Header"/>
    </w:pPr>
  </w:p>
  <w:p w14:paraId="0F596915" w14:textId="77777777" w:rsidR="006A1D46" w:rsidRDefault="006A1D4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934162" w14:textId="77777777" w:rsidR="006A1D46" w:rsidRDefault="006A1D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1A5392B"/>
    <w:multiLevelType w:val="multilevel"/>
    <w:tmpl w:val="213AF684"/>
    <w:lvl w:ilvl="0">
      <w:start w:val="1"/>
      <w:numFmt w:val="decimal"/>
      <w:lvlText w:val="%1."/>
      <w:lvlJc w:val="left"/>
      <w:pPr>
        <w:ind w:left="264" w:hanging="240"/>
        <w:jc w:val="left"/>
      </w:pPr>
      <w:rPr>
        <w:rFonts w:hint="default"/>
        <w:spacing w:val="0"/>
        <w:w w:val="100"/>
        <w:lang w:val="en-US" w:eastAsia="en-US" w:bidi="ar-SA"/>
      </w:rPr>
    </w:lvl>
    <w:lvl w:ilvl="1">
      <w:start w:val="1"/>
      <w:numFmt w:val="decimal"/>
      <w:lvlText w:val="%1.%2"/>
      <w:lvlJc w:val="left"/>
      <w:pPr>
        <w:ind w:left="384" w:hanging="360"/>
        <w:jc w:val="left"/>
      </w:pPr>
      <w:rPr>
        <w:rFonts w:ascii="Times New Roman" w:eastAsia="Times New Roman" w:hAnsi="Times New Roman" w:cs="Times New Roman" w:hint="default"/>
        <w:b/>
        <w:bCs/>
        <w:i w:val="0"/>
        <w:iCs w:val="0"/>
        <w:spacing w:val="0"/>
        <w:w w:val="100"/>
        <w:sz w:val="24"/>
        <w:szCs w:val="24"/>
        <w:lang w:val="en-US" w:eastAsia="en-US" w:bidi="ar-SA"/>
      </w:rPr>
    </w:lvl>
    <w:lvl w:ilvl="2">
      <w:numFmt w:val="bullet"/>
      <w:lvlText w:val="•"/>
      <w:lvlJc w:val="left"/>
      <w:pPr>
        <w:ind w:left="1392" w:hanging="360"/>
      </w:pPr>
      <w:rPr>
        <w:rFonts w:hint="default"/>
        <w:lang w:val="en-US" w:eastAsia="en-US" w:bidi="ar-SA"/>
      </w:rPr>
    </w:lvl>
    <w:lvl w:ilvl="3">
      <w:numFmt w:val="bullet"/>
      <w:lvlText w:val="•"/>
      <w:lvlJc w:val="left"/>
      <w:pPr>
        <w:ind w:left="2405" w:hanging="360"/>
      </w:pPr>
      <w:rPr>
        <w:rFonts w:hint="default"/>
        <w:lang w:val="en-US" w:eastAsia="en-US" w:bidi="ar-SA"/>
      </w:rPr>
    </w:lvl>
    <w:lvl w:ilvl="4">
      <w:numFmt w:val="bullet"/>
      <w:lvlText w:val="•"/>
      <w:lvlJc w:val="left"/>
      <w:pPr>
        <w:ind w:left="3418" w:hanging="360"/>
      </w:pPr>
      <w:rPr>
        <w:rFonts w:hint="default"/>
        <w:lang w:val="en-US" w:eastAsia="en-US" w:bidi="ar-SA"/>
      </w:rPr>
    </w:lvl>
    <w:lvl w:ilvl="5">
      <w:numFmt w:val="bullet"/>
      <w:lvlText w:val="•"/>
      <w:lvlJc w:val="left"/>
      <w:pPr>
        <w:ind w:left="4431" w:hanging="360"/>
      </w:pPr>
      <w:rPr>
        <w:rFonts w:hint="default"/>
        <w:lang w:val="en-US" w:eastAsia="en-US" w:bidi="ar-SA"/>
      </w:rPr>
    </w:lvl>
    <w:lvl w:ilvl="6">
      <w:numFmt w:val="bullet"/>
      <w:lvlText w:val="•"/>
      <w:lvlJc w:val="left"/>
      <w:pPr>
        <w:ind w:left="5444" w:hanging="360"/>
      </w:pPr>
      <w:rPr>
        <w:rFonts w:hint="default"/>
        <w:lang w:val="en-US" w:eastAsia="en-US" w:bidi="ar-SA"/>
      </w:rPr>
    </w:lvl>
    <w:lvl w:ilvl="7">
      <w:numFmt w:val="bullet"/>
      <w:lvlText w:val="•"/>
      <w:lvlJc w:val="left"/>
      <w:pPr>
        <w:ind w:left="6457" w:hanging="360"/>
      </w:pPr>
      <w:rPr>
        <w:rFonts w:hint="default"/>
        <w:lang w:val="en-US" w:eastAsia="en-US" w:bidi="ar-SA"/>
      </w:rPr>
    </w:lvl>
    <w:lvl w:ilvl="8">
      <w:numFmt w:val="bullet"/>
      <w:lvlText w:val="•"/>
      <w:lvlJc w:val="left"/>
      <w:pPr>
        <w:ind w:left="7470" w:hanging="360"/>
      </w:pPr>
      <w:rPr>
        <w:rFonts w:hint="default"/>
        <w:lang w:val="en-US" w:eastAsia="en-US" w:bidi="ar-SA"/>
      </w:rPr>
    </w:lvl>
  </w:abstractNum>
  <w:num w:numId="1" w16cid:durableId="13070060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392"/>
    <w:rsid w:val="003D52F8"/>
    <w:rsid w:val="004A51A4"/>
    <w:rsid w:val="005A4392"/>
    <w:rsid w:val="006A1D46"/>
    <w:rsid w:val="006E0AF9"/>
    <w:rsid w:val="008A16E7"/>
    <w:rsid w:val="00920CA7"/>
    <w:rsid w:val="00A55B9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D94A81A"/>
  <w15:chartTrackingRefBased/>
  <w15:docId w15:val="{FD638981-7811-BB43-A3F6-F70BAB635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A4392"/>
    <w:pPr>
      <w:widowControl w:val="0"/>
      <w:autoSpaceDE w:val="0"/>
      <w:autoSpaceDN w:val="0"/>
      <w:ind w:left="24"/>
      <w:outlineLvl w:val="0"/>
    </w:pPr>
    <w:rPr>
      <w:rFonts w:ascii="Times New Roman" w:eastAsia="Times New Roman" w:hAnsi="Times New Roman" w:cs="Times New Roman"/>
      <w:b/>
      <w:bCs/>
      <w:sz w:val="26"/>
      <w:szCs w:val="26"/>
      <w:lang w:val="en-US"/>
    </w:rPr>
  </w:style>
  <w:style w:type="paragraph" w:styleId="Heading2">
    <w:name w:val="heading 2"/>
    <w:basedOn w:val="Normal"/>
    <w:link w:val="Heading2Char"/>
    <w:uiPriority w:val="9"/>
    <w:unhideWhenUsed/>
    <w:qFormat/>
    <w:rsid w:val="005A4392"/>
    <w:pPr>
      <w:widowControl w:val="0"/>
      <w:autoSpaceDE w:val="0"/>
      <w:autoSpaceDN w:val="0"/>
      <w:ind w:left="384" w:hanging="360"/>
      <w:outlineLvl w:val="1"/>
    </w:pPr>
    <w:rPr>
      <w:rFonts w:ascii="Times New Roman" w:eastAsia="Times New Roman" w:hAnsi="Times New Roman" w:cs="Times New Roman"/>
      <w:b/>
      <w:bCs/>
      <w:lang w:val="en-US"/>
    </w:rPr>
  </w:style>
  <w:style w:type="paragraph" w:styleId="Heading3">
    <w:name w:val="heading 3"/>
    <w:basedOn w:val="Normal"/>
    <w:next w:val="Normal"/>
    <w:link w:val="Heading3Char"/>
    <w:uiPriority w:val="9"/>
    <w:semiHidden/>
    <w:unhideWhenUsed/>
    <w:qFormat/>
    <w:rsid w:val="005A4392"/>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5A4392"/>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4392"/>
    <w:rPr>
      <w:rFonts w:ascii="Times New Roman" w:eastAsia="Times New Roman" w:hAnsi="Times New Roman" w:cs="Times New Roman"/>
      <w:b/>
      <w:bCs/>
      <w:sz w:val="26"/>
      <w:szCs w:val="26"/>
      <w:lang w:val="en-US"/>
    </w:rPr>
  </w:style>
  <w:style w:type="character" w:customStyle="1" w:styleId="Heading2Char">
    <w:name w:val="Heading 2 Char"/>
    <w:basedOn w:val="DefaultParagraphFont"/>
    <w:link w:val="Heading2"/>
    <w:uiPriority w:val="9"/>
    <w:rsid w:val="005A4392"/>
    <w:rPr>
      <w:rFonts w:ascii="Times New Roman" w:eastAsia="Times New Roman" w:hAnsi="Times New Roman" w:cs="Times New Roman"/>
      <w:b/>
      <w:bCs/>
      <w:lang w:val="en-US"/>
    </w:rPr>
  </w:style>
  <w:style w:type="paragraph" w:styleId="BodyText">
    <w:name w:val="Body Text"/>
    <w:basedOn w:val="Normal"/>
    <w:link w:val="BodyTextChar"/>
    <w:uiPriority w:val="1"/>
    <w:qFormat/>
    <w:rsid w:val="005A4392"/>
    <w:pPr>
      <w:widowControl w:val="0"/>
      <w:autoSpaceDE w:val="0"/>
      <w:autoSpaceDN w:val="0"/>
      <w:ind w:left="24"/>
    </w:pPr>
    <w:rPr>
      <w:rFonts w:ascii="Times New Roman" w:eastAsia="Times New Roman" w:hAnsi="Times New Roman" w:cs="Times New Roman"/>
      <w:lang w:val="en-US"/>
    </w:rPr>
  </w:style>
  <w:style w:type="character" w:customStyle="1" w:styleId="BodyTextChar">
    <w:name w:val="Body Text Char"/>
    <w:basedOn w:val="DefaultParagraphFont"/>
    <w:link w:val="BodyText"/>
    <w:uiPriority w:val="1"/>
    <w:rsid w:val="005A4392"/>
    <w:rPr>
      <w:rFonts w:ascii="Times New Roman" w:eastAsia="Times New Roman" w:hAnsi="Times New Roman" w:cs="Times New Roman"/>
      <w:lang w:val="en-US"/>
    </w:rPr>
  </w:style>
  <w:style w:type="paragraph" w:customStyle="1" w:styleId="TableParagraph">
    <w:name w:val="Table Paragraph"/>
    <w:basedOn w:val="Normal"/>
    <w:uiPriority w:val="1"/>
    <w:qFormat/>
    <w:rsid w:val="005A4392"/>
    <w:pPr>
      <w:widowControl w:val="0"/>
      <w:autoSpaceDE w:val="0"/>
      <w:autoSpaceDN w:val="0"/>
      <w:spacing w:before="89"/>
      <w:ind w:left="89"/>
    </w:pPr>
    <w:rPr>
      <w:rFonts w:ascii="Times New Roman" w:eastAsia="Times New Roman" w:hAnsi="Times New Roman" w:cs="Times New Roman"/>
      <w:sz w:val="22"/>
      <w:szCs w:val="22"/>
      <w:lang w:val="en-US"/>
    </w:rPr>
  </w:style>
  <w:style w:type="paragraph" w:styleId="ListParagraph">
    <w:name w:val="List Paragraph"/>
    <w:basedOn w:val="Normal"/>
    <w:uiPriority w:val="1"/>
    <w:qFormat/>
    <w:rsid w:val="005A4392"/>
    <w:pPr>
      <w:widowControl w:val="0"/>
      <w:autoSpaceDE w:val="0"/>
      <w:autoSpaceDN w:val="0"/>
      <w:spacing w:before="139"/>
      <w:ind w:left="384" w:hanging="360"/>
    </w:pPr>
    <w:rPr>
      <w:rFonts w:ascii="Times New Roman" w:eastAsia="Times New Roman" w:hAnsi="Times New Roman" w:cs="Times New Roman"/>
      <w:sz w:val="22"/>
      <w:szCs w:val="22"/>
      <w:u w:val="single" w:color="000000"/>
      <w:lang w:val="en-US"/>
    </w:rPr>
  </w:style>
  <w:style w:type="character" w:customStyle="1" w:styleId="Heading3Char">
    <w:name w:val="Heading 3 Char"/>
    <w:basedOn w:val="DefaultParagraphFont"/>
    <w:link w:val="Heading3"/>
    <w:uiPriority w:val="9"/>
    <w:semiHidden/>
    <w:rsid w:val="005A4392"/>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5A4392"/>
    <w:rPr>
      <w:rFonts w:asciiTheme="majorHAnsi" w:eastAsiaTheme="majorEastAsia" w:hAnsiTheme="majorHAnsi" w:cstheme="majorBidi"/>
      <w:i/>
      <w:iCs/>
      <w:color w:val="2F5496" w:themeColor="accent1" w:themeShade="BF"/>
    </w:rPr>
  </w:style>
  <w:style w:type="paragraph" w:styleId="NormalWeb">
    <w:name w:val="Normal (Web)"/>
    <w:basedOn w:val="Normal"/>
    <w:uiPriority w:val="99"/>
    <w:semiHidden/>
    <w:unhideWhenUsed/>
    <w:rsid w:val="005A4392"/>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5A4392"/>
  </w:style>
  <w:style w:type="paragraph" w:styleId="Header">
    <w:name w:val="header"/>
    <w:basedOn w:val="Normal"/>
    <w:link w:val="HeaderChar"/>
    <w:uiPriority w:val="99"/>
    <w:unhideWhenUsed/>
    <w:rsid w:val="008A16E7"/>
    <w:pPr>
      <w:tabs>
        <w:tab w:val="center" w:pos="4513"/>
        <w:tab w:val="right" w:pos="9026"/>
      </w:tabs>
    </w:pPr>
  </w:style>
  <w:style w:type="character" w:customStyle="1" w:styleId="HeaderChar">
    <w:name w:val="Header Char"/>
    <w:basedOn w:val="DefaultParagraphFont"/>
    <w:link w:val="Header"/>
    <w:uiPriority w:val="99"/>
    <w:rsid w:val="008A16E7"/>
  </w:style>
  <w:style w:type="paragraph" w:styleId="Footer">
    <w:name w:val="footer"/>
    <w:basedOn w:val="Normal"/>
    <w:link w:val="FooterChar"/>
    <w:uiPriority w:val="99"/>
    <w:unhideWhenUsed/>
    <w:rsid w:val="008A16E7"/>
    <w:pPr>
      <w:tabs>
        <w:tab w:val="center" w:pos="4513"/>
        <w:tab w:val="right" w:pos="9026"/>
      </w:tabs>
    </w:pPr>
  </w:style>
  <w:style w:type="character" w:customStyle="1" w:styleId="FooterChar">
    <w:name w:val="Footer Char"/>
    <w:basedOn w:val="DefaultParagraphFont"/>
    <w:link w:val="Footer"/>
    <w:uiPriority w:val="99"/>
    <w:rsid w:val="008A16E7"/>
  </w:style>
  <w:style w:type="character" w:styleId="PageNumber">
    <w:name w:val="page number"/>
    <w:basedOn w:val="DefaultParagraphFont"/>
    <w:uiPriority w:val="99"/>
    <w:semiHidden/>
    <w:unhideWhenUsed/>
    <w:rsid w:val="006E0A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23018535">
      <w:bodyDiv w:val="1"/>
      <w:marLeft w:val="0"/>
      <w:marRight w:val="0"/>
      <w:marTop w:val="0"/>
      <w:marBottom w:val="0"/>
      <w:divBdr>
        <w:top w:val="none" w:sz="0" w:space="0" w:color="auto"/>
        <w:left w:val="none" w:sz="0" w:space="0" w:color="auto"/>
        <w:bottom w:val="none" w:sz="0" w:space="0" w:color="auto"/>
        <w:right w:val="none" w:sz="0" w:space="0" w:color="auto"/>
      </w:divBdr>
      <w:divsChild>
        <w:div w:id="1840851947">
          <w:marLeft w:val="0"/>
          <w:marRight w:val="0"/>
          <w:marTop w:val="0"/>
          <w:marBottom w:val="0"/>
          <w:divBdr>
            <w:top w:val="none" w:sz="0" w:space="0" w:color="auto"/>
            <w:left w:val="none" w:sz="0" w:space="0" w:color="auto"/>
            <w:bottom w:val="none" w:sz="0" w:space="0" w:color="auto"/>
            <w:right w:val="none" w:sz="0" w:space="0" w:color="auto"/>
          </w:divBdr>
          <w:divsChild>
            <w:div w:id="1893882345">
              <w:marLeft w:val="0"/>
              <w:marRight w:val="0"/>
              <w:marTop w:val="0"/>
              <w:marBottom w:val="0"/>
              <w:divBdr>
                <w:top w:val="none" w:sz="0" w:space="0" w:color="auto"/>
                <w:left w:val="none" w:sz="0" w:space="0" w:color="auto"/>
                <w:bottom w:val="none" w:sz="0" w:space="0" w:color="auto"/>
                <w:right w:val="none" w:sz="0" w:space="0" w:color="auto"/>
              </w:divBdr>
              <w:divsChild>
                <w:div w:id="221448732">
                  <w:marLeft w:val="0"/>
                  <w:marRight w:val="0"/>
                  <w:marTop w:val="0"/>
                  <w:marBottom w:val="0"/>
                  <w:divBdr>
                    <w:top w:val="none" w:sz="0" w:space="0" w:color="auto"/>
                    <w:left w:val="none" w:sz="0" w:space="0" w:color="auto"/>
                    <w:bottom w:val="none" w:sz="0" w:space="0" w:color="auto"/>
                    <w:right w:val="none" w:sz="0" w:space="0" w:color="auto"/>
                  </w:divBdr>
                  <w:divsChild>
                    <w:div w:id="60493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datadriven.autosinnovate.org/future" TargetMode="External"/><Relationship Id="rId26" Type="http://schemas.openxmlformats.org/officeDocument/2006/relationships/hyperlink" Target="https://www.nhtsa.gov/laws-regulations/corporate-average-fuel-economy" TargetMode="External"/><Relationship Id="rId39" Type="http://schemas.openxmlformats.org/officeDocument/2006/relationships/hyperlink" Target="https://afdc.energy.gov/data/10972" TargetMode="External"/><Relationship Id="rId21" Type="http://schemas.openxmlformats.org/officeDocument/2006/relationships/hyperlink" Target="https://www.mdpi.com/1996-1073/16/1/205" TargetMode="External"/><Relationship Id="rId34" Type="http://schemas.openxmlformats.org/officeDocument/2006/relationships/hyperlink" Target="https://pressroom.toyota.com/the-journey-continues-toyota-publishes-2024-north-american-di-annual-report/" TargetMode="External"/><Relationship Id="rId42" Type="http://schemas.openxmlformats.org/officeDocument/2006/relationships/hyperlink" Target="https://www.wto.org/english/res_e/booksp_e/gvcreport2025-03_e.pdf" TargetMode="External"/><Relationship Id="rId47" Type="http://schemas.openxmlformats.org/officeDocument/2006/relationships/hyperlink" Target="https://www.oecd.org/content/dam/oecd/en/publications/reports/2024/11/the-future-of-the-automotive-value-chain_91460165/cb730d65-en.pdf" TargetMode="External"/><Relationship Id="rId50" Type="http://schemas.openxmlformats.org/officeDocument/2006/relationships/footer" Target="footer1.xml"/><Relationship Id="rId55"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www.oecd.org/content/dam/oecd/en/publications/reports/2024/11/the-future-of-the-automotive-value-chain_91460165/cb730d65-en.pdf" TargetMode="External"/><Relationship Id="rId11" Type="http://schemas.openxmlformats.org/officeDocument/2006/relationships/image" Target="media/image5.png"/><Relationship Id="rId24" Type="http://schemas.openxmlformats.org/officeDocument/2006/relationships/hyperlink" Target="https://www.hyundainews.com/assets/documents/original/64673-HYUNDAIDECEMBER2024SalesRelease1225FINALCLEAN.pdf" TargetMode="External"/><Relationship Id="rId32" Type="http://schemas.openxmlformats.org/officeDocument/2006/relationships/hyperlink" Target="https://pressroom.toyota.com/celebrating-manufacturing-day-10-interesting-facts-about-toyotas-u-s-plants/" TargetMode="External"/><Relationship Id="rId37" Type="http://schemas.openxmlformats.org/officeDocument/2006/relationships/hyperlink" Target="https://www.energy.gov/ceser/articles/securing-ev-charging-infrastructure-part-2-game-changing-research" TargetMode="External"/><Relationship Id="rId40" Type="http://schemas.openxmlformats.org/officeDocument/2006/relationships/hyperlink" Target="https://www.usitc.gov/sites/default/files/publications/332/working_papers/national_automotive_competitiveness.pdf" TargetMode="External"/><Relationship Id="rId45" Type="http://schemas.openxmlformats.org/officeDocument/2006/relationships/hyperlink" Target="https://theicct.org/wp-content/uploads/2023/01/ira-impact-evs-us-jan23.pdf" TargetMode="External"/><Relationship Id="rId53"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hyperlink" Target="https://datadriven.autosinnovate.org/global-impact" TargetMode="External"/><Relationship Id="rId31" Type="http://schemas.openxmlformats.org/officeDocument/2006/relationships/hyperlink" Target="https://global.toyota/pages/global_toyota/ir/library/sec/20-F_202503_final.pdf" TargetMode="External"/><Relationship Id="rId44" Type="http://schemas.openxmlformats.org/officeDocument/2006/relationships/hyperlink" Target="https://www.census.gov/manufacturing/m3/historical_data/pressreleases/prel/2024/dec24prel.pdf" TargetMode="External"/><Relationship Id="rId52"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s205.q4cdn.com/882619693/files/doc_financials/2024/ar/Ford-2024-Annual-Report.pdf" TargetMode="External"/><Relationship Id="rId27" Type="http://schemas.openxmlformats.org/officeDocument/2006/relationships/hyperlink" Target="https://www.nhtsa.gov/press-releases/usdot-announces-new-vehicle-fuel-economy-standards-model-year-2024-2026" TargetMode="External"/><Relationship Id="rId30" Type="http://schemas.openxmlformats.org/officeDocument/2006/relationships/hyperlink" Target="https://www.oecd.org/content/dam/oecd/en/publications/reports/2023/04/global-ev-outlook-2023_b2dcfab2/cbe724e8-en.pdf" TargetMode="External"/><Relationship Id="rId35" Type="http://schemas.openxmlformats.org/officeDocument/2006/relationships/hyperlink" Target="https://pressroom.toyota.com/toyota-motor-north-america-reports-2024-u-s-sales-results/" TargetMode="External"/><Relationship Id="rId43" Type="http://schemas.openxmlformats.org/officeDocument/2006/relationships/hyperlink" Target="https://www.mdpi.com/2032-6653/15/8/375" TargetMode="External"/><Relationship Id="rId48" Type="http://schemas.openxmlformats.org/officeDocument/2006/relationships/header" Target="header1.xml"/><Relationship Id="rId8" Type="http://schemas.openxmlformats.org/officeDocument/2006/relationships/image" Target="media/image2.png"/><Relationship Id="rId51" Type="http://schemas.openxmlformats.org/officeDocument/2006/relationships/footer" Target="footer2.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datadriven.autosinnovate.org/" TargetMode="External"/><Relationship Id="rId25" Type="http://schemas.openxmlformats.org/officeDocument/2006/relationships/hyperlink" Target="https://www.irs.gov/credits-deductions/credits-for-new-clean-vehicles-purchased-in-2023-or-after" TargetMode="External"/><Relationship Id="rId33" Type="http://schemas.openxmlformats.org/officeDocument/2006/relationships/hyperlink" Target="https://www.toyota.com/content/dam/tusa/environmentreport/downloads/2024NAER_Final.pdf" TargetMode="External"/><Relationship Id="rId38" Type="http://schemas.openxmlformats.org/officeDocument/2006/relationships/hyperlink" Target="https://afdc.energy.gov/fuels/electricity-stations" TargetMode="External"/><Relationship Id="rId46" Type="http://schemas.openxmlformats.org/officeDocument/2006/relationships/hyperlink" Target="https://www.bea.gov/sites/default/files/2026-03/trad0126.pdf" TargetMode="External"/><Relationship Id="rId20" Type="http://schemas.openxmlformats.org/officeDocument/2006/relationships/hyperlink" Target="https://www.bls.gov/iag/tgs/iagauto.htm" TargetMode="External"/><Relationship Id="rId41" Type="http://schemas.openxmlformats.org/officeDocument/2006/relationships/hyperlink" Target="https://reflection.ed.ac.uk/reflectors-toolkit/reflecting-on-experience/gibbs-reflective-cycle"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investor.gm.com/static-files/e86cba95-5077-4097-bf21-b3de40126ca8" TargetMode="External"/><Relationship Id="rId28" Type="http://schemas.openxmlformats.org/officeDocument/2006/relationships/hyperlink" Target="https://www.nhtsa.gov/sites/nhtsa.gov/files/2024-06/CAFE-2027-2031-HDPUV-2030-2035_Final-Rule_web_0.pdf" TargetMode="External"/><Relationship Id="rId36" Type="http://schemas.openxmlformats.org/officeDocument/2006/relationships/hyperlink" Target="https://pressroom.toyota.com/toyota-announces-north-american-manufacturing-operations-and-executive-changes/" TargetMode="External"/><Relationship Id="rId4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28</Pages>
  <Words>6421</Words>
  <Characters>36600</Characters>
  <Application>Microsoft Office Word</Application>
  <DocSecurity>0</DocSecurity>
  <Lines>305</Lines>
  <Paragraphs>85</Paragraphs>
  <ScaleCrop>false</ScaleCrop>
  <Company/>
  <LinksUpToDate>false</LinksUpToDate>
  <CharactersWithSpaces>42936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Harshkumar Manojkumar Patel (2503790)</cp:lastModifiedBy>
  <cp:revision>5</cp:revision>
  <dcterms:created xsi:type="dcterms:W3CDTF">2026-04-26T22:25:00Z</dcterms:created>
  <dcterms:modified xsi:type="dcterms:W3CDTF">2026-04-27T04:08:00Z</dcterms:modified>
</cp:coreProperties>
</file>