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70111" w14:textId="147B0220" w:rsidR="00401EB3" w:rsidRPr="00BB32A8" w:rsidRDefault="00401EB3">
      <w:pPr>
        <w:rPr>
          <w:b/>
          <w:bCs/>
          <w:u w:val="single"/>
        </w:rPr>
      </w:pPr>
      <w:r w:rsidRPr="00BB32A8">
        <w:rPr>
          <w:b/>
          <w:bCs/>
          <w:u w:val="single"/>
        </w:rPr>
        <w:t>Normans picture commentary</w:t>
      </w:r>
      <w:r w:rsidR="00BB32A8" w:rsidRPr="00BB32A8">
        <w:rPr>
          <w:b/>
          <w:bCs/>
          <w:u w:val="single"/>
        </w:rPr>
        <w:t xml:space="preserve"> - M</w:t>
      </w:r>
      <w:r w:rsidR="00BB32A8" w:rsidRPr="00BB32A8">
        <w:rPr>
          <w:b/>
          <w:bCs/>
          <w:u w:val="single"/>
        </w:rPr>
        <w:t>osaic with Roger II receiving the crown from Christ, Martorana, Palermo</w:t>
      </w:r>
    </w:p>
    <w:p w14:paraId="2FF37A25" w14:textId="39294243" w:rsidR="009E093B" w:rsidRDefault="009E093B" w:rsidP="0095283F">
      <w:pPr>
        <w:spacing w:line="240" w:lineRule="auto"/>
      </w:pPr>
      <w:r>
        <w:t xml:space="preserve">The </w:t>
      </w:r>
      <w:r w:rsidRPr="00E95FE5">
        <w:t xml:space="preserve">mosaic of Christ crowning King Roger II of Sicily </w:t>
      </w:r>
      <w:r w:rsidR="00D33932">
        <w:t xml:space="preserve">is </w:t>
      </w:r>
      <w:r w:rsidRPr="00E95FE5">
        <w:t xml:space="preserve">in </w:t>
      </w:r>
      <w:r>
        <w:t xml:space="preserve">La Martorana, known less commonly as </w:t>
      </w:r>
      <w:r w:rsidRPr="00E95FE5">
        <w:t xml:space="preserve">Santa Maria </w:t>
      </w:r>
      <w:proofErr w:type="spellStart"/>
      <w:r w:rsidRPr="00E95FE5">
        <w:t>dell’Ammiraglio</w:t>
      </w:r>
      <w:proofErr w:type="spellEnd"/>
      <w:r w:rsidR="00210E07" w:rsidRPr="00210E07">
        <w:t xml:space="preserve"> </w:t>
      </w:r>
      <w:r w:rsidR="00210E07" w:rsidRPr="00210E07">
        <w:t>(Saint Mary of the Admiral)</w:t>
      </w:r>
      <w:r>
        <w:t xml:space="preserve">, </w:t>
      </w:r>
      <w:r w:rsidRPr="00E95FE5">
        <w:t>in Palermo, Sicily</w:t>
      </w:r>
      <w:r w:rsidR="00E02F1C">
        <w:t>, Italy</w:t>
      </w:r>
      <w:r w:rsidRPr="00E95FE5">
        <w:t>.</w:t>
      </w:r>
      <w:r w:rsidRPr="009E093B">
        <w:t xml:space="preserve"> </w:t>
      </w:r>
      <w:r>
        <w:t xml:space="preserve">The building of the La Martorana was begun in the 1140s in honour of the Virgin Mary by George of Antioch and Orthodox Christian of Syrian </w:t>
      </w:r>
      <w:r w:rsidR="00D33932">
        <w:t xml:space="preserve">and Greek </w:t>
      </w:r>
      <w:r>
        <w:t xml:space="preserve">origin who served as the admiral to King Roger II of Sicily. It is unclear who designed the mosaics, but it is likely that George of Antioch had a certain degree of influence over their </w:t>
      </w:r>
      <w:r w:rsidR="00A7551E">
        <w:t>designs,</w:t>
      </w:r>
      <w:r w:rsidR="00E05D0A">
        <w:t xml:space="preserve"> and it may have been mounted in 1151 after his death</w:t>
      </w:r>
      <w:r>
        <w:t xml:space="preserve">. It is also likely that King Roger himself knew about, and might have seen, the mosaic, as it depicts the reasoning behind his claim to royalty. This is supported by the fact that King Roger placed his </w:t>
      </w:r>
      <w:proofErr w:type="spellStart"/>
      <w:r w:rsidRPr="00B15729">
        <w:t>alāma</w:t>
      </w:r>
      <w:proofErr w:type="spellEnd"/>
      <w:r>
        <w:t xml:space="preserve"> on the documentation for the foundation charter of 1143 and endowing it.</w:t>
      </w:r>
      <w:r w:rsidR="005F5B66">
        <w:t xml:space="preserve"> </w:t>
      </w:r>
      <w:r w:rsidR="005F5B66">
        <w:rPr>
          <w:rStyle w:val="FootnoteReference"/>
        </w:rPr>
        <w:footnoteReference w:id="1"/>
      </w:r>
      <w:r w:rsidR="00E13230">
        <w:t xml:space="preserve"> it’s located in the South lateral </w:t>
      </w:r>
      <w:r w:rsidR="00F50CB5">
        <w:t>aisle</w:t>
      </w:r>
      <w:r w:rsidR="00E13230">
        <w:t xml:space="preserve"> of the church and </w:t>
      </w:r>
      <w:r w:rsidR="00F50CB5">
        <w:t xml:space="preserve">is paired with a mosaic of George prostrate in front of the Virgin Mary in the North aisle. </w:t>
      </w:r>
      <w:r w:rsidR="00F50CB5">
        <w:rPr>
          <w:rStyle w:val="FootnoteReference"/>
        </w:rPr>
        <w:footnoteReference w:id="2"/>
      </w:r>
    </w:p>
    <w:p w14:paraId="6FE7BB14" w14:textId="2C7D1997" w:rsidR="00912843" w:rsidRDefault="00262B50" w:rsidP="0095283F">
      <w:pPr>
        <w:spacing w:line="240" w:lineRule="auto"/>
      </w:pPr>
      <w:r>
        <w:t xml:space="preserve">George of Antioch was the finance minister in Syria under </w:t>
      </w:r>
      <w:proofErr w:type="spellStart"/>
      <w:r w:rsidRPr="00262B50">
        <w:t>Tamīm</w:t>
      </w:r>
      <w:proofErr w:type="spellEnd"/>
      <w:r>
        <w:t xml:space="preserve"> </w:t>
      </w:r>
      <w:r w:rsidRPr="00262B50">
        <w:t>ibn al-</w:t>
      </w:r>
      <w:proofErr w:type="spellStart"/>
      <w:r w:rsidRPr="00262B50">
        <w:t>Mu'izz</w:t>
      </w:r>
      <w:proofErr w:type="spellEnd"/>
      <w:r>
        <w:t xml:space="preserve"> </w:t>
      </w:r>
      <w:r w:rsidRPr="00262B50">
        <w:t>(</w:t>
      </w:r>
      <w:proofErr w:type="spellStart"/>
      <w:r w:rsidRPr="00262B50">
        <w:rPr>
          <w:rFonts w:ascii="Arial" w:hAnsi="Arial" w:cs="Arial"/>
        </w:rPr>
        <w:t>تميم</w:t>
      </w:r>
      <w:proofErr w:type="spellEnd"/>
      <w:r w:rsidRPr="00262B50">
        <w:t xml:space="preserve"> </w:t>
      </w:r>
      <w:proofErr w:type="spellStart"/>
      <w:r w:rsidRPr="00262B50">
        <w:rPr>
          <w:rFonts w:ascii="Arial" w:hAnsi="Arial" w:cs="Arial"/>
        </w:rPr>
        <w:t>بن</w:t>
      </w:r>
      <w:proofErr w:type="spellEnd"/>
      <w:r w:rsidRPr="00262B50">
        <w:t xml:space="preserve"> </w:t>
      </w:r>
      <w:proofErr w:type="spellStart"/>
      <w:r w:rsidRPr="00262B50">
        <w:rPr>
          <w:rFonts w:ascii="Arial" w:hAnsi="Arial" w:cs="Arial"/>
        </w:rPr>
        <w:t>المعز</w:t>
      </w:r>
      <w:proofErr w:type="spellEnd"/>
      <w:r>
        <w:t>)</w:t>
      </w:r>
      <w:r w:rsidRPr="00262B50">
        <w:t xml:space="preserve"> the fifth </w:t>
      </w:r>
      <w:r>
        <w:t>lord</w:t>
      </w:r>
      <w:r w:rsidRPr="00262B50">
        <w:t xml:space="preserve"> of the Zirids in </w:t>
      </w:r>
      <w:proofErr w:type="spellStart"/>
      <w:r w:rsidRPr="00262B50">
        <w:t>Ifriqiya</w:t>
      </w:r>
      <w:proofErr w:type="spellEnd"/>
      <w:r w:rsidRPr="00262B50">
        <w:t xml:space="preserve"> </w:t>
      </w:r>
      <w:r>
        <w:t xml:space="preserve">who was based in </w:t>
      </w:r>
      <w:r w:rsidRPr="00262B50">
        <w:t>Mahdia</w:t>
      </w:r>
      <w:r>
        <w:t xml:space="preserve">, </w:t>
      </w:r>
      <w:r w:rsidRPr="00262B50">
        <w:t>al-</w:t>
      </w:r>
      <w:proofErr w:type="spellStart"/>
      <w:r w:rsidRPr="00262B50">
        <w:t>Mahdīyya</w:t>
      </w:r>
      <w:proofErr w:type="spellEnd"/>
      <w:r w:rsidRPr="00262B50">
        <w:t>, Tunisia</w:t>
      </w:r>
      <w:r>
        <w:t>.</w:t>
      </w:r>
      <w:r w:rsidR="00EB5F70">
        <w:t xml:space="preserve"> George went to King Roger’s court after </w:t>
      </w:r>
      <w:proofErr w:type="spellStart"/>
      <w:r w:rsidR="00EB5F70" w:rsidRPr="00262B50">
        <w:t>Tamīm</w:t>
      </w:r>
      <w:proofErr w:type="spellEnd"/>
      <w:r w:rsidR="00EB5F70">
        <w:t xml:space="preserve"> died and he fell out of favour, where he was welcomed by the predecessor of his role, </w:t>
      </w:r>
      <w:r w:rsidR="00EB5F70" w:rsidRPr="00EB5F70">
        <w:t>Christodoulos</w:t>
      </w:r>
      <w:r w:rsidR="002337B4">
        <w:t>,</w:t>
      </w:r>
      <w:r w:rsidR="00E05D0A">
        <w:t xml:space="preserve"> in the 1120s. </w:t>
      </w:r>
      <w:r w:rsidR="00E05D0A">
        <w:rPr>
          <w:rStyle w:val="FootnoteReference"/>
        </w:rPr>
        <w:footnoteReference w:id="3"/>
      </w:r>
    </w:p>
    <w:p w14:paraId="5D5B6463" w14:textId="1B4C3137" w:rsidR="00F50CB5" w:rsidRDefault="00F50CB5" w:rsidP="0095283F">
      <w:pPr>
        <w:spacing w:line="240" w:lineRule="auto"/>
      </w:pPr>
      <w:r>
        <w:t xml:space="preserve">In the mosaic itself, King Roger is on the </w:t>
      </w:r>
      <w:proofErr w:type="gramStart"/>
      <w:r>
        <w:t>left hand</w:t>
      </w:r>
      <w:proofErr w:type="gramEnd"/>
      <w:r>
        <w:t xml:space="preserve"> side</w:t>
      </w:r>
      <w:r w:rsidR="00FC4474">
        <w:t xml:space="preserve">, bowing down to receive the crown from Christ with his hands held in a praying gesture. He wears a blue tunic adorned with gold ornamental vertical stripes called clavi, and over that a shorter blue tunic and a </w:t>
      </w:r>
      <w:proofErr w:type="gramStart"/>
      <w:r w:rsidR="00FC4474">
        <w:t>long decorated</w:t>
      </w:r>
      <w:proofErr w:type="gramEnd"/>
      <w:r w:rsidR="00FC4474">
        <w:t xml:space="preserve"> stole called a </w:t>
      </w:r>
      <w:r w:rsidR="00CC5132">
        <w:t xml:space="preserve">loros, and a crown with a </w:t>
      </w:r>
      <w:proofErr w:type="spellStart"/>
      <w:r w:rsidR="00CC5132">
        <w:t>pendilia</w:t>
      </w:r>
      <w:proofErr w:type="spellEnd"/>
      <w:r w:rsidR="00CC5132">
        <w:t xml:space="preserve">. </w:t>
      </w:r>
      <w:r>
        <w:t xml:space="preserve">Christ is on the right hovering slightly </w:t>
      </w:r>
      <w:proofErr w:type="gramStart"/>
      <w:r>
        <w:t>off of</w:t>
      </w:r>
      <w:proofErr w:type="gramEnd"/>
      <w:r>
        <w:t xml:space="preserve"> the ground, giving the impression that he is bigger than the king.</w:t>
      </w:r>
      <w:r w:rsidR="00FC4474">
        <w:t xml:space="preserve"> Christ has a cruciform halo surrounding his head, an important identifier of exactly who he is</w:t>
      </w:r>
      <w:r w:rsidR="00CC5132">
        <w:t xml:space="preserve">, </w:t>
      </w:r>
      <w:proofErr w:type="gramStart"/>
      <w:r w:rsidR="00CC5132">
        <w:t>and also</w:t>
      </w:r>
      <w:proofErr w:type="gramEnd"/>
      <w:r w:rsidR="00CC5132">
        <w:t xml:space="preserve"> wears a purple tunic under a blue mantle with a scroll in his left hand. </w:t>
      </w:r>
      <w:r w:rsidR="00CC5132">
        <w:rPr>
          <w:rStyle w:val="FootnoteReference"/>
        </w:rPr>
        <w:footnoteReference w:id="4"/>
      </w:r>
    </w:p>
    <w:p w14:paraId="595BE250" w14:textId="77777777" w:rsidR="00EB5F70" w:rsidRDefault="00EB5F70" w:rsidP="00EB5F70">
      <w:pPr>
        <w:spacing w:line="240" w:lineRule="auto"/>
      </w:pPr>
      <w:r>
        <w:t xml:space="preserve">This mosaic is an example of a concept known as Sacral Kingship, a construction of political power designed to establish and nurture the relationship between a king and God and create a narrative that the king’s claim to the throne is divinely recognized. </w:t>
      </w:r>
      <w:r>
        <w:rPr>
          <w:rStyle w:val="FootnoteReference"/>
        </w:rPr>
        <w:footnoteReference w:id="5"/>
      </w:r>
      <w:r>
        <w:t xml:space="preserve"> </w:t>
      </w:r>
    </w:p>
    <w:p w14:paraId="5572476A" w14:textId="5FA68FC7" w:rsidR="00B3605C" w:rsidRDefault="003D4DC6" w:rsidP="0095283F">
      <w:pPr>
        <w:spacing w:line="240" w:lineRule="auto"/>
      </w:pPr>
      <w:r>
        <w:t>The mosaic displays influence of several different cultures, from Byzantine to French to Greek. In the mosaic, Roger is wearing vestments of a Byzantine emperor</w:t>
      </w:r>
      <w:r w:rsidR="00D80F18">
        <w:t xml:space="preserve">, which makes sense as mosaics themselves were more a Byzantine concept than a Norman one. Roger’s sleeves display the </w:t>
      </w:r>
      <w:r w:rsidR="00D80F18" w:rsidRPr="00D80F18">
        <w:t>fleur-de-lis</w:t>
      </w:r>
      <w:r w:rsidR="00D80F18">
        <w:t xml:space="preserve">, a French symbol of religious and political significance that symbolises a king’s sacral kingship, their divine right to the throne. Roger’s use of this symbol on his clothing in a mosaic portraying him being crowned </w:t>
      </w:r>
      <w:r w:rsidR="00E91C9A">
        <w:t xml:space="preserve">by Christ is a solidification of his political claim to the throne through divinity. </w:t>
      </w:r>
      <w:r w:rsidR="00E91C9A">
        <w:rPr>
          <w:rStyle w:val="FootnoteReference"/>
        </w:rPr>
        <w:footnoteReference w:id="6"/>
      </w:r>
    </w:p>
    <w:p w14:paraId="7B5B2F33" w14:textId="5D05EBCC" w:rsidR="00261B6C" w:rsidRDefault="00261B6C" w:rsidP="0095283F">
      <w:pPr>
        <w:spacing w:line="240" w:lineRule="auto"/>
      </w:pPr>
      <w:r>
        <w:lastRenderedPageBreak/>
        <w:t xml:space="preserve">The Greek </w:t>
      </w:r>
      <w:r w:rsidR="00CC5132">
        <w:t xml:space="preserve">and Latin </w:t>
      </w:r>
      <w:r>
        <w:t xml:space="preserve">influence is shown through the writing at the top of the mosaic, on the left side is </w:t>
      </w:r>
      <w:r w:rsidRPr="00261B6C">
        <w:t>ΡΟΓΕΡΙΟC ΡΗΣ</w:t>
      </w:r>
      <w:r>
        <w:t xml:space="preserve">, </w:t>
      </w:r>
      <w:r w:rsidR="00CC5132">
        <w:t xml:space="preserve">a transliteration using Greek letters of his Latin name </w:t>
      </w:r>
      <w:r>
        <w:t xml:space="preserve">which translates to Rogeris Rex, and then on the right is IC of the left side of the image of Christ and X on the right side of Christ, the X would have presumably been followed by a C to form IC XC, which is the Greek transliteration of </w:t>
      </w:r>
      <w:r w:rsidR="00E13230">
        <w:t xml:space="preserve">Christ. </w:t>
      </w:r>
      <w:r w:rsidR="00E13230">
        <w:rPr>
          <w:rStyle w:val="FootnoteReference"/>
        </w:rPr>
        <w:footnoteReference w:id="7"/>
      </w:r>
    </w:p>
    <w:p w14:paraId="0DF94EF8" w14:textId="77777777" w:rsidR="0095283F" w:rsidRDefault="0095283F" w:rsidP="0095283F">
      <w:pPr>
        <w:spacing w:line="240" w:lineRule="auto"/>
      </w:pPr>
    </w:p>
    <w:p w14:paraId="6F6CC075" w14:textId="77777777" w:rsidR="00401EB3" w:rsidRDefault="00401EB3" w:rsidP="0095283F"/>
    <w:p w14:paraId="02392906" w14:textId="77777777" w:rsidR="00401EB3" w:rsidRDefault="00401EB3"/>
    <w:p w14:paraId="78560E67" w14:textId="77777777" w:rsidR="00EB5F70" w:rsidRDefault="00EB5F70"/>
    <w:p w14:paraId="07DBE9BD" w14:textId="3FCA4C9D" w:rsidR="00EB5F70" w:rsidRPr="00EB5F70" w:rsidRDefault="00EB5F70">
      <w:pPr>
        <w:rPr>
          <w:b/>
          <w:bCs/>
        </w:rPr>
      </w:pPr>
      <w:r w:rsidRPr="00EB5F70">
        <w:rPr>
          <w:b/>
          <w:bCs/>
        </w:rPr>
        <w:t>Bibliography</w:t>
      </w:r>
    </w:p>
    <w:p w14:paraId="2E3520AE" w14:textId="18D0BC74" w:rsidR="00EB5F70" w:rsidRDefault="00EB5F70" w:rsidP="00EB5F70">
      <w:r>
        <w:t>Hayes, Dawn Marie</w:t>
      </w:r>
      <w:r>
        <w:t xml:space="preserve">, </w:t>
      </w:r>
      <w:r>
        <w:t xml:space="preserve">‘French Connections: The Significance of the Fleurs-de-Lis in the Mosaic of King Roger II of Sicily in the Church of Santa Maria </w:t>
      </w:r>
      <w:proofErr w:type="spellStart"/>
      <w:r>
        <w:t>dell’Ammiraglio</w:t>
      </w:r>
      <w:proofErr w:type="spellEnd"/>
      <w:r>
        <w:t xml:space="preserve">, Palermo’, in </w:t>
      </w:r>
      <w:r w:rsidRPr="00EB5F70">
        <w:rPr>
          <w:i/>
          <w:iCs/>
        </w:rPr>
        <w:t>Viator-Medieval and Renaissance Studies</w:t>
      </w:r>
      <w:r>
        <w:t>, Vol 44.1 (2013)</w:t>
      </w:r>
    </w:p>
    <w:p w14:paraId="079CDC13" w14:textId="14659C8A" w:rsidR="00421E11" w:rsidRDefault="00421E11" w:rsidP="00EB5F70">
      <w:r w:rsidRPr="00421E11">
        <w:t xml:space="preserve">Hayes, Dawn Marie ‘The Political Significance of Roger II of Sicily’s Antiquated Loros in the Mosaic in Santa Maria </w:t>
      </w:r>
      <w:proofErr w:type="spellStart"/>
      <w:r w:rsidRPr="00421E11">
        <w:t>dell’Ammiraglio</w:t>
      </w:r>
      <w:proofErr w:type="spellEnd"/>
      <w:r w:rsidRPr="00421E11">
        <w:t xml:space="preserve">, Palermo’ in </w:t>
      </w:r>
      <w:proofErr w:type="spellStart"/>
      <w:r w:rsidRPr="00421E11">
        <w:rPr>
          <w:i/>
          <w:iCs/>
        </w:rPr>
        <w:t>Allegorica</w:t>
      </w:r>
      <w:proofErr w:type="spellEnd"/>
      <w:r w:rsidRPr="00421E11">
        <w:t>, Vol 29 (2013)</w:t>
      </w:r>
    </w:p>
    <w:p w14:paraId="74631533" w14:textId="2E2D41B7" w:rsidR="00E13230" w:rsidRDefault="00E13230" w:rsidP="00E13230">
      <w:proofErr w:type="spellStart"/>
      <w:r w:rsidRPr="00E13230">
        <w:t>Sauquet</w:t>
      </w:r>
      <w:proofErr w:type="spellEnd"/>
      <w:r>
        <w:t xml:space="preserve">, </w:t>
      </w:r>
      <w:r w:rsidRPr="00E13230">
        <w:t>Mathilde</w:t>
      </w:r>
      <w:r>
        <w:t>,</w:t>
      </w:r>
      <w:r w:rsidRPr="00E13230">
        <w:t xml:space="preserve"> </w:t>
      </w:r>
      <w:r w:rsidRPr="00E13230">
        <w:rPr>
          <w:i/>
          <w:iCs/>
        </w:rPr>
        <w:t xml:space="preserve">Roger II, King of Heaven and Earth: An Iconological and Architectural Analysis of the Cappella </w:t>
      </w:r>
      <w:proofErr w:type="spellStart"/>
      <w:r w:rsidRPr="00E13230">
        <w:rPr>
          <w:i/>
          <w:iCs/>
        </w:rPr>
        <w:t>Palatina</w:t>
      </w:r>
      <w:proofErr w:type="spellEnd"/>
      <w:r w:rsidRPr="00E13230">
        <w:rPr>
          <w:i/>
          <w:iCs/>
        </w:rPr>
        <w:t xml:space="preserve"> in the Context of Medieval Sicily</w:t>
      </w:r>
      <w:r>
        <w:t>, (Senior Thesis, Trinity College, 2018)</w:t>
      </w:r>
    </w:p>
    <w:p w14:paraId="00355EF5" w14:textId="340C61C3" w:rsidR="00EB5F70" w:rsidRDefault="00EB5F70" w:rsidP="00EB5F70">
      <w:r>
        <w:t>Vagnoni, Mirko</w:t>
      </w:r>
      <w:r>
        <w:t>,</w:t>
      </w:r>
      <w:r>
        <w:t xml:space="preserve"> </w:t>
      </w:r>
      <w:r w:rsidRPr="00EB5F70">
        <w:rPr>
          <w:i/>
          <w:iCs/>
        </w:rPr>
        <w:t>Royal Divine Coronation Iconography. Preliminary Considerations</w:t>
      </w:r>
      <w:r>
        <w:t>, (Switzerland: Department of Art History, Université de Fribourg, 2019)</w:t>
      </w:r>
    </w:p>
    <w:sectPr w:rsidR="00EB5F70" w:rsidSect="00CC5132">
      <w:pgSz w:w="11906" w:h="16838"/>
      <w:pgMar w:top="156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2F50F" w14:textId="77777777" w:rsidR="00CB44C1" w:rsidRDefault="00CB44C1" w:rsidP="005F5B66">
      <w:pPr>
        <w:spacing w:after="0" w:line="240" w:lineRule="auto"/>
      </w:pPr>
      <w:r>
        <w:separator/>
      </w:r>
    </w:p>
  </w:endnote>
  <w:endnote w:type="continuationSeparator" w:id="0">
    <w:p w14:paraId="3922EEC9" w14:textId="77777777" w:rsidR="00CB44C1" w:rsidRDefault="00CB44C1" w:rsidP="005F5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099BD" w14:textId="77777777" w:rsidR="00CB44C1" w:rsidRDefault="00CB44C1" w:rsidP="005F5B66">
      <w:pPr>
        <w:spacing w:after="0" w:line="240" w:lineRule="auto"/>
      </w:pPr>
      <w:r>
        <w:separator/>
      </w:r>
    </w:p>
  </w:footnote>
  <w:footnote w:type="continuationSeparator" w:id="0">
    <w:p w14:paraId="6BB69FF6" w14:textId="77777777" w:rsidR="00CB44C1" w:rsidRDefault="00CB44C1" w:rsidP="005F5B66">
      <w:pPr>
        <w:spacing w:after="0" w:line="240" w:lineRule="auto"/>
      </w:pPr>
      <w:r>
        <w:continuationSeparator/>
      </w:r>
    </w:p>
  </w:footnote>
  <w:footnote w:id="1">
    <w:p w14:paraId="33DED38C" w14:textId="7E326EA1" w:rsidR="005F5B66" w:rsidRDefault="005F5B66">
      <w:pPr>
        <w:pStyle w:val="FootnoteText"/>
      </w:pPr>
      <w:r>
        <w:rPr>
          <w:rStyle w:val="FootnoteReference"/>
        </w:rPr>
        <w:footnoteRef/>
      </w:r>
      <w:r>
        <w:t xml:space="preserve"> </w:t>
      </w:r>
      <w:bookmarkStart w:id="0" w:name="_Hlk193467898"/>
      <w:bookmarkStart w:id="1" w:name="_Hlk193467899"/>
      <w:r w:rsidRPr="005F5B66">
        <w:t>Dawn Marie Hayes</w:t>
      </w:r>
      <w:r>
        <w:t>, ‘</w:t>
      </w:r>
      <w:r w:rsidRPr="005F5B66">
        <w:t xml:space="preserve">French Connections: The Significance of the Fleurs-de-Lis in the Mosaic of King Roger II of Sicily in the Church of Santa Maria </w:t>
      </w:r>
      <w:proofErr w:type="spellStart"/>
      <w:r w:rsidRPr="005F5B66">
        <w:t>dell’Ammiraglio</w:t>
      </w:r>
      <w:proofErr w:type="spellEnd"/>
      <w:r w:rsidRPr="005F5B66">
        <w:t>, Palermo</w:t>
      </w:r>
      <w:r>
        <w:t xml:space="preserve">’, in </w:t>
      </w:r>
      <w:r w:rsidRPr="005F5B66">
        <w:rPr>
          <w:i/>
          <w:iCs/>
        </w:rPr>
        <w:t>Viator-Medieval and Renaissance Studies</w:t>
      </w:r>
      <w:r>
        <w:t>, Vol</w:t>
      </w:r>
      <w:r w:rsidRPr="005F5B66">
        <w:t xml:space="preserve"> </w:t>
      </w:r>
      <w:r w:rsidRPr="005F5B66">
        <w:t>44.1 (2013)</w:t>
      </w:r>
      <w:r w:rsidR="005B2D6D">
        <w:t xml:space="preserve"> p. 1</w:t>
      </w:r>
    </w:p>
  </w:footnote>
  <w:footnote w:id="2">
    <w:p w14:paraId="7EDFE72B" w14:textId="13A6E502" w:rsidR="00F50CB5" w:rsidRDefault="00F50CB5">
      <w:pPr>
        <w:pStyle w:val="FootnoteText"/>
      </w:pPr>
      <w:r>
        <w:rPr>
          <w:rStyle w:val="FootnoteReference"/>
        </w:rPr>
        <w:footnoteRef/>
      </w:r>
      <w:r>
        <w:t xml:space="preserve"> </w:t>
      </w:r>
      <w:r>
        <w:t>Dawn Marie Hayes, ‘T</w:t>
      </w:r>
      <w:r w:rsidRPr="00400FF6">
        <w:t xml:space="preserve">he Political Significance of Roger II of Sicily’s Antiquated Loros in the Mosaic in Santa Maria </w:t>
      </w:r>
      <w:proofErr w:type="spellStart"/>
      <w:r w:rsidRPr="00400FF6">
        <w:t>dell’Ammiraglio</w:t>
      </w:r>
      <w:proofErr w:type="spellEnd"/>
      <w:r w:rsidRPr="00400FF6">
        <w:t>, Palermo</w:t>
      </w:r>
      <w:r>
        <w:t xml:space="preserve">’ in </w:t>
      </w:r>
      <w:proofErr w:type="spellStart"/>
      <w:r w:rsidRPr="00421E11">
        <w:rPr>
          <w:i/>
          <w:iCs/>
        </w:rPr>
        <w:t>Allegorica</w:t>
      </w:r>
      <w:proofErr w:type="spellEnd"/>
      <w:r>
        <w:t>, Vol 29 (2013) pp</w:t>
      </w:r>
      <w:r>
        <w:t>. 3</w:t>
      </w:r>
    </w:p>
  </w:footnote>
  <w:footnote w:id="3">
    <w:p w14:paraId="6DB3111A" w14:textId="4C7622F2" w:rsidR="00E05D0A" w:rsidRDefault="00E05D0A">
      <w:pPr>
        <w:pStyle w:val="FootnoteText"/>
      </w:pPr>
      <w:r>
        <w:rPr>
          <w:rStyle w:val="FootnoteReference"/>
        </w:rPr>
        <w:footnoteRef/>
      </w:r>
      <w:r>
        <w:t xml:space="preserve"> Dawn Marie Hayes, </w:t>
      </w:r>
      <w:r w:rsidR="00400FF6">
        <w:t>‘T</w:t>
      </w:r>
      <w:r w:rsidR="00400FF6" w:rsidRPr="00400FF6">
        <w:t xml:space="preserve">he Political Significance of Roger II of Sicily’s Antiquated Loros in the Mosaic in Santa Maria </w:t>
      </w:r>
      <w:proofErr w:type="spellStart"/>
      <w:r w:rsidR="00400FF6" w:rsidRPr="00400FF6">
        <w:t>dell’Ammiraglio</w:t>
      </w:r>
      <w:proofErr w:type="spellEnd"/>
      <w:r w:rsidR="00400FF6" w:rsidRPr="00400FF6">
        <w:t>, Palermo</w:t>
      </w:r>
      <w:r w:rsidR="00400FF6">
        <w:t xml:space="preserve">’ in </w:t>
      </w:r>
      <w:proofErr w:type="spellStart"/>
      <w:r w:rsidR="00400FF6" w:rsidRPr="00421E11">
        <w:rPr>
          <w:i/>
          <w:iCs/>
        </w:rPr>
        <w:t>Allegorica</w:t>
      </w:r>
      <w:proofErr w:type="spellEnd"/>
      <w:r w:rsidR="00400FF6">
        <w:t>, Vol 29 (2013) p</w:t>
      </w:r>
      <w:r w:rsidR="00421E11">
        <w:t>p. 1-2</w:t>
      </w:r>
    </w:p>
  </w:footnote>
  <w:footnote w:id="4">
    <w:p w14:paraId="5508D77B" w14:textId="6C618451" w:rsidR="00CC5132" w:rsidRDefault="00CC5132">
      <w:pPr>
        <w:pStyle w:val="FootnoteText"/>
      </w:pPr>
      <w:r>
        <w:rPr>
          <w:rStyle w:val="FootnoteReference"/>
        </w:rPr>
        <w:footnoteRef/>
      </w:r>
      <w:r>
        <w:t xml:space="preserve"> </w:t>
      </w:r>
      <w:r>
        <w:t>Dawn Marie Hayes, ‘T</w:t>
      </w:r>
      <w:r w:rsidRPr="00400FF6">
        <w:t xml:space="preserve">he Political Significance of Roger II of Sicily’s Antiquated Loros in the Mosaic in Santa Maria </w:t>
      </w:r>
      <w:proofErr w:type="spellStart"/>
      <w:r w:rsidRPr="00400FF6">
        <w:t>dell’Ammiraglio</w:t>
      </w:r>
      <w:proofErr w:type="spellEnd"/>
      <w:r w:rsidRPr="00400FF6">
        <w:t>, Palermo</w:t>
      </w:r>
      <w:r>
        <w:t xml:space="preserve">’ in </w:t>
      </w:r>
      <w:proofErr w:type="spellStart"/>
      <w:r w:rsidRPr="00421E11">
        <w:rPr>
          <w:i/>
          <w:iCs/>
        </w:rPr>
        <w:t>Allegorica</w:t>
      </w:r>
      <w:proofErr w:type="spellEnd"/>
      <w:r>
        <w:t>, Vol 29 (2013) pp. 3</w:t>
      </w:r>
    </w:p>
  </w:footnote>
  <w:footnote w:id="5">
    <w:p w14:paraId="3505F878" w14:textId="77777777" w:rsidR="00EB5F70" w:rsidRDefault="00EB5F70" w:rsidP="00EB5F70">
      <w:pPr>
        <w:pStyle w:val="FootnoteText"/>
      </w:pPr>
      <w:r>
        <w:rPr>
          <w:rStyle w:val="FootnoteReference"/>
        </w:rPr>
        <w:footnoteRef/>
      </w:r>
      <w:r>
        <w:t xml:space="preserve"> </w:t>
      </w:r>
      <w:r w:rsidRPr="00AC1E1C">
        <w:t>Mirko Vagnoni</w:t>
      </w:r>
      <w:r>
        <w:t xml:space="preserve">, </w:t>
      </w:r>
      <w:r w:rsidRPr="00AC1E1C">
        <w:rPr>
          <w:i/>
          <w:iCs/>
        </w:rPr>
        <w:t>Royal Divine Coronation Iconography. Preliminary Considerations</w:t>
      </w:r>
      <w:r>
        <w:t xml:space="preserve">, (Switzerland: </w:t>
      </w:r>
      <w:r w:rsidRPr="00AC1E1C">
        <w:t>Department of Art History, Université de Fribourg</w:t>
      </w:r>
      <w:r>
        <w:t>, 2019) pp. 1-2</w:t>
      </w:r>
    </w:p>
  </w:footnote>
  <w:footnote w:id="6">
    <w:p w14:paraId="13E69BC3" w14:textId="5576F03F" w:rsidR="00E91C9A" w:rsidRDefault="00E91C9A">
      <w:pPr>
        <w:pStyle w:val="FootnoteText"/>
      </w:pPr>
      <w:r>
        <w:rPr>
          <w:rStyle w:val="FootnoteReference"/>
        </w:rPr>
        <w:footnoteRef/>
      </w:r>
      <w:r>
        <w:t xml:space="preserve"> </w:t>
      </w:r>
      <w:r w:rsidRPr="005F5B66">
        <w:t>Dawn Marie Hayes</w:t>
      </w:r>
      <w:r>
        <w:t>, ‘</w:t>
      </w:r>
      <w:r w:rsidRPr="005F5B66">
        <w:t xml:space="preserve">French Connections: The Significance of the Fleurs-de-Lis in the Mosaic of King Roger II of Sicily in the Church of Santa Maria </w:t>
      </w:r>
      <w:proofErr w:type="spellStart"/>
      <w:r w:rsidRPr="005F5B66">
        <w:t>dell’Ammiraglio</w:t>
      </w:r>
      <w:proofErr w:type="spellEnd"/>
      <w:r w:rsidRPr="005F5B66">
        <w:t>, Palermo</w:t>
      </w:r>
      <w:r>
        <w:t xml:space="preserve">’, in </w:t>
      </w:r>
      <w:r w:rsidRPr="005F5B66">
        <w:rPr>
          <w:i/>
          <w:iCs/>
        </w:rPr>
        <w:t>Viator-Medieval and Renaissance Studies</w:t>
      </w:r>
      <w:r>
        <w:t>, Vol</w:t>
      </w:r>
      <w:r w:rsidRPr="005F5B66">
        <w:t xml:space="preserve"> 44.1 (2013)</w:t>
      </w:r>
      <w:r>
        <w:t xml:space="preserve"> p. </w:t>
      </w:r>
      <w:r>
        <w:t>2-3</w:t>
      </w:r>
    </w:p>
  </w:footnote>
  <w:footnote w:id="7">
    <w:p w14:paraId="509328C6" w14:textId="5D415390" w:rsidR="00E13230" w:rsidRDefault="00E13230">
      <w:pPr>
        <w:pStyle w:val="FootnoteText"/>
      </w:pPr>
      <w:r>
        <w:rPr>
          <w:rStyle w:val="FootnoteReference"/>
        </w:rPr>
        <w:footnoteRef/>
      </w:r>
      <w:r>
        <w:t xml:space="preserve"> </w:t>
      </w:r>
      <w:r>
        <w:t>Dawn Marie Hayes, ‘T</w:t>
      </w:r>
      <w:r w:rsidRPr="00400FF6">
        <w:t xml:space="preserve">he Political Significance of Roger II of Sicily’s Antiquated Loros in the Mosaic in Santa Maria </w:t>
      </w:r>
      <w:proofErr w:type="spellStart"/>
      <w:r w:rsidRPr="00400FF6">
        <w:t>dell’Ammiraglio</w:t>
      </w:r>
      <w:proofErr w:type="spellEnd"/>
      <w:r w:rsidRPr="00400FF6">
        <w:t>, Palermo</w:t>
      </w:r>
      <w:r>
        <w:t xml:space="preserve">’ in </w:t>
      </w:r>
      <w:proofErr w:type="spellStart"/>
      <w:r w:rsidRPr="00421E11">
        <w:rPr>
          <w:i/>
          <w:iCs/>
        </w:rPr>
        <w:t>Allegorica</w:t>
      </w:r>
      <w:proofErr w:type="spellEnd"/>
      <w:r>
        <w:t>, Vol 29 (2013) pp</w:t>
      </w:r>
      <w:r>
        <w:t>. 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C34478"/>
    <w:multiLevelType w:val="hybridMultilevel"/>
    <w:tmpl w:val="FF260B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4870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EB3"/>
    <w:rsid w:val="00037049"/>
    <w:rsid w:val="000D10B4"/>
    <w:rsid w:val="000F1D1E"/>
    <w:rsid w:val="001844B8"/>
    <w:rsid w:val="00210E07"/>
    <w:rsid w:val="0021714A"/>
    <w:rsid w:val="002337B4"/>
    <w:rsid w:val="00261B6C"/>
    <w:rsid w:val="00262B50"/>
    <w:rsid w:val="002C447E"/>
    <w:rsid w:val="00305B6A"/>
    <w:rsid w:val="003D4DC6"/>
    <w:rsid w:val="003E4789"/>
    <w:rsid w:val="00400FF6"/>
    <w:rsid w:val="00401EB3"/>
    <w:rsid w:val="00421E11"/>
    <w:rsid w:val="004E716B"/>
    <w:rsid w:val="005B2D6D"/>
    <w:rsid w:val="005E6E01"/>
    <w:rsid w:val="005F5B66"/>
    <w:rsid w:val="00634CE4"/>
    <w:rsid w:val="0084421D"/>
    <w:rsid w:val="008B64D6"/>
    <w:rsid w:val="008E09DA"/>
    <w:rsid w:val="00912843"/>
    <w:rsid w:val="0095283F"/>
    <w:rsid w:val="009E093B"/>
    <w:rsid w:val="00A7551E"/>
    <w:rsid w:val="00AC1E1C"/>
    <w:rsid w:val="00B15729"/>
    <w:rsid w:val="00B3605C"/>
    <w:rsid w:val="00BA32CC"/>
    <w:rsid w:val="00BB32A8"/>
    <w:rsid w:val="00CB44C1"/>
    <w:rsid w:val="00CC5132"/>
    <w:rsid w:val="00D33932"/>
    <w:rsid w:val="00D7081B"/>
    <w:rsid w:val="00D80F18"/>
    <w:rsid w:val="00E02F1C"/>
    <w:rsid w:val="00E05D0A"/>
    <w:rsid w:val="00E13230"/>
    <w:rsid w:val="00E91C9A"/>
    <w:rsid w:val="00E95FE5"/>
    <w:rsid w:val="00EB5F70"/>
    <w:rsid w:val="00F50CB5"/>
    <w:rsid w:val="00FC4474"/>
    <w:rsid w:val="00FC6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71EFE"/>
  <w15:chartTrackingRefBased/>
  <w15:docId w15:val="{D5841843-836D-416D-8BBE-5AFA3FAA8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E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1E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1E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1E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1E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1E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1E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1E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1E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E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1E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1E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1E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1E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1E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1E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1E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1EB3"/>
    <w:rPr>
      <w:rFonts w:eastAsiaTheme="majorEastAsia" w:cstheme="majorBidi"/>
      <w:color w:val="272727" w:themeColor="text1" w:themeTint="D8"/>
    </w:rPr>
  </w:style>
  <w:style w:type="paragraph" w:styleId="Title">
    <w:name w:val="Title"/>
    <w:basedOn w:val="Normal"/>
    <w:next w:val="Normal"/>
    <w:link w:val="TitleChar"/>
    <w:uiPriority w:val="10"/>
    <w:qFormat/>
    <w:rsid w:val="00401E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E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1E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1E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1EB3"/>
    <w:pPr>
      <w:spacing w:before="160"/>
      <w:jc w:val="center"/>
    </w:pPr>
    <w:rPr>
      <w:i/>
      <w:iCs/>
      <w:color w:val="404040" w:themeColor="text1" w:themeTint="BF"/>
    </w:rPr>
  </w:style>
  <w:style w:type="character" w:customStyle="1" w:styleId="QuoteChar">
    <w:name w:val="Quote Char"/>
    <w:basedOn w:val="DefaultParagraphFont"/>
    <w:link w:val="Quote"/>
    <w:uiPriority w:val="29"/>
    <w:rsid w:val="00401EB3"/>
    <w:rPr>
      <w:i/>
      <w:iCs/>
      <w:color w:val="404040" w:themeColor="text1" w:themeTint="BF"/>
    </w:rPr>
  </w:style>
  <w:style w:type="paragraph" w:styleId="ListParagraph">
    <w:name w:val="List Paragraph"/>
    <w:basedOn w:val="Normal"/>
    <w:uiPriority w:val="34"/>
    <w:qFormat/>
    <w:rsid w:val="00401EB3"/>
    <w:pPr>
      <w:ind w:left="720"/>
      <w:contextualSpacing/>
    </w:pPr>
  </w:style>
  <w:style w:type="character" w:styleId="IntenseEmphasis">
    <w:name w:val="Intense Emphasis"/>
    <w:basedOn w:val="DefaultParagraphFont"/>
    <w:uiPriority w:val="21"/>
    <w:qFormat/>
    <w:rsid w:val="00401EB3"/>
    <w:rPr>
      <w:i/>
      <w:iCs/>
      <w:color w:val="0F4761" w:themeColor="accent1" w:themeShade="BF"/>
    </w:rPr>
  </w:style>
  <w:style w:type="paragraph" w:styleId="IntenseQuote">
    <w:name w:val="Intense Quote"/>
    <w:basedOn w:val="Normal"/>
    <w:next w:val="Normal"/>
    <w:link w:val="IntenseQuoteChar"/>
    <w:uiPriority w:val="30"/>
    <w:qFormat/>
    <w:rsid w:val="00401E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1EB3"/>
    <w:rPr>
      <w:i/>
      <w:iCs/>
      <w:color w:val="0F4761" w:themeColor="accent1" w:themeShade="BF"/>
    </w:rPr>
  </w:style>
  <w:style w:type="character" w:styleId="IntenseReference">
    <w:name w:val="Intense Reference"/>
    <w:basedOn w:val="DefaultParagraphFont"/>
    <w:uiPriority w:val="32"/>
    <w:qFormat/>
    <w:rsid w:val="00401EB3"/>
    <w:rPr>
      <w:b/>
      <w:bCs/>
      <w:smallCaps/>
      <w:color w:val="0F4761" w:themeColor="accent1" w:themeShade="BF"/>
      <w:spacing w:val="5"/>
    </w:rPr>
  </w:style>
  <w:style w:type="paragraph" w:styleId="FootnoteText">
    <w:name w:val="footnote text"/>
    <w:basedOn w:val="Normal"/>
    <w:link w:val="FootnoteTextChar"/>
    <w:uiPriority w:val="99"/>
    <w:semiHidden/>
    <w:unhideWhenUsed/>
    <w:rsid w:val="005F5B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5B66"/>
    <w:rPr>
      <w:sz w:val="20"/>
      <w:szCs w:val="20"/>
    </w:rPr>
  </w:style>
  <w:style w:type="character" w:styleId="FootnoteReference">
    <w:name w:val="footnote reference"/>
    <w:basedOn w:val="DefaultParagraphFont"/>
    <w:uiPriority w:val="99"/>
    <w:semiHidden/>
    <w:unhideWhenUsed/>
    <w:rsid w:val="005F5B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C0CB"/>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066CC-C40D-4069-A2D8-4B17C8A7B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7618</TotalTime>
  <Pages>2</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Emmett Leitch (2305899)</dc:creator>
  <cp:keywords/>
  <dc:description/>
  <cp:lastModifiedBy>Emmett Leitch (2305899)</cp:lastModifiedBy>
  <cp:revision>5</cp:revision>
  <dcterms:created xsi:type="dcterms:W3CDTF">2025-03-11T17:48:00Z</dcterms:created>
  <dcterms:modified xsi:type="dcterms:W3CDTF">2025-03-23T20:09:00Z</dcterms:modified>
</cp:coreProperties>
</file>