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789C4" w14:textId="77777777" w:rsidR="00053818" w:rsidRPr="00F36ADF" w:rsidRDefault="00053818" w:rsidP="00053818">
      <w:pPr>
        <w:spacing w:before="100" w:beforeAutospacing="1" w:after="100" w:afterAutospacing="1"/>
        <w:outlineLvl w:val="0"/>
        <w:rPr>
          <w:rFonts w:ascii="Arial" w:eastAsia="Times New Roman" w:hAnsi="Arial" w:cs="Arial"/>
          <w:b/>
          <w:bCs/>
          <w:kern w:val="36"/>
          <w:sz w:val="20"/>
          <w:szCs w:val="20"/>
          <w:lang w:eastAsia="en-GB"/>
          <w14:ligatures w14:val="none"/>
        </w:rPr>
      </w:pPr>
      <w:r w:rsidRPr="00F36ADF">
        <w:rPr>
          <w:rFonts w:ascii="Arial" w:eastAsia="Times New Roman" w:hAnsi="Arial" w:cs="Arial"/>
          <w:b/>
          <w:bCs/>
          <w:kern w:val="36"/>
          <w:sz w:val="20"/>
          <w:szCs w:val="20"/>
          <w:lang w:eastAsia="en-GB"/>
          <w14:ligatures w14:val="none"/>
        </w:rPr>
        <w:t xml:space="preserve">Commentary on Militaristic Terminology in the </w:t>
      </w:r>
      <w:r w:rsidRPr="00F36ADF">
        <w:rPr>
          <w:rFonts w:ascii="Arial" w:eastAsia="Times New Roman" w:hAnsi="Arial" w:cs="Arial"/>
          <w:b/>
          <w:bCs/>
          <w:i/>
          <w:iCs/>
          <w:kern w:val="36"/>
          <w:sz w:val="20"/>
          <w:szCs w:val="20"/>
          <w:lang w:eastAsia="en-GB"/>
          <w14:ligatures w14:val="none"/>
        </w:rPr>
        <w:t>Rule of St Benedict</w:t>
      </w:r>
      <w:r w:rsidRPr="00F36ADF">
        <w:rPr>
          <w:rFonts w:ascii="Arial" w:eastAsia="Times New Roman" w:hAnsi="Arial" w:cs="Arial"/>
          <w:b/>
          <w:bCs/>
          <w:kern w:val="36"/>
          <w:sz w:val="20"/>
          <w:szCs w:val="20"/>
          <w:lang w:eastAsia="en-GB"/>
          <w14:ligatures w14:val="none"/>
        </w:rPr>
        <w:t>, Chapter 1</w:t>
      </w:r>
    </w:p>
    <w:p w14:paraId="7DF845AA" w14:textId="3D681F7A"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The </w:t>
      </w:r>
      <w:r w:rsidRPr="00F36ADF">
        <w:rPr>
          <w:rFonts w:ascii="Arial" w:eastAsia="Times New Roman" w:hAnsi="Arial" w:cs="Arial"/>
          <w:i/>
          <w:iCs/>
          <w:kern w:val="0"/>
          <w:sz w:val="20"/>
          <w:szCs w:val="20"/>
          <w:lang w:eastAsia="en-GB"/>
          <w14:ligatures w14:val="none"/>
        </w:rPr>
        <w:t>Rule of St Benedict</w:t>
      </w:r>
      <w:r w:rsidRPr="00F36ADF">
        <w:rPr>
          <w:rFonts w:ascii="Arial" w:eastAsia="Times New Roman" w:hAnsi="Arial" w:cs="Arial"/>
          <w:kern w:val="0"/>
          <w:sz w:val="20"/>
          <w:szCs w:val="20"/>
          <w:lang w:eastAsia="en-GB"/>
          <w14:ligatures w14:val="none"/>
        </w:rPr>
        <w:t xml:space="preserve"> was composed in the early sixth </w:t>
      </w:r>
      <w:r w:rsidR="008919E7" w:rsidRPr="00F36ADF">
        <w:rPr>
          <w:rFonts w:ascii="Arial" w:eastAsia="Times New Roman" w:hAnsi="Arial" w:cs="Arial"/>
          <w:kern w:val="0"/>
          <w:sz w:val="20"/>
          <w:szCs w:val="20"/>
          <w:lang w:eastAsia="en-GB"/>
          <w14:ligatures w14:val="none"/>
        </w:rPr>
        <w:t>century and</w:t>
      </w:r>
      <w:r w:rsidRPr="00F36ADF">
        <w:rPr>
          <w:rFonts w:ascii="Arial" w:eastAsia="Times New Roman" w:hAnsi="Arial" w:cs="Arial"/>
          <w:kern w:val="0"/>
          <w:sz w:val="20"/>
          <w:szCs w:val="20"/>
          <w:lang w:eastAsia="en-GB"/>
          <w14:ligatures w14:val="none"/>
        </w:rPr>
        <w:t xml:space="preserve"> has long been recognised as one of the most influential texts shaping the development of Western monasticism. In the first chapter, Benedict outlines the first two types of monks: the cenobites and the anchorites, which at first glance, appears purely descriptive, yet Benedict’s language reveals a deeper rhetorical strategy. His portrayal of the anchorites is deeply embedded with militaristic imagery, including terms such as “fight”, “well armed”, “ranks”, and “combat”, all of which situates the solitary vocation within a framework of spiritual warfare. In this commentary we will examine how Benedict deploys these military metaphors, how they relate to earlier Christian traditions, and how they function to legitimise cenobitic monasticism as necessary preparation for the more perilous solitary life.</w:t>
      </w:r>
    </w:p>
    <w:p w14:paraId="46D1F91E" w14:textId="629AA744"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The use of martial metaphor in Christian writing long predates Benedict, with The New Testament (</w:t>
      </w:r>
      <w:proofErr w:type="gramStart"/>
      <w:r w:rsidRPr="00F36ADF">
        <w:rPr>
          <w:rFonts w:ascii="Arial" w:eastAsia="Times New Roman" w:hAnsi="Arial" w:cs="Arial"/>
          <w:kern w:val="0"/>
          <w:sz w:val="20"/>
          <w:szCs w:val="20"/>
          <w:lang w:eastAsia="en-GB"/>
          <w14:ligatures w14:val="none"/>
        </w:rPr>
        <w:t>in particular the</w:t>
      </w:r>
      <w:proofErr w:type="gramEnd"/>
      <w:r w:rsidRPr="00F36ADF">
        <w:rPr>
          <w:rFonts w:ascii="Arial" w:eastAsia="Times New Roman" w:hAnsi="Arial" w:cs="Arial"/>
          <w:kern w:val="0"/>
          <w:sz w:val="20"/>
          <w:szCs w:val="20"/>
          <w:lang w:eastAsia="en-GB"/>
          <w14:ligatures w14:val="none"/>
        </w:rPr>
        <w:t xml:space="preserve"> Pauline epistles) frequently framing the Christian life as a battle against spiritual forces, with believers urged to “put on the whole armour of God”.</w:t>
      </w:r>
      <w:r w:rsidR="00356F23" w:rsidRPr="00F36ADF">
        <w:rPr>
          <w:rStyle w:val="FootnoteReference"/>
          <w:rFonts w:ascii="Arial" w:eastAsia="Times New Roman" w:hAnsi="Arial" w:cs="Arial"/>
          <w:kern w:val="0"/>
          <w:sz w:val="20"/>
          <w:szCs w:val="20"/>
          <w:lang w:eastAsia="en-GB"/>
          <w14:ligatures w14:val="none"/>
        </w:rPr>
        <w:footnoteReference w:id="1"/>
      </w:r>
      <w:r w:rsidRPr="00F36ADF">
        <w:rPr>
          <w:rFonts w:ascii="Arial" w:eastAsia="Times New Roman" w:hAnsi="Arial" w:cs="Arial"/>
          <w:kern w:val="0"/>
          <w:sz w:val="20"/>
          <w:szCs w:val="20"/>
          <w:lang w:eastAsia="en-GB"/>
          <w14:ligatures w14:val="none"/>
        </w:rPr>
        <w:t xml:space="preserve"> </w:t>
      </w:r>
    </w:p>
    <w:p w14:paraId="38959620" w14:textId="169C6D7E"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This rhetorical tradition was further developed in early Christian hagiography, where martyrs were described as soldiers of Christ contending against the powers of evil. When monasticism emerged in the deserts of Egypt and Syria in the third and fourth centuries, its practitioners adopted and intensified this language, with figures such as Antony and Pachomius represented as generals commanding spiritual armies and facing demonic assaults in the desert wilderness.</w:t>
      </w:r>
      <w:r w:rsidR="00AA753B" w:rsidRPr="00F36ADF">
        <w:rPr>
          <w:rStyle w:val="FootnoteReference"/>
          <w:rFonts w:ascii="Arial" w:eastAsia="Times New Roman" w:hAnsi="Arial" w:cs="Arial"/>
          <w:kern w:val="0"/>
          <w:sz w:val="20"/>
          <w:szCs w:val="20"/>
          <w:lang w:eastAsia="en-GB"/>
          <w14:ligatures w14:val="none"/>
        </w:rPr>
        <w:footnoteReference w:id="2"/>
      </w:r>
      <w:r w:rsidRPr="00F36ADF">
        <w:rPr>
          <w:rFonts w:ascii="Arial" w:eastAsia="Times New Roman" w:hAnsi="Arial" w:cs="Arial"/>
          <w:kern w:val="0"/>
          <w:sz w:val="20"/>
          <w:szCs w:val="20"/>
          <w:lang w:eastAsia="en-GB"/>
          <w14:ligatures w14:val="none"/>
        </w:rPr>
        <w:t xml:space="preserve"> In these narratives, the desert was not a place of physical deprivation alone, but an arena in which spiritual combat took place. Benedict’s language clearly inherits this tradition, but he reshapes it to suit the theological and social concerns of Western monasticism</w:t>
      </w:r>
      <w:r w:rsidR="00534FA2" w:rsidRPr="00F36ADF">
        <w:rPr>
          <w:rFonts w:ascii="Arial" w:eastAsia="Times New Roman" w:hAnsi="Arial" w:cs="Arial"/>
          <w:kern w:val="0"/>
          <w:sz w:val="20"/>
          <w:szCs w:val="20"/>
          <w:lang w:eastAsia="en-GB"/>
          <w14:ligatures w14:val="none"/>
        </w:rPr>
        <w:t xml:space="preserve"> in the medieval period.</w:t>
      </w:r>
    </w:p>
    <w:p w14:paraId="5DAD1DC5" w14:textId="7CF351BF"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An important aspect of the extract is the contrast between Benedict’s description of the cenobites and that of the anchorites. Cenobites, he writes, are “those who live in monasteries, serving under a Rule and an abbot”.</w:t>
      </w:r>
      <w:r w:rsidR="00AA753B" w:rsidRPr="00F36ADF">
        <w:rPr>
          <w:rStyle w:val="FootnoteReference"/>
          <w:rFonts w:ascii="Arial" w:eastAsia="Times New Roman" w:hAnsi="Arial" w:cs="Arial"/>
          <w:kern w:val="0"/>
          <w:sz w:val="20"/>
          <w:szCs w:val="20"/>
          <w:lang w:eastAsia="en-GB"/>
          <w14:ligatures w14:val="none"/>
        </w:rPr>
        <w:footnoteReference w:id="3"/>
      </w:r>
      <w:r w:rsidRPr="00F36ADF">
        <w:rPr>
          <w:rFonts w:ascii="Arial" w:eastAsia="Times New Roman" w:hAnsi="Arial" w:cs="Arial"/>
          <w:kern w:val="0"/>
          <w:sz w:val="20"/>
          <w:szCs w:val="20"/>
          <w:lang w:eastAsia="en-GB"/>
          <w14:ligatures w14:val="none"/>
        </w:rPr>
        <w:t xml:space="preserve"> This </w:t>
      </w:r>
      <w:r w:rsidR="00534FA2" w:rsidRPr="00F36ADF">
        <w:rPr>
          <w:rFonts w:ascii="Arial" w:eastAsia="Times New Roman" w:hAnsi="Arial" w:cs="Arial"/>
          <w:kern w:val="0"/>
          <w:sz w:val="20"/>
          <w:szCs w:val="20"/>
          <w:lang w:eastAsia="en-GB"/>
          <w14:ligatures w14:val="none"/>
        </w:rPr>
        <w:t>simple introduction</w:t>
      </w:r>
      <w:r w:rsidRPr="00F36ADF">
        <w:rPr>
          <w:rFonts w:ascii="Arial" w:eastAsia="Times New Roman" w:hAnsi="Arial" w:cs="Arial"/>
          <w:kern w:val="0"/>
          <w:sz w:val="20"/>
          <w:szCs w:val="20"/>
          <w:lang w:eastAsia="en-GB"/>
          <w14:ligatures w14:val="none"/>
        </w:rPr>
        <w:t xml:space="preserve"> is notably devoid of </w:t>
      </w:r>
      <w:r w:rsidR="00534FA2" w:rsidRPr="00F36ADF">
        <w:rPr>
          <w:rFonts w:ascii="Arial" w:eastAsia="Times New Roman" w:hAnsi="Arial" w:cs="Arial"/>
          <w:kern w:val="0"/>
          <w:sz w:val="20"/>
          <w:szCs w:val="20"/>
          <w:lang w:eastAsia="en-GB"/>
          <w14:ligatures w14:val="none"/>
        </w:rPr>
        <w:t xml:space="preserve">descriptive language or </w:t>
      </w:r>
      <w:r w:rsidRPr="00F36ADF">
        <w:rPr>
          <w:rFonts w:ascii="Arial" w:eastAsia="Times New Roman" w:hAnsi="Arial" w:cs="Arial"/>
          <w:kern w:val="0"/>
          <w:sz w:val="20"/>
          <w:szCs w:val="20"/>
          <w:lang w:eastAsia="en-GB"/>
          <w14:ligatures w14:val="none"/>
        </w:rPr>
        <w:t>military imagery</w:t>
      </w:r>
      <w:r w:rsidR="00534FA2" w:rsidRPr="00F36ADF">
        <w:rPr>
          <w:rFonts w:ascii="Arial" w:eastAsia="Times New Roman" w:hAnsi="Arial" w:cs="Arial"/>
          <w:kern w:val="0"/>
          <w:sz w:val="20"/>
          <w:szCs w:val="20"/>
          <w:lang w:eastAsia="en-GB"/>
          <w14:ligatures w14:val="none"/>
        </w:rPr>
        <w:t>, instead</w:t>
      </w:r>
      <w:r w:rsidRPr="00F36ADF">
        <w:rPr>
          <w:rFonts w:ascii="Arial" w:eastAsia="Times New Roman" w:hAnsi="Arial" w:cs="Arial"/>
          <w:kern w:val="0"/>
          <w:sz w:val="20"/>
          <w:szCs w:val="20"/>
          <w:lang w:eastAsia="en-GB"/>
          <w14:ligatures w14:val="none"/>
        </w:rPr>
        <w:t xml:space="preserve"> emphasis</w:t>
      </w:r>
      <w:r w:rsidR="00534FA2" w:rsidRPr="00F36ADF">
        <w:rPr>
          <w:rFonts w:ascii="Arial" w:eastAsia="Times New Roman" w:hAnsi="Arial" w:cs="Arial"/>
          <w:kern w:val="0"/>
          <w:sz w:val="20"/>
          <w:szCs w:val="20"/>
          <w:lang w:eastAsia="en-GB"/>
          <w14:ligatures w14:val="none"/>
        </w:rPr>
        <w:t>ing</w:t>
      </w:r>
      <w:r w:rsidRPr="00F36ADF">
        <w:rPr>
          <w:rFonts w:ascii="Arial" w:eastAsia="Times New Roman" w:hAnsi="Arial" w:cs="Arial"/>
          <w:kern w:val="0"/>
          <w:sz w:val="20"/>
          <w:szCs w:val="20"/>
          <w:lang w:eastAsia="en-GB"/>
          <w14:ligatures w14:val="none"/>
        </w:rPr>
        <w:t xml:space="preserve"> structure, obedience, and stability</w:t>
      </w:r>
      <w:r w:rsidR="00534FA2" w:rsidRPr="00F36ADF">
        <w:rPr>
          <w:rFonts w:ascii="Arial" w:eastAsia="Times New Roman" w:hAnsi="Arial" w:cs="Arial"/>
          <w:kern w:val="0"/>
          <w:sz w:val="20"/>
          <w:szCs w:val="20"/>
          <w:lang w:eastAsia="en-GB"/>
          <w14:ligatures w14:val="none"/>
        </w:rPr>
        <w:t xml:space="preserve"> - th</w:t>
      </w:r>
      <w:r w:rsidRPr="00F36ADF">
        <w:rPr>
          <w:rFonts w:ascii="Arial" w:eastAsia="Times New Roman" w:hAnsi="Arial" w:cs="Arial"/>
          <w:kern w:val="0"/>
          <w:sz w:val="20"/>
          <w:szCs w:val="20"/>
          <w:lang w:eastAsia="en-GB"/>
          <w14:ligatures w14:val="none"/>
        </w:rPr>
        <w:t xml:space="preserve">e cenobitic life is defined not by conflict but by submission to communal order. </w:t>
      </w:r>
      <w:r w:rsidR="00534FA2" w:rsidRPr="00F36ADF">
        <w:rPr>
          <w:rFonts w:ascii="Arial" w:eastAsia="Times New Roman" w:hAnsi="Arial" w:cs="Arial"/>
          <w:kern w:val="0"/>
          <w:sz w:val="20"/>
          <w:szCs w:val="20"/>
          <w:lang w:eastAsia="en-GB"/>
          <w14:ligatures w14:val="none"/>
        </w:rPr>
        <w:t>We can read t</w:t>
      </w:r>
      <w:r w:rsidRPr="00F36ADF">
        <w:rPr>
          <w:rFonts w:ascii="Arial" w:eastAsia="Times New Roman" w:hAnsi="Arial" w:cs="Arial"/>
          <w:kern w:val="0"/>
          <w:sz w:val="20"/>
          <w:szCs w:val="20"/>
          <w:lang w:eastAsia="en-GB"/>
          <w14:ligatures w14:val="none"/>
        </w:rPr>
        <w:t xml:space="preserve">his lack of martial language </w:t>
      </w:r>
      <w:r w:rsidR="00534FA2" w:rsidRPr="00F36ADF">
        <w:rPr>
          <w:rFonts w:ascii="Arial" w:eastAsia="Times New Roman" w:hAnsi="Arial" w:cs="Arial"/>
          <w:kern w:val="0"/>
          <w:sz w:val="20"/>
          <w:szCs w:val="20"/>
          <w:lang w:eastAsia="en-GB"/>
          <w14:ligatures w14:val="none"/>
        </w:rPr>
        <w:t>as</w:t>
      </w:r>
      <w:r w:rsidRPr="00F36ADF">
        <w:rPr>
          <w:rFonts w:ascii="Arial" w:eastAsia="Times New Roman" w:hAnsi="Arial" w:cs="Arial"/>
          <w:kern w:val="0"/>
          <w:sz w:val="20"/>
          <w:szCs w:val="20"/>
          <w:lang w:eastAsia="en-GB"/>
          <w14:ligatures w14:val="none"/>
        </w:rPr>
        <w:t xml:space="preserve"> significant</w:t>
      </w:r>
      <w:r w:rsidR="00534FA2"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it presents cenobitism as an ordered and peaceful foundation, a place of discipline but not </w:t>
      </w:r>
      <w:r w:rsidR="00534FA2"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yet</w:t>
      </w:r>
      <w:r w:rsidR="00534FA2"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of battle. The community is not the battlefield; it is the training ground. The cenobite learns humility, obedience, and perseverance not through solitary struggle but through communal life under an abbot's authority.</w:t>
      </w:r>
    </w:p>
    <w:p w14:paraId="555BE7BB" w14:textId="49EE387A"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The shift in tone becomes stark when Benedict turns </w:t>
      </w:r>
      <w:r w:rsidR="00534FA2" w:rsidRPr="00F36ADF">
        <w:rPr>
          <w:rFonts w:ascii="Arial" w:eastAsia="Times New Roman" w:hAnsi="Arial" w:cs="Arial"/>
          <w:kern w:val="0"/>
          <w:sz w:val="20"/>
          <w:szCs w:val="20"/>
          <w:lang w:eastAsia="en-GB"/>
          <w14:ligatures w14:val="none"/>
        </w:rPr>
        <w:t>his attention</w:t>
      </w:r>
      <w:r w:rsidRPr="00F36ADF">
        <w:rPr>
          <w:rFonts w:ascii="Arial" w:eastAsia="Times New Roman" w:hAnsi="Arial" w:cs="Arial"/>
          <w:kern w:val="0"/>
          <w:sz w:val="20"/>
          <w:szCs w:val="20"/>
          <w:lang w:eastAsia="en-GB"/>
          <w14:ligatures w14:val="none"/>
        </w:rPr>
        <w:t xml:space="preserve"> the anchorites. Having emphasised that these monks are not novices swept up in the “first fervour of their conversion”, he asserts that they are those who, “after long probation in a monastery”, having learned “how to fight against the devil”, leave the community “well armed” for the “solitary combat of the desert”.</w:t>
      </w:r>
      <w:r w:rsidR="00AA753B" w:rsidRPr="00F36ADF">
        <w:rPr>
          <w:rStyle w:val="FootnoteReference"/>
          <w:rFonts w:ascii="Arial" w:eastAsia="Times New Roman" w:hAnsi="Arial" w:cs="Arial"/>
          <w:kern w:val="0"/>
          <w:sz w:val="20"/>
          <w:szCs w:val="20"/>
          <w:lang w:eastAsia="en-GB"/>
          <w14:ligatures w14:val="none"/>
        </w:rPr>
        <w:footnoteReference w:id="4"/>
      </w:r>
      <w:r w:rsidRPr="00F36ADF">
        <w:rPr>
          <w:rFonts w:ascii="Arial" w:eastAsia="Times New Roman" w:hAnsi="Arial" w:cs="Arial"/>
          <w:kern w:val="0"/>
          <w:sz w:val="20"/>
          <w:szCs w:val="20"/>
          <w:lang w:eastAsia="en-GB"/>
          <w14:ligatures w14:val="none"/>
        </w:rPr>
        <w:t xml:space="preserve"> Each phrase is loaded with militaristic significance</w:t>
      </w:r>
      <w:r w:rsidR="00534FA2" w:rsidRPr="00F36ADF">
        <w:rPr>
          <w:rFonts w:ascii="Arial" w:eastAsia="Times New Roman" w:hAnsi="Arial" w:cs="Arial"/>
          <w:kern w:val="0"/>
          <w:sz w:val="20"/>
          <w:szCs w:val="20"/>
          <w:lang w:eastAsia="en-GB"/>
          <w14:ligatures w14:val="none"/>
        </w:rPr>
        <w:t>, the words heavily leaning on terms the lay person would be familiar with.</w:t>
      </w:r>
      <w:r w:rsidRPr="00F36ADF">
        <w:rPr>
          <w:rFonts w:ascii="Arial" w:eastAsia="Times New Roman" w:hAnsi="Arial" w:cs="Arial"/>
          <w:kern w:val="0"/>
          <w:sz w:val="20"/>
          <w:szCs w:val="20"/>
          <w:lang w:eastAsia="en-GB"/>
          <w14:ligatures w14:val="none"/>
        </w:rPr>
        <w:t xml:space="preserve"> To “fight against the devil” evokes an enemy that is personal, cunning, and dangerous</w:t>
      </w:r>
      <w:r w:rsidR="00534FA2" w:rsidRPr="00F36ADF">
        <w:rPr>
          <w:rFonts w:ascii="Arial" w:eastAsia="Times New Roman" w:hAnsi="Arial" w:cs="Arial"/>
          <w:kern w:val="0"/>
          <w:sz w:val="20"/>
          <w:szCs w:val="20"/>
          <w:lang w:eastAsia="en-GB"/>
          <w14:ligatures w14:val="none"/>
        </w:rPr>
        <w:t>, and</w:t>
      </w:r>
      <w:r w:rsidRPr="00F36ADF">
        <w:rPr>
          <w:rFonts w:ascii="Arial" w:eastAsia="Times New Roman" w:hAnsi="Arial" w:cs="Arial"/>
          <w:kern w:val="0"/>
          <w:sz w:val="20"/>
          <w:szCs w:val="20"/>
          <w:lang w:eastAsia="en-GB"/>
          <w14:ligatures w14:val="none"/>
        </w:rPr>
        <w:t xml:space="preserve"> </w:t>
      </w:r>
      <w:r w:rsidR="00534FA2" w:rsidRPr="00F36ADF">
        <w:rPr>
          <w:rFonts w:ascii="Arial" w:eastAsia="Times New Roman" w:hAnsi="Arial" w:cs="Arial"/>
          <w:kern w:val="0"/>
          <w:sz w:val="20"/>
          <w:szCs w:val="20"/>
          <w:lang w:eastAsia="en-GB"/>
          <w14:ligatures w14:val="none"/>
        </w:rPr>
        <w:t xml:space="preserve">in </w:t>
      </w:r>
      <w:r w:rsidRPr="00F36ADF">
        <w:rPr>
          <w:rFonts w:ascii="Arial" w:eastAsia="Times New Roman" w:hAnsi="Arial" w:cs="Arial"/>
          <w:kern w:val="0"/>
          <w:sz w:val="20"/>
          <w:szCs w:val="20"/>
          <w:lang w:eastAsia="en-GB"/>
          <w14:ligatures w14:val="none"/>
        </w:rPr>
        <w:t>early monastic tradition demons were often described as literal assailants, attacking monks through visions, temptations, and psychological afflictions.</w:t>
      </w:r>
      <w:r w:rsidR="00324474" w:rsidRPr="00F36ADF">
        <w:rPr>
          <w:rStyle w:val="FootnoteReference"/>
          <w:rFonts w:ascii="Arial" w:eastAsia="Times New Roman" w:hAnsi="Arial" w:cs="Arial"/>
          <w:kern w:val="0"/>
          <w:sz w:val="20"/>
          <w:szCs w:val="20"/>
          <w:lang w:eastAsia="en-GB"/>
          <w14:ligatures w14:val="none"/>
        </w:rPr>
        <w:footnoteReference w:id="5"/>
      </w:r>
      <w:r w:rsidRPr="00F36ADF">
        <w:rPr>
          <w:rFonts w:ascii="Arial" w:eastAsia="Times New Roman" w:hAnsi="Arial" w:cs="Arial"/>
          <w:kern w:val="0"/>
          <w:sz w:val="20"/>
          <w:szCs w:val="20"/>
          <w:lang w:eastAsia="en-GB"/>
          <w14:ligatures w14:val="none"/>
        </w:rPr>
        <w:t xml:space="preserve"> Benedict’s audience would have</w:t>
      </w:r>
      <w:r w:rsidR="00534FA2" w:rsidRPr="00F36ADF">
        <w:rPr>
          <w:rFonts w:ascii="Arial" w:eastAsia="Times New Roman" w:hAnsi="Arial" w:cs="Arial"/>
          <w:kern w:val="0"/>
          <w:sz w:val="20"/>
          <w:szCs w:val="20"/>
          <w:lang w:eastAsia="en-GB"/>
          <w14:ligatures w14:val="none"/>
        </w:rPr>
        <w:t xml:space="preserve"> immediately</w:t>
      </w:r>
      <w:r w:rsidRPr="00F36ADF">
        <w:rPr>
          <w:rFonts w:ascii="Arial" w:eastAsia="Times New Roman" w:hAnsi="Arial" w:cs="Arial"/>
          <w:kern w:val="0"/>
          <w:sz w:val="20"/>
          <w:szCs w:val="20"/>
          <w:lang w:eastAsia="en-GB"/>
          <w14:ligatures w14:val="none"/>
        </w:rPr>
        <w:t xml:space="preserve"> recognised such imagery and understood its seriousness.</w:t>
      </w:r>
    </w:p>
    <w:p w14:paraId="41D5D09E" w14:textId="592D72C5"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The phrase “well armed” likewise fits within a long-standing metaphorical tradition. Here, Benedict does not specify what the monk’s “arms” are, but the implication is clear</w:t>
      </w:r>
      <w:r w:rsidR="00534FA2"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ascetic practices, obedience learned in community, scriptural knowledge, and the virtues cultivated through stability function</w:t>
      </w:r>
      <w:r w:rsidR="00534FA2" w:rsidRPr="00F36ADF">
        <w:rPr>
          <w:rFonts w:ascii="Arial" w:eastAsia="Times New Roman" w:hAnsi="Arial" w:cs="Arial"/>
          <w:kern w:val="0"/>
          <w:sz w:val="20"/>
          <w:szCs w:val="20"/>
          <w:lang w:eastAsia="en-GB"/>
          <w14:ligatures w14:val="none"/>
        </w:rPr>
        <w:t xml:space="preserve"> in this battle</w:t>
      </w:r>
      <w:r w:rsidRPr="00F36ADF">
        <w:rPr>
          <w:rFonts w:ascii="Arial" w:eastAsia="Times New Roman" w:hAnsi="Arial" w:cs="Arial"/>
          <w:kern w:val="0"/>
          <w:sz w:val="20"/>
          <w:szCs w:val="20"/>
          <w:lang w:eastAsia="en-GB"/>
          <w14:ligatures w14:val="none"/>
        </w:rPr>
        <w:t xml:space="preserve"> as spiritual weapons. The idea that the cenobitic monastery forms the monk through training parallels Roman military practice, in which soldiers underwent rigorous preparation before being permitted to engage in battle</w:t>
      </w:r>
      <w:r w:rsidR="00534FA2" w:rsidRPr="00F36ADF">
        <w:rPr>
          <w:rFonts w:ascii="Arial" w:eastAsia="Times New Roman" w:hAnsi="Arial" w:cs="Arial"/>
          <w:kern w:val="0"/>
          <w:sz w:val="20"/>
          <w:szCs w:val="20"/>
          <w:lang w:eastAsia="en-GB"/>
          <w14:ligatures w14:val="none"/>
        </w:rPr>
        <w:t>, and nobility in the 11</w:t>
      </w:r>
      <w:r w:rsidR="00534FA2" w:rsidRPr="00F36ADF">
        <w:rPr>
          <w:rFonts w:ascii="Arial" w:eastAsia="Times New Roman" w:hAnsi="Arial" w:cs="Arial"/>
          <w:kern w:val="0"/>
          <w:sz w:val="20"/>
          <w:szCs w:val="20"/>
          <w:vertAlign w:val="superscript"/>
          <w:lang w:eastAsia="en-GB"/>
          <w14:ligatures w14:val="none"/>
        </w:rPr>
        <w:t>th</w:t>
      </w:r>
      <w:r w:rsidR="00534FA2" w:rsidRPr="00F36ADF">
        <w:rPr>
          <w:rFonts w:ascii="Arial" w:eastAsia="Times New Roman" w:hAnsi="Arial" w:cs="Arial"/>
          <w:kern w:val="0"/>
          <w:sz w:val="20"/>
          <w:szCs w:val="20"/>
          <w:lang w:eastAsia="en-GB"/>
          <w14:ligatures w14:val="none"/>
        </w:rPr>
        <w:t xml:space="preserve"> Century would have been familiar with such works as Flavius Vegetius Renatus’ </w:t>
      </w:r>
      <w:r w:rsidR="00534FA2" w:rsidRPr="00F36ADF">
        <w:rPr>
          <w:rFonts w:ascii="Arial" w:eastAsia="Times New Roman" w:hAnsi="Arial" w:cs="Arial"/>
          <w:i/>
          <w:iCs/>
          <w:kern w:val="0"/>
          <w:sz w:val="20"/>
          <w:szCs w:val="20"/>
          <w:lang w:eastAsia="en-GB"/>
          <w14:ligatures w14:val="none"/>
        </w:rPr>
        <w:t xml:space="preserve">De Re Militari, </w:t>
      </w:r>
      <w:r w:rsidR="00534FA2" w:rsidRPr="00F36ADF">
        <w:rPr>
          <w:rFonts w:ascii="Arial" w:eastAsia="Times New Roman" w:hAnsi="Arial" w:cs="Arial"/>
          <w:kern w:val="0"/>
          <w:sz w:val="20"/>
          <w:szCs w:val="20"/>
          <w:lang w:eastAsia="en-GB"/>
          <w14:ligatures w14:val="none"/>
        </w:rPr>
        <w:t xml:space="preserve">often termed as the "Bible of warfare" throughout </w:t>
      </w:r>
      <w:r w:rsidR="00534FA2" w:rsidRPr="00F36ADF">
        <w:rPr>
          <w:rFonts w:ascii="Arial" w:eastAsia="Times New Roman" w:hAnsi="Arial" w:cs="Arial"/>
          <w:kern w:val="0"/>
          <w:sz w:val="20"/>
          <w:szCs w:val="20"/>
          <w:lang w:eastAsia="en-GB"/>
          <w14:ligatures w14:val="none"/>
        </w:rPr>
        <w:lastRenderedPageBreak/>
        <w:t>the Middle Ages and widely read.</w:t>
      </w:r>
      <w:r w:rsidR="00324474" w:rsidRPr="00F36ADF">
        <w:rPr>
          <w:rStyle w:val="FootnoteReference"/>
          <w:rFonts w:ascii="Arial" w:eastAsia="Times New Roman" w:hAnsi="Arial" w:cs="Arial"/>
          <w:kern w:val="0"/>
          <w:sz w:val="20"/>
          <w:szCs w:val="20"/>
          <w:lang w:eastAsia="en-GB"/>
          <w14:ligatures w14:val="none"/>
        </w:rPr>
        <w:footnoteReference w:id="6"/>
      </w:r>
      <w:r w:rsidRPr="00F36ADF">
        <w:rPr>
          <w:rFonts w:ascii="Arial" w:eastAsia="Times New Roman" w:hAnsi="Arial" w:cs="Arial"/>
          <w:kern w:val="0"/>
          <w:sz w:val="20"/>
          <w:szCs w:val="20"/>
          <w:lang w:eastAsia="en-GB"/>
          <w14:ligatures w14:val="none"/>
        </w:rPr>
        <w:t xml:space="preserve"> Benedict’s rhetoric therefore elevates the cenobitic life by portraying it as necessary military training.</w:t>
      </w:r>
    </w:p>
    <w:p w14:paraId="42B11584" w14:textId="5677B6BD"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The description of the monk leaving “the ranks of the community” deepens this metaphor</w:t>
      </w:r>
      <w:r w:rsidR="00534FA2" w:rsidRPr="00F36ADF">
        <w:rPr>
          <w:rFonts w:ascii="Arial" w:eastAsia="Times New Roman" w:hAnsi="Arial" w:cs="Arial"/>
          <w:kern w:val="0"/>
          <w:sz w:val="20"/>
          <w:szCs w:val="20"/>
          <w:lang w:eastAsia="en-GB"/>
          <w14:ligatures w14:val="none"/>
        </w:rPr>
        <w:t xml:space="preserve">, with </w:t>
      </w:r>
      <w:r w:rsidRPr="00F36ADF">
        <w:rPr>
          <w:rFonts w:ascii="Arial" w:eastAsia="Times New Roman" w:hAnsi="Arial" w:cs="Arial"/>
          <w:kern w:val="0"/>
          <w:sz w:val="20"/>
          <w:szCs w:val="20"/>
          <w:lang w:eastAsia="en-GB"/>
          <w14:ligatures w14:val="none"/>
        </w:rPr>
        <w:t xml:space="preserve">“Ranks” </w:t>
      </w:r>
      <w:r w:rsidR="00534FA2" w:rsidRPr="00F36ADF">
        <w:rPr>
          <w:rFonts w:ascii="Arial" w:eastAsia="Times New Roman" w:hAnsi="Arial" w:cs="Arial"/>
          <w:kern w:val="0"/>
          <w:sz w:val="20"/>
          <w:szCs w:val="20"/>
          <w:lang w:eastAsia="en-GB"/>
          <w14:ligatures w14:val="none"/>
        </w:rPr>
        <w:t>not only suggesting</w:t>
      </w:r>
      <w:r w:rsidRPr="00F36ADF">
        <w:rPr>
          <w:rFonts w:ascii="Arial" w:eastAsia="Times New Roman" w:hAnsi="Arial" w:cs="Arial"/>
          <w:kern w:val="0"/>
          <w:sz w:val="20"/>
          <w:szCs w:val="20"/>
          <w:lang w:eastAsia="en-GB"/>
          <w14:ligatures w14:val="none"/>
        </w:rPr>
        <w:t xml:space="preserve"> a structured social order but also a disciplined army. Within Benedict’s monastery, the brethren are organised under obedience to an abbot, and their shared life resembles the hierarchical cohesion of Roman military units</w:t>
      </w:r>
      <w:r w:rsidR="00534FA2" w:rsidRPr="00F36ADF">
        <w:rPr>
          <w:rFonts w:ascii="Arial" w:eastAsia="Times New Roman" w:hAnsi="Arial" w:cs="Arial"/>
          <w:kern w:val="0"/>
          <w:sz w:val="20"/>
          <w:szCs w:val="20"/>
          <w:lang w:eastAsia="en-GB"/>
          <w14:ligatures w14:val="none"/>
        </w:rPr>
        <w:t xml:space="preserve">. Once again, using this kind of terminology </w:t>
      </w:r>
      <w:r w:rsidRPr="00F36ADF">
        <w:rPr>
          <w:rFonts w:ascii="Arial" w:eastAsia="Times New Roman" w:hAnsi="Arial" w:cs="Arial"/>
          <w:kern w:val="0"/>
          <w:sz w:val="20"/>
          <w:szCs w:val="20"/>
          <w:lang w:eastAsia="en-GB"/>
          <w14:ligatures w14:val="none"/>
        </w:rPr>
        <w:t xml:space="preserve">couches cenobitic obedience in familiar cultural terms: the community is an army, the abbot a commander, and the novice a trainee soldier. This metaphor strengthens Benedict’s argument that anchorites must first be shaped within cenobitic life; to leave too soon would be </w:t>
      </w:r>
      <w:r w:rsidR="00534FA2" w:rsidRPr="00F36ADF">
        <w:rPr>
          <w:rFonts w:ascii="Arial" w:eastAsia="Times New Roman" w:hAnsi="Arial" w:cs="Arial"/>
          <w:kern w:val="0"/>
          <w:sz w:val="20"/>
          <w:szCs w:val="20"/>
          <w:lang w:eastAsia="en-GB"/>
          <w14:ligatures w14:val="none"/>
        </w:rPr>
        <w:t xml:space="preserve">in </w:t>
      </w:r>
      <w:r w:rsidR="008919E7" w:rsidRPr="00F36ADF">
        <w:rPr>
          <w:rFonts w:ascii="Arial" w:eastAsia="Times New Roman" w:hAnsi="Arial" w:cs="Arial"/>
          <w:kern w:val="0"/>
          <w:sz w:val="20"/>
          <w:szCs w:val="20"/>
          <w:lang w:eastAsia="en-GB"/>
          <w14:ligatures w14:val="none"/>
        </w:rPr>
        <w:t>parallel</w:t>
      </w:r>
      <w:r w:rsidRPr="00F36ADF">
        <w:rPr>
          <w:rFonts w:ascii="Arial" w:eastAsia="Times New Roman" w:hAnsi="Arial" w:cs="Arial"/>
          <w:kern w:val="0"/>
          <w:sz w:val="20"/>
          <w:szCs w:val="20"/>
          <w:lang w:eastAsia="en-GB"/>
          <w14:ligatures w14:val="none"/>
        </w:rPr>
        <w:t xml:space="preserve"> to a raw recruit entering battle unprepared.</w:t>
      </w:r>
    </w:p>
    <w:p w14:paraId="1E9333CF" w14:textId="1AF5E690"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Benedict culminates his militaristic language in the image of “the solitary combat of the desert”.</w:t>
      </w:r>
      <w:r w:rsidR="00324474" w:rsidRPr="00F36ADF">
        <w:rPr>
          <w:rStyle w:val="FootnoteReference"/>
          <w:rFonts w:ascii="Arial" w:eastAsia="Times New Roman" w:hAnsi="Arial" w:cs="Arial"/>
          <w:kern w:val="0"/>
          <w:sz w:val="20"/>
          <w:szCs w:val="20"/>
          <w:lang w:eastAsia="en-GB"/>
          <w14:ligatures w14:val="none"/>
        </w:rPr>
        <w:footnoteReference w:id="7"/>
      </w:r>
      <w:r w:rsidRPr="00F36ADF">
        <w:rPr>
          <w:rFonts w:ascii="Arial" w:eastAsia="Times New Roman" w:hAnsi="Arial" w:cs="Arial"/>
          <w:kern w:val="0"/>
          <w:sz w:val="20"/>
          <w:szCs w:val="20"/>
          <w:lang w:eastAsia="en-GB"/>
          <w14:ligatures w14:val="none"/>
        </w:rPr>
        <w:t xml:space="preserve"> Drawing on the tradition of the desert fathers, Benedict portrays the wilderness as a battleground where the monk faces an intensified form of spiritual warfare</w:t>
      </w:r>
      <w:r w:rsidR="004F285D"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w:t>
      </w:r>
      <w:r w:rsidR="004F285D" w:rsidRPr="00F36ADF">
        <w:rPr>
          <w:rFonts w:ascii="Arial" w:eastAsia="Times New Roman" w:hAnsi="Arial" w:cs="Arial"/>
          <w:kern w:val="0"/>
          <w:sz w:val="20"/>
          <w:szCs w:val="20"/>
          <w:lang w:eastAsia="en-GB"/>
          <w14:ligatures w14:val="none"/>
        </w:rPr>
        <w:t>b</w:t>
      </w:r>
      <w:r w:rsidRPr="00F36ADF">
        <w:rPr>
          <w:rFonts w:ascii="Arial" w:eastAsia="Times New Roman" w:hAnsi="Arial" w:cs="Arial"/>
          <w:kern w:val="0"/>
          <w:sz w:val="20"/>
          <w:szCs w:val="20"/>
          <w:lang w:eastAsia="en-GB"/>
          <w14:ligatures w14:val="none"/>
        </w:rPr>
        <w:t xml:space="preserve">ut whereas Egyptian hermits such as Antony were sometimes represented as engaging in heroic individual battles without prior communal formation, Benedict insists that solitude is not suitable for the spiritually immature. His adaptation of militaristic terminology therefore functions both to honour the eremitical ideal </w:t>
      </w:r>
      <w:r w:rsidR="00324474" w:rsidRPr="00F36ADF">
        <w:rPr>
          <w:rFonts w:ascii="Arial" w:eastAsia="Times New Roman" w:hAnsi="Arial" w:cs="Arial"/>
          <w:kern w:val="0"/>
          <w:sz w:val="20"/>
          <w:szCs w:val="20"/>
          <w:lang w:eastAsia="en-GB"/>
          <w14:ligatures w14:val="none"/>
        </w:rPr>
        <w:t>and</w:t>
      </w:r>
      <w:r w:rsidR="004F285D" w:rsidRPr="00F36ADF">
        <w:rPr>
          <w:rFonts w:ascii="Arial" w:eastAsia="Times New Roman" w:hAnsi="Arial" w:cs="Arial"/>
          <w:kern w:val="0"/>
          <w:sz w:val="20"/>
          <w:szCs w:val="20"/>
          <w:lang w:eastAsia="en-GB"/>
          <w14:ligatures w14:val="none"/>
        </w:rPr>
        <w:t xml:space="preserve"> </w:t>
      </w:r>
      <w:r w:rsidRPr="00F36ADF">
        <w:rPr>
          <w:rFonts w:ascii="Arial" w:eastAsia="Times New Roman" w:hAnsi="Arial" w:cs="Arial"/>
          <w:kern w:val="0"/>
          <w:sz w:val="20"/>
          <w:szCs w:val="20"/>
          <w:lang w:eastAsia="en-GB"/>
          <w14:ligatures w14:val="none"/>
        </w:rPr>
        <w:t>to regulate it</w:t>
      </w:r>
      <w:r w:rsidR="004F285D" w:rsidRPr="00F36ADF">
        <w:rPr>
          <w:rFonts w:ascii="Arial" w:eastAsia="Times New Roman" w:hAnsi="Arial" w:cs="Arial"/>
          <w:kern w:val="0"/>
          <w:sz w:val="20"/>
          <w:szCs w:val="20"/>
          <w:lang w:eastAsia="en-GB"/>
          <w14:ligatures w14:val="none"/>
        </w:rPr>
        <w:t xml:space="preserve"> - t</w:t>
      </w:r>
      <w:r w:rsidRPr="00F36ADF">
        <w:rPr>
          <w:rFonts w:ascii="Arial" w:eastAsia="Times New Roman" w:hAnsi="Arial" w:cs="Arial"/>
          <w:kern w:val="0"/>
          <w:sz w:val="20"/>
          <w:szCs w:val="20"/>
          <w:lang w:eastAsia="en-GB"/>
          <w14:ligatures w14:val="none"/>
        </w:rPr>
        <w:t>he desert may be the battlefield, but only those who have undergone rigorous training should enter it.</w:t>
      </w:r>
    </w:p>
    <w:p w14:paraId="10375149" w14:textId="3F772649"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Why does Benedict employ such emphatically martial metaphors? The first reason is theological. In Benedict’s world</w:t>
      </w:r>
      <w:r w:rsidR="004F285D" w:rsidRPr="00F36ADF">
        <w:rPr>
          <w:rFonts w:ascii="Arial" w:eastAsia="Times New Roman" w:hAnsi="Arial" w:cs="Arial"/>
          <w:kern w:val="0"/>
          <w:sz w:val="20"/>
          <w:szCs w:val="20"/>
          <w:lang w:eastAsia="en-GB"/>
          <w14:ligatures w14:val="none"/>
        </w:rPr>
        <w:t xml:space="preserve"> </w:t>
      </w:r>
      <w:r w:rsidRPr="00F36ADF">
        <w:rPr>
          <w:rFonts w:ascii="Arial" w:eastAsia="Times New Roman" w:hAnsi="Arial" w:cs="Arial"/>
          <w:kern w:val="0"/>
          <w:sz w:val="20"/>
          <w:szCs w:val="20"/>
          <w:lang w:eastAsia="en-GB"/>
          <w14:ligatures w14:val="none"/>
        </w:rPr>
        <w:t>view, spiritual life involves struggle. Temptations of mind and body, which he explicitly mentions, are not passive experiences but active confrontations requiring resistance</w:t>
      </w:r>
      <w:r w:rsidR="004F285D"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w:t>
      </w:r>
      <w:r w:rsidR="004F285D" w:rsidRPr="00F36ADF">
        <w:rPr>
          <w:rFonts w:ascii="Arial" w:eastAsia="Times New Roman" w:hAnsi="Arial" w:cs="Arial"/>
          <w:kern w:val="0"/>
          <w:sz w:val="20"/>
          <w:szCs w:val="20"/>
          <w:lang w:eastAsia="en-GB"/>
          <w14:ligatures w14:val="none"/>
        </w:rPr>
        <w:t>t</w:t>
      </w:r>
      <w:r w:rsidRPr="00F36ADF">
        <w:rPr>
          <w:rFonts w:ascii="Arial" w:eastAsia="Times New Roman" w:hAnsi="Arial" w:cs="Arial"/>
          <w:kern w:val="0"/>
          <w:sz w:val="20"/>
          <w:szCs w:val="20"/>
          <w:lang w:eastAsia="en-GB"/>
          <w14:ligatures w14:val="none"/>
        </w:rPr>
        <w:t>he devil is not a metaphor but a real adversary. By framing monastic asceticism as combat, Benedict reinforces the seriousness of the monk’s vocation and the vigilance necessary to pursue holiness</w:t>
      </w:r>
      <w:r w:rsidR="004F285D" w:rsidRPr="00F36ADF">
        <w:rPr>
          <w:rFonts w:ascii="Arial" w:eastAsia="Times New Roman" w:hAnsi="Arial" w:cs="Arial"/>
          <w:kern w:val="0"/>
          <w:sz w:val="20"/>
          <w:szCs w:val="20"/>
          <w:lang w:eastAsia="en-GB"/>
          <w14:ligatures w14:val="none"/>
        </w:rPr>
        <w:t xml:space="preserve">. </w:t>
      </w:r>
    </w:p>
    <w:p w14:paraId="35362321" w14:textId="30378A3B"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The second reason is disciplinary. Benedict is concerned, like earlier monastic writers, with the dangers posed by unregulated asceticism. In the West, wandering hermits, or “gyrovagues”, had become a source of ecclesiastical anxiety, due to their lack of stability</w:t>
      </w:r>
      <w:r w:rsidR="004F285D" w:rsidRPr="00F36ADF">
        <w:rPr>
          <w:rFonts w:ascii="Arial" w:eastAsia="Times New Roman" w:hAnsi="Arial" w:cs="Arial"/>
          <w:kern w:val="0"/>
          <w:sz w:val="20"/>
          <w:szCs w:val="20"/>
          <w:lang w:eastAsia="en-GB"/>
          <w14:ligatures w14:val="none"/>
        </w:rPr>
        <w:t>, lack of control (or ability to be controlled)</w:t>
      </w:r>
      <w:r w:rsidRPr="00F36ADF">
        <w:rPr>
          <w:rFonts w:ascii="Arial" w:eastAsia="Times New Roman" w:hAnsi="Arial" w:cs="Arial"/>
          <w:kern w:val="0"/>
          <w:sz w:val="20"/>
          <w:szCs w:val="20"/>
          <w:lang w:eastAsia="en-GB"/>
          <w14:ligatures w14:val="none"/>
        </w:rPr>
        <w:t xml:space="preserve"> and potential moral disorder.</w:t>
      </w:r>
      <w:r w:rsidR="008919E7" w:rsidRPr="00F36ADF">
        <w:rPr>
          <w:rStyle w:val="FootnoteReference"/>
          <w:rFonts w:ascii="Arial" w:eastAsia="Times New Roman" w:hAnsi="Arial" w:cs="Arial"/>
          <w:kern w:val="0"/>
          <w:sz w:val="20"/>
          <w:szCs w:val="20"/>
          <w:lang w:eastAsia="en-GB"/>
          <w14:ligatures w14:val="none"/>
        </w:rPr>
        <w:footnoteReference w:id="8"/>
      </w:r>
      <w:r w:rsidRPr="00F36ADF">
        <w:rPr>
          <w:rFonts w:ascii="Arial" w:eastAsia="Times New Roman" w:hAnsi="Arial" w:cs="Arial"/>
          <w:kern w:val="0"/>
          <w:sz w:val="20"/>
          <w:szCs w:val="20"/>
          <w:lang w:eastAsia="en-GB"/>
          <w14:ligatures w14:val="none"/>
        </w:rPr>
        <w:t xml:space="preserve"> </w:t>
      </w:r>
      <w:r w:rsidR="004F285D" w:rsidRPr="00F36ADF">
        <w:rPr>
          <w:rFonts w:ascii="Arial" w:eastAsia="Times New Roman" w:hAnsi="Arial" w:cs="Arial"/>
          <w:kern w:val="0"/>
          <w:sz w:val="20"/>
          <w:szCs w:val="20"/>
          <w:lang w:eastAsia="en-GB"/>
          <w14:ligatures w14:val="none"/>
        </w:rPr>
        <w:br/>
      </w:r>
      <w:r w:rsidRPr="00F36ADF">
        <w:rPr>
          <w:rFonts w:ascii="Arial" w:eastAsia="Times New Roman" w:hAnsi="Arial" w:cs="Arial"/>
          <w:kern w:val="0"/>
          <w:sz w:val="20"/>
          <w:szCs w:val="20"/>
          <w:lang w:eastAsia="en-GB"/>
          <w14:ligatures w14:val="none"/>
        </w:rPr>
        <w:t>By casting monastic formation in military terms, Benedict establishes a system of progression</w:t>
      </w:r>
      <w:r w:rsidR="004F285D"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the cenobite is the recruit, and only after lengthy service does he become a veteran permitted to fight alone</w:t>
      </w:r>
      <w:r w:rsidR="004F285D" w:rsidRPr="00F36ADF">
        <w:rPr>
          <w:rFonts w:ascii="Arial" w:eastAsia="Times New Roman" w:hAnsi="Arial" w:cs="Arial"/>
          <w:kern w:val="0"/>
          <w:sz w:val="20"/>
          <w:szCs w:val="20"/>
          <w:lang w:eastAsia="en-GB"/>
          <w14:ligatures w14:val="none"/>
        </w:rPr>
        <w:t>.</w:t>
      </w:r>
      <w:r w:rsidRPr="00F36ADF">
        <w:rPr>
          <w:rFonts w:ascii="Arial" w:eastAsia="Times New Roman" w:hAnsi="Arial" w:cs="Arial"/>
          <w:kern w:val="0"/>
          <w:sz w:val="20"/>
          <w:szCs w:val="20"/>
          <w:lang w:eastAsia="en-GB"/>
          <w14:ligatures w14:val="none"/>
        </w:rPr>
        <w:t xml:space="preserve"> Martial imagery therefore legitimises cenobitic monasticism as the foundational norm and discourages premature attempts at solitary life.</w:t>
      </w:r>
    </w:p>
    <w:p w14:paraId="78EE7902" w14:textId="16C4815E"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A third reason lies in Benedict’s cultural context. As </w:t>
      </w:r>
      <w:r w:rsidR="004F285D" w:rsidRPr="00F36ADF">
        <w:rPr>
          <w:rFonts w:ascii="Arial" w:eastAsia="Times New Roman" w:hAnsi="Arial" w:cs="Arial"/>
          <w:kern w:val="0"/>
          <w:sz w:val="20"/>
          <w:szCs w:val="20"/>
          <w:lang w:eastAsia="en-GB"/>
          <w14:ligatures w14:val="none"/>
        </w:rPr>
        <w:t>it has been</w:t>
      </w:r>
      <w:r w:rsidRPr="00F36ADF">
        <w:rPr>
          <w:rFonts w:ascii="Arial" w:eastAsia="Times New Roman" w:hAnsi="Arial" w:cs="Arial"/>
          <w:kern w:val="0"/>
          <w:sz w:val="20"/>
          <w:szCs w:val="20"/>
          <w:lang w:eastAsia="en-GB"/>
          <w14:ligatures w14:val="none"/>
        </w:rPr>
        <w:t xml:space="preserve"> noted, </w:t>
      </w:r>
      <w:r w:rsidR="004F285D" w:rsidRPr="00F36ADF">
        <w:rPr>
          <w:rFonts w:ascii="Arial" w:eastAsia="Times New Roman" w:hAnsi="Arial" w:cs="Arial"/>
          <w:kern w:val="0"/>
          <w:sz w:val="20"/>
          <w:szCs w:val="20"/>
          <w:lang w:eastAsia="en-GB"/>
          <w14:ligatures w14:val="none"/>
        </w:rPr>
        <w:t xml:space="preserve">medieval </w:t>
      </w:r>
      <w:r w:rsidRPr="00F36ADF">
        <w:rPr>
          <w:rFonts w:ascii="Arial" w:eastAsia="Times New Roman" w:hAnsi="Arial" w:cs="Arial"/>
          <w:kern w:val="0"/>
          <w:sz w:val="20"/>
          <w:szCs w:val="20"/>
          <w:lang w:eastAsia="en-GB"/>
          <w14:ligatures w14:val="none"/>
        </w:rPr>
        <w:t xml:space="preserve">audiences were familiar with military structures and metaphors, both from the Roman army and from biblical </w:t>
      </w:r>
      <w:r w:rsidR="004F285D" w:rsidRPr="00F36ADF">
        <w:rPr>
          <w:rFonts w:ascii="Arial" w:eastAsia="Times New Roman" w:hAnsi="Arial" w:cs="Arial"/>
          <w:kern w:val="0"/>
          <w:sz w:val="20"/>
          <w:szCs w:val="20"/>
          <w:lang w:eastAsia="en-GB"/>
          <w14:ligatures w14:val="none"/>
        </w:rPr>
        <w:t>examples in both the old and new testaments</w:t>
      </w:r>
      <w:r w:rsidRPr="00F36ADF">
        <w:rPr>
          <w:rFonts w:ascii="Arial" w:eastAsia="Times New Roman" w:hAnsi="Arial" w:cs="Arial"/>
          <w:kern w:val="0"/>
          <w:sz w:val="20"/>
          <w:szCs w:val="20"/>
          <w:lang w:eastAsia="en-GB"/>
          <w14:ligatures w14:val="none"/>
        </w:rPr>
        <w:t>.</w:t>
      </w:r>
      <w:r w:rsidR="008919E7" w:rsidRPr="00F36ADF">
        <w:rPr>
          <w:rStyle w:val="FootnoteReference"/>
          <w:rFonts w:ascii="Arial" w:eastAsia="Times New Roman" w:hAnsi="Arial" w:cs="Arial"/>
          <w:kern w:val="0"/>
          <w:sz w:val="20"/>
          <w:szCs w:val="20"/>
          <w:lang w:eastAsia="en-GB"/>
          <w14:ligatures w14:val="none"/>
        </w:rPr>
        <w:footnoteReference w:id="9"/>
      </w:r>
      <w:r w:rsidRPr="00F36ADF">
        <w:rPr>
          <w:rFonts w:ascii="Arial" w:eastAsia="Times New Roman" w:hAnsi="Arial" w:cs="Arial"/>
          <w:kern w:val="0"/>
          <w:sz w:val="20"/>
          <w:szCs w:val="20"/>
          <w:lang w:eastAsia="en-GB"/>
          <w14:ligatures w14:val="none"/>
        </w:rPr>
        <w:t xml:space="preserve"> The use of such imagery would have resonated with Benedict’s intended readers, enabling him to communicate the dangers of spiritual conflict</w:t>
      </w:r>
      <w:r w:rsidR="004F285D" w:rsidRPr="00F36ADF">
        <w:rPr>
          <w:rFonts w:ascii="Arial" w:eastAsia="Times New Roman" w:hAnsi="Arial" w:cs="Arial"/>
          <w:kern w:val="0"/>
          <w:sz w:val="20"/>
          <w:szCs w:val="20"/>
          <w:lang w:eastAsia="en-GB"/>
          <w14:ligatures w14:val="none"/>
        </w:rPr>
        <w:t xml:space="preserve">, </w:t>
      </w:r>
      <w:r w:rsidRPr="00F36ADF">
        <w:rPr>
          <w:rFonts w:ascii="Arial" w:eastAsia="Times New Roman" w:hAnsi="Arial" w:cs="Arial"/>
          <w:kern w:val="0"/>
          <w:sz w:val="20"/>
          <w:szCs w:val="20"/>
          <w:lang w:eastAsia="en-GB"/>
          <w14:ligatures w14:val="none"/>
        </w:rPr>
        <w:t>the necessity of discipline and obedience</w:t>
      </w:r>
      <w:r w:rsidR="004F285D" w:rsidRPr="00F36ADF">
        <w:rPr>
          <w:rFonts w:ascii="Arial" w:eastAsia="Times New Roman" w:hAnsi="Arial" w:cs="Arial"/>
          <w:kern w:val="0"/>
          <w:sz w:val="20"/>
          <w:szCs w:val="20"/>
          <w:lang w:eastAsia="en-GB"/>
          <w14:ligatures w14:val="none"/>
        </w:rPr>
        <w:t>, and, to a degree, the harsher side of monastic life that an outsider may not be familiar with</w:t>
      </w:r>
      <w:r w:rsidRPr="00F36ADF">
        <w:rPr>
          <w:rFonts w:ascii="Arial" w:eastAsia="Times New Roman" w:hAnsi="Arial" w:cs="Arial"/>
          <w:kern w:val="0"/>
          <w:sz w:val="20"/>
          <w:szCs w:val="20"/>
          <w:lang w:eastAsia="en-GB"/>
          <w14:ligatures w14:val="none"/>
        </w:rPr>
        <w:t>. Just as a soldier must obey his commander, so the monk must obey his abbot. Just as a soldier is trained in community before facing battle, so too must the monk be shaped within communal life before entering solitude. Benedict th</w:t>
      </w:r>
      <w:r w:rsidR="004F285D" w:rsidRPr="00F36ADF">
        <w:rPr>
          <w:rFonts w:ascii="Arial" w:eastAsia="Times New Roman" w:hAnsi="Arial" w:cs="Arial"/>
          <w:kern w:val="0"/>
          <w:sz w:val="20"/>
          <w:szCs w:val="20"/>
          <w:lang w:eastAsia="en-GB"/>
          <w14:ligatures w14:val="none"/>
        </w:rPr>
        <w:t>erefore</w:t>
      </w:r>
      <w:r w:rsidRPr="00F36ADF">
        <w:rPr>
          <w:rFonts w:ascii="Arial" w:eastAsia="Times New Roman" w:hAnsi="Arial" w:cs="Arial"/>
          <w:kern w:val="0"/>
          <w:sz w:val="20"/>
          <w:szCs w:val="20"/>
          <w:lang w:eastAsia="en-GB"/>
          <w14:ligatures w14:val="none"/>
        </w:rPr>
        <w:t xml:space="preserve"> aligns monastic values with those of an idealised military </w:t>
      </w:r>
      <w:r w:rsidR="008919E7" w:rsidRPr="00F36ADF">
        <w:rPr>
          <w:rFonts w:ascii="Arial" w:eastAsia="Times New Roman" w:hAnsi="Arial" w:cs="Arial"/>
          <w:kern w:val="0"/>
          <w:sz w:val="20"/>
          <w:szCs w:val="20"/>
          <w:lang w:eastAsia="en-GB"/>
          <w14:ligatures w14:val="none"/>
        </w:rPr>
        <w:t>order,</w:t>
      </w:r>
      <w:r w:rsidRPr="00F36ADF">
        <w:rPr>
          <w:rFonts w:ascii="Arial" w:eastAsia="Times New Roman" w:hAnsi="Arial" w:cs="Arial"/>
          <w:kern w:val="0"/>
          <w:sz w:val="20"/>
          <w:szCs w:val="20"/>
          <w:lang w:eastAsia="en-GB"/>
          <w14:ligatures w14:val="none"/>
        </w:rPr>
        <w:t xml:space="preserve"> hierarchy, loyalty, endurance, and the mastery of the self.</w:t>
      </w:r>
    </w:p>
    <w:p w14:paraId="6FA541A0" w14:textId="56ED0B21"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Benedict’s adaptation of militaristic imagery echoes but domesticates the radicalism of the desert </w:t>
      </w:r>
      <w:r w:rsidR="004F285D" w:rsidRPr="00F36ADF">
        <w:rPr>
          <w:rFonts w:ascii="Arial" w:eastAsia="Times New Roman" w:hAnsi="Arial" w:cs="Arial"/>
          <w:kern w:val="0"/>
          <w:sz w:val="20"/>
          <w:szCs w:val="20"/>
          <w:lang w:eastAsia="en-GB"/>
          <w14:ligatures w14:val="none"/>
        </w:rPr>
        <w:t>tradition - w</w:t>
      </w:r>
      <w:r w:rsidRPr="00F36ADF">
        <w:rPr>
          <w:rFonts w:ascii="Arial" w:eastAsia="Times New Roman" w:hAnsi="Arial" w:cs="Arial"/>
          <w:kern w:val="0"/>
          <w:sz w:val="20"/>
          <w:szCs w:val="20"/>
          <w:lang w:eastAsia="en-GB"/>
          <w14:ligatures w14:val="none"/>
        </w:rPr>
        <w:t xml:space="preserve">hile early monastic hagiography often emphasised the spectacular heroism of hermits facing demons alone, Benedict tempers such portrayals with caution. His insistence that anchorites may only depart “after long probation” signals his belief that solitude is inherently dangerous without </w:t>
      </w:r>
      <w:r w:rsidRPr="00F36ADF">
        <w:rPr>
          <w:rFonts w:ascii="Arial" w:eastAsia="Times New Roman" w:hAnsi="Arial" w:cs="Arial"/>
          <w:kern w:val="0"/>
          <w:sz w:val="20"/>
          <w:szCs w:val="20"/>
          <w:lang w:eastAsia="en-GB"/>
          <w14:ligatures w14:val="none"/>
        </w:rPr>
        <w:lastRenderedPageBreak/>
        <w:t>the safeguards of community.</w:t>
      </w:r>
      <w:r w:rsidR="008919E7" w:rsidRPr="00F36ADF">
        <w:rPr>
          <w:rStyle w:val="FootnoteReference"/>
          <w:rFonts w:ascii="Arial" w:eastAsia="Times New Roman" w:hAnsi="Arial" w:cs="Arial"/>
          <w:kern w:val="0"/>
          <w:sz w:val="20"/>
          <w:szCs w:val="20"/>
          <w:lang w:eastAsia="en-GB"/>
          <w14:ligatures w14:val="none"/>
        </w:rPr>
        <w:footnoteReference w:id="10"/>
      </w:r>
      <w:r w:rsidRPr="00F36ADF">
        <w:rPr>
          <w:rFonts w:ascii="Arial" w:eastAsia="Times New Roman" w:hAnsi="Arial" w:cs="Arial"/>
          <w:kern w:val="0"/>
          <w:sz w:val="20"/>
          <w:szCs w:val="20"/>
          <w:lang w:eastAsia="en-GB"/>
          <w14:ligatures w14:val="none"/>
        </w:rPr>
        <w:t xml:space="preserve"> The battlefield of the desert remains, but it is no longer a site for self-directed heroism; it is the final testing ground</w:t>
      </w:r>
      <w:r w:rsidR="004F285D" w:rsidRPr="00F36ADF">
        <w:rPr>
          <w:rFonts w:ascii="Arial" w:eastAsia="Times New Roman" w:hAnsi="Arial" w:cs="Arial"/>
          <w:kern w:val="0"/>
          <w:sz w:val="20"/>
          <w:szCs w:val="20"/>
          <w:lang w:eastAsia="en-GB"/>
          <w14:ligatures w14:val="none"/>
        </w:rPr>
        <w:t xml:space="preserve"> and can only be</w:t>
      </w:r>
      <w:r w:rsidRPr="00F36ADF">
        <w:rPr>
          <w:rFonts w:ascii="Arial" w:eastAsia="Times New Roman" w:hAnsi="Arial" w:cs="Arial"/>
          <w:kern w:val="0"/>
          <w:sz w:val="20"/>
          <w:szCs w:val="20"/>
          <w:lang w:eastAsia="en-GB"/>
          <w14:ligatures w14:val="none"/>
        </w:rPr>
        <w:t xml:space="preserve"> sanctioned by the monastic institution.</w:t>
      </w:r>
    </w:p>
    <w:p w14:paraId="776E1D8E" w14:textId="4C67D9EF" w:rsidR="00F36ADF" w:rsidRPr="00F36ADF" w:rsidRDefault="00053818" w:rsidP="00F36ADF">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In conclusion, Benedict’s use of military terminology in his description of anchorites is not simply decorative rhetoric. It draws on a deep tradition of spiritual warfare in early Christian thought, evokes culturally familiar Roman military ideals, and functions as a persuasive tool to structure monastic life. By portraying cenobitism as the training essential for battle, and the desert as the arena of final combat, Benedict legitimises the hierarchical and communal nature of Western monasticism. At the same time, he </w:t>
      </w:r>
      <w:r w:rsidR="004F285D" w:rsidRPr="00F36ADF">
        <w:rPr>
          <w:rFonts w:ascii="Arial" w:eastAsia="Times New Roman" w:hAnsi="Arial" w:cs="Arial"/>
          <w:kern w:val="0"/>
          <w:sz w:val="20"/>
          <w:szCs w:val="20"/>
          <w:lang w:eastAsia="en-GB"/>
          <w14:ligatures w14:val="none"/>
        </w:rPr>
        <w:t>encapsulates</w:t>
      </w:r>
      <w:r w:rsidRPr="00F36ADF">
        <w:rPr>
          <w:rFonts w:ascii="Arial" w:eastAsia="Times New Roman" w:hAnsi="Arial" w:cs="Arial"/>
          <w:kern w:val="0"/>
          <w:sz w:val="20"/>
          <w:szCs w:val="20"/>
          <w:lang w:eastAsia="en-GB"/>
          <w14:ligatures w14:val="none"/>
        </w:rPr>
        <w:t xml:space="preserve"> the solitary life within a disciplined, regulated framework. The militaristic metaphors in this passage therefore reveal Benedict’s nuanced attempt to honour the spiritual heroism of the eremitical ideal while safeguarding the stability and order of the monastic community.</w:t>
      </w:r>
    </w:p>
    <w:p w14:paraId="002B7E34" w14:textId="146AAE24" w:rsidR="00053818" w:rsidRPr="00F36ADF" w:rsidRDefault="00F36ADF" w:rsidP="00053818">
      <w:pPr>
        <w:spacing w:before="100" w:beforeAutospacing="1" w:after="100" w:afterAutospacing="1"/>
        <w:outlineLvl w:val="0"/>
        <w:rPr>
          <w:rFonts w:ascii="Arial" w:eastAsia="Times New Roman" w:hAnsi="Arial" w:cs="Arial"/>
          <w:b/>
          <w:bCs/>
          <w:kern w:val="36"/>
          <w:sz w:val="20"/>
          <w:szCs w:val="20"/>
          <w:lang w:eastAsia="en-GB"/>
          <w14:ligatures w14:val="none"/>
        </w:rPr>
      </w:pPr>
      <w:r w:rsidRPr="00F36ADF">
        <w:rPr>
          <w:rFonts w:ascii="Arial" w:eastAsia="Times New Roman" w:hAnsi="Arial" w:cs="Arial"/>
          <w:b/>
          <w:bCs/>
          <w:kern w:val="36"/>
          <w:sz w:val="20"/>
          <w:szCs w:val="20"/>
          <w:lang w:eastAsia="en-GB"/>
          <w14:ligatures w14:val="none"/>
        </w:rPr>
        <w:t>Bibliography</w:t>
      </w:r>
    </w:p>
    <w:p w14:paraId="6E1802E1" w14:textId="77777777"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Athanasius, </w:t>
      </w:r>
      <w:r w:rsidRPr="00F36ADF">
        <w:rPr>
          <w:rFonts w:ascii="Arial" w:eastAsia="Times New Roman" w:hAnsi="Arial" w:cs="Arial"/>
          <w:i/>
          <w:iCs/>
          <w:kern w:val="0"/>
          <w:sz w:val="20"/>
          <w:szCs w:val="20"/>
          <w:lang w:eastAsia="en-GB"/>
          <w14:ligatures w14:val="none"/>
        </w:rPr>
        <w:t>The Life of Antony</w:t>
      </w:r>
      <w:r w:rsidRPr="00F36ADF">
        <w:rPr>
          <w:rFonts w:ascii="Arial" w:eastAsia="Times New Roman" w:hAnsi="Arial" w:cs="Arial"/>
          <w:kern w:val="0"/>
          <w:sz w:val="20"/>
          <w:szCs w:val="20"/>
          <w:lang w:eastAsia="en-GB"/>
          <w14:ligatures w14:val="none"/>
        </w:rPr>
        <w:t>, trans. Robert C. Gregg (New York: Paulist Press, 1980).</w:t>
      </w:r>
    </w:p>
    <w:p w14:paraId="17B12AAD" w14:textId="332BD45F" w:rsidR="00F36ADF" w:rsidRDefault="00F36ADF" w:rsidP="00F36ADF">
      <w:pPr>
        <w:rPr>
          <w:rFonts w:ascii="Arial" w:hAnsi="Arial" w:cs="Arial"/>
          <w:color w:val="181817"/>
          <w:sz w:val="20"/>
          <w:szCs w:val="20"/>
          <w:shd w:val="clear" w:color="auto" w:fill="FFFFFF"/>
        </w:rPr>
      </w:pPr>
      <w:r w:rsidRPr="00F36ADF">
        <w:rPr>
          <w:rFonts w:ascii="Arial" w:hAnsi="Arial" w:cs="Arial"/>
          <w:color w:val="181817"/>
          <w:sz w:val="20"/>
          <w:szCs w:val="20"/>
          <w:shd w:val="clear" w:color="auto" w:fill="FFFFFF"/>
        </w:rPr>
        <w:t xml:space="preserve">Birkedal </w:t>
      </w:r>
      <w:proofErr w:type="spellStart"/>
      <w:r w:rsidRPr="00F36ADF">
        <w:rPr>
          <w:rFonts w:ascii="Arial" w:hAnsi="Arial" w:cs="Arial"/>
          <w:color w:val="181817"/>
          <w:sz w:val="20"/>
          <w:szCs w:val="20"/>
          <w:shd w:val="clear" w:color="auto" w:fill="FFFFFF"/>
        </w:rPr>
        <w:t>Bruun</w:t>
      </w:r>
      <w:proofErr w:type="spellEnd"/>
      <w:r w:rsidRPr="00F36ADF">
        <w:rPr>
          <w:rFonts w:ascii="Arial" w:hAnsi="Arial" w:cs="Arial"/>
          <w:color w:val="181817"/>
          <w:sz w:val="20"/>
          <w:szCs w:val="20"/>
          <w:shd w:val="clear" w:color="auto" w:fill="FFFFFF"/>
        </w:rPr>
        <w:t>, Mette, ed., </w:t>
      </w:r>
      <w:r w:rsidRPr="00F36ADF">
        <w:rPr>
          <w:rFonts w:ascii="Arial" w:hAnsi="Arial" w:cs="Arial"/>
          <w:i/>
          <w:iCs/>
          <w:color w:val="181817"/>
          <w:sz w:val="20"/>
          <w:szCs w:val="20"/>
          <w:shd w:val="clear" w:color="auto" w:fill="FFFFFF"/>
        </w:rPr>
        <w:t>The Cambridge Companion to the Cistercian Order</w:t>
      </w:r>
      <w:r w:rsidRPr="00F36ADF">
        <w:rPr>
          <w:rFonts w:ascii="Arial" w:hAnsi="Arial" w:cs="Arial"/>
          <w:color w:val="181817"/>
          <w:sz w:val="20"/>
          <w:szCs w:val="20"/>
          <w:shd w:val="clear" w:color="auto" w:fill="FFFFFF"/>
        </w:rPr>
        <w:t>, Cambridge Companions to Religion (Cambridge: Cambridge University Press, 2012)</w:t>
      </w:r>
    </w:p>
    <w:p w14:paraId="320C06F5" w14:textId="77777777" w:rsidR="00F36ADF" w:rsidRDefault="00F36ADF" w:rsidP="00F36ADF">
      <w:pPr>
        <w:rPr>
          <w:rFonts w:ascii="Arial" w:eastAsia="Times New Roman" w:hAnsi="Arial" w:cs="Arial"/>
          <w:color w:val="333333"/>
          <w:kern w:val="0"/>
          <w:sz w:val="20"/>
          <w:szCs w:val="20"/>
          <w:bdr w:val="none" w:sz="0" w:space="0" w:color="auto" w:frame="1"/>
          <w:lang w:eastAsia="en-GB"/>
          <w14:ligatures w14:val="none"/>
        </w:rPr>
      </w:pPr>
    </w:p>
    <w:p w14:paraId="347002B7" w14:textId="20C7F4EE" w:rsidR="00F36ADF" w:rsidRPr="00F36ADF" w:rsidRDefault="00F36ADF" w:rsidP="00F36ADF">
      <w:pPr>
        <w:rPr>
          <w:rFonts w:ascii="Arial" w:eastAsia="Times New Roman" w:hAnsi="Arial" w:cs="Arial"/>
          <w:kern w:val="0"/>
          <w:sz w:val="20"/>
          <w:szCs w:val="20"/>
          <w:lang w:eastAsia="en-GB"/>
          <w14:ligatures w14:val="none"/>
        </w:rPr>
      </w:pPr>
      <w:r w:rsidRPr="00F36ADF">
        <w:rPr>
          <w:rFonts w:ascii="Arial" w:eastAsia="Times New Roman" w:hAnsi="Arial" w:cs="Arial"/>
          <w:color w:val="333333"/>
          <w:kern w:val="0"/>
          <w:sz w:val="20"/>
          <w:szCs w:val="20"/>
          <w:bdr w:val="none" w:sz="0" w:space="0" w:color="auto" w:frame="1"/>
          <w:lang w:eastAsia="en-GB"/>
          <w14:ligatures w14:val="none"/>
        </w:rPr>
        <w:t xml:space="preserve">Bouchard, Constance </w:t>
      </w:r>
      <w:proofErr w:type="spellStart"/>
      <w:r w:rsidRPr="00F36ADF">
        <w:rPr>
          <w:rFonts w:ascii="Arial" w:eastAsia="Times New Roman" w:hAnsi="Arial" w:cs="Arial"/>
          <w:color w:val="333333"/>
          <w:kern w:val="0"/>
          <w:sz w:val="20"/>
          <w:szCs w:val="20"/>
          <w:bdr w:val="none" w:sz="0" w:space="0" w:color="auto" w:frame="1"/>
          <w:lang w:eastAsia="en-GB"/>
          <w14:ligatures w14:val="none"/>
        </w:rPr>
        <w:t>Brittain</w:t>
      </w:r>
      <w:proofErr w:type="spellEnd"/>
      <w:r w:rsidRPr="00F36ADF">
        <w:rPr>
          <w:rFonts w:ascii="Arial" w:eastAsia="Times New Roman" w:hAnsi="Arial" w:cs="Arial"/>
          <w:color w:val="333333"/>
          <w:kern w:val="0"/>
          <w:sz w:val="20"/>
          <w:szCs w:val="20"/>
          <w:bdr w:val="none" w:sz="0" w:space="0" w:color="auto" w:frame="1"/>
          <w:lang w:eastAsia="en-GB"/>
          <w14:ligatures w14:val="none"/>
        </w:rPr>
        <w:t xml:space="preserve">, </w:t>
      </w:r>
      <w:r w:rsidRPr="00F36ADF">
        <w:rPr>
          <w:rFonts w:ascii="Arial" w:eastAsia="Times New Roman" w:hAnsi="Arial" w:cs="Arial"/>
          <w:i/>
          <w:iCs/>
          <w:color w:val="333333"/>
          <w:kern w:val="0"/>
          <w:sz w:val="20"/>
          <w:szCs w:val="20"/>
          <w:bdr w:val="none" w:sz="0" w:space="0" w:color="auto" w:frame="1"/>
          <w:shd w:val="clear" w:color="auto" w:fill="FFFFFF"/>
          <w:lang w:eastAsia="en-GB"/>
          <w14:ligatures w14:val="none"/>
        </w:rPr>
        <w:t xml:space="preserve">Holy Entrepreneurs: Cistercians, Knights, and Economic Exchange in </w:t>
      </w:r>
      <w:proofErr w:type="gramStart"/>
      <w:r w:rsidRPr="00F36ADF">
        <w:rPr>
          <w:rFonts w:ascii="Arial" w:eastAsia="Times New Roman" w:hAnsi="Arial" w:cs="Arial"/>
          <w:i/>
          <w:iCs/>
          <w:color w:val="333333"/>
          <w:kern w:val="0"/>
          <w:sz w:val="20"/>
          <w:szCs w:val="20"/>
          <w:bdr w:val="none" w:sz="0" w:space="0" w:color="auto" w:frame="1"/>
          <w:shd w:val="clear" w:color="auto" w:fill="FFFFFF"/>
          <w:lang w:eastAsia="en-GB"/>
          <w14:ligatures w14:val="none"/>
        </w:rPr>
        <w:t>Twelfth-Century Burgundy</w:t>
      </w:r>
      <w:proofErr w:type="gramEnd"/>
      <w:r w:rsidRPr="00F36ADF">
        <w:rPr>
          <w:rFonts w:ascii="Arial" w:eastAsia="Times New Roman" w:hAnsi="Arial" w:cs="Arial"/>
          <w:color w:val="333333"/>
          <w:kern w:val="0"/>
          <w:sz w:val="20"/>
          <w:szCs w:val="20"/>
          <w:bdr w:val="none" w:sz="0" w:space="0" w:color="auto" w:frame="1"/>
          <w:shd w:val="clear" w:color="auto" w:fill="FFFFFF"/>
          <w:lang w:eastAsia="en-GB"/>
          <w14:ligatures w14:val="none"/>
        </w:rPr>
        <w:t xml:space="preserve"> (New York:</w:t>
      </w:r>
      <w:r w:rsidRPr="00F36ADF">
        <w:rPr>
          <w:rFonts w:ascii="Arial" w:eastAsia="Times New Roman" w:hAnsi="Arial" w:cs="Arial"/>
          <w:b/>
          <w:bCs/>
          <w:color w:val="333333"/>
          <w:kern w:val="0"/>
          <w:sz w:val="20"/>
          <w:szCs w:val="20"/>
          <w:bdr w:val="none" w:sz="0" w:space="0" w:color="auto" w:frame="1"/>
          <w:shd w:val="clear" w:color="auto" w:fill="FFFFFF"/>
          <w:lang w:eastAsia="en-GB"/>
          <w14:ligatures w14:val="none"/>
        </w:rPr>
        <w:t xml:space="preserve"> </w:t>
      </w:r>
      <w:r w:rsidRPr="00F36ADF">
        <w:rPr>
          <w:rFonts w:ascii="Arial" w:hAnsi="Arial" w:cs="Arial"/>
          <w:color w:val="333333"/>
          <w:sz w:val="20"/>
          <w:szCs w:val="20"/>
          <w:shd w:val="clear" w:color="auto" w:fill="FFFFFF"/>
        </w:rPr>
        <w:t>Cornell University Press, 1991)</w:t>
      </w:r>
    </w:p>
    <w:p w14:paraId="2424D79A" w14:textId="77777777" w:rsidR="00F36ADF" w:rsidRPr="00F36ADF" w:rsidRDefault="00F36ADF" w:rsidP="00F36ADF">
      <w:pPr>
        <w:rPr>
          <w:rFonts w:ascii="Arial" w:eastAsia="Times New Roman" w:hAnsi="Arial" w:cs="Arial"/>
          <w:kern w:val="0"/>
          <w:sz w:val="20"/>
          <w:szCs w:val="20"/>
          <w:lang w:eastAsia="en-GB"/>
          <w14:ligatures w14:val="none"/>
        </w:rPr>
      </w:pPr>
    </w:p>
    <w:p w14:paraId="4D0F8136" w14:textId="77777777" w:rsidR="00F36ADF" w:rsidRPr="00F36ADF" w:rsidRDefault="00F36ADF" w:rsidP="00F36ADF">
      <w:pPr>
        <w:rPr>
          <w:rFonts w:ascii="Arial" w:hAnsi="Arial" w:cs="Arial"/>
          <w:sz w:val="20"/>
          <w:szCs w:val="20"/>
          <w:shd w:val="clear" w:color="auto" w:fill="FFFFFF"/>
        </w:rPr>
      </w:pPr>
    </w:p>
    <w:p w14:paraId="479D0E19" w14:textId="127FD4B3" w:rsidR="00F36ADF" w:rsidRPr="00F36ADF" w:rsidRDefault="00F36ADF" w:rsidP="00F36ADF">
      <w:pPr>
        <w:rPr>
          <w:rFonts w:ascii="Arial" w:eastAsia="Times New Roman" w:hAnsi="Arial" w:cs="Arial"/>
          <w:kern w:val="36"/>
          <w:sz w:val="20"/>
          <w:szCs w:val="20"/>
          <w:lang w:eastAsia="en-GB"/>
          <w14:ligatures w14:val="none"/>
        </w:rPr>
      </w:pPr>
      <w:r w:rsidRPr="00F36ADF">
        <w:rPr>
          <w:rFonts w:ascii="Arial" w:hAnsi="Arial" w:cs="Arial"/>
          <w:sz w:val="20"/>
          <w:szCs w:val="20"/>
          <w:shd w:val="clear" w:color="auto" w:fill="FFFFFF"/>
        </w:rPr>
        <w:t>Brooke, Christopher Nugent Lawrence</w:t>
      </w:r>
      <w:r w:rsidRPr="00F36ADF">
        <w:rPr>
          <w:rFonts w:ascii="Arial" w:hAnsi="Arial" w:cs="Arial"/>
          <w:sz w:val="20"/>
          <w:szCs w:val="20"/>
          <w:shd w:val="clear" w:color="auto" w:fill="FFFFFF"/>
        </w:rPr>
        <w:t xml:space="preserve">, </w:t>
      </w:r>
      <w:r w:rsidRPr="00F36ADF">
        <w:rPr>
          <w:rFonts w:ascii="Arial" w:eastAsia="Times New Roman" w:hAnsi="Arial" w:cs="Arial"/>
          <w:kern w:val="36"/>
          <w:sz w:val="20"/>
          <w:szCs w:val="20"/>
          <w:lang w:eastAsia="en-GB"/>
          <w14:ligatures w14:val="none"/>
        </w:rPr>
        <w:t>The monastic world, 1000-1300</w:t>
      </w:r>
      <w:r w:rsidRPr="00F36ADF">
        <w:rPr>
          <w:rFonts w:ascii="Arial" w:eastAsia="Times New Roman" w:hAnsi="Arial" w:cs="Arial"/>
          <w:kern w:val="36"/>
          <w:sz w:val="20"/>
          <w:szCs w:val="20"/>
          <w:lang w:eastAsia="en-GB"/>
          <w14:ligatures w14:val="none"/>
        </w:rPr>
        <w:t xml:space="preserve">, (London; </w:t>
      </w:r>
      <w:r w:rsidRPr="00F36ADF">
        <w:rPr>
          <w:rStyle w:val="Strong"/>
          <w:rFonts w:ascii="Arial" w:hAnsi="Arial" w:cs="Arial"/>
          <w:b w:val="0"/>
          <w:bCs w:val="0"/>
          <w:color w:val="001D35"/>
          <w:sz w:val="20"/>
          <w:szCs w:val="20"/>
          <w:shd w:val="clear" w:color="auto" w:fill="FFFFFF"/>
        </w:rPr>
        <w:t xml:space="preserve">Paul </w:t>
      </w:r>
      <w:proofErr w:type="spellStart"/>
      <w:r w:rsidRPr="00F36ADF">
        <w:rPr>
          <w:rStyle w:val="Strong"/>
          <w:rFonts w:ascii="Arial" w:hAnsi="Arial" w:cs="Arial"/>
          <w:b w:val="0"/>
          <w:bCs w:val="0"/>
          <w:color w:val="001D35"/>
          <w:sz w:val="20"/>
          <w:szCs w:val="20"/>
          <w:shd w:val="clear" w:color="auto" w:fill="FFFFFF"/>
        </w:rPr>
        <w:t>Elek</w:t>
      </w:r>
      <w:proofErr w:type="spellEnd"/>
      <w:r w:rsidRPr="00F36ADF">
        <w:rPr>
          <w:rStyle w:val="Strong"/>
          <w:rFonts w:ascii="Arial" w:hAnsi="Arial" w:cs="Arial"/>
          <w:b w:val="0"/>
          <w:bCs w:val="0"/>
          <w:color w:val="001D35"/>
          <w:sz w:val="20"/>
          <w:szCs w:val="20"/>
          <w:shd w:val="clear" w:color="auto" w:fill="FFFFFF"/>
        </w:rPr>
        <w:t xml:space="preserve"> Publishers</w:t>
      </w:r>
      <w:r w:rsidRPr="00F36ADF">
        <w:rPr>
          <w:rStyle w:val="Strong"/>
          <w:rFonts w:ascii="Arial" w:hAnsi="Arial" w:cs="Arial"/>
          <w:b w:val="0"/>
          <w:bCs w:val="0"/>
          <w:color w:val="001D35"/>
          <w:sz w:val="20"/>
          <w:szCs w:val="20"/>
          <w:shd w:val="clear" w:color="auto" w:fill="FFFFFF"/>
        </w:rPr>
        <w:t>, 1974)</w:t>
      </w:r>
    </w:p>
    <w:p w14:paraId="2A3357F1" w14:textId="77777777"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Dunn, Marilyn, </w:t>
      </w:r>
      <w:r w:rsidRPr="00F36ADF">
        <w:rPr>
          <w:rFonts w:ascii="Arial" w:eastAsia="Times New Roman" w:hAnsi="Arial" w:cs="Arial"/>
          <w:i/>
          <w:iCs/>
          <w:kern w:val="0"/>
          <w:sz w:val="20"/>
          <w:szCs w:val="20"/>
          <w:lang w:eastAsia="en-GB"/>
          <w14:ligatures w14:val="none"/>
        </w:rPr>
        <w:t>The Emergence of Monasticism: From the Desert Fathers to the Early Middle Ages</w:t>
      </w:r>
      <w:r w:rsidRPr="00F36ADF">
        <w:rPr>
          <w:rFonts w:ascii="Arial" w:eastAsia="Times New Roman" w:hAnsi="Arial" w:cs="Arial"/>
          <w:kern w:val="0"/>
          <w:sz w:val="20"/>
          <w:szCs w:val="20"/>
          <w:lang w:eastAsia="en-GB"/>
          <w14:ligatures w14:val="none"/>
        </w:rPr>
        <w:t xml:space="preserve"> (Oxford: Blackwell, 2000).</w:t>
      </w:r>
    </w:p>
    <w:p w14:paraId="0EC1891A" w14:textId="1BF38702"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Kardong, Terrence, </w:t>
      </w:r>
      <w:r w:rsidRPr="00F36ADF">
        <w:rPr>
          <w:rFonts w:ascii="Arial" w:eastAsia="Times New Roman" w:hAnsi="Arial" w:cs="Arial"/>
          <w:i/>
          <w:iCs/>
          <w:kern w:val="0"/>
          <w:sz w:val="20"/>
          <w:szCs w:val="20"/>
          <w:lang w:eastAsia="en-GB"/>
          <w14:ligatures w14:val="none"/>
        </w:rPr>
        <w:t>Benedict’s Rule: A Translation and Commentary</w:t>
      </w:r>
      <w:r w:rsidRPr="00F36ADF">
        <w:rPr>
          <w:rFonts w:ascii="Arial" w:eastAsia="Times New Roman" w:hAnsi="Arial" w:cs="Arial"/>
          <w:kern w:val="0"/>
          <w:sz w:val="20"/>
          <w:szCs w:val="20"/>
          <w:lang w:eastAsia="en-GB"/>
          <w14:ligatures w14:val="none"/>
        </w:rPr>
        <w:t xml:space="preserve"> (Collegeville, MN: Liturgical Press, 1996)</w:t>
      </w:r>
    </w:p>
    <w:p w14:paraId="4B92A51A" w14:textId="218451CE" w:rsidR="008919E7" w:rsidRPr="00F36ADF" w:rsidRDefault="008919E7"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Knowles, David, </w:t>
      </w:r>
      <w:r w:rsidRPr="00F36ADF">
        <w:rPr>
          <w:rFonts w:ascii="Arial" w:eastAsia="Times New Roman" w:hAnsi="Arial" w:cs="Arial"/>
          <w:i/>
          <w:iCs/>
          <w:kern w:val="0"/>
          <w:sz w:val="20"/>
          <w:szCs w:val="20"/>
          <w:lang w:eastAsia="en-GB"/>
          <w14:ligatures w14:val="none"/>
        </w:rPr>
        <w:t>The Monastic Order in England</w:t>
      </w:r>
      <w:r w:rsidRPr="00F36ADF">
        <w:rPr>
          <w:rFonts w:ascii="Arial" w:eastAsia="Times New Roman" w:hAnsi="Arial" w:cs="Arial"/>
          <w:kern w:val="0"/>
          <w:sz w:val="20"/>
          <w:szCs w:val="20"/>
          <w:lang w:eastAsia="en-GB"/>
          <w14:ligatures w14:val="none"/>
        </w:rPr>
        <w:t xml:space="preserve"> (Cambridge: Cambridge University Press, 1940).</w:t>
      </w:r>
    </w:p>
    <w:p w14:paraId="31B5680A" w14:textId="5DB8F749"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Lawrence, C. H., </w:t>
      </w:r>
      <w:r w:rsidRPr="00F36ADF">
        <w:rPr>
          <w:rFonts w:ascii="Arial" w:eastAsia="Times New Roman" w:hAnsi="Arial" w:cs="Arial"/>
          <w:i/>
          <w:iCs/>
          <w:kern w:val="0"/>
          <w:sz w:val="20"/>
          <w:szCs w:val="20"/>
          <w:lang w:eastAsia="en-GB"/>
          <w14:ligatures w14:val="none"/>
        </w:rPr>
        <w:t>Medieval Monasticism: Forms of Religious Life in Western Europe in the Middle Ages</w:t>
      </w:r>
      <w:r w:rsidRPr="00F36ADF">
        <w:rPr>
          <w:rFonts w:ascii="Arial" w:eastAsia="Times New Roman" w:hAnsi="Arial" w:cs="Arial"/>
          <w:kern w:val="0"/>
          <w:sz w:val="20"/>
          <w:szCs w:val="20"/>
          <w:lang w:eastAsia="en-GB"/>
          <w14:ligatures w14:val="none"/>
        </w:rPr>
        <w:t>, 4th edn (London: Routledge, 2015)</w:t>
      </w:r>
    </w:p>
    <w:p w14:paraId="176506F3" w14:textId="77777777"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kern w:val="0"/>
          <w:sz w:val="20"/>
          <w:szCs w:val="20"/>
          <w:lang w:eastAsia="en-GB"/>
          <w14:ligatures w14:val="none"/>
        </w:rPr>
        <w:t xml:space="preserve">Leclercq, Jean, </w:t>
      </w:r>
      <w:r w:rsidRPr="00F36ADF">
        <w:rPr>
          <w:rFonts w:ascii="Arial" w:eastAsia="Times New Roman" w:hAnsi="Arial" w:cs="Arial"/>
          <w:i/>
          <w:iCs/>
          <w:kern w:val="0"/>
          <w:sz w:val="20"/>
          <w:szCs w:val="20"/>
          <w:lang w:eastAsia="en-GB"/>
          <w14:ligatures w14:val="none"/>
        </w:rPr>
        <w:t xml:space="preserve">The Love of </w:t>
      </w:r>
      <w:proofErr w:type="gramStart"/>
      <w:r w:rsidRPr="00F36ADF">
        <w:rPr>
          <w:rFonts w:ascii="Arial" w:eastAsia="Times New Roman" w:hAnsi="Arial" w:cs="Arial"/>
          <w:i/>
          <w:iCs/>
          <w:kern w:val="0"/>
          <w:sz w:val="20"/>
          <w:szCs w:val="20"/>
          <w:lang w:eastAsia="en-GB"/>
          <w14:ligatures w14:val="none"/>
        </w:rPr>
        <w:t>Learning</w:t>
      </w:r>
      <w:proofErr w:type="gramEnd"/>
      <w:r w:rsidRPr="00F36ADF">
        <w:rPr>
          <w:rFonts w:ascii="Arial" w:eastAsia="Times New Roman" w:hAnsi="Arial" w:cs="Arial"/>
          <w:i/>
          <w:iCs/>
          <w:kern w:val="0"/>
          <w:sz w:val="20"/>
          <w:szCs w:val="20"/>
          <w:lang w:eastAsia="en-GB"/>
          <w14:ligatures w14:val="none"/>
        </w:rPr>
        <w:t xml:space="preserve"> and the Desire for God</w:t>
      </w:r>
      <w:r w:rsidRPr="00F36ADF">
        <w:rPr>
          <w:rFonts w:ascii="Arial" w:eastAsia="Times New Roman" w:hAnsi="Arial" w:cs="Arial"/>
          <w:kern w:val="0"/>
          <w:sz w:val="20"/>
          <w:szCs w:val="20"/>
          <w:lang w:eastAsia="en-GB"/>
          <w14:ligatures w14:val="none"/>
        </w:rPr>
        <w:t xml:space="preserve"> (New York: Fordham University Press, 1982).</w:t>
      </w:r>
    </w:p>
    <w:p w14:paraId="19C85E6A" w14:textId="77777777" w:rsidR="00053818" w:rsidRPr="00F36ADF" w:rsidRDefault="00053818" w:rsidP="00053818">
      <w:pPr>
        <w:spacing w:before="100" w:beforeAutospacing="1" w:after="100" w:afterAutospacing="1"/>
        <w:rPr>
          <w:rFonts w:ascii="Arial" w:eastAsia="Times New Roman" w:hAnsi="Arial" w:cs="Arial"/>
          <w:kern w:val="0"/>
          <w:sz w:val="20"/>
          <w:szCs w:val="20"/>
          <w:lang w:eastAsia="en-GB"/>
          <w14:ligatures w14:val="none"/>
        </w:rPr>
      </w:pPr>
      <w:r w:rsidRPr="00F36ADF">
        <w:rPr>
          <w:rFonts w:ascii="Arial" w:eastAsia="Times New Roman" w:hAnsi="Arial" w:cs="Arial"/>
          <w:i/>
          <w:iCs/>
          <w:kern w:val="0"/>
          <w:sz w:val="20"/>
          <w:szCs w:val="20"/>
          <w:lang w:eastAsia="en-GB"/>
          <w14:ligatures w14:val="none"/>
        </w:rPr>
        <w:t>Rule of St Benedict</w:t>
      </w:r>
      <w:r w:rsidRPr="00F36ADF">
        <w:rPr>
          <w:rFonts w:ascii="Arial" w:eastAsia="Times New Roman" w:hAnsi="Arial" w:cs="Arial"/>
          <w:kern w:val="0"/>
          <w:sz w:val="20"/>
          <w:szCs w:val="20"/>
          <w:lang w:eastAsia="en-GB"/>
          <w14:ligatures w14:val="none"/>
        </w:rPr>
        <w:t xml:space="preserve">, in </w:t>
      </w:r>
      <w:r w:rsidRPr="00F36ADF">
        <w:rPr>
          <w:rFonts w:ascii="Arial" w:eastAsia="Times New Roman" w:hAnsi="Arial" w:cs="Arial"/>
          <w:i/>
          <w:iCs/>
          <w:kern w:val="0"/>
          <w:sz w:val="20"/>
          <w:szCs w:val="20"/>
          <w:lang w:eastAsia="en-GB"/>
          <w14:ligatures w14:val="none"/>
        </w:rPr>
        <w:t>From Desert Myths to Sheep Tales: The Cistercians in the Middle Ages</w:t>
      </w:r>
      <w:r w:rsidRPr="00F36ADF">
        <w:rPr>
          <w:rFonts w:ascii="Arial" w:eastAsia="Times New Roman" w:hAnsi="Arial" w:cs="Arial"/>
          <w:kern w:val="0"/>
          <w:sz w:val="20"/>
          <w:szCs w:val="20"/>
          <w:lang w:eastAsia="en-GB"/>
          <w14:ligatures w14:val="none"/>
        </w:rPr>
        <w:t>, MODULE CODE: HPHI5911/6911, Section A.</w:t>
      </w:r>
    </w:p>
    <w:p w14:paraId="5719E224" w14:textId="77777777" w:rsidR="00FA55EE" w:rsidRPr="00F36ADF" w:rsidRDefault="00FA55EE">
      <w:pPr>
        <w:rPr>
          <w:rFonts w:ascii="Arial" w:hAnsi="Arial" w:cs="Arial"/>
          <w:sz w:val="20"/>
          <w:szCs w:val="20"/>
        </w:rPr>
      </w:pPr>
    </w:p>
    <w:sectPr w:rsidR="00FA55EE" w:rsidRPr="00F36A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75133" w14:textId="77777777" w:rsidR="00767E2F" w:rsidRDefault="00767E2F" w:rsidP="00356F23">
      <w:r>
        <w:separator/>
      </w:r>
    </w:p>
  </w:endnote>
  <w:endnote w:type="continuationSeparator" w:id="0">
    <w:p w14:paraId="62CA44C0" w14:textId="77777777" w:rsidR="00767E2F" w:rsidRDefault="00767E2F" w:rsidP="00356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3C7E0" w14:textId="77777777" w:rsidR="00767E2F" w:rsidRDefault="00767E2F" w:rsidP="00356F23">
      <w:r>
        <w:separator/>
      </w:r>
    </w:p>
  </w:footnote>
  <w:footnote w:type="continuationSeparator" w:id="0">
    <w:p w14:paraId="60B8CD35" w14:textId="77777777" w:rsidR="00767E2F" w:rsidRDefault="00767E2F" w:rsidP="00356F23">
      <w:r>
        <w:continuationSeparator/>
      </w:r>
    </w:p>
  </w:footnote>
  <w:footnote w:id="1">
    <w:p w14:paraId="620FBC82" w14:textId="331D5C3E" w:rsidR="00356F23" w:rsidRPr="00F36ADF" w:rsidRDefault="00356F23">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Pr="00F36ADF">
        <w:rPr>
          <w:rFonts w:ascii="Arial" w:eastAsia="Times New Roman" w:hAnsi="Arial" w:cs="Arial"/>
          <w:kern w:val="0"/>
          <w:lang w:eastAsia="en-GB"/>
          <w14:ligatures w14:val="none"/>
        </w:rPr>
        <w:t>Ephesians 6:11–17</w:t>
      </w:r>
    </w:p>
  </w:footnote>
  <w:footnote w:id="2">
    <w:p w14:paraId="0A2147BA" w14:textId="750FA7CA" w:rsidR="00AA753B" w:rsidRPr="00F36ADF" w:rsidRDefault="00AA753B">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Pr="00F36ADF">
        <w:rPr>
          <w:rFonts w:ascii="Arial" w:eastAsia="Times New Roman" w:hAnsi="Arial" w:cs="Arial"/>
          <w:kern w:val="0"/>
          <w:lang w:eastAsia="en-GB"/>
          <w14:ligatures w14:val="none"/>
        </w:rPr>
        <w:t xml:space="preserve">Athanasius, </w:t>
      </w:r>
      <w:r w:rsidRPr="00F36ADF">
        <w:rPr>
          <w:rFonts w:ascii="Arial" w:eastAsia="Times New Roman" w:hAnsi="Arial" w:cs="Arial"/>
          <w:i/>
          <w:iCs/>
          <w:kern w:val="0"/>
          <w:lang w:eastAsia="en-GB"/>
          <w14:ligatures w14:val="none"/>
        </w:rPr>
        <w:t>The Life of Antony</w:t>
      </w:r>
      <w:r w:rsidRPr="00F36ADF">
        <w:rPr>
          <w:rFonts w:ascii="Arial" w:eastAsia="Times New Roman" w:hAnsi="Arial" w:cs="Arial"/>
          <w:kern w:val="0"/>
          <w:lang w:eastAsia="en-GB"/>
          <w14:ligatures w14:val="none"/>
        </w:rPr>
        <w:t>, trans. Robert C. Gregg (New York: Paulist Press, 1980), pp. 55–58</w:t>
      </w:r>
    </w:p>
  </w:footnote>
  <w:footnote w:id="3">
    <w:p w14:paraId="1D940746" w14:textId="1E323428" w:rsidR="00AA753B" w:rsidRPr="00F36ADF" w:rsidRDefault="00AA753B">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Pr="00F36ADF">
        <w:rPr>
          <w:rFonts w:ascii="Arial" w:eastAsia="Times New Roman" w:hAnsi="Arial" w:cs="Arial"/>
          <w:i/>
          <w:iCs/>
          <w:kern w:val="0"/>
          <w:lang w:eastAsia="en-GB"/>
          <w14:ligatures w14:val="none"/>
        </w:rPr>
        <w:t>Rule of St Benedict</w:t>
      </w:r>
      <w:r w:rsidRPr="00F36ADF">
        <w:rPr>
          <w:rFonts w:ascii="Arial" w:eastAsia="Times New Roman" w:hAnsi="Arial" w:cs="Arial"/>
          <w:kern w:val="0"/>
          <w:lang w:eastAsia="en-GB"/>
          <w14:ligatures w14:val="none"/>
        </w:rPr>
        <w:t xml:space="preserve">, in </w:t>
      </w:r>
      <w:r w:rsidRPr="00F36ADF">
        <w:rPr>
          <w:rFonts w:ascii="Arial" w:eastAsia="Times New Roman" w:hAnsi="Arial" w:cs="Arial"/>
          <w:i/>
          <w:iCs/>
          <w:kern w:val="0"/>
          <w:lang w:eastAsia="en-GB"/>
          <w14:ligatures w14:val="none"/>
        </w:rPr>
        <w:t>From Desert Myths to Sheep Tales: The Cistercians in the Middle Ages</w:t>
      </w:r>
      <w:r w:rsidRPr="00F36ADF">
        <w:rPr>
          <w:rFonts w:ascii="Arial" w:eastAsia="Times New Roman" w:hAnsi="Arial" w:cs="Arial"/>
          <w:kern w:val="0"/>
          <w:lang w:eastAsia="en-GB"/>
          <w14:ligatures w14:val="none"/>
        </w:rPr>
        <w:t>, MODULE CODE: HPHI5911/6911, Section A</w:t>
      </w:r>
    </w:p>
  </w:footnote>
  <w:footnote w:id="4">
    <w:p w14:paraId="201ED941" w14:textId="4EBEEA17" w:rsidR="00AA753B" w:rsidRPr="00F36ADF" w:rsidRDefault="00AA753B">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00324474" w:rsidRPr="00F36ADF">
        <w:rPr>
          <w:rFonts w:ascii="Arial" w:eastAsia="Times New Roman" w:hAnsi="Arial" w:cs="Arial"/>
          <w:i/>
          <w:iCs/>
          <w:kern w:val="0"/>
          <w:lang w:eastAsia="en-GB"/>
          <w14:ligatures w14:val="none"/>
        </w:rPr>
        <w:t>Rule of St Benedict</w:t>
      </w:r>
      <w:r w:rsidR="00324474" w:rsidRPr="00F36ADF">
        <w:rPr>
          <w:rFonts w:ascii="Arial" w:eastAsia="Times New Roman" w:hAnsi="Arial" w:cs="Arial"/>
          <w:kern w:val="0"/>
          <w:lang w:eastAsia="en-GB"/>
          <w14:ligatures w14:val="none"/>
        </w:rPr>
        <w:t xml:space="preserve">, in </w:t>
      </w:r>
      <w:r w:rsidR="00324474" w:rsidRPr="00F36ADF">
        <w:rPr>
          <w:rFonts w:ascii="Arial" w:eastAsia="Times New Roman" w:hAnsi="Arial" w:cs="Arial"/>
          <w:i/>
          <w:iCs/>
          <w:kern w:val="0"/>
          <w:lang w:eastAsia="en-GB"/>
          <w14:ligatures w14:val="none"/>
        </w:rPr>
        <w:t>From Desert Myths to Sheep Tales</w:t>
      </w:r>
      <w:r w:rsidR="00324474" w:rsidRPr="00F36ADF">
        <w:rPr>
          <w:rFonts w:ascii="Arial" w:eastAsia="Times New Roman" w:hAnsi="Arial" w:cs="Arial"/>
          <w:kern w:val="0"/>
          <w:lang w:eastAsia="en-GB"/>
          <w14:ligatures w14:val="none"/>
        </w:rPr>
        <w:t>, Section A</w:t>
      </w:r>
    </w:p>
  </w:footnote>
  <w:footnote w:id="5">
    <w:p w14:paraId="52F97F07" w14:textId="43C8CC15" w:rsidR="00324474" w:rsidRDefault="00324474">
      <w:pPr>
        <w:pStyle w:val="FootnoteText"/>
      </w:pPr>
      <w:r w:rsidRPr="00F36ADF">
        <w:rPr>
          <w:rStyle w:val="FootnoteReference"/>
          <w:rFonts w:ascii="Arial" w:hAnsi="Arial" w:cs="Arial"/>
        </w:rPr>
        <w:footnoteRef/>
      </w:r>
      <w:r w:rsidRPr="00F36ADF">
        <w:rPr>
          <w:rFonts w:ascii="Arial" w:hAnsi="Arial" w:cs="Arial"/>
        </w:rPr>
        <w:t xml:space="preserve"> </w:t>
      </w:r>
      <w:r w:rsidR="00F36ADF" w:rsidRPr="00F36ADF">
        <w:rPr>
          <w:rFonts w:ascii="Arial" w:eastAsia="Times New Roman" w:hAnsi="Arial" w:cs="Arial"/>
          <w:kern w:val="0"/>
          <w:lang w:eastAsia="en-GB"/>
          <w14:ligatures w14:val="none"/>
        </w:rPr>
        <w:t>Marilyn</w:t>
      </w:r>
      <w:r w:rsidR="00F36ADF" w:rsidRPr="00F36ADF">
        <w:rPr>
          <w:rFonts w:ascii="Arial" w:eastAsia="Times New Roman" w:hAnsi="Arial" w:cs="Arial"/>
          <w:kern w:val="0"/>
          <w:lang w:eastAsia="en-GB"/>
          <w14:ligatures w14:val="none"/>
        </w:rPr>
        <w:t xml:space="preserve"> </w:t>
      </w:r>
      <w:r w:rsidRPr="00F36ADF">
        <w:rPr>
          <w:rFonts w:ascii="Arial" w:eastAsia="Times New Roman" w:hAnsi="Arial" w:cs="Arial"/>
          <w:kern w:val="0"/>
          <w:lang w:eastAsia="en-GB"/>
          <w14:ligatures w14:val="none"/>
        </w:rPr>
        <w:t xml:space="preserve">Dunn, </w:t>
      </w:r>
      <w:r w:rsidRPr="00F36ADF">
        <w:rPr>
          <w:rFonts w:ascii="Arial" w:eastAsia="Times New Roman" w:hAnsi="Arial" w:cs="Arial"/>
          <w:i/>
          <w:iCs/>
          <w:kern w:val="0"/>
          <w:lang w:eastAsia="en-GB"/>
          <w14:ligatures w14:val="none"/>
        </w:rPr>
        <w:t>The Emergence of Monasticism</w:t>
      </w:r>
      <w:r w:rsidRPr="00F36ADF">
        <w:rPr>
          <w:rFonts w:ascii="Arial" w:eastAsia="Times New Roman" w:hAnsi="Arial" w:cs="Arial"/>
          <w:kern w:val="0"/>
          <w:lang w:eastAsia="en-GB"/>
          <w14:ligatures w14:val="none"/>
        </w:rPr>
        <w:t>, 1st edn (Wiley-Blackwell, 2008), p28</w:t>
      </w:r>
    </w:p>
  </w:footnote>
  <w:footnote w:id="6">
    <w:p w14:paraId="3F98D492" w14:textId="41766AF4" w:rsidR="00324474" w:rsidRPr="00F36ADF" w:rsidRDefault="00324474">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00F36ADF" w:rsidRPr="00F36ADF">
        <w:rPr>
          <w:rFonts w:ascii="Arial" w:eastAsia="Times New Roman" w:hAnsi="Arial" w:cs="Arial"/>
          <w:kern w:val="0"/>
          <w:lang w:eastAsia="en-GB"/>
          <w14:ligatures w14:val="none"/>
        </w:rPr>
        <w:t>C. H.</w:t>
      </w:r>
      <w:r w:rsidR="00F36ADF" w:rsidRPr="00F36ADF">
        <w:rPr>
          <w:rFonts w:ascii="Arial" w:eastAsia="Times New Roman" w:hAnsi="Arial" w:cs="Arial"/>
          <w:kern w:val="0"/>
          <w:lang w:eastAsia="en-GB"/>
          <w14:ligatures w14:val="none"/>
        </w:rPr>
        <w:t xml:space="preserve"> </w:t>
      </w:r>
      <w:r w:rsidRPr="00F36ADF">
        <w:rPr>
          <w:rFonts w:ascii="Arial" w:eastAsia="Times New Roman" w:hAnsi="Arial" w:cs="Arial"/>
          <w:kern w:val="0"/>
          <w:lang w:eastAsia="en-GB"/>
          <w14:ligatures w14:val="none"/>
        </w:rPr>
        <w:t xml:space="preserve">Lawrence, </w:t>
      </w:r>
      <w:r w:rsidRPr="00F36ADF">
        <w:rPr>
          <w:rFonts w:ascii="Arial" w:eastAsia="Times New Roman" w:hAnsi="Arial" w:cs="Arial"/>
          <w:i/>
          <w:iCs/>
          <w:kern w:val="0"/>
          <w:lang w:eastAsia="en-GB"/>
          <w14:ligatures w14:val="none"/>
        </w:rPr>
        <w:t>Medieval Monasticism</w:t>
      </w:r>
      <w:r w:rsidRPr="00F36ADF">
        <w:rPr>
          <w:rFonts w:ascii="Arial" w:eastAsia="Times New Roman" w:hAnsi="Arial" w:cs="Arial"/>
          <w:kern w:val="0"/>
          <w:lang w:eastAsia="en-GB"/>
          <w14:ligatures w14:val="none"/>
        </w:rPr>
        <w:t xml:space="preserve">, 4th </w:t>
      </w:r>
      <w:proofErr w:type="spellStart"/>
      <w:r w:rsidRPr="00F36ADF">
        <w:rPr>
          <w:rFonts w:ascii="Arial" w:eastAsia="Times New Roman" w:hAnsi="Arial" w:cs="Arial"/>
          <w:kern w:val="0"/>
          <w:lang w:eastAsia="en-GB"/>
          <w14:ligatures w14:val="none"/>
        </w:rPr>
        <w:t>edn</w:t>
      </w:r>
      <w:proofErr w:type="spellEnd"/>
      <w:r w:rsidRPr="00F36ADF">
        <w:rPr>
          <w:rFonts w:ascii="Arial" w:eastAsia="Times New Roman" w:hAnsi="Arial" w:cs="Arial"/>
          <w:kern w:val="0"/>
          <w:lang w:eastAsia="en-GB"/>
          <w14:ligatures w14:val="none"/>
        </w:rPr>
        <w:t xml:space="preserve"> (London: Routledge, 2015), pp. 24–26</w:t>
      </w:r>
    </w:p>
  </w:footnote>
  <w:footnote w:id="7">
    <w:p w14:paraId="7BBD6407" w14:textId="585E92A9" w:rsidR="00324474" w:rsidRPr="00F36ADF" w:rsidRDefault="00324474">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Pr="00F36ADF">
        <w:rPr>
          <w:rFonts w:ascii="Arial" w:eastAsia="Times New Roman" w:hAnsi="Arial" w:cs="Arial"/>
          <w:i/>
          <w:iCs/>
          <w:kern w:val="0"/>
          <w:lang w:eastAsia="en-GB"/>
          <w14:ligatures w14:val="none"/>
        </w:rPr>
        <w:t>Rule of St Benedict</w:t>
      </w:r>
      <w:r w:rsidRPr="00F36ADF">
        <w:rPr>
          <w:rFonts w:ascii="Arial" w:eastAsia="Times New Roman" w:hAnsi="Arial" w:cs="Arial"/>
          <w:kern w:val="0"/>
          <w:lang w:eastAsia="en-GB"/>
          <w14:ligatures w14:val="none"/>
        </w:rPr>
        <w:t xml:space="preserve">, in </w:t>
      </w:r>
      <w:r w:rsidRPr="00F36ADF">
        <w:rPr>
          <w:rFonts w:ascii="Arial" w:eastAsia="Times New Roman" w:hAnsi="Arial" w:cs="Arial"/>
          <w:i/>
          <w:iCs/>
          <w:kern w:val="0"/>
          <w:lang w:eastAsia="en-GB"/>
          <w14:ligatures w14:val="none"/>
        </w:rPr>
        <w:t>From Desert Myths to Sheep Tales</w:t>
      </w:r>
      <w:r w:rsidRPr="00F36ADF">
        <w:rPr>
          <w:rFonts w:ascii="Arial" w:eastAsia="Times New Roman" w:hAnsi="Arial" w:cs="Arial"/>
          <w:kern w:val="0"/>
          <w:lang w:eastAsia="en-GB"/>
          <w14:ligatures w14:val="none"/>
        </w:rPr>
        <w:t>, Section A</w:t>
      </w:r>
    </w:p>
  </w:footnote>
  <w:footnote w:id="8">
    <w:p w14:paraId="5DBEBB98" w14:textId="6EB19D68" w:rsidR="008919E7" w:rsidRPr="00F36ADF" w:rsidRDefault="008919E7">
      <w:pPr>
        <w:pStyle w:val="FootnoteText"/>
        <w:rPr>
          <w:rFonts w:ascii="Arial" w:hAnsi="Arial" w:cs="Arial"/>
        </w:rPr>
      </w:pPr>
      <w:r w:rsidRPr="00F36ADF">
        <w:rPr>
          <w:rStyle w:val="FootnoteReference"/>
          <w:rFonts w:ascii="Arial" w:hAnsi="Arial" w:cs="Arial"/>
        </w:rPr>
        <w:footnoteRef/>
      </w:r>
      <w:r w:rsidRPr="00F36ADF">
        <w:rPr>
          <w:rFonts w:ascii="Arial" w:hAnsi="Arial" w:cs="Arial"/>
        </w:rPr>
        <w:t xml:space="preserve"> </w:t>
      </w:r>
      <w:r w:rsidR="00F36ADF" w:rsidRPr="00F36ADF">
        <w:rPr>
          <w:rFonts w:ascii="Arial" w:eastAsia="Times New Roman" w:hAnsi="Arial" w:cs="Arial"/>
          <w:kern w:val="0"/>
          <w:lang w:eastAsia="en-GB"/>
          <w14:ligatures w14:val="none"/>
        </w:rPr>
        <w:t>Terrence</w:t>
      </w:r>
      <w:r w:rsidR="00F36ADF" w:rsidRPr="00F36ADF">
        <w:rPr>
          <w:rFonts w:ascii="Arial" w:eastAsia="Times New Roman" w:hAnsi="Arial" w:cs="Arial"/>
          <w:kern w:val="0"/>
          <w:lang w:eastAsia="en-GB"/>
          <w14:ligatures w14:val="none"/>
        </w:rPr>
        <w:t xml:space="preserve"> </w:t>
      </w:r>
      <w:proofErr w:type="spellStart"/>
      <w:r w:rsidRPr="00F36ADF">
        <w:rPr>
          <w:rFonts w:ascii="Arial" w:eastAsia="Times New Roman" w:hAnsi="Arial" w:cs="Arial"/>
          <w:kern w:val="0"/>
          <w:lang w:eastAsia="en-GB"/>
          <w14:ligatures w14:val="none"/>
        </w:rPr>
        <w:t>Kardong</w:t>
      </w:r>
      <w:proofErr w:type="spellEnd"/>
      <w:r w:rsidRPr="00F36ADF">
        <w:rPr>
          <w:rFonts w:ascii="Arial" w:eastAsia="Times New Roman" w:hAnsi="Arial" w:cs="Arial"/>
          <w:kern w:val="0"/>
          <w:lang w:eastAsia="en-GB"/>
          <w14:ligatures w14:val="none"/>
        </w:rPr>
        <w:t xml:space="preserve">, </w:t>
      </w:r>
      <w:r w:rsidRPr="00F36ADF">
        <w:rPr>
          <w:rFonts w:ascii="Arial" w:eastAsia="Times New Roman" w:hAnsi="Arial" w:cs="Arial"/>
          <w:i/>
          <w:iCs/>
          <w:kern w:val="0"/>
          <w:lang w:eastAsia="en-GB"/>
          <w14:ligatures w14:val="none"/>
        </w:rPr>
        <w:t>Benedict’s Rule: A Translation and Commentary</w:t>
      </w:r>
      <w:r w:rsidRPr="00F36ADF">
        <w:rPr>
          <w:rFonts w:ascii="Arial" w:eastAsia="Times New Roman" w:hAnsi="Arial" w:cs="Arial"/>
          <w:kern w:val="0"/>
          <w:lang w:eastAsia="en-GB"/>
          <w14:ligatures w14:val="none"/>
        </w:rPr>
        <w:t xml:space="preserve"> (Collegeville, MN: Liturgical Press, 1996), pp. 23–25</w:t>
      </w:r>
    </w:p>
  </w:footnote>
  <w:footnote w:id="9">
    <w:p w14:paraId="7A85A2CD" w14:textId="245CF833" w:rsidR="008919E7" w:rsidRDefault="008919E7">
      <w:pPr>
        <w:pStyle w:val="FootnoteText"/>
      </w:pPr>
      <w:r w:rsidRPr="00F36ADF">
        <w:rPr>
          <w:rStyle w:val="FootnoteReference"/>
          <w:rFonts w:ascii="Arial" w:hAnsi="Arial" w:cs="Arial"/>
        </w:rPr>
        <w:footnoteRef/>
      </w:r>
      <w:r w:rsidRPr="00F36ADF">
        <w:rPr>
          <w:rFonts w:ascii="Arial" w:hAnsi="Arial" w:cs="Arial"/>
        </w:rPr>
        <w:t xml:space="preserve"> </w:t>
      </w:r>
      <w:r w:rsidR="00F36ADF" w:rsidRPr="00F36ADF">
        <w:rPr>
          <w:rFonts w:ascii="Arial" w:eastAsia="Times New Roman" w:hAnsi="Arial" w:cs="Arial"/>
          <w:kern w:val="0"/>
          <w:lang w:eastAsia="en-GB"/>
          <w14:ligatures w14:val="none"/>
        </w:rPr>
        <w:t>Jean</w:t>
      </w:r>
      <w:r w:rsidR="00F36ADF" w:rsidRPr="00F36ADF">
        <w:rPr>
          <w:rFonts w:ascii="Arial" w:eastAsia="Times New Roman" w:hAnsi="Arial" w:cs="Arial"/>
          <w:kern w:val="0"/>
          <w:lang w:eastAsia="en-GB"/>
          <w14:ligatures w14:val="none"/>
        </w:rPr>
        <w:t xml:space="preserve"> </w:t>
      </w:r>
      <w:proofErr w:type="spellStart"/>
      <w:r w:rsidRPr="00F36ADF">
        <w:rPr>
          <w:rFonts w:ascii="Arial" w:eastAsia="Times New Roman" w:hAnsi="Arial" w:cs="Arial"/>
          <w:kern w:val="0"/>
          <w:lang w:eastAsia="en-GB"/>
          <w14:ligatures w14:val="none"/>
        </w:rPr>
        <w:t>Leclercq</w:t>
      </w:r>
      <w:proofErr w:type="spellEnd"/>
      <w:r w:rsidRPr="00F36ADF">
        <w:rPr>
          <w:rFonts w:ascii="Arial" w:eastAsia="Times New Roman" w:hAnsi="Arial" w:cs="Arial"/>
          <w:kern w:val="0"/>
          <w:lang w:eastAsia="en-GB"/>
          <w14:ligatures w14:val="none"/>
        </w:rPr>
        <w:t xml:space="preserve">, </w:t>
      </w:r>
      <w:r w:rsidRPr="00F36ADF">
        <w:rPr>
          <w:rFonts w:ascii="Arial" w:eastAsia="Times New Roman" w:hAnsi="Arial" w:cs="Arial"/>
          <w:i/>
          <w:iCs/>
          <w:kern w:val="0"/>
          <w:lang w:eastAsia="en-GB"/>
          <w14:ligatures w14:val="none"/>
        </w:rPr>
        <w:t xml:space="preserve">The Love of </w:t>
      </w:r>
      <w:proofErr w:type="gramStart"/>
      <w:r w:rsidRPr="00F36ADF">
        <w:rPr>
          <w:rFonts w:ascii="Arial" w:eastAsia="Times New Roman" w:hAnsi="Arial" w:cs="Arial"/>
          <w:i/>
          <w:iCs/>
          <w:kern w:val="0"/>
          <w:lang w:eastAsia="en-GB"/>
          <w14:ligatures w14:val="none"/>
        </w:rPr>
        <w:t>Learning</w:t>
      </w:r>
      <w:proofErr w:type="gramEnd"/>
      <w:r w:rsidRPr="00F36ADF">
        <w:rPr>
          <w:rFonts w:ascii="Arial" w:eastAsia="Times New Roman" w:hAnsi="Arial" w:cs="Arial"/>
          <w:i/>
          <w:iCs/>
          <w:kern w:val="0"/>
          <w:lang w:eastAsia="en-GB"/>
          <w14:ligatures w14:val="none"/>
        </w:rPr>
        <w:t xml:space="preserve"> and the Desire for God</w:t>
      </w:r>
      <w:r w:rsidRPr="00F36ADF">
        <w:rPr>
          <w:rFonts w:ascii="Arial" w:eastAsia="Times New Roman" w:hAnsi="Arial" w:cs="Arial"/>
          <w:kern w:val="0"/>
          <w:lang w:eastAsia="en-GB"/>
          <w14:ligatures w14:val="none"/>
        </w:rPr>
        <w:t xml:space="preserve"> (New York: Fordham University Press, 1982), pp. 20–23</w:t>
      </w:r>
    </w:p>
  </w:footnote>
  <w:footnote w:id="10">
    <w:p w14:paraId="5ED0D638" w14:textId="1F336CFF" w:rsidR="008919E7" w:rsidRDefault="008919E7">
      <w:pPr>
        <w:pStyle w:val="FootnoteText"/>
      </w:pPr>
      <w:r>
        <w:rPr>
          <w:rStyle w:val="FootnoteReference"/>
        </w:rPr>
        <w:footnoteRef/>
      </w:r>
      <w:r>
        <w:t xml:space="preserve"> </w:t>
      </w:r>
      <w:r w:rsidRPr="00053818">
        <w:rPr>
          <w:rFonts w:ascii="Times New Roman" w:eastAsia="Times New Roman" w:hAnsi="Times New Roman" w:cs="Times New Roman"/>
          <w:i/>
          <w:iCs/>
          <w:kern w:val="0"/>
          <w:lang w:eastAsia="en-GB"/>
          <w14:ligatures w14:val="none"/>
        </w:rPr>
        <w:t>Rule of St Benedict</w:t>
      </w:r>
      <w:r w:rsidRPr="00053818">
        <w:rPr>
          <w:rFonts w:ascii="Times New Roman" w:eastAsia="Times New Roman" w:hAnsi="Times New Roman" w:cs="Times New Roman"/>
          <w:kern w:val="0"/>
          <w:lang w:eastAsia="en-GB"/>
          <w14:ligatures w14:val="none"/>
        </w:rPr>
        <w:t xml:space="preserve">, in </w:t>
      </w:r>
      <w:r w:rsidRPr="00053818">
        <w:rPr>
          <w:rFonts w:ascii="Times New Roman" w:eastAsia="Times New Roman" w:hAnsi="Times New Roman" w:cs="Times New Roman"/>
          <w:i/>
          <w:iCs/>
          <w:kern w:val="0"/>
          <w:lang w:eastAsia="en-GB"/>
          <w14:ligatures w14:val="none"/>
        </w:rPr>
        <w:t>From Desert Myths to Sheep Tales</w:t>
      </w:r>
      <w:r w:rsidRPr="00053818">
        <w:rPr>
          <w:rFonts w:ascii="Times New Roman" w:eastAsia="Times New Roman" w:hAnsi="Times New Roman" w:cs="Times New Roman"/>
          <w:kern w:val="0"/>
          <w:lang w:eastAsia="en-GB"/>
          <w14:ligatures w14:val="none"/>
        </w:rPr>
        <w:t>, Section A</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54720"/>
    <w:multiLevelType w:val="multilevel"/>
    <w:tmpl w:val="BDAAB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3222CB"/>
    <w:multiLevelType w:val="multilevel"/>
    <w:tmpl w:val="E9B8D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2796313">
    <w:abstractNumId w:val="1"/>
  </w:num>
  <w:num w:numId="2" w16cid:durableId="1778594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FB8"/>
    <w:rsid w:val="00053818"/>
    <w:rsid w:val="00301D7E"/>
    <w:rsid w:val="00324474"/>
    <w:rsid w:val="00356F23"/>
    <w:rsid w:val="004A475A"/>
    <w:rsid w:val="004F285D"/>
    <w:rsid w:val="004F7216"/>
    <w:rsid w:val="00534FA2"/>
    <w:rsid w:val="00767E2F"/>
    <w:rsid w:val="007D2855"/>
    <w:rsid w:val="008919E7"/>
    <w:rsid w:val="009116FB"/>
    <w:rsid w:val="00AA753B"/>
    <w:rsid w:val="00B55FB8"/>
    <w:rsid w:val="00F36ADF"/>
    <w:rsid w:val="00FA5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36DD0"/>
  <w15:chartTrackingRefBased/>
  <w15:docId w15:val="{B0270E46-F139-2344-9AED-3EA14B75B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F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F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F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F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F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F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F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F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F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F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F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F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F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F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F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F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F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FB8"/>
    <w:rPr>
      <w:rFonts w:eastAsiaTheme="majorEastAsia" w:cstheme="majorBidi"/>
      <w:color w:val="272727" w:themeColor="text1" w:themeTint="D8"/>
    </w:rPr>
  </w:style>
  <w:style w:type="paragraph" w:styleId="Title">
    <w:name w:val="Title"/>
    <w:basedOn w:val="Normal"/>
    <w:next w:val="Normal"/>
    <w:link w:val="TitleChar"/>
    <w:uiPriority w:val="10"/>
    <w:qFormat/>
    <w:rsid w:val="00B55F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F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F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F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5FB8"/>
    <w:rPr>
      <w:i/>
      <w:iCs/>
      <w:color w:val="404040" w:themeColor="text1" w:themeTint="BF"/>
    </w:rPr>
  </w:style>
  <w:style w:type="paragraph" w:styleId="ListParagraph">
    <w:name w:val="List Paragraph"/>
    <w:basedOn w:val="Normal"/>
    <w:uiPriority w:val="34"/>
    <w:qFormat/>
    <w:rsid w:val="00B55FB8"/>
    <w:pPr>
      <w:ind w:left="720"/>
      <w:contextualSpacing/>
    </w:pPr>
  </w:style>
  <w:style w:type="character" w:styleId="IntenseEmphasis">
    <w:name w:val="Intense Emphasis"/>
    <w:basedOn w:val="DefaultParagraphFont"/>
    <w:uiPriority w:val="21"/>
    <w:qFormat/>
    <w:rsid w:val="00B55FB8"/>
    <w:rPr>
      <w:i/>
      <w:iCs/>
      <w:color w:val="0F4761" w:themeColor="accent1" w:themeShade="BF"/>
    </w:rPr>
  </w:style>
  <w:style w:type="paragraph" w:styleId="IntenseQuote">
    <w:name w:val="Intense Quote"/>
    <w:basedOn w:val="Normal"/>
    <w:next w:val="Normal"/>
    <w:link w:val="IntenseQuoteChar"/>
    <w:uiPriority w:val="30"/>
    <w:qFormat/>
    <w:rsid w:val="00B55F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FB8"/>
    <w:rPr>
      <w:i/>
      <w:iCs/>
      <w:color w:val="0F4761" w:themeColor="accent1" w:themeShade="BF"/>
    </w:rPr>
  </w:style>
  <w:style w:type="character" w:styleId="IntenseReference">
    <w:name w:val="Intense Reference"/>
    <w:basedOn w:val="DefaultParagraphFont"/>
    <w:uiPriority w:val="32"/>
    <w:qFormat/>
    <w:rsid w:val="00B55FB8"/>
    <w:rPr>
      <w:b/>
      <w:bCs/>
      <w:smallCaps/>
      <w:color w:val="0F4761" w:themeColor="accent1" w:themeShade="BF"/>
      <w:spacing w:val="5"/>
    </w:rPr>
  </w:style>
  <w:style w:type="character" w:styleId="Strong">
    <w:name w:val="Strong"/>
    <w:basedOn w:val="DefaultParagraphFont"/>
    <w:uiPriority w:val="22"/>
    <w:qFormat/>
    <w:rsid w:val="00B55FB8"/>
    <w:rPr>
      <w:b/>
      <w:bCs/>
    </w:rPr>
  </w:style>
  <w:style w:type="paragraph" w:styleId="NormalWeb">
    <w:name w:val="Normal (Web)"/>
    <w:basedOn w:val="Normal"/>
    <w:uiPriority w:val="99"/>
    <w:semiHidden/>
    <w:unhideWhenUsed/>
    <w:rsid w:val="00B55FB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55FB8"/>
    <w:rPr>
      <w:i/>
      <w:iCs/>
    </w:rPr>
  </w:style>
  <w:style w:type="paragraph" w:styleId="FootnoteText">
    <w:name w:val="footnote text"/>
    <w:basedOn w:val="Normal"/>
    <w:link w:val="FootnoteTextChar"/>
    <w:uiPriority w:val="99"/>
    <w:semiHidden/>
    <w:unhideWhenUsed/>
    <w:rsid w:val="00356F23"/>
    <w:rPr>
      <w:sz w:val="20"/>
      <w:szCs w:val="20"/>
    </w:rPr>
  </w:style>
  <w:style w:type="character" w:customStyle="1" w:styleId="FootnoteTextChar">
    <w:name w:val="Footnote Text Char"/>
    <w:basedOn w:val="DefaultParagraphFont"/>
    <w:link w:val="FootnoteText"/>
    <w:uiPriority w:val="99"/>
    <w:semiHidden/>
    <w:rsid w:val="00356F23"/>
    <w:rPr>
      <w:sz w:val="20"/>
      <w:szCs w:val="20"/>
    </w:rPr>
  </w:style>
  <w:style w:type="character" w:styleId="FootnoteReference">
    <w:name w:val="footnote reference"/>
    <w:basedOn w:val="DefaultParagraphFont"/>
    <w:uiPriority w:val="99"/>
    <w:semiHidden/>
    <w:unhideWhenUsed/>
    <w:rsid w:val="00356F23"/>
    <w:rPr>
      <w:vertAlign w:val="superscript"/>
    </w:rPr>
  </w:style>
  <w:style w:type="character" w:customStyle="1" w:styleId="a-size-large">
    <w:name w:val="a-size-large"/>
    <w:basedOn w:val="DefaultParagraphFont"/>
    <w:rsid w:val="00F36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13935">
      <w:bodyDiv w:val="1"/>
      <w:marLeft w:val="0"/>
      <w:marRight w:val="0"/>
      <w:marTop w:val="0"/>
      <w:marBottom w:val="0"/>
      <w:divBdr>
        <w:top w:val="none" w:sz="0" w:space="0" w:color="auto"/>
        <w:left w:val="none" w:sz="0" w:space="0" w:color="auto"/>
        <w:bottom w:val="none" w:sz="0" w:space="0" w:color="auto"/>
        <w:right w:val="none" w:sz="0" w:space="0" w:color="auto"/>
      </w:divBdr>
      <w:divsChild>
        <w:div w:id="2022389660">
          <w:marLeft w:val="0"/>
          <w:marRight w:val="0"/>
          <w:marTop w:val="0"/>
          <w:marBottom w:val="0"/>
          <w:divBdr>
            <w:top w:val="none" w:sz="0" w:space="0" w:color="auto"/>
            <w:left w:val="none" w:sz="0" w:space="0" w:color="auto"/>
            <w:bottom w:val="none" w:sz="0" w:space="0" w:color="auto"/>
            <w:right w:val="none" w:sz="0" w:space="0" w:color="auto"/>
          </w:divBdr>
        </w:div>
      </w:divsChild>
    </w:div>
    <w:div w:id="202400536">
      <w:bodyDiv w:val="1"/>
      <w:marLeft w:val="0"/>
      <w:marRight w:val="0"/>
      <w:marTop w:val="0"/>
      <w:marBottom w:val="0"/>
      <w:divBdr>
        <w:top w:val="none" w:sz="0" w:space="0" w:color="auto"/>
        <w:left w:val="none" w:sz="0" w:space="0" w:color="auto"/>
        <w:bottom w:val="none" w:sz="0" w:space="0" w:color="auto"/>
        <w:right w:val="none" w:sz="0" w:space="0" w:color="auto"/>
      </w:divBdr>
    </w:div>
    <w:div w:id="266356099">
      <w:bodyDiv w:val="1"/>
      <w:marLeft w:val="0"/>
      <w:marRight w:val="0"/>
      <w:marTop w:val="0"/>
      <w:marBottom w:val="0"/>
      <w:divBdr>
        <w:top w:val="none" w:sz="0" w:space="0" w:color="auto"/>
        <w:left w:val="none" w:sz="0" w:space="0" w:color="auto"/>
        <w:bottom w:val="none" w:sz="0" w:space="0" w:color="auto"/>
        <w:right w:val="none" w:sz="0" w:space="0" w:color="auto"/>
      </w:divBdr>
    </w:div>
    <w:div w:id="573777747">
      <w:bodyDiv w:val="1"/>
      <w:marLeft w:val="0"/>
      <w:marRight w:val="0"/>
      <w:marTop w:val="0"/>
      <w:marBottom w:val="0"/>
      <w:divBdr>
        <w:top w:val="none" w:sz="0" w:space="0" w:color="auto"/>
        <w:left w:val="none" w:sz="0" w:space="0" w:color="auto"/>
        <w:bottom w:val="none" w:sz="0" w:space="0" w:color="auto"/>
        <w:right w:val="none" w:sz="0" w:space="0" w:color="auto"/>
      </w:divBdr>
    </w:div>
    <w:div w:id="994378753">
      <w:bodyDiv w:val="1"/>
      <w:marLeft w:val="0"/>
      <w:marRight w:val="0"/>
      <w:marTop w:val="0"/>
      <w:marBottom w:val="0"/>
      <w:divBdr>
        <w:top w:val="none" w:sz="0" w:space="0" w:color="auto"/>
        <w:left w:val="none" w:sz="0" w:space="0" w:color="auto"/>
        <w:bottom w:val="none" w:sz="0" w:space="0" w:color="auto"/>
        <w:right w:val="none" w:sz="0" w:space="0" w:color="auto"/>
      </w:divBdr>
    </w:div>
    <w:div w:id="1017460020">
      <w:bodyDiv w:val="1"/>
      <w:marLeft w:val="0"/>
      <w:marRight w:val="0"/>
      <w:marTop w:val="0"/>
      <w:marBottom w:val="0"/>
      <w:divBdr>
        <w:top w:val="none" w:sz="0" w:space="0" w:color="auto"/>
        <w:left w:val="none" w:sz="0" w:space="0" w:color="auto"/>
        <w:bottom w:val="none" w:sz="0" w:space="0" w:color="auto"/>
        <w:right w:val="none" w:sz="0" w:space="0" w:color="auto"/>
      </w:divBdr>
    </w:div>
    <w:div w:id="165630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DE260B99-0B35-6844-AEBB-5E6B69413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1523</Words>
  <Characters>9126</Characters>
  <Application>Microsoft Office Word</Application>
  <DocSecurity>0</DocSecurity>
  <Lines>132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2025-12-29T14:48:00Z</dcterms:created>
  <dcterms:modified xsi:type="dcterms:W3CDTF">2025-12-29T14:48:00Z</dcterms:modified>
</cp:coreProperties>
</file>