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737B4" w14:textId="77777777" w:rsidR="00E71AC0" w:rsidRDefault="00667FA1">
      <w:pPr>
        <w:spacing w:line="360" w:lineRule="auto"/>
      </w:pPr>
      <w:r>
        <w:rPr>
          <w:rFonts w:ascii="Arial" w:hAnsi="Arial" w:cs="Arial"/>
          <w:color w:val="000000"/>
        </w:rPr>
        <w:t xml:space="preserve">Qualification: </w:t>
      </w:r>
      <w:r>
        <w:rPr>
          <w:rFonts w:ascii="Arial" w:hAnsi="Arial" w:cs="Arial"/>
        </w:rPr>
        <w:tab/>
      </w:r>
      <w:r>
        <w:rPr>
          <w:rFonts w:ascii="Arial" w:hAnsi="Arial" w:cs="Arial"/>
          <w:color w:val="000000"/>
        </w:rPr>
        <w:t xml:space="preserve">Master of Arts, Professional Practice (Level 7) </w:t>
      </w:r>
    </w:p>
    <w:p w14:paraId="786737B5" w14:textId="77777777" w:rsidR="00E71AC0" w:rsidRDefault="00667FA1">
      <w:pPr>
        <w:spacing w:line="360" w:lineRule="auto"/>
        <w:rPr>
          <w:rFonts w:ascii="Arial" w:hAnsi="Arial" w:cs="Arial"/>
          <w:color w:val="000000"/>
        </w:rPr>
      </w:pPr>
      <w:r>
        <w:rPr>
          <w:rFonts w:ascii="Arial" w:hAnsi="Arial" w:cs="Arial"/>
          <w:color w:val="000000"/>
        </w:rPr>
        <w:t>Module:                </w:t>
      </w:r>
      <w:r>
        <w:rPr>
          <w:rFonts w:ascii="Arial" w:hAnsi="Arial" w:cs="Arial"/>
          <w:color w:val="000000"/>
        </w:rPr>
        <w:tab/>
        <w:t>Independent Study Module (BMPF7012)</w:t>
      </w:r>
    </w:p>
    <w:p w14:paraId="786737B6" w14:textId="77777777" w:rsidR="00E71AC0" w:rsidRDefault="00667FA1">
      <w:pPr>
        <w:spacing w:line="360" w:lineRule="auto"/>
      </w:pPr>
      <w:r>
        <w:rPr>
          <w:rFonts w:ascii="Arial" w:hAnsi="Arial" w:cs="Arial"/>
          <w:color w:val="000000"/>
        </w:rPr>
        <w:t>Assignment:           </w:t>
      </w:r>
      <w:r>
        <w:rPr>
          <w:rFonts w:ascii="Arial" w:hAnsi="Arial" w:cs="Arial"/>
          <w:color w:val="000000"/>
        </w:rPr>
        <w:tab/>
        <w:t>Research Project</w:t>
      </w:r>
    </w:p>
    <w:p w14:paraId="786737B7" w14:textId="77777777" w:rsidR="00E71AC0" w:rsidRDefault="00E71AC0">
      <w:pPr>
        <w:spacing w:line="360" w:lineRule="auto"/>
        <w:rPr>
          <w:rFonts w:ascii="Arial" w:hAnsi="Arial" w:cs="Arial"/>
          <w:color w:val="000000"/>
        </w:rPr>
      </w:pPr>
    </w:p>
    <w:p w14:paraId="786737B8" w14:textId="77777777" w:rsidR="00E71AC0" w:rsidRDefault="00667FA1">
      <w:pPr>
        <w:spacing w:line="360" w:lineRule="auto"/>
        <w:rPr>
          <w:rFonts w:ascii="Arial" w:hAnsi="Arial" w:cs="Arial"/>
          <w:color w:val="000000"/>
        </w:rPr>
      </w:pPr>
      <w:r>
        <w:rPr>
          <w:rFonts w:ascii="Arial" w:hAnsi="Arial" w:cs="Arial"/>
          <w:color w:val="000000"/>
        </w:rPr>
        <w:t>Name:                      Shelley Dony</w:t>
      </w:r>
    </w:p>
    <w:p w14:paraId="786737B9" w14:textId="77777777" w:rsidR="00E71AC0" w:rsidRDefault="00667FA1">
      <w:pPr>
        <w:spacing w:line="360" w:lineRule="auto"/>
        <w:rPr>
          <w:rFonts w:ascii="Arial" w:hAnsi="Arial" w:cs="Arial"/>
          <w:color w:val="000000"/>
        </w:rPr>
      </w:pPr>
      <w:r>
        <w:rPr>
          <w:rFonts w:ascii="Arial" w:hAnsi="Arial" w:cs="Arial"/>
          <w:color w:val="000000"/>
        </w:rPr>
        <w:t>Student Number:     </w:t>
      </w:r>
      <w:r>
        <w:rPr>
          <w:rFonts w:ascii="Arial" w:hAnsi="Arial" w:cs="Arial"/>
          <w:color w:val="000000"/>
        </w:rPr>
        <w:tab/>
        <w:t xml:space="preserve">1810449 </w:t>
      </w:r>
    </w:p>
    <w:p w14:paraId="786737BA" w14:textId="77777777" w:rsidR="00E71AC0" w:rsidRDefault="00E71AC0">
      <w:pPr>
        <w:spacing w:line="360" w:lineRule="auto"/>
        <w:rPr>
          <w:rFonts w:ascii="Arial" w:hAnsi="Arial" w:cs="Arial"/>
          <w:color w:val="000000"/>
        </w:rPr>
      </w:pPr>
    </w:p>
    <w:p w14:paraId="786737BB" w14:textId="77777777" w:rsidR="00E71AC0" w:rsidRDefault="00667FA1">
      <w:pPr>
        <w:spacing w:line="360" w:lineRule="auto"/>
        <w:rPr>
          <w:rFonts w:ascii="Arial" w:hAnsi="Arial" w:cs="Arial"/>
          <w:i/>
          <w:iCs/>
          <w:color w:val="000000"/>
        </w:rPr>
      </w:pPr>
      <w:r>
        <w:rPr>
          <w:rFonts w:ascii="Arial" w:hAnsi="Arial" w:cs="Arial"/>
          <w:i/>
          <w:iCs/>
          <w:color w:val="000000"/>
        </w:rPr>
        <w:t>By signing below, I confirm that the work/evidence presented is my own, unaided work.  I understand the regulations pertaining to candidate malpractice and the action that may be taken as a result.</w:t>
      </w:r>
    </w:p>
    <w:p w14:paraId="786737BC" w14:textId="77777777" w:rsidR="00E71AC0" w:rsidRDefault="00E71AC0">
      <w:pPr>
        <w:spacing w:line="360" w:lineRule="auto"/>
        <w:rPr>
          <w:rFonts w:ascii="Arial" w:hAnsi="Arial" w:cs="Arial"/>
          <w:color w:val="000000"/>
        </w:rPr>
      </w:pPr>
    </w:p>
    <w:p w14:paraId="786737BD" w14:textId="77777777" w:rsidR="00E71AC0" w:rsidRDefault="00667FA1">
      <w:pPr>
        <w:spacing w:line="360" w:lineRule="auto"/>
      </w:pPr>
      <w:r>
        <w:rPr>
          <w:rFonts w:ascii="Arial" w:hAnsi="Arial" w:cs="Arial"/>
          <w:color w:val="000000"/>
        </w:rPr>
        <w:t xml:space="preserve">Signed:   </w:t>
      </w:r>
      <w:r>
        <w:rPr>
          <w:rFonts w:ascii="Arial" w:hAnsi="Arial" w:cs="Arial"/>
          <w:noProof/>
          <w:color w:val="000000"/>
        </w:rPr>
        <w:drawing>
          <wp:inline distT="0" distB="0" distL="0" distR="0" wp14:anchorId="786737B4" wp14:editId="786737B5">
            <wp:extent cx="520174" cy="693298"/>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0174" cy="693298"/>
                    </a:xfrm>
                    <a:prstGeom prst="rect">
                      <a:avLst/>
                    </a:prstGeom>
                    <a:noFill/>
                    <a:ln>
                      <a:noFill/>
                      <a:prstDash/>
                    </a:ln>
                  </pic:spPr>
                </pic:pic>
              </a:graphicData>
            </a:graphic>
          </wp:inline>
        </w:drawing>
      </w:r>
    </w:p>
    <w:p w14:paraId="786737BE" w14:textId="77777777" w:rsidR="00E71AC0" w:rsidRDefault="00E71AC0">
      <w:pPr>
        <w:spacing w:line="360" w:lineRule="auto"/>
        <w:rPr>
          <w:rFonts w:ascii="Arial" w:hAnsi="Arial" w:cs="Arial"/>
          <w:color w:val="000000"/>
        </w:rPr>
      </w:pPr>
    </w:p>
    <w:p w14:paraId="786737BF" w14:textId="77777777" w:rsidR="00E71AC0" w:rsidRDefault="00E71AC0">
      <w:pPr>
        <w:spacing w:line="360" w:lineRule="auto"/>
        <w:rPr>
          <w:rFonts w:ascii="Arial" w:hAnsi="Arial" w:cs="Arial"/>
          <w:color w:val="000000"/>
        </w:rPr>
      </w:pPr>
    </w:p>
    <w:p w14:paraId="786737C0" w14:textId="77777777" w:rsidR="00E71AC0" w:rsidRDefault="00E71AC0">
      <w:pPr>
        <w:spacing w:line="360" w:lineRule="auto"/>
        <w:rPr>
          <w:rFonts w:ascii="Arial" w:hAnsi="Arial" w:cs="Arial"/>
          <w:color w:val="000000"/>
        </w:rPr>
      </w:pPr>
    </w:p>
    <w:p w14:paraId="786737C1" w14:textId="77777777" w:rsidR="00E71AC0" w:rsidRDefault="00E71AC0">
      <w:pPr>
        <w:spacing w:line="360" w:lineRule="auto"/>
        <w:rPr>
          <w:rFonts w:ascii="Arial" w:hAnsi="Arial" w:cs="Arial"/>
          <w:color w:val="000000"/>
        </w:rPr>
      </w:pPr>
    </w:p>
    <w:p w14:paraId="786737C2" w14:textId="77777777" w:rsidR="00E71AC0" w:rsidRDefault="00E71AC0">
      <w:pPr>
        <w:spacing w:line="360" w:lineRule="auto"/>
        <w:rPr>
          <w:rFonts w:ascii="Arial" w:hAnsi="Arial" w:cs="Arial"/>
        </w:rPr>
      </w:pPr>
    </w:p>
    <w:p w14:paraId="786737C3" w14:textId="77777777" w:rsidR="00E71AC0" w:rsidRDefault="00E71AC0">
      <w:pPr>
        <w:pageBreakBefore/>
        <w:spacing w:line="360" w:lineRule="auto"/>
        <w:rPr>
          <w:rFonts w:ascii="Arial" w:hAnsi="Arial" w:cs="Arial"/>
        </w:rPr>
      </w:pPr>
    </w:p>
    <w:tbl>
      <w:tblPr>
        <w:tblW w:w="9016" w:type="dxa"/>
        <w:tblCellMar>
          <w:left w:w="10" w:type="dxa"/>
          <w:right w:w="10" w:type="dxa"/>
        </w:tblCellMar>
        <w:tblLook w:val="0000" w:firstRow="0" w:lastRow="0" w:firstColumn="0" w:lastColumn="0" w:noHBand="0" w:noVBand="0"/>
      </w:tblPr>
      <w:tblGrid>
        <w:gridCol w:w="6663"/>
        <w:gridCol w:w="850"/>
        <w:gridCol w:w="1503"/>
      </w:tblGrid>
      <w:tr w:rsidR="00E71AC0" w14:paraId="786737C7" w14:textId="77777777">
        <w:tc>
          <w:tcPr>
            <w:tcW w:w="6663" w:type="dxa"/>
            <w:shd w:val="clear" w:color="auto" w:fill="auto"/>
            <w:tcMar>
              <w:top w:w="0" w:type="dxa"/>
              <w:left w:w="108" w:type="dxa"/>
              <w:bottom w:w="0" w:type="dxa"/>
              <w:right w:w="108" w:type="dxa"/>
            </w:tcMar>
          </w:tcPr>
          <w:p w14:paraId="786737C4" w14:textId="77777777" w:rsidR="00E71AC0" w:rsidRDefault="00667FA1">
            <w:pPr>
              <w:spacing w:after="160" w:line="360" w:lineRule="auto"/>
              <w:rPr>
                <w:rFonts w:ascii="Arial" w:hAnsi="Arial" w:cs="Arial"/>
                <w:b/>
                <w:bCs/>
                <w:u w:val="single"/>
              </w:rPr>
            </w:pPr>
            <w:r>
              <w:rPr>
                <w:rFonts w:ascii="Arial" w:hAnsi="Arial" w:cs="Arial"/>
                <w:b/>
                <w:bCs/>
                <w:u w:val="single"/>
              </w:rPr>
              <w:t>Contents</w:t>
            </w:r>
          </w:p>
        </w:tc>
        <w:tc>
          <w:tcPr>
            <w:tcW w:w="850" w:type="dxa"/>
            <w:shd w:val="clear" w:color="auto" w:fill="auto"/>
            <w:tcMar>
              <w:top w:w="0" w:type="dxa"/>
              <w:left w:w="108" w:type="dxa"/>
              <w:bottom w:w="0" w:type="dxa"/>
              <w:right w:w="108" w:type="dxa"/>
            </w:tcMar>
          </w:tcPr>
          <w:p w14:paraId="786737C5"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C6" w14:textId="77777777" w:rsidR="00E71AC0" w:rsidRDefault="00667FA1">
            <w:pPr>
              <w:spacing w:after="160" w:line="360" w:lineRule="auto"/>
              <w:rPr>
                <w:rFonts w:ascii="Arial" w:hAnsi="Arial" w:cs="Arial"/>
                <w:b/>
                <w:bCs/>
                <w:u w:val="single"/>
              </w:rPr>
            </w:pPr>
            <w:r>
              <w:rPr>
                <w:rFonts w:ascii="Arial" w:hAnsi="Arial" w:cs="Arial"/>
                <w:b/>
                <w:bCs/>
                <w:u w:val="single"/>
              </w:rPr>
              <w:t>Page</w:t>
            </w:r>
          </w:p>
        </w:tc>
      </w:tr>
      <w:tr w:rsidR="00E71AC0" w14:paraId="786737CB" w14:textId="77777777">
        <w:tc>
          <w:tcPr>
            <w:tcW w:w="6663" w:type="dxa"/>
            <w:shd w:val="clear" w:color="auto" w:fill="auto"/>
            <w:tcMar>
              <w:top w:w="0" w:type="dxa"/>
              <w:left w:w="108" w:type="dxa"/>
              <w:bottom w:w="0" w:type="dxa"/>
              <w:right w:w="108" w:type="dxa"/>
            </w:tcMar>
          </w:tcPr>
          <w:p w14:paraId="786737C8" w14:textId="77777777" w:rsidR="00E71AC0" w:rsidRDefault="00667FA1">
            <w:pPr>
              <w:spacing w:after="160" w:line="360" w:lineRule="auto"/>
              <w:rPr>
                <w:rFonts w:ascii="Arial" w:hAnsi="Arial" w:cs="Arial"/>
              </w:rPr>
            </w:pPr>
            <w:r>
              <w:rPr>
                <w:rFonts w:ascii="Arial" w:hAnsi="Arial" w:cs="Arial"/>
              </w:rPr>
              <w:t xml:space="preserve">1. Summary </w:t>
            </w:r>
          </w:p>
        </w:tc>
        <w:tc>
          <w:tcPr>
            <w:tcW w:w="850" w:type="dxa"/>
            <w:shd w:val="clear" w:color="auto" w:fill="auto"/>
            <w:tcMar>
              <w:top w:w="0" w:type="dxa"/>
              <w:left w:w="108" w:type="dxa"/>
              <w:bottom w:w="0" w:type="dxa"/>
              <w:right w:w="108" w:type="dxa"/>
            </w:tcMar>
          </w:tcPr>
          <w:p w14:paraId="786737C9"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CA" w14:textId="77777777" w:rsidR="00E71AC0" w:rsidRDefault="00667FA1">
            <w:pPr>
              <w:spacing w:after="160" w:line="360" w:lineRule="auto"/>
              <w:rPr>
                <w:rFonts w:ascii="Arial" w:hAnsi="Arial" w:cs="Arial"/>
              </w:rPr>
            </w:pPr>
            <w:r>
              <w:rPr>
                <w:rFonts w:ascii="Arial" w:hAnsi="Arial" w:cs="Arial"/>
              </w:rPr>
              <w:t>3</w:t>
            </w:r>
          </w:p>
        </w:tc>
      </w:tr>
      <w:tr w:rsidR="00E71AC0" w14:paraId="786737CF" w14:textId="77777777">
        <w:tc>
          <w:tcPr>
            <w:tcW w:w="6663" w:type="dxa"/>
            <w:shd w:val="clear" w:color="auto" w:fill="auto"/>
            <w:tcMar>
              <w:top w:w="0" w:type="dxa"/>
              <w:left w:w="108" w:type="dxa"/>
              <w:bottom w:w="0" w:type="dxa"/>
              <w:right w:w="108" w:type="dxa"/>
            </w:tcMar>
          </w:tcPr>
          <w:p w14:paraId="786737CC" w14:textId="77777777" w:rsidR="00E71AC0" w:rsidRDefault="00667FA1">
            <w:pPr>
              <w:spacing w:after="160" w:line="360" w:lineRule="auto"/>
              <w:rPr>
                <w:rFonts w:ascii="Arial" w:hAnsi="Arial" w:cs="Arial"/>
              </w:rPr>
            </w:pPr>
            <w:r>
              <w:rPr>
                <w:rFonts w:ascii="Arial" w:hAnsi="Arial" w:cs="Arial"/>
              </w:rPr>
              <w:t>2. Rationale (933/1000)</w:t>
            </w:r>
          </w:p>
        </w:tc>
        <w:tc>
          <w:tcPr>
            <w:tcW w:w="850" w:type="dxa"/>
            <w:shd w:val="clear" w:color="auto" w:fill="auto"/>
            <w:tcMar>
              <w:top w:w="0" w:type="dxa"/>
              <w:left w:w="108" w:type="dxa"/>
              <w:bottom w:w="0" w:type="dxa"/>
              <w:right w:w="108" w:type="dxa"/>
            </w:tcMar>
          </w:tcPr>
          <w:p w14:paraId="786737CD"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CE" w14:textId="77777777" w:rsidR="00E71AC0" w:rsidRDefault="00667FA1">
            <w:pPr>
              <w:spacing w:after="160" w:line="360" w:lineRule="auto"/>
              <w:rPr>
                <w:rFonts w:ascii="Arial" w:hAnsi="Arial" w:cs="Arial"/>
              </w:rPr>
            </w:pPr>
            <w:r>
              <w:rPr>
                <w:rFonts w:ascii="Arial" w:hAnsi="Arial" w:cs="Arial"/>
              </w:rPr>
              <w:t>3</w:t>
            </w:r>
          </w:p>
        </w:tc>
      </w:tr>
      <w:tr w:rsidR="00E71AC0" w14:paraId="786737D3" w14:textId="77777777">
        <w:tc>
          <w:tcPr>
            <w:tcW w:w="6663" w:type="dxa"/>
            <w:shd w:val="clear" w:color="auto" w:fill="auto"/>
            <w:tcMar>
              <w:top w:w="0" w:type="dxa"/>
              <w:left w:w="108" w:type="dxa"/>
              <w:bottom w:w="0" w:type="dxa"/>
              <w:right w:w="108" w:type="dxa"/>
            </w:tcMar>
          </w:tcPr>
          <w:p w14:paraId="786737D0" w14:textId="77777777" w:rsidR="00E71AC0" w:rsidRDefault="00667FA1">
            <w:pPr>
              <w:spacing w:after="160" w:line="360" w:lineRule="auto"/>
              <w:rPr>
                <w:rFonts w:ascii="Arial" w:hAnsi="Arial" w:cs="Arial"/>
              </w:rPr>
            </w:pPr>
            <w:r>
              <w:rPr>
                <w:rFonts w:ascii="Arial" w:hAnsi="Arial" w:cs="Arial"/>
              </w:rPr>
              <w:t>3. Literature Review (1095/1000)</w:t>
            </w:r>
          </w:p>
        </w:tc>
        <w:tc>
          <w:tcPr>
            <w:tcW w:w="850" w:type="dxa"/>
            <w:shd w:val="clear" w:color="auto" w:fill="auto"/>
            <w:tcMar>
              <w:top w:w="0" w:type="dxa"/>
              <w:left w:w="108" w:type="dxa"/>
              <w:bottom w:w="0" w:type="dxa"/>
              <w:right w:w="108" w:type="dxa"/>
            </w:tcMar>
          </w:tcPr>
          <w:p w14:paraId="786737D1"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2" w14:textId="77777777" w:rsidR="00E71AC0" w:rsidRDefault="00667FA1">
            <w:pPr>
              <w:spacing w:after="160" w:line="360" w:lineRule="auto"/>
              <w:rPr>
                <w:rFonts w:ascii="Arial" w:hAnsi="Arial" w:cs="Arial"/>
              </w:rPr>
            </w:pPr>
            <w:r>
              <w:rPr>
                <w:rFonts w:ascii="Arial" w:hAnsi="Arial" w:cs="Arial"/>
              </w:rPr>
              <w:t>6</w:t>
            </w:r>
          </w:p>
        </w:tc>
      </w:tr>
      <w:tr w:rsidR="00E71AC0" w14:paraId="786737D7" w14:textId="77777777">
        <w:tc>
          <w:tcPr>
            <w:tcW w:w="6663" w:type="dxa"/>
            <w:shd w:val="clear" w:color="auto" w:fill="auto"/>
            <w:tcMar>
              <w:top w:w="0" w:type="dxa"/>
              <w:left w:w="108" w:type="dxa"/>
              <w:bottom w:w="0" w:type="dxa"/>
              <w:right w:w="108" w:type="dxa"/>
            </w:tcMar>
          </w:tcPr>
          <w:p w14:paraId="786737D4" w14:textId="03050D8B" w:rsidR="00E71AC0" w:rsidRDefault="00667FA1">
            <w:pPr>
              <w:spacing w:after="160" w:line="360" w:lineRule="auto"/>
              <w:rPr>
                <w:rFonts w:ascii="Arial" w:hAnsi="Arial" w:cs="Arial"/>
              </w:rPr>
            </w:pPr>
            <w:r>
              <w:rPr>
                <w:rFonts w:ascii="Arial" w:hAnsi="Arial" w:cs="Arial"/>
              </w:rPr>
              <w:t>4. Methodology (9</w:t>
            </w:r>
            <w:r w:rsidR="00922A91">
              <w:rPr>
                <w:rFonts w:ascii="Arial" w:hAnsi="Arial" w:cs="Arial"/>
              </w:rPr>
              <w:t>87</w:t>
            </w:r>
            <w:r>
              <w:rPr>
                <w:rFonts w:ascii="Arial" w:hAnsi="Arial" w:cs="Arial"/>
              </w:rPr>
              <w:t>/1000)</w:t>
            </w:r>
          </w:p>
        </w:tc>
        <w:tc>
          <w:tcPr>
            <w:tcW w:w="850" w:type="dxa"/>
            <w:shd w:val="clear" w:color="auto" w:fill="auto"/>
            <w:tcMar>
              <w:top w:w="0" w:type="dxa"/>
              <w:left w:w="108" w:type="dxa"/>
              <w:bottom w:w="0" w:type="dxa"/>
              <w:right w:w="108" w:type="dxa"/>
            </w:tcMar>
          </w:tcPr>
          <w:p w14:paraId="786737D5"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D6" w14:textId="77777777" w:rsidR="00E71AC0" w:rsidRDefault="00667FA1">
            <w:pPr>
              <w:spacing w:after="160" w:line="360" w:lineRule="auto"/>
              <w:rPr>
                <w:rFonts w:ascii="Arial" w:hAnsi="Arial" w:cs="Arial"/>
              </w:rPr>
            </w:pPr>
            <w:r>
              <w:rPr>
                <w:rFonts w:ascii="Arial" w:hAnsi="Arial" w:cs="Arial"/>
              </w:rPr>
              <w:t>9</w:t>
            </w:r>
          </w:p>
        </w:tc>
      </w:tr>
      <w:tr w:rsidR="00E71AC0" w14:paraId="786737DB" w14:textId="77777777">
        <w:tc>
          <w:tcPr>
            <w:tcW w:w="6663" w:type="dxa"/>
            <w:shd w:val="clear" w:color="auto" w:fill="auto"/>
            <w:tcMar>
              <w:top w:w="0" w:type="dxa"/>
              <w:left w:w="108" w:type="dxa"/>
              <w:bottom w:w="0" w:type="dxa"/>
              <w:right w:w="108" w:type="dxa"/>
            </w:tcMar>
          </w:tcPr>
          <w:p w14:paraId="786737D8" w14:textId="74C5D274" w:rsidR="00E71AC0" w:rsidRPr="00F24437" w:rsidRDefault="00667FA1">
            <w:pPr>
              <w:spacing w:after="160" w:line="360" w:lineRule="auto"/>
              <w:rPr>
                <w:rFonts w:ascii="Arial" w:hAnsi="Arial" w:cs="Arial"/>
                <w:b/>
                <w:bCs/>
              </w:rPr>
            </w:pPr>
            <w:r w:rsidRPr="00F24437">
              <w:rPr>
                <w:rFonts w:ascii="Arial" w:hAnsi="Arial" w:cs="Arial"/>
                <w:b/>
                <w:bCs/>
              </w:rPr>
              <w:t>5. Findings (2</w:t>
            </w:r>
            <w:r w:rsidR="00333D89" w:rsidRPr="00F24437">
              <w:rPr>
                <w:rFonts w:ascii="Arial" w:hAnsi="Arial" w:cs="Arial"/>
                <w:b/>
                <w:bCs/>
              </w:rPr>
              <w:t>441</w:t>
            </w:r>
            <w:r w:rsidRPr="00F24437">
              <w:rPr>
                <w:rFonts w:ascii="Arial" w:hAnsi="Arial" w:cs="Arial"/>
                <w:b/>
                <w:bCs/>
              </w:rPr>
              <w:t>/2500)</w:t>
            </w:r>
          </w:p>
        </w:tc>
        <w:tc>
          <w:tcPr>
            <w:tcW w:w="850" w:type="dxa"/>
            <w:shd w:val="clear" w:color="auto" w:fill="auto"/>
            <w:tcMar>
              <w:top w:w="0" w:type="dxa"/>
              <w:left w:w="108" w:type="dxa"/>
              <w:bottom w:w="0" w:type="dxa"/>
              <w:right w:w="108" w:type="dxa"/>
            </w:tcMar>
          </w:tcPr>
          <w:p w14:paraId="786737D9" w14:textId="77777777" w:rsidR="00E71AC0" w:rsidRPr="00F24437" w:rsidRDefault="00E71AC0">
            <w:pPr>
              <w:spacing w:after="160" w:line="360" w:lineRule="auto"/>
              <w:rPr>
                <w:rFonts w:ascii="Arial" w:hAnsi="Arial" w:cs="Arial"/>
                <w:b/>
                <w:bCs/>
              </w:rPr>
            </w:pPr>
          </w:p>
        </w:tc>
        <w:tc>
          <w:tcPr>
            <w:tcW w:w="1503" w:type="dxa"/>
            <w:shd w:val="clear" w:color="auto" w:fill="auto"/>
            <w:tcMar>
              <w:top w:w="0" w:type="dxa"/>
              <w:left w:w="108" w:type="dxa"/>
              <w:bottom w:w="0" w:type="dxa"/>
              <w:right w:w="108" w:type="dxa"/>
            </w:tcMar>
          </w:tcPr>
          <w:p w14:paraId="786737DA" w14:textId="77777777" w:rsidR="00E71AC0" w:rsidRPr="00F24437" w:rsidRDefault="00667FA1">
            <w:pPr>
              <w:spacing w:after="160" w:line="360" w:lineRule="auto"/>
              <w:rPr>
                <w:rFonts w:ascii="Arial" w:hAnsi="Arial" w:cs="Arial"/>
                <w:b/>
                <w:bCs/>
              </w:rPr>
            </w:pPr>
            <w:r w:rsidRPr="00F24437">
              <w:rPr>
                <w:rFonts w:ascii="Arial" w:hAnsi="Arial" w:cs="Arial"/>
                <w:b/>
                <w:bCs/>
              </w:rPr>
              <w:t>12</w:t>
            </w:r>
          </w:p>
        </w:tc>
      </w:tr>
      <w:tr w:rsidR="00E71AC0" w14:paraId="786737DF" w14:textId="77777777">
        <w:tc>
          <w:tcPr>
            <w:tcW w:w="6663" w:type="dxa"/>
            <w:shd w:val="clear" w:color="auto" w:fill="auto"/>
            <w:tcMar>
              <w:top w:w="0" w:type="dxa"/>
              <w:left w:w="108" w:type="dxa"/>
              <w:bottom w:w="0" w:type="dxa"/>
              <w:right w:w="108" w:type="dxa"/>
            </w:tcMar>
          </w:tcPr>
          <w:p w14:paraId="786737DC" w14:textId="6758082D" w:rsidR="00E71AC0" w:rsidRPr="00F24437" w:rsidRDefault="00667FA1">
            <w:pPr>
              <w:spacing w:after="160" w:line="360" w:lineRule="auto"/>
              <w:rPr>
                <w:rFonts w:ascii="Arial" w:hAnsi="Arial" w:cs="Arial"/>
                <w:b/>
                <w:bCs/>
              </w:rPr>
            </w:pPr>
            <w:r w:rsidRPr="00F24437">
              <w:rPr>
                <w:rFonts w:ascii="Arial" w:hAnsi="Arial" w:cs="Arial"/>
                <w:b/>
                <w:bCs/>
              </w:rPr>
              <w:t>6. Conclusion (45</w:t>
            </w:r>
            <w:r w:rsidR="00427196" w:rsidRPr="00F24437">
              <w:rPr>
                <w:rFonts w:ascii="Arial" w:hAnsi="Arial" w:cs="Arial"/>
                <w:b/>
                <w:bCs/>
              </w:rPr>
              <w:t>8</w:t>
            </w:r>
            <w:r w:rsidRPr="00F24437">
              <w:rPr>
                <w:rFonts w:ascii="Arial" w:hAnsi="Arial" w:cs="Arial"/>
                <w:b/>
                <w:bCs/>
              </w:rPr>
              <w:t>/500)</w:t>
            </w:r>
          </w:p>
        </w:tc>
        <w:tc>
          <w:tcPr>
            <w:tcW w:w="850" w:type="dxa"/>
            <w:shd w:val="clear" w:color="auto" w:fill="auto"/>
            <w:tcMar>
              <w:top w:w="0" w:type="dxa"/>
              <w:left w:w="108" w:type="dxa"/>
              <w:bottom w:w="0" w:type="dxa"/>
              <w:right w:w="108" w:type="dxa"/>
            </w:tcMar>
          </w:tcPr>
          <w:p w14:paraId="786737DD" w14:textId="77777777" w:rsidR="00E71AC0" w:rsidRPr="00F24437" w:rsidRDefault="00E71AC0">
            <w:pPr>
              <w:spacing w:after="160" w:line="360" w:lineRule="auto"/>
              <w:rPr>
                <w:rFonts w:ascii="Arial" w:hAnsi="Arial" w:cs="Arial"/>
                <w:b/>
                <w:bCs/>
              </w:rPr>
            </w:pPr>
          </w:p>
        </w:tc>
        <w:tc>
          <w:tcPr>
            <w:tcW w:w="1503" w:type="dxa"/>
            <w:shd w:val="clear" w:color="auto" w:fill="auto"/>
            <w:tcMar>
              <w:top w:w="0" w:type="dxa"/>
              <w:left w:w="108" w:type="dxa"/>
              <w:bottom w:w="0" w:type="dxa"/>
              <w:right w:w="108" w:type="dxa"/>
            </w:tcMar>
          </w:tcPr>
          <w:p w14:paraId="786737DE" w14:textId="77777777" w:rsidR="00E71AC0" w:rsidRPr="00F24437" w:rsidRDefault="00667FA1">
            <w:pPr>
              <w:spacing w:after="160" w:line="360" w:lineRule="auto"/>
              <w:rPr>
                <w:rFonts w:ascii="Arial" w:hAnsi="Arial" w:cs="Arial"/>
                <w:b/>
                <w:bCs/>
              </w:rPr>
            </w:pPr>
            <w:r w:rsidRPr="00F24437">
              <w:rPr>
                <w:rFonts w:ascii="Arial" w:hAnsi="Arial" w:cs="Arial"/>
                <w:b/>
                <w:bCs/>
              </w:rPr>
              <w:t>21</w:t>
            </w:r>
          </w:p>
        </w:tc>
      </w:tr>
      <w:tr w:rsidR="00E71AC0" w14:paraId="786737E3" w14:textId="77777777">
        <w:trPr>
          <w:trHeight w:val="393"/>
        </w:trPr>
        <w:tc>
          <w:tcPr>
            <w:tcW w:w="6663" w:type="dxa"/>
            <w:shd w:val="clear" w:color="auto" w:fill="auto"/>
            <w:tcMar>
              <w:top w:w="0" w:type="dxa"/>
              <w:left w:w="108" w:type="dxa"/>
              <w:bottom w:w="0" w:type="dxa"/>
              <w:right w:w="108" w:type="dxa"/>
            </w:tcMar>
          </w:tcPr>
          <w:p w14:paraId="786737E0" w14:textId="77777777" w:rsidR="00E71AC0" w:rsidRPr="00F24437" w:rsidRDefault="00667FA1">
            <w:pPr>
              <w:spacing w:after="160" w:line="360" w:lineRule="auto"/>
              <w:rPr>
                <w:rFonts w:ascii="Arial" w:hAnsi="Arial" w:cs="Arial"/>
                <w:b/>
                <w:bCs/>
              </w:rPr>
            </w:pPr>
            <w:r w:rsidRPr="00F24437">
              <w:rPr>
                <w:rFonts w:ascii="Arial" w:hAnsi="Arial" w:cs="Arial"/>
                <w:b/>
                <w:bCs/>
              </w:rPr>
              <w:t>7. Recommendations</w:t>
            </w:r>
          </w:p>
        </w:tc>
        <w:tc>
          <w:tcPr>
            <w:tcW w:w="850" w:type="dxa"/>
            <w:shd w:val="clear" w:color="auto" w:fill="auto"/>
            <w:tcMar>
              <w:top w:w="0" w:type="dxa"/>
              <w:left w:w="108" w:type="dxa"/>
              <w:bottom w:w="0" w:type="dxa"/>
              <w:right w:w="108" w:type="dxa"/>
            </w:tcMar>
          </w:tcPr>
          <w:p w14:paraId="786737E1" w14:textId="77777777" w:rsidR="00E71AC0" w:rsidRPr="00F24437" w:rsidRDefault="00E71AC0">
            <w:pPr>
              <w:spacing w:after="160" w:line="360" w:lineRule="auto"/>
              <w:rPr>
                <w:rFonts w:ascii="Arial" w:hAnsi="Arial" w:cs="Arial"/>
                <w:b/>
                <w:bCs/>
              </w:rPr>
            </w:pPr>
          </w:p>
        </w:tc>
        <w:tc>
          <w:tcPr>
            <w:tcW w:w="1503" w:type="dxa"/>
            <w:shd w:val="clear" w:color="auto" w:fill="auto"/>
            <w:tcMar>
              <w:top w:w="0" w:type="dxa"/>
              <w:left w:w="108" w:type="dxa"/>
              <w:bottom w:w="0" w:type="dxa"/>
              <w:right w:w="108" w:type="dxa"/>
            </w:tcMar>
          </w:tcPr>
          <w:p w14:paraId="786737E2" w14:textId="77777777" w:rsidR="00E71AC0" w:rsidRPr="00F24437" w:rsidRDefault="00667FA1">
            <w:pPr>
              <w:spacing w:after="160" w:line="360" w:lineRule="auto"/>
              <w:rPr>
                <w:rFonts w:ascii="Arial" w:hAnsi="Arial" w:cs="Arial"/>
                <w:b/>
                <w:bCs/>
              </w:rPr>
            </w:pPr>
            <w:r w:rsidRPr="00F24437">
              <w:rPr>
                <w:rFonts w:ascii="Arial" w:hAnsi="Arial" w:cs="Arial"/>
                <w:b/>
                <w:bCs/>
              </w:rPr>
              <w:t>22</w:t>
            </w:r>
          </w:p>
        </w:tc>
      </w:tr>
      <w:tr w:rsidR="00E71AC0" w14:paraId="786737E9" w14:textId="77777777">
        <w:trPr>
          <w:trHeight w:val="826"/>
        </w:trPr>
        <w:tc>
          <w:tcPr>
            <w:tcW w:w="6663" w:type="dxa"/>
            <w:shd w:val="clear" w:color="auto" w:fill="auto"/>
            <w:tcMar>
              <w:top w:w="0" w:type="dxa"/>
              <w:left w:w="108" w:type="dxa"/>
              <w:bottom w:w="0" w:type="dxa"/>
              <w:right w:w="108" w:type="dxa"/>
            </w:tcMar>
          </w:tcPr>
          <w:p w14:paraId="786737E4" w14:textId="77777777" w:rsidR="00E71AC0" w:rsidRPr="00F24437" w:rsidRDefault="00667FA1">
            <w:pPr>
              <w:spacing w:after="160" w:line="360" w:lineRule="auto"/>
              <w:rPr>
                <w:rFonts w:ascii="Arial" w:hAnsi="Arial" w:cs="Arial"/>
                <w:b/>
                <w:bCs/>
              </w:rPr>
            </w:pPr>
            <w:r w:rsidRPr="00F24437">
              <w:rPr>
                <w:rFonts w:ascii="Arial" w:hAnsi="Arial" w:cs="Arial"/>
                <w:b/>
                <w:bCs/>
              </w:rPr>
              <w:t>8. Bibliography</w:t>
            </w:r>
          </w:p>
          <w:p w14:paraId="786737E5" w14:textId="77777777" w:rsidR="00E71AC0" w:rsidRPr="00F24437" w:rsidRDefault="00667FA1">
            <w:pPr>
              <w:spacing w:after="160" w:line="360" w:lineRule="auto"/>
              <w:rPr>
                <w:rFonts w:ascii="Arial" w:hAnsi="Arial" w:cs="Arial"/>
                <w:b/>
                <w:bCs/>
              </w:rPr>
            </w:pPr>
            <w:r w:rsidRPr="00F24437">
              <w:rPr>
                <w:rFonts w:ascii="Arial" w:hAnsi="Arial" w:cs="Arial"/>
                <w:b/>
                <w:bCs/>
              </w:rPr>
              <w:t>9. Appendices</w:t>
            </w:r>
          </w:p>
        </w:tc>
        <w:tc>
          <w:tcPr>
            <w:tcW w:w="850" w:type="dxa"/>
            <w:shd w:val="clear" w:color="auto" w:fill="auto"/>
            <w:tcMar>
              <w:top w:w="0" w:type="dxa"/>
              <w:left w:w="108" w:type="dxa"/>
              <w:bottom w:w="0" w:type="dxa"/>
              <w:right w:w="108" w:type="dxa"/>
            </w:tcMar>
          </w:tcPr>
          <w:p w14:paraId="786737E6" w14:textId="77777777" w:rsidR="00E71AC0" w:rsidRPr="00F24437" w:rsidRDefault="00E71AC0">
            <w:pPr>
              <w:spacing w:after="160" w:line="360" w:lineRule="auto"/>
              <w:rPr>
                <w:rFonts w:ascii="Arial" w:hAnsi="Arial" w:cs="Arial"/>
                <w:b/>
                <w:bCs/>
              </w:rPr>
            </w:pPr>
          </w:p>
        </w:tc>
        <w:tc>
          <w:tcPr>
            <w:tcW w:w="1503" w:type="dxa"/>
            <w:shd w:val="clear" w:color="auto" w:fill="auto"/>
            <w:tcMar>
              <w:top w:w="0" w:type="dxa"/>
              <w:left w:w="108" w:type="dxa"/>
              <w:bottom w:w="0" w:type="dxa"/>
              <w:right w:w="108" w:type="dxa"/>
            </w:tcMar>
          </w:tcPr>
          <w:p w14:paraId="786737E7" w14:textId="77777777" w:rsidR="00E71AC0" w:rsidRPr="00F24437" w:rsidRDefault="00667FA1">
            <w:pPr>
              <w:spacing w:after="160" w:line="360" w:lineRule="auto"/>
              <w:rPr>
                <w:rFonts w:ascii="Arial" w:hAnsi="Arial" w:cs="Arial"/>
                <w:b/>
                <w:bCs/>
              </w:rPr>
            </w:pPr>
            <w:r w:rsidRPr="00F24437">
              <w:rPr>
                <w:rFonts w:ascii="Arial" w:hAnsi="Arial" w:cs="Arial"/>
                <w:b/>
                <w:bCs/>
              </w:rPr>
              <w:t>23</w:t>
            </w:r>
          </w:p>
          <w:p w14:paraId="786737E8" w14:textId="77777777" w:rsidR="00E71AC0" w:rsidRPr="00F24437" w:rsidRDefault="00667FA1">
            <w:pPr>
              <w:spacing w:after="160" w:line="360" w:lineRule="auto"/>
              <w:rPr>
                <w:rFonts w:ascii="Arial" w:hAnsi="Arial" w:cs="Arial"/>
                <w:b/>
                <w:bCs/>
              </w:rPr>
            </w:pPr>
            <w:r w:rsidRPr="00F24437">
              <w:rPr>
                <w:rFonts w:ascii="Arial" w:hAnsi="Arial" w:cs="Arial"/>
                <w:b/>
                <w:bCs/>
              </w:rPr>
              <w:t>27</w:t>
            </w:r>
          </w:p>
        </w:tc>
      </w:tr>
      <w:tr w:rsidR="00E71AC0" w14:paraId="786737ED" w14:textId="77777777">
        <w:trPr>
          <w:trHeight w:val="826"/>
        </w:trPr>
        <w:tc>
          <w:tcPr>
            <w:tcW w:w="6663" w:type="dxa"/>
            <w:shd w:val="clear" w:color="auto" w:fill="auto"/>
            <w:tcMar>
              <w:top w:w="0" w:type="dxa"/>
              <w:left w:w="108" w:type="dxa"/>
              <w:bottom w:w="0" w:type="dxa"/>
              <w:right w:w="108" w:type="dxa"/>
            </w:tcMar>
          </w:tcPr>
          <w:p w14:paraId="786737EA" w14:textId="77777777" w:rsidR="00E71AC0" w:rsidRDefault="00E71AC0">
            <w:pPr>
              <w:spacing w:after="160" w:line="360" w:lineRule="auto"/>
              <w:rPr>
                <w:rFonts w:ascii="Arial" w:hAnsi="Arial" w:cs="Arial"/>
              </w:rPr>
            </w:pPr>
          </w:p>
        </w:tc>
        <w:tc>
          <w:tcPr>
            <w:tcW w:w="850" w:type="dxa"/>
            <w:shd w:val="clear" w:color="auto" w:fill="auto"/>
            <w:tcMar>
              <w:top w:w="0" w:type="dxa"/>
              <w:left w:w="108" w:type="dxa"/>
              <w:bottom w:w="0" w:type="dxa"/>
              <w:right w:w="108" w:type="dxa"/>
            </w:tcMar>
          </w:tcPr>
          <w:p w14:paraId="786737EB"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EC" w14:textId="77777777" w:rsidR="00E71AC0" w:rsidRDefault="00E71AC0">
            <w:pPr>
              <w:spacing w:after="160" w:line="360" w:lineRule="auto"/>
              <w:rPr>
                <w:rFonts w:ascii="Arial" w:hAnsi="Arial" w:cs="Arial"/>
              </w:rPr>
            </w:pPr>
          </w:p>
        </w:tc>
      </w:tr>
      <w:tr w:rsidR="00E71AC0" w14:paraId="786737F1" w14:textId="77777777">
        <w:tc>
          <w:tcPr>
            <w:tcW w:w="6663" w:type="dxa"/>
            <w:shd w:val="clear" w:color="auto" w:fill="auto"/>
            <w:tcMar>
              <w:top w:w="0" w:type="dxa"/>
              <w:left w:w="108" w:type="dxa"/>
              <w:bottom w:w="0" w:type="dxa"/>
              <w:right w:w="108" w:type="dxa"/>
            </w:tcMar>
          </w:tcPr>
          <w:p w14:paraId="786737EE" w14:textId="77777777" w:rsidR="00E71AC0" w:rsidRDefault="00E71AC0">
            <w:pPr>
              <w:spacing w:after="160" w:line="360" w:lineRule="auto"/>
              <w:ind w:left="720"/>
              <w:rPr>
                <w:rFonts w:ascii="Arial" w:hAnsi="Arial" w:cs="Arial"/>
              </w:rPr>
            </w:pPr>
          </w:p>
        </w:tc>
        <w:tc>
          <w:tcPr>
            <w:tcW w:w="850" w:type="dxa"/>
            <w:shd w:val="clear" w:color="auto" w:fill="auto"/>
            <w:tcMar>
              <w:top w:w="0" w:type="dxa"/>
              <w:left w:w="108" w:type="dxa"/>
              <w:bottom w:w="0" w:type="dxa"/>
              <w:right w:w="108" w:type="dxa"/>
            </w:tcMar>
          </w:tcPr>
          <w:p w14:paraId="786737EF"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F0" w14:textId="77777777" w:rsidR="00E71AC0" w:rsidRDefault="00E71AC0">
            <w:pPr>
              <w:spacing w:after="160" w:line="360" w:lineRule="auto"/>
              <w:rPr>
                <w:rFonts w:ascii="Arial" w:hAnsi="Arial" w:cs="Arial"/>
              </w:rPr>
            </w:pPr>
          </w:p>
        </w:tc>
      </w:tr>
      <w:tr w:rsidR="00E71AC0" w14:paraId="786737F5" w14:textId="77777777">
        <w:tc>
          <w:tcPr>
            <w:tcW w:w="6663" w:type="dxa"/>
            <w:shd w:val="clear" w:color="auto" w:fill="auto"/>
            <w:tcMar>
              <w:top w:w="0" w:type="dxa"/>
              <w:left w:w="108" w:type="dxa"/>
              <w:bottom w:w="0" w:type="dxa"/>
              <w:right w:w="108" w:type="dxa"/>
            </w:tcMar>
          </w:tcPr>
          <w:p w14:paraId="786737F2" w14:textId="77777777" w:rsidR="00E71AC0" w:rsidRDefault="00E71AC0">
            <w:pPr>
              <w:spacing w:after="160" w:line="360" w:lineRule="auto"/>
              <w:ind w:left="720"/>
              <w:rPr>
                <w:rFonts w:ascii="Arial" w:hAnsi="Arial" w:cs="Arial"/>
              </w:rPr>
            </w:pPr>
          </w:p>
        </w:tc>
        <w:tc>
          <w:tcPr>
            <w:tcW w:w="850" w:type="dxa"/>
            <w:shd w:val="clear" w:color="auto" w:fill="auto"/>
            <w:tcMar>
              <w:top w:w="0" w:type="dxa"/>
              <w:left w:w="108" w:type="dxa"/>
              <w:bottom w:w="0" w:type="dxa"/>
              <w:right w:w="108" w:type="dxa"/>
            </w:tcMar>
          </w:tcPr>
          <w:p w14:paraId="786737F3" w14:textId="77777777" w:rsidR="00E71AC0" w:rsidRDefault="00E71AC0">
            <w:pPr>
              <w:spacing w:after="160" w:line="360" w:lineRule="auto"/>
              <w:rPr>
                <w:rFonts w:ascii="Arial" w:hAnsi="Arial" w:cs="Arial"/>
              </w:rPr>
            </w:pPr>
          </w:p>
        </w:tc>
        <w:tc>
          <w:tcPr>
            <w:tcW w:w="1503" w:type="dxa"/>
            <w:shd w:val="clear" w:color="auto" w:fill="auto"/>
            <w:tcMar>
              <w:top w:w="0" w:type="dxa"/>
              <w:left w:w="108" w:type="dxa"/>
              <w:bottom w:w="0" w:type="dxa"/>
              <w:right w:w="108" w:type="dxa"/>
            </w:tcMar>
          </w:tcPr>
          <w:p w14:paraId="786737F4" w14:textId="77777777" w:rsidR="00E71AC0" w:rsidRDefault="00E71AC0">
            <w:pPr>
              <w:spacing w:after="160" w:line="360" w:lineRule="auto"/>
              <w:rPr>
                <w:rFonts w:ascii="Arial" w:hAnsi="Arial" w:cs="Arial"/>
              </w:rPr>
            </w:pPr>
          </w:p>
        </w:tc>
      </w:tr>
    </w:tbl>
    <w:p w14:paraId="786737F6" w14:textId="77777777" w:rsidR="00E71AC0" w:rsidRDefault="00E71AC0">
      <w:pPr>
        <w:spacing w:line="360" w:lineRule="auto"/>
        <w:rPr>
          <w:rFonts w:ascii="Arial" w:hAnsi="Arial" w:cs="Arial"/>
        </w:rPr>
      </w:pPr>
    </w:p>
    <w:p w14:paraId="786737F7" w14:textId="77777777" w:rsidR="00E71AC0" w:rsidRDefault="00E71AC0">
      <w:pPr>
        <w:spacing w:line="360" w:lineRule="auto"/>
        <w:rPr>
          <w:rFonts w:ascii="Arial" w:hAnsi="Arial" w:cs="Arial"/>
        </w:rPr>
      </w:pPr>
    </w:p>
    <w:p w14:paraId="786737F8" w14:textId="77777777" w:rsidR="00E71AC0" w:rsidRDefault="00E71AC0">
      <w:pPr>
        <w:spacing w:line="360" w:lineRule="auto"/>
        <w:rPr>
          <w:rFonts w:ascii="Arial" w:hAnsi="Arial" w:cs="Arial"/>
        </w:rPr>
      </w:pPr>
    </w:p>
    <w:p w14:paraId="786737F9" w14:textId="77777777" w:rsidR="00E71AC0" w:rsidRDefault="00E71AC0">
      <w:pPr>
        <w:spacing w:line="360" w:lineRule="auto"/>
        <w:rPr>
          <w:rFonts w:ascii="Arial" w:hAnsi="Arial" w:cs="Arial"/>
        </w:rPr>
      </w:pPr>
    </w:p>
    <w:p w14:paraId="786737FA" w14:textId="77777777" w:rsidR="00E71AC0" w:rsidRDefault="00E71AC0">
      <w:pPr>
        <w:spacing w:line="360" w:lineRule="auto"/>
        <w:rPr>
          <w:rFonts w:ascii="Arial" w:hAnsi="Arial" w:cs="Arial"/>
        </w:rPr>
      </w:pPr>
    </w:p>
    <w:p w14:paraId="786737FB" w14:textId="77777777" w:rsidR="00E71AC0" w:rsidRDefault="00E71AC0">
      <w:pPr>
        <w:spacing w:line="360" w:lineRule="auto"/>
        <w:rPr>
          <w:rFonts w:ascii="Arial" w:hAnsi="Arial" w:cs="Arial"/>
        </w:rPr>
      </w:pPr>
    </w:p>
    <w:p w14:paraId="786737FC" w14:textId="77777777" w:rsidR="00E71AC0" w:rsidRDefault="00E71AC0">
      <w:pPr>
        <w:spacing w:line="360" w:lineRule="auto"/>
        <w:rPr>
          <w:rFonts w:ascii="Arial" w:hAnsi="Arial" w:cs="Arial"/>
        </w:rPr>
      </w:pPr>
    </w:p>
    <w:p w14:paraId="786737FD" w14:textId="77777777" w:rsidR="00E71AC0" w:rsidRDefault="00E71AC0">
      <w:pPr>
        <w:spacing w:line="360" w:lineRule="auto"/>
        <w:rPr>
          <w:rFonts w:ascii="Arial" w:hAnsi="Arial" w:cs="Arial"/>
          <w:color w:val="00B050"/>
          <w:shd w:val="clear" w:color="auto" w:fill="FFFFFF"/>
        </w:rPr>
      </w:pPr>
    </w:p>
    <w:p w14:paraId="786737FE" w14:textId="77777777" w:rsidR="00E71AC0" w:rsidRDefault="00E71AC0">
      <w:pPr>
        <w:spacing w:line="360" w:lineRule="auto"/>
        <w:rPr>
          <w:rFonts w:ascii="Arial" w:hAnsi="Arial" w:cs="Arial"/>
          <w:b/>
          <w:bCs/>
          <w:u w:val="single"/>
        </w:rPr>
      </w:pPr>
    </w:p>
    <w:p w14:paraId="786737FF" w14:textId="77777777" w:rsidR="00E71AC0" w:rsidRDefault="00E71AC0">
      <w:pPr>
        <w:spacing w:line="360" w:lineRule="auto"/>
        <w:rPr>
          <w:rFonts w:ascii="Arial" w:hAnsi="Arial" w:cs="Arial"/>
          <w:b/>
          <w:bCs/>
          <w:u w:val="single"/>
        </w:rPr>
      </w:pPr>
    </w:p>
    <w:p w14:paraId="78673800" w14:textId="77777777" w:rsidR="00E71AC0" w:rsidRDefault="00E71AC0">
      <w:pPr>
        <w:spacing w:line="360" w:lineRule="auto"/>
        <w:rPr>
          <w:rFonts w:ascii="Arial" w:hAnsi="Arial" w:cs="Arial"/>
          <w:b/>
          <w:bCs/>
          <w:u w:val="single"/>
        </w:rPr>
      </w:pPr>
    </w:p>
    <w:p w14:paraId="78673801" w14:textId="77777777" w:rsidR="00E71AC0" w:rsidRDefault="00E71AC0">
      <w:pPr>
        <w:spacing w:line="360" w:lineRule="auto"/>
        <w:rPr>
          <w:rFonts w:ascii="Arial" w:hAnsi="Arial" w:cs="Arial"/>
          <w:b/>
          <w:bCs/>
          <w:u w:val="single"/>
        </w:rPr>
      </w:pPr>
    </w:p>
    <w:p w14:paraId="78673802" w14:textId="77777777" w:rsidR="00E71AC0" w:rsidRDefault="00E71AC0">
      <w:pPr>
        <w:spacing w:line="360" w:lineRule="auto"/>
        <w:rPr>
          <w:rFonts w:ascii="Arial" w:hAnsi="Arial" w:cs="Arial"/>
          <w:b/>
          <w:bCs/>
          <w:u w:val="single"/>
        </w:rPr>
      </w:pPr>
    </w:p>
    <w:p w14:paraId="78673803" w14:textId="77777777" w:rsidR="00E71AC0" w:rsidRDefault="00E71AC0">
      <w:pPr>
        <w:spacing w:line="360" w:lineRule="auto"/>
        <w:rPr>
          <w:rFonts w:ascii="Arial" w:hAnsi="Arial" w:cs="Arial"/>
          <w:b/>
          <w:bCs/>
          <w:u w:val="single"/>
        </w:rPr>
      </w:pPr>
    </w:p>
    <w:p w14:paraId="78673854" w14:textId="0DA1D47A" w:rsidR="00E71AC0" w:rsidRDefault="00667FA1">
      <w:pPr>
        <w:spacing w:line="360" w:lineRule="auto"/>
      </w:pPr>
      <w:r>
        <w:rPr>
          <w:rFonts w:ascii="Arial" w:hAnsi="Arial" w:cs="Arial"/>
          <w:b/>
          <w:bCs/>
          <w:u w:val="single"/>
        </w:rPr>
        <w:lastRenderedPageBreak/>
        <w:t>Findings</w:t>
      </w:r>
      <w:r>
        <w:rPr>
          <w:rFonts w:ascii="Arial" w:hAnsi="Arial" w:cs="Arial"/>
          <w:b/>
          <w:bCs/>
        </w:rPr>
        <w:t xml:space="preserve">     </w:t>
      </w:r>
    </w:p>
    <w:p w14:paraId="78673855" w14:textId="77777777" w:rsidR="00E71AC0" w:rsidRDefault="00667FA1">
      <w:pPr>
        <w:spacing w:line="360" w:lineRule="auto"/>
      </w:pPr>
      <w:r>
        <w:rPr>
          <w:rFonts w:ascii="Arial" w:hAnsi="Arial" w:cs="Arial"/>
          <w:u w:val="single"/>
        </w:rPr>
        <w:t>Questionnaire</w:t>
      </w:r>
      <w:r>
        <w:rPr>
          <w:rFonts w:ascii="Arial" w:hAnsi="Arial" w:cs="Arial"/>
        </w:rPr>
        <w:t xml:space="preserve"> </w:t>
      </w:r>
    </w:p>
    <w:p w14:paraId="78673856" w14:textId="77777777" w:rsidR="00E71AC0" w:rsidRDefault="00667FA1">
      <w:pPr>
        <w:spacing w:line="360" w:lineRule="auto"/>
      </w:pPr>
      <w:r>
        <w:rPr>
          <w:rFonts w:ascii="Arial" w:hAnsi="Arial" w:cs="Arial"/>
        </w:rPr>
        <w:t>Email invitations were sent out to 4024 internal supervisors, coordinators, managers and senior managers, from Bands 5 – 9 across all services in the Health Board, inviting them to partake in a questionnaire that would influence the way that workforce planning training is delivered in Hywel Dda University Health Board.  Following this invitation, there were 263 completed questionnaires submitted, giving a total of 6.5%.  While this percentage is slightly less than what is considered an acceptable internal response rate (Edwards, 2024), this is a fair and consistent reflection of the response rate in the Health Board at present, with the NHS Wales Annual Staff Survey 2023 response rate decreasing to 12%, down from 26% the year before (Hywel Dda UHB, 2024). This could be an indication of survey fatigue with NHS staff being asked to complete regular surveys and questionnaires over the years (</w:t>
      </w:r>
      <w:proofErr w:type="spellStart"/>
      <w:r>
        <w:rPr>
          <w:rFonts w:ascii="Arial" w:hAnsi="Arial" w:cs="Arial"/>
        </w:rPr>
        <w:t>DiLeornado</w:t>
      </w:r>
      <w:proofErr w:type="spellEnd"/>
      <w:r>
        <w:rPr>
          <w:rFonts w:ascii="Arial" w:hAnsi="Arial" w:cs="Arial"/>
        </w:rPr>
        <w:t xml:space="preserve"> et al., 2021).</w:t>
      </w:r>
    </w:p>
    <w:p w14:paraId="78673857" w14:textId="77777777" w:rsidR="00E71AC0" w:rsidRDefault="00E71AC0">
      <w:pPr>
        <w:spacing w:line="360" w:lineRule="auto"/>
        <w:rPr>
          <w:rFonts w:ascii="Arial" w:hAnsi="Arial" w:cs="Arial"/>
        </w:rPr>
      </w:pPr>
    </w:p>
    <w:p w14:paraId="78673858" w14:textId="77777777" w:rsidR="00E71AC0" w:rsidRDefault="00667FA1">
      <w:pPr>
        <w:spacing w:line="360" w:lineRule="auto"/>
        <w:rPr>
          <w:rFonts w:ascii="Arial" w:hAnsi="Arial" w:cs="Arial"/>
        </w:rPr>
      </w:pPr>
      <w:r>
        <w:rPr>
          <w:rFonts w:ascii="Arial" w:hAnsi="Arial" w:cs="Arial"/>
        </w:rPr>
        <w:t>To note, respondents were given the opportunity to choose multiple answers to multiple-choice questions, with the aim that it would show a range of preferences, rather than limiting managers to one answer when this may not be an accurate reflection of their true capacity.</w:t>
      </w:r>
    </w:p>
    <w:p w14:paraId="78673859" w14:textId="77777777" w:rsidR="00E71AC0" w:rsidRDefault="00E71AC0">
      <w:pPr>
        <w:spacing w:line="360" w:lineRule="auto"/>
        <w:rPr>
          <w:rFonts w:ascii="Arial" w:hAnsi="Arial" w:cs="Arial"/>
        </w:rPr>
      </w:pPr>
    </w:p>
    <w:p w14:paraId="7867385A" w14:textId="77777777" w:rsidR="00E71AC0" w:rsidRDefault="00667FA1">
      <w:pPr>
        <w:spacing w:line="360" w:lineRule="auto"/>
      </w:pPr>
      <w:r>
        <w:rPr>
          <w:rFonts w:ascii="Arial" w:hAnsi="Arial" w:cs="Arial"/>
        </w:rPr>
        <w:t>There was a significant difference in the manager’s commitment preferences from the responses, with 52.7% stating a preference to one-off one-hour sessions.  Despite this, it would be unwise to overlook the other strong preferences where 27.1% indicating a desire for any or all the options, 24.1% willing to attend 5 x 1-hour sessions, and 23% wanting a one-off one-day session.  With a varied response, it could indicate that there is a large difference between the availability and/or capacity of the managers across the Health Board.  As the questionnaires were completed anonymously, there is no way to look further into whether there are any trends or patterns with manager’s capacity across bandings, roles, services or counties.  It would have been interesting to understand if there were trends or patterns, which could have driven bespoke programmes to managers of a certain group; this is perhaps an aspect that can be researched in a follow up study.</w:t>
      </w:r>
    </w:p>
    <w:p w14:paraId="7867385B" w14:textId="77777777" w:rsidR="00E71AC0" w:rsidRDefault="00E71AC0">
      <w:pPr>
        <w:spacing w:line="360" w:lineRule="auto"/>
        <w:rPr>
          <w:rFonts w:ascii="Arial" w:hAnsi="Arial" w:cs="Arial"/>
        </w:rPr>
      </w:pPr>
    </w:p>
    <w:p w14:paraId="7867385C" w14:textId="77777777" w:rsidR="00E71AC0" w:rsidRDefault="00667FA1">
      <w:pPr>
        <w:keepNext/>
        <w:spacing w:line="360" w:lineRule="auto"/>
      </w:pPr>
      <w:r>
        <w:rPr>
          <w:noProof/>
        </w:rPr>
        <w:lastRenderedPageBreak/>
        <w:drawing>
          <wp:anchor distT="0" distB="0" distL="114300" distR="114300" simplePos="0" relativeHeight="251658240" behindDoc="0" locked="0" layoutInCell="1" allowOverlap="1" wp14:anchorId="786737BE" wp14:editId="786737BF">
            <wp:simplePos x="0" y="0"/>
            <wp:positionH relativeFrom="column">
              <wp:posOffset>0</wp:posOffset>
            </wp:positionH>
            <wp:positionV relativeFrom="paragraph">
              <wp:posOffset>0</wp:posOffset>
            </wp:positionV>
            <wp:extent cx="4563112" cy="2034540"/>
            <wp:effectExtent l="0" t="0" r="0" b="0"/>
            <wp:wrapThrough wrapText="bothSides">
              <wp:wrapPolygon edited="0">
                <wp:start x="0" y="0"/>
                <wp:lineTo x="0" y="21438"/>
                <wp:lineTo x="21552" y="21438"/>
                <wp:lineTo x="21552" y="0"/>
                <wp:lineTo x="0" y="0"/>
              </wp:wrapPolygon>
            </wp:wrapThrough>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7867385D" w14:textId="77777777" w:rsidR="00E71AC0" w:rsidRDefault="00667FA1">
      <w:pPr>
        <w:pStyle w:val="Caption"/>
      </w:pPr>
      <w:r>
        <w:t>Figure 1. Clustered bar representing the manager's commitment preferences in percentages.</w:t>
      </w:r>
    </w:p>
    <w:p w14:paraId="7867385E" w14:textId="77777777" w:rsidR="00E71AC0" w:rsidRDefault="00E71AC0">
      <w:pPr>
        <w:spacing w:line="360" w:lineRule="auto"/>
        <w:rPr>
          <w:rFonts w:ascii="Arial" w:hAnsi="Arial" w:cs="Arial"/>
        </w:rPr>
      </w:pPr>
    </w:p>
    <w:p w14:paraId="7867385F" w14:textId="77777777" w:rsidR="00E71AC0" w:rsidRDefault="00E71AC0">
      <w:pPr>
        <w:spacing w:line="360" w:lineRule="auto"/>
        <w:rPr>
          <w:rFonts w:ascii="Arial" w:hAnsi="Arial" w:cs="Arial"/>
        </w:rPr>
      </w:pPr>
    </w:p>
    <w:p w14:paraId="78673860" w14:textId="77777777" w:rsidR="00E71AC0" w:rsidRDefault="00E71AC0">
      <w:pPr>
        <w:spacing w:line="360" w:lineRule="auto"/>
        <w:rPr>
          <w:rFonts w:ascii="Arial" w:hAnsi="Arial" w:cs="Arial"/>
        </w:rPr>
      </w:pPr>
    </w:p>
    <w:p w14:paraId="78673861" w14:textId="77777777" w:rsidR="00E71AC0" w:rsidRDefault="00E71AC0">
      <w:pPr>
        <w:spacing w:line="360" w:lineRule="auto"/>
        <w:rPr>
          <w:rFonts w:ascii="Arial" w:hAnsi="Arial" w:cs="Arial"/>
        </w:rPr>
      </w:pPr>
    </w:p>
    <w:p w14:paraId="78673862" w14:textId="77777777" w:rsidR="00E71AC0" w:rsidRDefault="00E71AC0">
      <w:pPr>
        <w:spacing w:line="360" w:lineRule="auto"/>
        <w:rPr>
          <w:rFonts w:ascii="Arial" w:hAnsi="Arial" w:cs="Arial"/>
        </w:rPr>
      </w:pPr>
    </w:p>
    <w:p w14:paraId="78673863" w14:textId="424D2431" w:rsidR="00E71AC0" w:rsidRDefault="00667FA1">
      <w:pPr>
        <w:spacing w:line="360" w:lineRule="auto"/>
        <w:rPr>
          <w:rFonts w:ascii="Arial" w:hAnsi="Arial" w:cs="Arial"/>
        </w:rPr>
      </w:pPr>
      <w:r>
        <w:rPr>
          <w:rFonts w:ascii="Arial" w:hAnsi="Arial" w:cs="Arial"/>
        </w:rPr>
        <w:t xml:space="preserve">When asked around the commitment to training programmes, 25.2% said would be willing and/or able to attend for half a day at a time; however, only 14.5% of respondents said they were willing and/or able to commit to 3 half day sessions for a programme.  There was a significant drop in the percentage of those who were willing/able to attend by 10.7%; however, while there was a drop it would be important to find out why there was a drop, was it that the managers are unable to commit to this or is it that they do not want to commit to this. These distinction between these two differentials are important to understand. Similarly, 18.3% responded with a willingness/ability to attend a full day’s session; however, only 6.1% were willing/able to extend this to a 2 full day programme. A bigger decrease again, by 12.2%.  To understand the reason for the significant difference, it would need further research; however, with the anonymity of the responses, being able to question all the respondents is not achievable.  </w:t>
      </w:r>
      <w:r w:rsidR="00EA02E1">
        <w:rPr>
          <w:rFonts w:ascii="Arial" w:hAnsi="Arial" w:cs="Arial"/>
        </w:rPr>
        <w:t>In hindsight, the survey would have benefitted from asking about the banding</w:t>
      </w:r>
      <w:r w:rsidR="00345E63">
        <w:rPr>
          <w:rFonts w:ascii="Arial" w:hAnsi="Arial" w:cs="Arial"/>
        </w:rPr>
        <w:t xml:space="preserve"> of the respondents for further detail to be gained from the findings.</w:t>
      </w:r>
    </w:p>
    <w:p w14:paraId="78673864" w14:textId="77777777" w:rsidR="00E71AC0" w:rsidRDefault="00E71AC0">
      <w:pPr>
        <w:spacing w:line="360" w:lineRule="auto"/>
        <w:rPr>
          <w:rFonts w:ascii="Arial" w:hAnsi="Arial" w:cs="Arial"/>
        </w:rPr>
      </w:pPr>
    </w:p>
    <w:p w14:paraId="78673865" w14:textId="77777777" w:rsidR="00E71AC0" w:rsidRDefault="00667FA1">
      <w:pPr>
        <w:keepNext/>
        <w:spacing w:line="360" w:lineRule="auto"/>
      </w:pPr>
      <w:r>
        <w:rPr>
          <w:noProof/>
        </w:rPr>
        <w:lastRenderedPageBreak/>
        <w:drawing>
          <wp:anchor distT="0" distB="0" distL="114300" distR="114300" simplePos="0" relativeHeight="251659264" behindDoc="0" locked="0" layoutInCell="1" allowOverlap="1" wp14:anchorId="786737C0" wp14:editId="786737C1">
            <wp:simplePos x="0" y="0"/>
            <wp:positionH relativeFrom="column">
              <wp:posOffset>0</wp:posOffset>
            </wp:positionH>
            <wp:positionV relativeFrom="paragraph">
              <wp:posOffset>2542</wp:posOffset>
            </wp:positionV>
            <wp:extent cx="4572000" cy="2743200"/>
            <wp:effectExtent l="0" t="0" r="0" b="0"/>
            <wp:wrapThrough wrapText="bothSides">
              <wp:wrapPolygon edited="0">
                <wp:start x="0" y="0"/>
                <wp:lineTo x="0" y="21450"/>
                <wp:lineTo x="21510" y="21450"/>
                <wp:lineTo x="21510" y="0"/>
                <wp:lineTo x="0" y="0"/>
              </wp:wrapPolygon>
            </wp:wrapThrough>
            <wp:docPr id="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78673866" w14:textId="77777777" w:rsidR="00E71AC0" w:rsidRDefault="00667FA1">
      <w:pPr>
        <w:pStyle w:val="Caption"/>
      </w:pPr>
      <w:r>
        <w:t>Figure 2. Bar chart displaying the difference in Manager's training duration preferences against the commitment to attend multiple sessions</w:t>
      </w:r>
    </w:p>
    <w:p w14:paraId="78673867" w14:textId="77777777" w:rsidR="00E71AC0" w:rsidRDefault="00E71AC0">
      <w:pPr>
        <w:spacing w:line="360" w:lineRule="auto"/>
        <w:rPr>
          <w:rFonts w:ascii="Arial" w:hAnsi="Arial" w:cs="Arial"/>
        </w:rPr>
      </w:pPr>
    </w:p>
    <w:p w14:paraId="78673868" w14:textId="77777777" w:rsidR="00E71AC0" w:rsidRDefault="00E71AC0">
      <w:pPr>
        <w:spacing w:line="360" w:lineRule="auto"/>
        <w:rPr>
          <w:rFonts w:ascii="Arial" w:hAnsi="Arial" w:cs="Arial"/>
        </w:rPr>
      </w:pPr>
    </w:p>
    <w:p w14:paraId="78673869" w14:textId="77777777" w:rsidR="00E71AC0" w:rsidRDefault="00E71AC0">
      <w:pPr>
        <w:spacing w:line="360" w:lineRule="auto"/>
        <w:rPr>
          <w:rFonts w:ascii="Arial" w:hAnsi="Arial" w:cs="Arial"/>
        </w:rPr>
      </w:pPr>
    </w:p>
    <w:p w14:paraId="7867386A" w14:textId="77777777" w:rsidR="00E71AC0" w:rsidRDefault="00E71AC0">
      <w:pPr>
        <w:spacing w:line="360" w:lineRule="auto"/>
        <w:rPr>
          <w:rFonts w:ascii="Arial" w:hAnsi="Arial" w:cs="Arial"/>
        </w:rPr>
      </w:pPr>
    </w:p>
    <w:p w14:paraId="7867386B" w14:textId="77777777" w:rsidR="00E71AC0" w:rsidRDefault="00E71AC0">
      <w:pPr>
        <w:spacing w:line="360" w:lineRule="auto"/>
        <w:rPr>
          <w:rFonts w:ascii="Arial" w:hAnsi="Arial" w:cs="Arial"/>
        </w:rPr>
      </w:pPr>
    </w:p>
    <w:p w14:paraId="7867386C" w14:textId="77777777" w:rsidR="00E71AC0" w:rsidRDefault="00E71AC0">
      <w:pPr>
        <w:spacing w:line="360" w:lineRule="auto"/>
        <w:rPr>
          <w:rFonts w:ascii="Arial" w:hAnsi="Arial" w:cs="Arial"/>
        </w:rPr>
      </w:pPr>
    </w:p>
    <w:p w14:paraId="7867386D" w14:textId="77777777" w:rsidR="00E71AC0" w:rsidRDefault="00667FA1">
      <w:pPr>
        <w:spacing w:line="360" w:lineRule="auto"/>
      </w:pPr>
      <w:r>
        <w:rPr>
          <w:rFonts w:ascii="Arial" w:hAnsi="Arial" w:cs="Arial"/>
        </w:rPr>
        <w:t xml:space="preserve">247 of the 262 respondents preferred programmes with live content, either face to face, virtual, practical workshop, or a combination of all three.  This is a strong indication that the managers within the Health Board need training that is facilitated, where they are led through a programme. The reason for this is not known, there could be an assumption that it is due to a lack of confidence in the topic or in learning unaided; further investigation would be necessary to understand this. </w:t>
      </w:r>
    </w:p>
    <w:p w14:paraId="7867386E" w14:textId="77777777" w:rsidR="00E71AC0" w:rsidRDefault="00E71AC0">
      <w:pPr>
        <w:spacing w:line="360" w:lineRule="auto"/>
        <w:rPr>
          <w:rFonts w:ascii="Arial" w:hAnsi="Arial" w:cs="Arial"/>
        </w:rPr>
      </w:pPr>
    </w:p>
    <w:p w14:paraId="7867386F" w14:textId="77777777" w:rsidR="00E71AC0" w:rsidRDefault="00667FA1">
      <w:pPr>
        <w:keepNext/>
        <w:spacing w:line="360" w:lineRule="auto"/>
      </w:pPr>
      <w:r>
        <w:rPr>
          <w:noProof/>
        </w:rPr>
        <w:drawing>
          <wp:anchor distT="0" distB="0" distL="114300" distR="114300" simplePos="0" relativeHeight="251661312" behindDoc="0" locked="0" layoutInCell="1" allowOverlap="1" wp14:anchorId="786737C2" wp14:editId="786737C3">
            <wp:simplePos x="0" y="0"/>
            <wp:positionH relativeFrom="column">
              <wp:posOffset>0</wp:posOffset>
            </wp:positionH>
            <wp:positionV relativeFrom="paragraph">
              <wp:posOffset>0</wp:posOffset>
            </wp:positionV>
            <wp:extent cx="4705987" cy="2854327"/>
            <wp:effectExtent l="0" t="0" r="0" b="0"/>
            <wp:wrapThrough wrapText="bothSides">
              <wp:wrapPolygon edited="0">
                <wp:start x="0" y="0"/>
                <wp:lineTo x="0" y="21480"/>
                <wp:lineTo x="21597" y="21480"/>
                <wp:lineTo x="21597" y="0"/>
                <wp:lineTo x="0" y="0"/>
              </wp:wrapPolygon>
            </wp:wrapThrough>
            <wp:docPr id="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78673870" w14:textId="77777777" w:rsidR="00E71AC0" w:rsidRDefault="00667FA1">
      <w:pPr>
        <w:pStyle w:val="Caption"/>
      </w:pPr>
      <w:r>
        <w:t>Figure 3. Clustered bar chart demonstrating the responses of manager's format preferences in number and percentages.</w:t>
      </w:r>
    </w:p>
    <w:p w14:paraId="78673871" w14:textId="77777777" w:rsidR="00E71AC0" w:rsidRDefault="00E71AC0">
      <w:pPr>
        <w:spacing w:line="360" w:lineRule="auto"/>
        <w:rPr>
          <w:rFonts w:ascii="Arial" w:hAnsi="Arial" w:cs="Arial"/>
        </w:rPr>
      </w:pPr>
    </w:p>
    <w:p w14:paraId="78673872" w14:textId="77777777" w:rsidR="00E71AC0" w:rsidRDefault="00E71AC0">
      <w:pPr>
        <w:spacing w:line="360" w:lineRule="auto"/>
        <w:rPr>
          <w:rFonts w:ascii="Arial" w:hAnsi="Arial" w:cs="Arial"/>
        </w:rPr>
      </w:pPr>
    </w:p>
    <w:p w14:paraId="78673873" w14:textId="77777777" w:rsidR="00E71AC0" w:rsidRDefault="00E71AC0">
      <w:pPr>
        <w:spacing w:line="360" w:lineRule="auto"/>
        <w:rPr>
          <w:rFonts w:ascii="Arial" w:hAnsi="Arial" w:cs="Arial"/>
        </w:rPr>
      </w:pPr>
    </w:p>
    <w:p w14:paraId="78673874" w14:textId="77777777" w:rsidR="00E71AC0" w:rsidRDefault="00E71AC0">
      <w:pPr>
        <w:spacing w:line="360" w:lineRule="auto"/>
        <w:rPr>
          <w:rFonts w:ascii="Arial" w:hAnsi="Arial" w:cs="Arial"/>
        </w:rPr>
      </w:pPr>
    </w:p>
    <w:p w14:paraId="78673875" w14:textId="77777777" w:rsidR="00E71AC0" w:rsidRDefault="00E71AC0">
      <w:pPr>
        <w:spacing w:line="360" w:lineRule="auto"/>
        <w:rPr>
          <w:rFonts w:ascii="Arial" w:hAnsi="Arial" w:cs="Arial"/>
        </w:rPr>
      </w:pPr>
    </w:p>
    <w:p w14:paraId="78673876" w14:textId="77777777" w:rsidR="00E71AC0" w:rsidRDefault="00E71AC0">
      <w:pPr>
        <w:spacing w:line="360" w:lineRule="auto"/>
        <w:rPr>
          <w:rFonts w:ascii="Arial" w:hAnsi="Arial" w:cs="Arial"/>
        </w:rPr>
      </w:pPr>
    </w:p>
    <w:p w14:paraId="78673877" w14:textId="77777777" w:rsidR="00E71AC0" w:rsidRDefault="00E71AC0">
      <w:pPr>
        <w:spacing w:line="360" w:lineRule="auto"/>
        <w:rPr>
          <w:rFonts w:ascii="Arial" w:hAnsi="Arial" w:cs="Arial"/>
        </w:rPr>
      </w:pPr>
    </w:p>
    <w:p w14:paraId="78673878" w14:textId="77777777" w:rsidR="00E71AC0" w:rsidRDefault="00667FA1">
      <w:pPr>
        <w:spacing w:line="360" w:lineRule="auto"/>
        <w:rPr>
          <w:rFonts w:ascii="Arial" w:hAnsi="Arial" w:cs="Arial"/>
        </w:rPr>
      </w:pPr>
      <w:r>
        <w:rPr>
          <w:rFonts w:ascii="Arial" w:hAnsi="Arial" w:cs="Arial"/>
        </w:rPr>
        <w:t xml:space="preserve">Surprisingly the percentage of those that would like to see bitesize training, where learning takes place in short periods of time, is only an average 7.8%.  This is </w:t>
      </w:r>
      <w:r>
        <w:rPr>
          <w:rFonts w:ascii="Arial" w:hAnsi="Arial" w:cs="Arial"/>
        </w:rPr>
        <w:lastRenderedPageBreak/>
        <w:t>contrary to the thoughts, and despite the benefits, suggested by Seymour-Walsh et al. (2020a).  The preferred options for the training duration are 45 – 60 minutes (27%), 1 – 2 hours (26.7%), and half a day (25.2%).   To understand why this is would need to do further research, as it could be down to capacity, preferred learning time, or nature of the topic.</w:t>
      </w:r>
    </w:p>
    <w:p w14:paraId="78673879" w14:textId="77777777" w:rsidR="00E71AC0" w:rsidRDefault="00E71AC0">
      <w:pPr>
        <w:spacing w:line="360" w:lineRule="auto"/>
        <w:rPr>
          <w:rFonts w:ascii="Arial" w:hAnsi="Arial" w:cs="Arial"/>
        </w:rPr>
      </w:pPr>
    </w:p>
    <w:p w14:paraId="7867387A" w14:textId="77777777" w:rsidR="00E71AC0" w:rsidRDefault="00667FA1">
      <w:pPr>
        <w:keepNext/>
        <w:spacing w:line="360" w:lineRule="auto"/>
      </w:pPr>
      <w:r>
        <w:rPr>
          <w:noProof/>
        </w:rPr>
        <w:drawing>
          <wp:anchor distT="0" distB="0" distL="114300" distR="114300" simplePos="0" relativeHeight="251660288" behindDoc="0" locked="0" layoutInCell="1" allowOverlap="1" wp14:anchorId="786737C4" wp14:editId="786737C5">
            <wp:simplePos x="0" y="0"/>
            <wp:positionH relativeFrom="column">
              <wp:posOffset>0</wp:posOffset>
            </wp:positionH>
            <wp:positionV relativeFrom="paragraph">
              <wp:posOffset>0</wp:posOffset>
            </wp:positionV>
            <wp:extent cx="5024756" cy="2774947"/>
            <wp:effectExtent l="0" t="0" r="4444" b="6353"/>
            <wp:wrapThrough wrapText="bothSides">
              <wp:wrapPolygon edited="0">
                <wp:start x="0" y="0"/>
                <wp:lineTo x="0" y="21506"/>
                <wp:lineTo x="21537" y="21506"/>
                <wp:lineTo x="21537" y="0"/>
                <wp:lineTo x="0" y="0"/>
              </wp:wrapPolygon>
            </wp:wrapThrough>
            <wp:docPr id="9" name="Chart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024756" cy="2774947"/>
                    </a:xfrm>
                    <a:prstGeom prst="rect">
                      <a:avLst/>
                    </a:prstGeom>
                    <a:noFill/>
                    <a:ln>
                      <a:noFill/>
                      <a:prstDash/>
                    </a:ln>
                  </pic:spPr>
                </pic:pic>
              </a:graphicData>
            </a:graphic>
          </wp:anchor>
        </w:drawing>
      </w:r>
    </w:p>
    <w:p w14:paraId="7867387B" w14:textId="77777777" w:rsidR="00E71AC0" w:rsidRDefault="00E71AC0">
      <w:pPr>
        <w:pStyle w:val="Caption"/>
      </w:pPr>
    </w:p>
    <w:p w14:paraId="7867387C" w14:textId="77777777" w:rsidR="00E71AC0" w:rsidRDefault="00E71AC0">
      <w:pPr>
        <w:pStyle w:val="Caption"/>
      </w:pPr>
    </w:p>
    <w:p w14:paraId="7867387D" w14:textId="77777777" w:rsidR="00E71AC0" w:rsidRDefault="00E71AC0">
      <w:pPr>
        <w:pStyle w:val="Caption"/>
      </w:pPr>
    </w:p>
    <w:p w14:paraId="7867387E" w14:textId="77777777" w:rsidR="00E71AC0" w:rsidRDefault="00E71AC0">
      <w:pPr>
        <w:pStyle w:val="Caption"/>
      </w:pPr>
    </w:p>
    <w:p w14:paraId="7867387F" w14:textId="77777777" w:rsidR="00E71AC0" w:rsidRDefault="00E71AC0">
      <w:pPr>
        <w:pStyle w:val="Caption"/>
      </w:pPr>
    </w:p>
    <w:p w14:paraId="78673880" w14:textId="77777777" w:rsidR="00E71AC0" w:rsidRDefault="00E71AC0">
      <w:pPr>
        <w:pStyle w:val="Caption"/>
      </w:pPr>
    </w:p>
    <w:p w14:paraId="78673881" w14:textId="77777777" w:rsidR="00E71AC0" w:rsidRDefault="00E71AC0">
      <w:pPr>
        <w:pStyle w:val="Caption"/>
      </w:pPr>
    </w:p>
    <w:p w14:paraId="78673882" w14:textId="77777777" w:rsidR="00E71AC0" w:rsidRDefault="00E71AC0">
      <w:pPr>
        <w:pStyle w:val="Caption"/>
      </w:pPr>
    </w:p>
    <w:p w14:paraId="78673883" w14:textId="77777777" w:rsidR="00E71AC0" w:rsidRDefault="00E71AC0">
      <w:pPr>
        <w:pStyle w:val="Caption"/>
      </w:pPr>
    </w:p>
    <w:p w14:paraId="78673884" w14:textId="77777777" w:rsidR="00E71AC0" w:rsidRDefault="00E71AC0">
      <w:pPr>
        <w:pStyle w:val="Caption"/>
      </w:pPr>
    </w:p>
    <w:p w14:paraId="78673885" w14:textId="77777777" w:rsidR="00E71AC0" w:rsidRDefault="00667FA1">
      <w:pPr>
        <w:pStyle w:val="Caption"/>
      </w:pPr>
      <w:r>
        <w:t>Figure 4. Pareto chart demonstrating the percentage of manager's training duration preferences.</w:t>
      </w:r>
    </w:p>
    <w:p w14:paraId="78673886" w14:textId="77777777" w:rsidR="00E71AC0" w:rsidRDefault="00E71AC0">
      <w:pPr>
        <w:spacing w:line="360" w:lineRule="auto"/>
        <w:rPr>
          <w:rFonts w:ascii="Arial" w:hAnsi="Arial" w:cs="Arial"/>
          <w:u w:val="single"/>
        </w:rPr>
      </w:pPr>
    </w:p>
    <w:p w14:paraId="78673887" w14:textId="77777777" w:rsidR="00E71AC0" w:rsidRDefault="00667FA1">
      <w:pPr>
        <w:spacing w:line="360" w:lineRule="auto"/>
        <w:rPr>
          <w:rFonts w:ascii="Arial" w:hAnsi="Arial" w:cs="Arial"/>
        </w:rPr>
      </w:pPr>
      <w:r>
        <w:rPr>
          <w:rFonts w:ascii="Arial" w:hAnsi="Arial" w:cs="Arial"/>
        </w:rPr>
        <w:t xml:space="preserve">The number of managers who indicated a desire to learn about more than one of the workforce planning elements available was high, at 85% (222 out of 262 respondents).  This suggests that there is a lack of confidence in the application of the overall process.  The most popular elements desired were a practical application of workforce planning, service design, operational planning and strategic planning.  It would be interesting to understand the reason for wanting to learn more about these areas, is it because these are the perceived more important areas of workforce planning, is it that these are only ones the respondents understood the titles to, is it due to the actual strengths and weaknesses of managers, a mixture of these or something completely different. </w:t>
      </w:r>
    </w:p>
    <w:p w14:paraId="78673888" w14:textId="77777777" w:rsidR="00E71AC0" w:rsidRDefault="00E71AC0">
      <w:pPr>
        <w:spacing w:line="360" w:lineRule="auto"/>
        <w:rPr>
          <w:rFonts w:ascii="Arial" w:hAnsi="Arial" w:cs="Arial"/>
          <w:u w:val="single"/>
        </w:rPr>
      </w:pPr>
    </w:p>
    <w:tbl>
      <w:tblPr>
        <w:tblW w:w="8400" w:type="dxa"/>
        <w:tblInd w:w="113" w:type="dxa"/>
        <w:tblCellMar>
          <w:left w:w="10" w:type="dxa"/>
          <w:right w:w="10" w:type="dxa"/>
        </w:tblCellMar>
        <w:tblLook w:val="0000" w:firstRow="0" w:lastRow="0" w:firstColumn="0" w:lastColumn="0" w:noHBand="0" w:noVBand="0"/>
      </w:tblPr>
      <w:tblGrid>
        <w:gridCol w:w="5240"/>
        <w:gridCol w:w="3160"/>
      </w:tblGrid>
      <w:tr w:rsidR="00E71AC0" w14:paraId="7867388B" w14:textId="77777777">
        <w:trPr>
          <w:trHeight w:val="290"/>
        </w:trPr>
        <w:tc>
          <w:tcPr>
            <w:tcW w:w="5240" w:type="dxa"/>
            <w:tcBorders>
              <w:top w:val="single" w:sz="4" w:space="0" w:color="000000"/>
              <w:left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78673889" w14:textId="77777777" w:rsidR="00E71AC0" w:rsidRDefault="00667FA1">
            <w:pPr>
              <w:rPr>
                <w:rFonts w:ascii="Arial" w:hAnsi="Arial" w:cs="Arial"/>
                <w:color w:val="000000"/>
              </w:rPr>
            </w:pPr>
            <w:r>
              <w:rPr>
                <w:rFonts w:ascii="Arial" w:hAnsi="Arial" w:cs="Arial"/>
                <w:color w:val="000000"/>
              </w:rPr>
              <w:t>Elements</w:t>
            </w:r>
          </w:p>
        </w:tc>
        <w:tc>
          <w:tcPr>
            <w:tcW w:w="3160" w:type="dxa"/>
            <w:tcBorders>
              <w:top w:val="single" w:sz="4" w:space="0" w:color="000000"/>
              <w:bottom w:val="single" w:sz="4" w:space="0" w:color="000000"/>
              <w:right w:val="single" w:sz="4" w:space="0" w:color="000000"/>
            </w:tcBorders>
            <w:shd w:val="clear" w:color="auto" w:fill="D9D9D9"/>
            <w:noWrap/>
            <w:tcMar>
              <w:top w:w="0" w:type="dxa"/>
              <w:left w:w="108" w:type="dxa"/>
              <w:bottom w:w="0" w:type="dxa"/>
              <w:right w:w="108" w:type="dxa"/>
            </w:tcMar>
            <w:vAlign w:val="bottom"/>
          </w:tcPr>
          <w:p w14:paraId="7867388A" w14:textId="77777777" w:rsidR="00E71AC0" w:rsidRDefault="00667FA1">
            <w:pPr>
              <w:rPr>
                <w:rFonts w:ascii="Arial" w:hAnsi="Arial" w:cs="Arial"/>
                <w:color w:val="000000"/>
              </w:rPr>
            </w:pPr>
            <w:r>
              <w:rPr>
                <w:rFonts w:ascii="Arial" w:hAnsi="Arial" w:cs="Arial"/>
                <w:color w:val="000000"/>
              </w:rPr>
              <w:t>Number Desired Training</w:t>
            </w:r>
          </w:p>
        </w:tc>
      </w:tr>
      <w:tr w:rsidR="00E71AC0" w14:paraId="7867388E"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8C" w14:textId="77777777" w:rsidR="00E71AC0" w:rsidRDefault="00667FA1">
            <w:pPr>
              <w:rPr>
                <w:rFonts w:ascii="Arial" w:hAnsi="Arial" w:cs="Arial"/>
                <w:color w:val="000000"/>
              </w:rPr>
            </w:pPr>
            <w:r>
              <w:rPr>
                <w:rFonts w:ascii="Arial" w:hAnsi="Arial" w:cs="Arial"/>
                <w:color w:val="000000"/>
              </w:rPr>
              <w:t xml:space="preserve">All </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8D" w14:textId="77777777" w:rsidR="00E71AC0" w:rsidRDefault="00667FA1">
            <w:pPr>
              <w:jc w:val="right"/>
              <w:rPr>
                <w:rFonts w:ascii="Arial" w:hAnsi="Arial" w:cs="Arial"/>
                <w:color w:val="000000"/>
              </w:rPr>
            </w:pPr>
            <w:r>
              <w:rPr>
                <w:rFonts w:ascii="Arial" w:hAnsi="Arial" w:cs="Arial"/>
                <w:color w:val="000000"/>
              </w:rPr>
              <w:t>2</w:t>
            </w:r>
          </w:p>
        </w:tc>
      </w:tr>
      <w:tr w:rsidR="00E71AC0" w14:paraId="78673891"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8F" w14:textId="77777777" w:rsidR="00E71AC0" w:rsidRDefault="00667FA1">
            <w:pPr>
              <w:rPr>
                <w:rFonts w:ascii="Arial" w:hAnsi="Arial" w:cs="Arial"/>
                <w:color w:val="000000"/>
              </w:rPr>
            </w:pPr>
            <w:r>
              <w:rPr>
                <w:rFonts w:ascii="Arial" w:hAnsi="Arial" w:cs="Arial"/>
                <w:color w:val="000000"/>
              </w:rPr>
              <w:t>None</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0" w14:textId="77777777" w:rsidR="00E71AC0" w:rsidRDefault="00667FA1">
            <w:pPr>
              <w:jc w:val="right"/>
              <w:rPr>
                <w:rFonts w:ascii="Arial" w:hAnsi="Arial" w:cs="Arial"/>
                <w:color w:val="000000"/>
              </w:rPr>
            </w:pPr>
            <w:r>
              <w:rPr>
                <w:rFonts w:ascii="Arial" w:hAnsi="Arial" w:cs="Arial"/>
                <w:color w:val="000000"/>
              </w:rPr>
              <w:t>3</w:t>
            </w:r>
          </w:p>
        </w:tc>
      </w:tr>
      <w:tr w:rsidR="00E71AC0" w14:paraId="78673894"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2" w14:textId="77777777" w:rsidR="00E71AC0" w:rsidRDefault="00667FA1">
            <w:pPr>
              <w:rPr>
                <w:rFonts w:ascii="Arial" w:hAnsi="Arial" w:cs="Arial"/>
                <w:color w:val="000000"/>
              </w:rPr>
            </w:pPr>
            <w:r>
              <w:rPr>
                <w:rFonts w:ascii="Arial" w:hAnsi="Arial" w:cs="Arial"/>
                <w:color w:val="000000"/>
              </w:rPr>
              <w:t>Other</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3" w14:textId="77777777" w:rsidR="00E71AC0" w:rsidRDefault="00667FA1">
            <w:pPr>
              <w:jc w:val="right"/>
              <w:rPr>
                <w:rFonts w:ascii="Arial" w:hAnsi="Arial" w:cs="Arial"/>
                <w:color w:val="000000"/>
              </w:rPr>
            </w:pPr>
            <w:r>
              <w:rPr>
                <w:rFonts w:ascii="Arial" w:hAnsi="Arial" w:cs="Arial"/>
                <w:color w:val="000000"/>
              </w:rPr>
              <w:t>20</w:t>
            </w:r>
          </w:p>
        </w:tc>
      </w:tr>
      <w:tr w:rsidR="00E71AC0" w14:paraId="78673897"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5" w14:textId="77777777" w:rsidR="00E71AC0" w:rsidRDefault="00667FA1">
            <w:pPr>
              <w:rPr>
                <w:rFonts w:ascii="Arial" w:hAnsi="Arial" w:cs="Arial"/>
                <w:color w:val="000000"/>
              </w:rPr>
            </w:pPr>
            <w:r>
              <w:rPr>
                <w:rFonts w:ascii="Arial" w:hAnsi="Arial" w:cs="Arial"/>
                <w:color w:val="000000"/>
              </w:rPr>
              <w:lastRenderedPageBreak/>
              <w:t>Horizon Scanning</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6" w14:textId="77777777" w:rsidR="00E71AC0" w:rsidRDefault="00667FA1">
            <w:pPr>
              <w:jc w:val="right"/>
              <w:rPr>
                <w:rFonts w:ascii="Arial" w:hAnsi="Arial" w:cs="Arial"/>
                <w:color w:val="000000"/>
              </w:rPr>
            </w:pPr>
            <w:r>
              <w:rPr>
                <w:rFonts w:ascii="Arial" w:hAnsi="Arial" w:cs="Arial"/>
                <w:color w:val="000000"/>
              </w:rPr>
              <w:t>49</w:t>
            </w:r>
          </w:p>
        </w:tc>
      </w:tr>
      <w:tr w:rsidR="00E71AC0" w14:paraId="7867389A"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8" w14:textId="77777777" w:rsidR="00E71AC0" w:rsidRDefault="00667FA1">
            <w:pPr>
              <w:rPr>
                <w:rFonts w:ascii="Arial" w:hAnsi="Arial" w:cs="Arial"/>
                <w:color w:val="000000"/>
              </w:rPr>
            </w:pPr>
            <w:r>
              <w:rPr>
                <w:rFonts w:ascii="Arial" w:hAnsi="Arial" w:cs="Arial"/>
                <w:color w:val="000000"/>
              </w:rPr>
              <w:t>Understanding the IMTP/EC Processes</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9" w14:textId="77777777" w:rsidR="00E71AC0" w:rsidRDefault="00667FA1">
            <w:pPr>
              <w:jc w:val="right"/>
              <w:rPr>
                <w:rFonts w:ascii="Arial" w:hAnsi="Arial" w:cs="Arial"/>
                <w:color w:val="000000"/>
              </w:rPr>
            </w:pPr>
            <w:r>
              <w:rPr>
                <w:rFonts w:ascii="Arial" w:hAnsi="Arial" w:cs="Arial"/>
                <w:color w:val="000000"/>
              </w:rPr>
              <w:t>65</w:t>
            </w:r>
          </w:p>
        </w:tc>
      </w:tr>
      <w:tr w:rsidR="00E71AC0" w14:paraId="7867389D"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B" w14:textId="77777777" w:rsidR="00E71AC0" w:rsidRDefault="00667FA1">
            <w:pPr>
              <w:rPr>
                <w:rFonts w:ascii="Arial" w:hAnsi="Arial" w:cs="Arial"/>
                <w:color w:val="000000"/>
              </w:rPr>
            </w:pPr>
            <w:r>
              <w:rPr>
                <w:rFonts w:ascii="Arial" w:hAnsi="Arial" w:cs="Arial"/>
                <w:color w:val="000000"/>
              </w:rPr>
              <w:t>Methodology</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C" w14:textId="77777777" w:rsidR="00E71AC0" w:rsidRDefault="00667FA1">
            <w:pPr>
              <w:jc w:val="right"/>
              <w:rPr>
                <w:rFonts w:ascii="Arial" w:hAnsi="Arial" w:cs="Arial"/>
                <w:color w:val="000000"/>
              </w:rPr>
            </w:pPr>
            <w:r>
              <w:rPr>
                <w:rFonts w:ascii="Arial" w:hAnsi="Arial" w:cs="Arial"/>
                <w:color w:val="000000"/>
              </w:rPr>
              <w:t>75</w:t>
            </w:r>
          </w:p>
        </w:tc>
      </w:tr>
      <w:tr w:rsidR="00E71AC0" w14:paraId="786738A0"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E" w14:textId="77777777" w:rsidR="00E71AC0" w:rsidRDefault="00667FA1">
            <w:pPr>
              <w:rPr>
                <w:rFonts w:ascii="Arial" w:hAnsi="Arial" w:cs="Arial"/>
                <w:color w:val="000000"/>
              </w:rPr>
            </w:pPr>
            <w:r>
              <w:rPr>
                <w:rFonts w:ascii="Arial" w:hAnsi="Arial" w:cs="Arial"/>
                <w:color w:val="000000"/>
              </w:rPr>
              <w:t>Workforce Data Modelling</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9F" w14:textId="77777777" w:rsidR="00E71AC0" w:rsidRDefault="00667FA1">
            <w:pPr>
              <w:jc w:val="right"/>
              <w:rPr>
                <w:rFonts w:ascii="Arial" w:hAnsi="Arial" w:cs="Arial"/>
                <w:color w:val="000000"/>
              </w:rPr>
            </w:pPr>
            <w:r>
              <w:rPr>
                <w:rFonts w:ascii="Arial" w:hAnsi="Arial" w:cs="Arial"/>
                <w:color w:val="000000"/>
              </w:rPr>
              <w:t>78</w:t>
            </w:r>
          </w:p>
        </w:tc>
      </w:tr>
      <w:tr w:rsidR="00E71AC0" w14:paraId="786738A3"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1" w14:textId="77777777" w:rsidR="00E71AC0" w:rsidRDefault="00667FA1">
            <w:pPr>
              <w:rPr>
                <w:rFonts w:ascii="Arial" w:hAnsi="Arial" w:cs="Arial"/>
                <w:color w:val="000000"/>
              </w:rPr>
            </w:pPr>
            <w:r>
              <w:rPr>
                <w:rFonts w:ascii="Arial" w:hAnsi="Arial" w:cs="Arial"/>
                <w:color w:val="000000"/>
              </w:rPr>
              <w:t>Future Workforce Projections</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2" w14:textId="77777777" w:rsidR="00E71AC0" w:rsidRDefault="00667FA1">
            <w:pPr>
              <w:jc w:val="right"/>
              <w:rPr>
                <w:rFonts w:ascii="Arial" w:hAnsi="Arial" w:cs="Arial"/>
                <w:color w:val="000000"/>
              </w:rPr>
            </w:pPr>
            <w:r>
              <w:rPr>
                <w:rFonts w:ascii="Arial" w:hAnsi="Arial" w:cs="Arial"/>
                <w:color w:val="000000"/>
              </w:rPr>
              <w:t>100</w:t>
            </w:r>
          </w:p>
        </w:tc>
      </w:tr>
      <w:tr w:rsidR="00E71AC0" w14:paraId="786738A6"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4" w14:textId="77777777" w:rsidR="00E71AC0" w:rsidRDefault="00667FA1">
            <w:pPr>
              <w:rPr>
                <w:rFonts w:ascii="Arial" w:hAnsi="Arial" w:cs="Arial"/>
                <w:color w:val="000000"/>
              </w:rPr>
            </w:pPr>
            <w:r>
              <w:rPr>
                <w:rFonts w:ascii="Arial" w:hAnsi="Arial" w:cs="Arial"/>
                <w:color w:val="000000"/>
              </w:rPr>
              <w:t>Workforce Planning Documents &amp; Resources</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5" w14:textId="77777777" w:rsidR="00E71AC0" w:rsidRDefault="00667FA1">
            <w:pPr>
              <w:jc w:val="right"/>
              <w:rPr>
                <w:rFonts w:ascii="Arial" w:hAnsi="Arial" w:cs="Arial"/>
                <w:color w:val="000000"/>
              </w:rPr>
            </w:pPr>
            <w:r>
              <w:rPr>
                <w:rFonts w:ascii="Arial" w:hAnsi="Arial" w:cs="Arial"/>
                <w:color w:val="000000"/>
              </w:rPr>
              <w:t>101</w:t>
            </w:r>
          </w:p>
        </w:tc>
      </w:tr>
      <w:tr w:rsidR="00E71AC0" w14:paraId="786738A9"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7" w14:textId="77777777" w:rsidR="00E71AC0" w:rsidRDefault="00667FA1">
            <w:pPr>
              <w:rPr>
                <w:rFonts w:ascii="Arial" w:hAnsi="Arial" w:cs="Arial"/>
                <w:color w:val="000000"/>
              </w:rPr>
            </w:pPr>
            <w:r>
              <w:rPr>
                <w:rFonts w:ascii="Arial" w:hAnsi="Arial" w:cs="Arial"/>
                <w:color w:val="000000"/>
              </w:rPr>
              <w:t>Role Design/Redesign</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8" w14:textId="77777777" w:rsidR="00E71AC0" w:rsidRDefault="00667FA1">
            <w:pPr>
              <w:jc w:val="right"/>
              <w:rPr>
                <w:rFonts w:ascii="Arial" w:hAnsi="Arial" w:cs="Arial"/>
                <w:color w:val="000000"/>
              </w:rPr>
            </w:pPr>
            <w:r>
              <w:rPr>
                <w:rFonts w:ascii="Arial" w:hAnsi="Arial" w:cs="Arial"/>
                <w:color w:val="000000"/>
              </w:rPr>
              <w:t>111</w:t>
            </w:r>
          </w:p>
        </w:tc>
      </w:tr>
      <w:tr w:rsidR="00E71AC0" w14:paraId="786738AC"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A" w14:textId="77777777" w:rsidR="00E71AC0" w:rsidRDefault="00667FA1">
            <w:pPr>
              <w:rPr>
                <w:rFonts w:ascii="Arial" w:hAnsi="Arial" w:cs="Arial"/>
                <w:color w:val="000000"/>
              </w:rPr>
            </w:pPr>
            <w:r>
              <w:rPr>
                <w:rFonts w:ascii="Arial" w:hAnsi="Arial" w:cs="Arial"/>
                <w:color w:val="000000"/>
              </w:rPr>
              <w:t>Strategic Planning</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B" w14:textId="77777777" w:rsidR="00E71AC0" w:rsidRDefault="00667FA1">
            <w:pPr>
              <w:jc w:val="right"/>
              <w:rPr>
                <w:rFonts w:ascii="Arial" w:hAnsi="Arial" w:cs="Arial"/>
                <w:color w:val="000000"/>
              </w:rPr>
            </w:pPr>
            <w:r>
              <w:rPr>
                <w:rFonts w:ascii="Arial" w:hAnsi="Arial" w:cs="Arial"/>
                <w:color w:val="000000"/>
              </w:rPr>
              <w:t>118</w:t>
            </w:r>
          </w:p>
        </w:tc>
      </w:tr>
      <w:tr w:rsidR="00E71AC0" w14:paraId="786738AF"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D" w14:textId="77777777" w:rsidR="00E71AC0" w:rsidRDefault="00667FA1">
            <w:pPr>
              <w:rPr>
                <w:rFonts w:ascii="Arial" w:hAnsi="Arial" w:cs="Arial"/>
                <w:color w:val="000000"/>
              </w:rPr>
            </w:pPr>
            <w:r>
              <w:rPr>
                <w:rFonts w:ascii="Arial" w:hAnsi="Arial" w:cs="Arial"/>
                <w:color w:val="000000"/>
              </w:rPr>
              <w:t>Operational Planning</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AE" w14:textId="77777777" w:rsidR="00E71AC0" w:rsidRDefault="00667FA1">
            <w:pPr>
              <w:jc w:val="right"/>
              <w:rPr>
                <w:rFonts w:ascii="Arial" w:hAnsi="Arial" w:cs="Arial"/>
                <w:color w:val="000000"/>
              </w:rPr>
            </w:pPr>
            <w:r>
              <w:rPr>
                <w:rFonts w:ascii="Arial" w:hAnsi="Arial" w:cs="Arial"/>
                <w:color w:val="000000"/>
              </w:rPr>
              <w:t>132</w:t>
            </w:r>
          </w:p>
        </w:tc>
      </w:tr>
      <w:tr w:rsidR="00E71AC0" w14:paraId="786738B2"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B0" w14:textId="77777777" w:rsidR="00E71AC0" w:rsidRDefault="00667FA1">
            <w:pPr>
              <w:rPr>
                <w:rFonts w:ascii="Arial" w:hAnsi="Arial" w:cs="Arial"/>
                <w:color w:val="000000"/>
              </w:rPr>
            </w:pPr>
            <w:r>
              <w:rPr>
                <w:rFonts w:ascii="Arial" w:hAnsi="Arial" w:cs="Arial"/>
                <w:color w:val="000000"/>
              </w:rPr>
              <w:t>Organisation / Service Design</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B1" w14:textId="77777777" w:rsidR="00E71AC0" w:rsidRDefault="00667FA1">
            <w:pPr>
              <w:jc w:val="right"/>
              <w:rPr>
                <w:rFonts w:ascii="Arial" w:hAnsi="Arial" w:cs="Arial"/>
                <w:color w:val="000000"/>
              </w:rPr>
            </w:pPr>
            <w:r>
              <w:rPr>
                <w:rFonts w:ascii="Arial" w:hAnsi="Arial" w:cs="Arial"/>
                <w:color w:val="000000"/>
              </w:rPr>
              <w:t>140</w:t>
            </w:r>
          </w:p>
        </w:tc>
      </w:tr>
      <w:tr w:rsidR="00E71AC0" w14:paraId="786738B5" w14:textId="77777777">
        <w:trPr>
          <w:trHeight w:val="290"/>
        </w:trPr>
        <w:tc>
          <w:tcPr>
            <w:tcW w:w="5240" w:type="dxa"/>
            <w:tcBorders>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B3" w14:textId="77777777" w:rsidR="00E71AC0" w:rsidRDefault="00667FA1">
            <w:pPr>
              <w:rPr>
                <w:rFonts w:ascii="Arial" w:hAnsi="Arial" w:cs="Arial"/>
                <w:color w:val="000000"/>
              </w:rPr>
            </w:pPr>
            <w:r>
              <w:rPr>
                <w:rFonts w:ascii="Arial" w:hAnsi="Arial" w:cs="Arial"/>
                <w:color w:val="000000"/>
              </w:rPr>
              <w:t>Practical Application of Workforce Planning in your Service</w:t>
            </w:r>
          </w:p>
        </w:tc>
        <w:tc>
          <w:tcPr>
            <w:tcW w:w="3160" w:type="dxa"/>
            <w:tcBorders>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6738B4" w14:textId="77777777" w:rsidR="00E71AC0" w:rsidRDefault="00667FA1">
            <w:pPr>
              <w:jc w:val="right"/>
              <w:rPr>
                <w:rFonts w:ascii="Arial" w:hAnsi="Arial" w:cs="Arial"/>
                <w:color w:val="000000"/>
              </w:rPr>
            </w:pPr>
            <w:r>
              <w:rPr>
                <w:rFonts w:ascii="Arial" w:hAnsi="Arial" w:cs="Arial"/>
                <w:color w:val="000000"/>
              </w:rPr>
              <w:t>155</w:t>
            </w:r>
          </w:p>
        </w:tc>
      </w:tr>
    </w:tbl>
    <w:p w14:paraId="786738B6" w14:textId="77777777" w:rsidR="00E71AC0" w:rsidRDefault="00667FA1">
      <w:pPr>
        <w:pStyle w:val="Caption"/>
      </w:pPr>
      <w:r>
        <w:t>Figure 5. Table showing the number of workforce planning training elements requested by managers in an increasing order.</w:t>
      </w:r>
    </w:p>
    <w:p w14:paraId="786738B7" w14:textId="77777777" w:rsidR="00E71AC0" w:rsidRDefault="00E71AC0">
      <w:pPr>
        <w:spacing w:line="360" w:lineRule="auto"/>
        <w:rPr>
          <w:rFonts w:ascii="Arial" w:hAnsi="Arial" w:cs="Arial"/>
          <w:u w:val="single"/>
        </w:rPr>
      </w:pPr>
    </w:p>
    <w:p w14:paraId="786738B8" w14:textId="03DA30AE" w:rsidR="00E71AC0" w:rsidRDefault="00667FA1">
      <w:pPr>
        <w:spacing w:line="360" w:lineRule="auto"/>
        <w:rPr>
          <w:rFonts w:ascii="Arial" w:hAnsi="Arial" w:cs="Arial"/>
        </w:rPr>
      </w:pPr>
      <w:r>
        <w:rPr>
          <w:rFonts w:ascii="Arial" w:hAnsi="Arial" w:cs="Arial"/>
        </w:rPr>
        <w:t>Of those that indicated the desire for one element only, which were 29 managers, 25 specified this element was the practical application of workforce planning within their service.  These managers potentially already have a basic theoretical knowledge of workforce planning and would just like to understand how they apply this in practice; however, there is a possibility that some, or all, do not have any knowledge but are more kinaesthetic in their learning preferences and need the practical application to help them understand and learn (</w:t>
      </w:r>
      <w:r w:rsidR="00562AC1">
        <w:rPr>
          <w:rFonts w:ascii="Arial" w:hAnsi="Arial" w:cs="Arial"/>
        </w:rPr>
        <w:t>Marcy, 2001</w:t>
      </w:r>
      <w:r>
        <w:rPr>
          <w:rFonts w:ascii="Arial" w:hAnsi="Arial" w:cs="Arial"/>
        </w:rPr>
        <w:t xml:space="preserve">). </w:t>
      </w:r>
    </w:p>
    <w:p w14:paraId="786738B9" w14:textId="1D220CAA" w:rsidR="00E71AC0" w:rsidRDefault="00667FA1">
      <w:pPr>
        <w:spacing w:line="360" w:lineRule="auto"/>
        <w:rPr>
          <w:rFonts w:ascii="Arial" w:hAnsi="Arial" w:cs="Arial"/>
        </w:rPr>
      </w:pPr>
      <w:r>
        <w:rPr>
          <w:rFonts w:ascii="Arial" w:hAnsi="Arial" w:cs="Arial"/>
        </w:rPr>
        <w:t xml:space="preserve">Coupled with the results indicating that a practical application </w:t>
      </w:r>
      <w:r w:rsidRPr="00EF49E7">
        <w:rPr>
          <w:rFonts w:ascii="Arial" w:hAnsi="Arial" w:cs="Arial"/>
        </w:rPr>
        <w:t>of workforce planning</w:t>
      </w:r>
      <w:r>
        <w:rPr>
          <w:rFonts w:ascii="Arial" w:hAnsi="Arial" w:cs="Arial"/>
        </w:rPr>
        <w:t xml:space="preserve"> in the service was the most popular element, it would be prudent to prioritise this desire when designing and developing future training.</w:t>
      </w:r>
    </w:p>
    <w:p w14:paraId="786738BA" w14:textId="77777777" w:rsidR="00E71AC0" w:rsidRDefault="00E71AC0">
      <w:pPr>
        <w:spacing w:line="360" w:lineRule="auto"/>
        <w:rPr>
          <w:rFonts w:ascii="Arial" w:hAnsi="Arial" w:cs="Arial"/>
        </w:rPr>
      </w:pPr>
    </w:p>
    <w:p w14:paraId="786738BB" w14:textId="77777777" w:rsidR="00E71AC0" w:rsidRDefault="00667FA1">
      <w:pPr>
        <w:spacing w:line="360" w:lineRule="auto"/>
      </w:pPr>
      <w:r>
        <w:rPr>
          <w:noProof/>
        </w:rPr>
        <w:drawing>
          <wp:anchor distT="0" distB="0" distL="114300" distR="114300" simplePos="0" relativeHeight="251662336" behindDoc="0" locked="0" layoutInCell="1" allowOverlap="1" wp14:anchorId="786737C6" wp14:editId="786737C7">
            <wp:simplePos x="0" y="0"/>
            <wp:positionH relativeFrom="column">
              <wp:posOffset>0</wp:posOffset>
            </wp:positionH>
            <wp:positionV relativeFrom="paragraph">
              <wp:posOffset>-1271</wp:posOffset>
            </wp:positionV>
            <wp:extent cx="4572000" cy="2885444"/>
            <wp:effectExtent l="0" t="0" r="0" b="0"/>
            <wp:wrapThrough wrapText="bothSides">
              <wp:wrapPolygon edited="0">
                <wp:start x="0" y="0"/>
                <wp:lineTo x="0" y="21533"/>
                <wp:lineTo x="21510" y="21533"/>
                <wp:lineTo x="21510" y="0"/>
                <wp:lineTo x="0" y="0"/>
              </wp:wrapPolygon>
            </wp:wrapThrough>
            <wp:docPr id="10"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786738BC" w14:textId="77777777" w:rsidR="00E71AC0" w:rsidRDefault="00667FA1">
      <w:pPr>
        <w:pStyle w:val="Caption"/>
      </w:pPr>
      <w:r>
        <w:t>Figure 6. Pie chart the content of the single training element requested.</w:t>
      </w:r>
    </w:p>
    <w:p w14:paraId="786738BD" w14:textId="77777777" w:rsidR="00E71AC0" w:rsidRDefault="00E71AC0">
      <w:pPr>
        <w:spacing w:line="360" w:lineRule="auto"/>
        <w:rPr>
          <w:rFonts w:ascii="Arial" w:hAnsi="Arial" w:cs="Arial"/>
        </w:rPr>
      </w:pPr>
    </w:p>
    <w:p w14:paraId="786738BE" w14:textId="77777777" w:rsidR="00E71AC0" w:rsidRDefault="00E71AC0">
      <w:pPr>
        <w:spacing w:line="360" w:lineRule="auto"/>
        <w:rPr>
          <w:rFonts w:ascii="Arial" w:hAnsi="Arial" w:cs="Arial"/>
        </w:rPr>
      </w:pPr>
    </w:p>
    <w:p w14:paraId="786738BF" w14:textId="77777777" w:rsidR="00E71AC0" w:rsidRDefault="00E71AC0">
      <w:pPr>
        <w:spacing w:line="360" w:lineRule="auto"/>
        <w:rPr>
          <w:rFonts w:ascii="Arial" w:hAnsi="Arial" w:cs="Arial"/>
        </w:rPr>
      </w:pPr>
    </w:p>
    <w:p w14:paraId="786738C0" w14:textId="77777777" w:rsidR="00E71AC0" w:rsidRDefault="00E71AC0">
      <w:pPr>
        <w:spacing w:line="360" w:lineRule="auto"/>
        <w:rPr>
          <w:rFonts w:ascii="Arial" w:hAnsi="Arial" w:cs="Arial"/>
        </w:rPr>
      </w:pPr>
    </w:p>
    <w:p w14:paraId="786738C1" w14:textId="77777777" w:rsidR="00E71AC0" w:rsidRDefault="00E71AC0">
      <w:pPr>
        <w:spacing w:line="360" w:lineRule="auto"/>
        <w:rPr>
          <w:rFonts w:ascii="Arial" w:hAnsi="Arial" w:cs="Arial"/>
        </w:rPr>
      </w:pPr>
    </w:p>
    <w:p w14:paraId="786738C2" w14:textId="77777777" w:rsidR="00E71AC0" w:rsidRDefault="00E71AC0">
      <w:pPr>
        <w:spacing w:line="360" w:lineRule="auto"/>
        <w:rPr>
          <w:rFonts w:ascii="Arial" w:hAnsi="Arial" w:cs="Arial"/>
        </w:rPr>
      </w:pPr>
    </w:p>
    <w:p w14:paraId="786738C3" w14:textId="77777777" w:rsidR="00E71AC0" w:rsidRDefault="00E71AC0">
      <w:pPr>
        <w:spacing w:line="360" w:lineRule="auto"/>
        <w:rPr>
          <w:rFonts w:ascii="Arial" w:hAnsi="Arial" w:cs="Arial"/>
        </w:rPr>
      </w:pPr>
    </w:p>
    <w:p w14:paraId="786738C4" w14:textId="77777777" w:rsidR="00E71AC0" w:rsidRDefault="00E71AC0">
      <w:pPr>
        <w:spacing w:line="360" w:lineRule="auto"/>
        <w:rPr>
          <w:rFonts w:ascii="Arial" w:hAnsi="Arial" w:cs="Arial"/>
        </w:rPr>
      </w:pPr>
    </w:p>
    <w:p w14:paraId="786738C5" w14:textId="77777777" w:rsidR="00E71AC0" w:rsidRDefault="00E71AC0">
      <w:pPr>
        <w:spacing w:line="360" w:lineRule="auto"/>
        <w:rPr>
          <w:rFonts w:ascii="Arial" w:hAnsi="Arial" w:cs="Arial"/>
        </w:rPr>
      </w:pPr>
    </w:p>
    <w:p w14:paraId="786738C6" w14:textId="77777777" w:rsidR="00E71AC0" w:rsidRDefault="00667FA1">
      <w:pPr>
        <w:spacing w:line="360" w:lineRule="auto"/>
        <w:rPr>
          <w:rFonts w:ascii="Arial" w:hAnsi="Arial" w:cs="Arial"/>
        </w:rPr>
      </w:pPr>
      <w:r>
        <w:rPr>
          <w:rFonts w:ascii="Arial" w:hAnsi="Arial" w:cs="Arial"/>
        </w:rPr>
        <w:t>There appeared some inconsistencies in the responses of some managers between their declared preference to the duration and their commitment.  One manager states a preference for training lasting 5 to 15 minutes, then responded with a preference to only committing to a one full day session.  Another manager indicates a preference for training that lasts half a day, whilst going on to mark only willing to commit to either a one-off one-hour session or a one-off one-day session.  Responses such as these make it difficult to understand the availability and capacity of managers to attend training and may hinder the design and development of appropriate fit-for-purpose sessions specifically for these managers.</w:t>
      </w:r>
    </w:p>
    <w:p w14:paraId="786738C7" w14:textId="77777777" w:rsidR="00E71AC0" w:rsidRDefault="00E71AC0">
      <w:pPr>
        <w:spacing w:line="360" w:lineRule="auto"/>
        <w:rPr>
          <w:rFonts w:ascii="Arial" w:hAnsi="Arial" w:cs="Arial"/>
        </w:rPr>
      </w:pPr>
    </w:p>
    <w:p w14:paraId="786738C8" w14:textId="77777777" w:rsidR="00E71AC0" w:rsidRDefault="00667FA1">
      <w:pPr>
        <w:spacing w:line="360" w:lineRule="auto"/>
        <w:rPr>
          <w:rFonts w:ascii="Arial" w:hAnsi="Arial" w:cs="Arial"/>
        </w:rPr>
      </w:pPr>
      <w:r>
        <w:rPr>
          <w:rFonts w:ascii="Arial" w:hAnsi="Arial" w:cs="Arial"/>
        </w:rPr>
        <w:t xml:space="preserve">Of the 222 that wanted training on multiple elements, 215 wanted them delivered live in various formats, with 74% happy with live delivery in a virtual environment, 56% content with face to face, and 41% a practical workshop.  This suggests that either managers would prefer a more detailed explanation to the theory and application of the workforce elements from a specialist rather than being left to understand and apply independently or would prefer the opportunity to be able to ask questions if unclear as learning was taking place, or a mixture of the two. </w:t>
      </w:r>
    </w:p>
    <w:p w14:paraId="786738C9" w14:textId="77777777" w:rsidR="00E71AC0" w:rsidRDefault="00E71AC0">
      <w:pPr>
        <w:spacing w:line="360" w:lineRule="auto"/>
        <w:rPr>
          <w:rFonts w:ascii="Arial" w:hAnsi="Arial" w:cs="Arial"/>
          <w:sz w:val="28"/>
          <w:szCs w:val="28"/>
        </w:rPr>
      </w:pPr>
    </w:p>
    <w:tbl>
      <w:tblPr>
        <w:tblW w:w="5692" w:type="dxa"/>
        <w:tblInd w:w="113" w:type="dxa"/>
        <w:tblCellMar>
          <w:left w:w="10" w:type="dxa"/>
          <w:right w:w="10" w:type="dxa"/>
        </w:tblCellMar>
        <w:tblLook w:val="0000" w:firstRow="0" w:lastRow="0" w:firstColumn="0" w:lastColumn="0" w:noHBand="0" w:noVBand="0"/>
      </w:tblPr>
      <w:tblGrid>
        <w:gridCol w:w="2830"/>
        <w:gridCol w:w="1418"/>
        <w:gridCol w:w="1444"/>
      </w:tblGrid>
      <w:tr w:rsidR="00E71AC0" w14:paraId="786738CD" w14:textId="77777777">
        <w:trPr>
          <w:trHeight w:val="397"/>
        </w:trPr>
        <w:tc>
          <w:tcPr>
            <w:tcW w:w="2830" w:type="dxa"/>
            <w:tcBorders>
              <w:bottom w:val="single" w:sz="12" w:space="0" w:color="000000"/>
              <w:right w:val="single" w:sz="12" w:space="0" w:color="000000"/>
            </w:tcBorders>
            <w:shd w:val="clear" w:color="auto" w:fill="auto"/>
            <w:noWrap/>
            <w:tcMar>
              <w:top w:w="0" w:type="dxa"/>
              <w:left w:w="108" w:type="dxa"/>
              <w:bottom w:w="0" w:type="dxa"/>
              <w:right w:w="108" w:type="dxa"/>
            </w:tcMar>
            <w:vAlign w:val="center"/>
          </w:tcPr>
          <w:p w14:paraId="786738CA" w14:textId="77777777" w:rsidR="00E71AC0" w:rsidRDefault="00E71AC0">
            <w:pPr>
              <w:rPr>
                <w:rFonts w:ascii="Arial" w:hAnsi="Arial" w:cs="Arial"/>
                <w:color w:val="000000"/>
              </w:rPr>
            </w:pPr>
          </w:p>
        </w:tc>
        <w:tc>
          <w:tcPr>
            <w:tcW w:w="1418" w:type="dxa"/>
            <w:tcBorders>
              <w:top w:val="single" w:sz="12" w:space="0" w:color="000000"/>
              <w:left w:val="single" w:sz="12" w:space="0" w:color="000000"/>
              <w:bottom w:val="single" w:sz="12" w:space="0" w:color="000000"/>
              <w:right w:val="single" w:sz="12" w:space="0" w:color="000000"/>
            </w:tcBorders>
            <w:shd w:val="clear" w:color="auto" w:fill="404040"/>
            <w:noWrap/>
            <w:tcMar>
              <w:top w:w="0" w:type="dxa"/>
              <w:left w:w="108" w:type="dxa"/>
              <w:bottom w:w="0" w:type="dxa"/>
              <w:right w:w="108" w:type="dxa"/>
            </w:tcMar>
            <w:vAlign w:val="center"/>
          </w:tcPr>
          <w:p w14:paraId="786738CB" w14:textId="77777777" w:rsidR="00E71AC0" w:rsidRDefault="00667FA1">
            <w:pPr>
              <w:rPr>
                <w:rFonts w:ascii="Arial" w:hAnsi="Arial" w:cs="Arial"/>
                <w:color w:val="FFFFFF"/>
              </w:rPr>
            </w:pPr>
            <w:r>
              <w:rPr>
                <w:rFonts w:ascii="Arial" w:hAnsi="Arial" w:cs="Arial"/>
                <w:color w:val="FFFFFF"/>
              </w:rPr>
              <w:t>Number</w:t>
            </w:r>
          </w:p>
        </w:tc>
        <w:tc>
          <w:tcPr>
            <w:tcW w:w="1444" w:type="dxa"/>
            <w:tcBorders>
              <w:top w:val="single" w:sz="12" w:space="0" w:color="000000"/>
              <w:left w:val="single" w:sz="12" w:space="0" w:color="000000"/>
              <w:bottom w:val="single" w:sz="12" w:space="0" w:color="000000"/>
              <w:right w:val="single" w:sz="12" w:space="0" w:color="000000"/>
            </w:tcBorders>
            <w:shd w:val="clear" w:color="auto" w:fill="404040"/>
            <w:noWrap/>
            <w:tcMar>
              <w:top w:w="0" w:type="dxa"/>
              <w:left w:w="108" w:type="dxa"/>
              <w:bottom w:w="0" w:type="dxa"/>
              <w:right w:w="108" w:type="dxa"/>
            </w:tcMar>
            <w:vAlign w:val="center"/>
          </w:tcPr>
          <w:p w14:paraId="786738CC" w14:textId="77777777" w:rsidR="00E71AC0" w:rsidRDefault="00667FA1">
            <w:pPr>
              <w:rPr>
                <w:rFonts w:ascii="Arial" w:hAnsi="Arial" w:cs="Arial"/>
                <w:color w:val="FFFFFF"/>
              </w:rPr>
            </w:pPr>
            <w:r>
              <w:rPr>
                <w:rFonts w:ascii="Arial" w:hAnsi="Arial" w:cs="Arial"/>
                <w:color w:val="FFFFFF"/>
              </w:rPr>
              <w:t>Percentage</w:t>
            </w:r>
          </w:p>
        </w:tc>
      </w:tr>
      <w:tr w:rsidR="00E71AC0" w14:paraId="786738D1" w14:textId="77777777">
        <w:trPr>
          <w:trHeight w:val="397"/>
        </w:trPr>
        <w:tc>
          <w:tcPr>
            <w:tcW w:w="2830" w:type="dxa"/>
            <w:tcBorders>
              <w:top w:val="single" w:sz="12" w:space="0" w:color="000000"/>
              <w:left w:val="single" w:sz="12" w:space="0" w:color="000000"/>
              <w:bottom w:val="single" w:sz="2" w:space="0" w:color="000000"/>
              <w:right w:val="single" w:sz="2" w:space="0" w:color="000000"/>
            </w:tcBorders>
            <w:shd w:val="clear" w:color="auto" w:fill="D9D9D9"/>
            <w:noWrap/>
            <w:tcMar>
              <w:top w:w="0" w:type="dxa"/>
              <w:left w:w="108" w:type="dxa"/>
              <w:bottom w:w="0" w:type="dxa"/>
              <w:right w:w="108" w:type="dxa"/>
            </w:tcMar>
            <w:vAlign w:val="center"/>
          </w:tcPr>
          <w:p w14:paraId="786738CE" w14:textId="77777777" w:rsidR="00E71AC0" w:rsidRDefault="00667FA1">
            <w:pPr>
              <w:rPr>
                <w:rFonts w:ascii="Arial" w:hAnsi="Arial" w:cs="Arial"/>
                <w:color w:val="000000"/>
              </w:rPr>
            </w:pPr>
            <w:r>
              <w:rPr>
                <w:rFonts w:ascii="Arial" w:hAnsi="Arial" w:cs="Arial"/>
                <w:color w:val="000000"/>
              </w:rPr>
              <w:t>Multiple elements</w:t>
            </w:r>
          </w:p>
        </w:tc>
        <w:tc>
          <w:tcPr>
            <w:tcW w:w="1418" w:type="dxa"/>
            <w:tcBorders>
              <w:top w:val="single" w:sz="12" w:space="0" w:color="000000"/>
              <w:left w:val="single" w:sz="2" w:space="0" w:color="000000"/>
              <w:bottom w:val="single" w:sz="2" w:space="0" w:color="000000"/>
              <w:right w:val="single" w:sz="2" w:space="0" w:color="000000"/>
            </w:tcBorders>
            <w:shd w:val="clear" w:color="auto" w:fill="auto"/>
            <w:noWrap/>
            <w:tcMar>
              <w:top w:w="0" w:type="dxa"/>
              <w:left w:w="108" w:type="dxa"/>
              <w:bottom w:w="0" w:type="dxa"/>
              <w:right w:w="108" w:type="dxa"/>
            </w:tcMar>
            <w:vAlign w:val="center"/>
          </w:tcPr>
          <w:p w14:paraId="786738CF" w14:textId="77777777" w:rsidR="00E71AC0" w:rsidRDefault="00667FA1">
            <w:pPr>
              <w:rPr>
                <w:rFonts w:ascii="Arial" w:hAnsi="Arial" w:cs="Arial"/>
                <w:color w:val="000000"/>
              </w:rPr>
            </w:pPr>
            <w:r>
              <w:rPr>
                <w:rFonts w:ascii="Arial" w:hAnsi="Arial" w:cs="Arial"/>
                <w:color w:val="000000"/>
              </w:rPr>
              <w:t>222</w:t>
            </w:r>
          </w:p>
        </w:tc>
        <w:tc>
          <w:tcPr>
            <w:tcW w:w="1444" w:type="dxa"/>
            <w:tcBorders>
              <w:top w:val="single" w:sz="12" w:space="0" w:color="000000"/>
              <w:left w:val="single" w:sz="2" w:space="0" w:color="000000"/>
              <w:bottom w:val="single" w:sz="2" w:space="0" w:color="000000"/>
              <w:right w:val="single" w:sz="12" w:space="0" w:color="000000"/>
            </w:tcBorders>
            <w:shd w:val="clear" w:color="auto" w:fill="auto"/>
            <w:noWrap/>
            <w:tcMar>
              <w:top w:w="0" w:type="dxa"/>
              <w:left w:w="108" w:type="dxa"/>
              <w:bottom w:w="0" w:type="dxa"/>
              <w:right w:w="108" w:type="dxa"/>
            </w:tcMar>
            <w:vAlign w:val="center"/>
          </w:tcPr>
          <w:p w14:paraId="786738D0" w14:textId="77777777" w:rsidR="00E71AC0" w:rsidRDefault="00667FA1">
            <w:pPr>
              <w:rPr>
                <w:rFonts w:ascii="Arial" w:hAnsi="Arial" w:cs="Arial"/>
                <w:color w:val="000000"/>
              </w:rPr>
            </w:pPr>
            <w:r>
              <w:rPr>
                <w:rFonts w:ascii="Arial" w:hAnsi="Arial" w:cs="Arial"/>
                <w:color w:val="000000"/>
              </w:rPr>
              <w:t>73%</w:t>
            </w:r>
          </w:p>
        </w:tc>
      </w:tr>
      <w:tr w:rsidR="00E71AC0" w14:paraId="786738D5" w14:textId="77777777">
        <w:trPr>
          <w:trHeight w:val="397"/>
        </w:trPr>
        <w:tc>
          <w:tcPr>
            <w:tcW w:w="2830" w:type="dxa"/>
            <w:tcBorders>
              <w:top w:val="single" w:sz="2" w:space="0" w:color="000000"/>
              <w:left w:val="single" w:sz="12" w:space="0" w:color="000000"/>
              <w:bottom w:val="single" w:sz="12" w:space="0" w:color="000000"/>
              <w:right w:val="single" w:sz="2" w:space="0" w:color="000000"/>
            </w:tcBorders>
            <w:shd w:val="clear" w:color="auto" w:fill="D9D9D9"/>
            <w:noWrap/>
            <w:tcMar>
              <w:top w:w="0" w:type="dxa"/>
              <w:left w:w="108" w:type="dxa"/>
              <w:bottom w:w="0" w:type="dxa"/>
              <w:right w:w="108" w:type="dxa"/>
            </w:tcMar>
            <w:vAlign w:val="center"/>
          </w:tcPr>
          <w:p w14:paraId="786738D2" w14:textId="77777777" w:rsidR="00E71AC0" w:rsidRDefault="00667FA1">
            <w:pPr>
              <w:rPr>
                <w:rFonts w:ascii="Arial" w:hAnsi="Arial" w:cs="Arial"/>
                <w:color w:val="000000"/>
              </w:rPr>
            </w:pPr>
            <w:r>
              <w:rPr>
                <w:rFonts w:ascii="Arial" w:hAnsi="Arial" w:cs="Arial"/>
                <w:color w:val="000000"/>
              </w:rPr>
              <w:t>Live</w:t>
            </w:r>
          </w:p>
        </w:tc>
        <w:tc>
          <w:tcPr>
            <w:tcW w:w="1418" w:type="dxa"/>
            <w:tcBorders>
              <w:top w:val="single" w:sz="2" w:space="0" w:color="000000"/>
              <w:left w:val="single" w:sz="2" w:space="0" w:color="000000"/>
              <w:bottom w:val="single" w:sz="12" w:space="0" w:color="000000"/>
              <w:right w:val="single" w:sz="2" w:space="0" w:color="000000"/>
            </w:tcBorders>
            <w:shd w:val="clear" w:color="auto" w:fill="auto"/>
            <w:noWrap/>
            <w:tcMar>
              <w:top w:w="0" w:type="dxa"/>
              <w:left w:w="108" w:type="dxa"/>
              <w:bottom w:w="0" w:type="dxa"/>
              <w:right w:w="108" w:type="dxa"/>
            </w:tcMar>
            <w:vAlign w:val="center"/>
          </w:tcPr>
          <w:p w14:paraId="786738D3" w14:textId="77777777" w:rsidR="00E71AC0" w:rsidRDefault="00667FA1">
            <w:pPr>
              <w:rPr>
                <w:rFonts w:ascii="Arial" w:hAnsi="Arial" w:cs="Arial"/>
                <w:color w:val="000000"/>
              </w:rPr>
            </w:pPr>
            <w:r>
              <w:rPr>
                <w:rFonts w:ascii="Arial" w:hAnsi="Arial" w:cs="Arial"/>
                <w:color w:val="000000"/>
              </w:rPr>
              <w:t>215</w:t>
            </w:r>
          </w:p>
        </w:tc>
        <w:tc>
          <w:tcPr>
            <w:tcW w:w="1444" w:type="dxa"/>
            <w:tcBorders>
              <w:top w:val="single" w:sz="2" w:space="0" w:color="000000"/>
              <w:left w:val="single" w:sz="2" w:space="0" w:color="000000"/>
              <w:bottom w:val="single" w:sz="12" w:space="0" w:color="000000"/>
              <w:right w:val="single" w:sz="12" w:space="0" w:color="000000"/>
            </w:tcBorders>
            <w:shd w:val="clear" w:color="auto" w:fill="auto"/>
            <w:noWrap/>
            <w:tcMar>
              <w:top w:w="0" w:type="dxa"/>
              <w:left w:w="108" w:type="dxa"/>
              <w:bottom w:w="0" w:type="dxa"/>
              <w:right w:w="108" w:type="dxa"/>
            </w:tcMar>
            <w:vAlign w:val="center"/>
          </w:tcPr>
          <w:p w14:paraId="786738D4" w14:textId="77777777" w:rsidR="00E71AC0" w:rsidRDefault="00667FA1">
            <w:pPr>
              <w:rPr>
                <w:rFonts w:ascii="Arial" w:hAnsi="Arial" w:cs="Arial"/>
                <w:color w:val="000000"/>
              </w:rPr>
            </w:pPr>
            <w:r>
              <w:rPr>
                <w:rFonts w:ascii="Arial" w:hAnsi="Arial" w:cs="Arial"/>
                <w:color w:val="000000"/>
              </w:rPr>
              <w:t>96.80%</w:t>
            </w:r>
          </w:p>
        </w:tc>
      </w:tr>
      <w:tr w:rsidR="00E71AC0" w14:paraId="786738D9" w14:textId="77777777">
        <w:trPr>
          <w:trHeight w:val="397"/>
        </w:trPr>
        <w:tc>
          <w:tcPr>
            <w:tcW w:w="2830" w:type="dxa"/>
            <w:tcBorders>
              <w:top w:val="single" w:sz="12" w:space="0" w:color="000000"/>
              <w:left w:val="single" w:sz="12"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786738D6" w14:textId="77777777" w:rsidR="00E71AC0" w:rsidRDefault="00667FA1">
            <w:pPr>
              <w:rPr>
                <w:rFonts w:ascii="Arial" w:hAnsi="Arial" w:cs="Arial"/>
                <w:color w:val="000000"/>
              </w:rPr>
            </w:pPr>
            <w:r>
              <w:rPr>
                <w:rFonts w:ascii="Arial" w:hAnsi="Arial" w:cs="Arial"/>
                <w:color w:val="000000"/>
              </w:rPr>
              <w:t>Virtual</w:t>
            </w:r>
          </w:p>
        </w:tc>
        <w:tc>
          <w:tcPr>
            <w:tcW w:w="1418" w:type="dxa"/>
            <w:tcBorders>
              <w:top w:val="single" w:sz="12"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786738D7" w14:textId="77777777" w:rsidR="00E71AC0" w:rsidRDefault="00667FA1">
            <w:pPr>
              <w:rPr>
                <w:rFonts w:ascii="Arial" w:hAnsi="Arial" w:cs="Arial"/>
                <w:color w:val="000000"/>
              </w:rPr>
            </w:pPr>
            <w:r>
              <w:rPr>
                <w:rFonts w:ascii="Arial" w:hAnsi="Arial" w:cs="Arial"/>
                <w:color w:val="000000"/>
              </w:rPr>
              <w:t>164</w:t>
            </w:r>
          </w:p>
        </w:tc>
        <w:tc>
          <w:tcPr>
            <w:tcW w:w="1444" w:type="dxa"/>
            <w:tcBorders>
              <w:top w:val="single" w:sz="12" w:space="0" w:color="000000"/>
              <w:bottom w:val="single" w:sz="4" w:space="0" w:color="000000"/>
              <w:right w:val="single" w:sz="12" w:space="0" w:color="000000"/>
            </w:tcBorders>
            <w:shd w:val="clear" w:color="auto" w:fill="auto"/>
            <w:noWrap/>
            <w:tcMar>
              <w:top w:w="0" w:type="dxa"/>
              <w:left w:w="108" w:type="dxa"/>
              <w:bottom w:w="0" w:type="dxa"/>
              <w:right w:w="108" w:type="dxa"/>
            </w:tcMar>
            <w:vAlign w:val="center"/>
          </w:tcPr>
          <w:p w14:paraId="786738D8" w14:textId="77777777" w:rsidR="00E71AC0" w:rsidRDefault="00667FA1">
            <w:pPr>
              <w:rPr>
                <w:rFonts w:ascii="Arial" w:hAnsi="Arial" w:cs="Arial"/>
                <w:color w:val="000000"/>
              </w:rPr>
            </w:pPr>
            <w:r>
              <w:rPr>
                <w:rFonts w:ascii="Arial" w:hAnsi="Arial" w:cs="Arial"/>
                <w:color w:val="000000"/>
              </w:rPr>
              <w:t>74%</w:t>
            </w:r>
          </w:p>
        </w:tc>
      </w:tr>
      <w:tr w:rsidR="00E71AC0" w14:paraId="786738DD" w14:textId="77777777">
        <w:trPr>
          <w:trHeight w:val="397"/>
        </w:trPr>
        <w:tc>
          <w:tcPr>
            <w:tcW w:w="2830" w:type="dxa"/>
            <w:tcBorders>
              <w:top w:val="single" w:sz="4" w:space="0" w:color="000000"/>
              <w:left w:val="single" w:sz="12" w:space="0" w:color="000000"/>
              <w:bottom w:val="single" w:sz="4" w:space="0" w:color="000000"/>
              <w:right w:val="single" w:sz="4" w:space="0" w:color="000000"/>
            </w:tcBorders>
            <w:shd w:val="clear" w:color="auto" w:fill="F2F2F2"/>
            <w:noWrap/>
            <w:tcMar>
              <w:top w:w="0" w:type="dxa"/>
              <w:left w:w="108" w:type="dxa"/>
              <w:bottom w:w="0" w:type="dxa"/>
              <w:right w:w="108" w:type="dxa"/>
            </w:tcMar>
            <w:vAlign w:val="center"/>
          </w:tcPr>
          <w:p w14:paraId="786738DA" w14:textId="77777777" w:rsidR="00E71AC0" w:rsidRDefault="00667FA1">
            <w:pPr>
              <w:rPr>
                <w:rFonts w:ascii="Arial" w:hAnsi="Arial" w:cs="Arial"/>
                <w:color w:val="000000"/>
              </w:rPr>
            </w:pPr>
            <w:r>
              <w:rPr>
                <w:rFonts w:ascii="Arial" w:hAnsi="Arial" w:cs="Arial"/>
                <w:color w:val="000000"/>
              </w:rPr>
              <w:t>face to face</w:t>
            </w:r>
          </w:p>
        </w:tc>
        <w:tc>
          <w:tcPr>
            <w:tcW w:w="1418" w:type="dxa"/>
            <w:tcBorders>
              <w:top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center"/>
          </w:tcPr>
          <w:p w14:paraId="786738DB" w14:textId="77777777" w:rsidR="00E71AC0" w:rsidRDefault="00667FA1">
            <w:pPr>
              <w:rPr>
                <w:rFonts w:ascii="Arial" w:hAnsi="Arial" w:cs="Arial"/>
                <w:color w:val="000000"/>
              </w:rPr>
            </w:pPr>
            <w:r>
              <w:rPr>
                <w:rFonts w:ascii="Arial" w:hAnsi="Arial" w:cs="Arial"/>
                <w:color w:val="000000"/>
              </w:rPr>
              <w:t>124</w:t>
            </w:r>
          </w:p>
        </w:tc>
        <w:tc>
          <w:tcPr>
            <w:tcW w:w="1444" w:type="dxa"/>
            <w:tcBorders>
              <w:top w:val="single" w:sz="4" w:space="0" w:color="000000"/>
              <w:bottom w:val="single" w:sz="4" w:space="0" w:color="000000"/>
              <w:right w:val="single" w:sz="12" w:space="0" w:color="000000"/>
            </w:tcBorders>
            <w:shd w:val="clear" w:color="auto" w:fill="auto"/>
            <w:noWrap/>
            <w:tcMar>
              <w:top w:w="0" w:type="dxa"/>
              <w:left w:w="108" w:type="dxa"/>
              <w:bottom w:w="0" w:type="dxa"/>
              <w:right w:w="108" w:type="dxa"/>
            </w:tcMar>
            <w:vAlign w:val="center"/>
          </w:tcPr>
          <w:p w14:paraId="786738DC" w14:textId="77777777" w:rsidR="00E71AC0" w:rsidRDefault="00667FA1">
            <w:pPr>
              <w:rPr>
                <w:rFonts w:ascii="Arial" w:hAnsi="Arial" w:cs="Arial"/>
                <w:color w:val="000000"/>
              </w:rPr>
            </w:pPr>
            <w:r>
              <w:rPr>
                <w:rFonts w:ascii="Arial" w:hAnsi="Arial" w:cs="Arial"/>
                <w:color w:val="000000"/>
              </w:rPr>
              <w:t>56%</w:t>
            </w:r>
          </w:p>
        </w:tc>
      </w:tr>
      <w:tr w:rsidR="00E71AC0" w14:paraId="786738E1" w14:textId="77777777">
        <w:trPr>
          <w:trHeight w:val="397"/>
        </w:trPr>
        <w:tc>
          <w:tcPr>
            <w:tcW w:w="2830" w:type="dxa"/>
            <w:tcBorders>
              <w:top w:val="single" w:sz="4" w:space="0" w:color="000000"/>
              <w:left w:val="single" w:sz="12" w:space="0" w:color="000000"/>
              <w:bottom w:val="single" w:sz="12" w:space="0" w:color="000000"/>
              <w:right w:val="single" w:sz="4" w:space="0" w:color="000000"/>
            </w:tcBorders>
            <w:shd w:val="clear" w:color="auto" w:fill="F2F2F2"/>
            <w:noWrap/>
            <w:tcMar>
              <w:top w:w="0" w:type="dxa"/>
              <w:left w:w="108" w:type="dxa"/>
              <w:bottom w:w="0" w:type="dxa"/>
              <w:right w:w="108" w:type="dxa"/>
            </w:tcMar>
            <w:vAlign w:val="center"/>
          </w:tcPr>
          <w:p w14:paraId="786738DE" w14:textId="77777777" w:rsidR="00E71AC0" w:rsidRDefault="00667FA1">
            <w:pPr>
              <w:rPr>
                <w:rFonts w:ascii="Arial" w:hAnsi="Arial" w:cs="Arial"/>
                <w:color w:val="000000"/>
              </w:rPr>
            </w:pPr>
            <w:r>
              <w:rPr>
                <w:rFonts w:ascii="Arial" w:hAnsi="Arial" w:cs="Arial"/>
                <w:color w:val="000000"/>
              </w:rPr>
              <w:t>practical workshops</w:t>
            </w:r>
          </w:p>
        </w:tc>
        <w:tc>
          <w:tcPr>
            <w:tcW w:w="1418" w:type="dxa"/>
            <w:tcBorders>
              <w:top w:val="single" w:sz="4" w:space="0" w:color="000000"/>
              <w:bottom w:val="single" w:sz="12" w:space="0" w:color="000000"/>
              <w:right w:val="single" w:sz="4" w:space="0" w:color="000000"/>
            </w:tcBorders>
            <w:shd w:val="clear" w:color="auto" w:fill="auto"/>
            <w:noWrap/>
            <w:tcMar>
              <w:top w:w="0" w:type="dxa"/>
              <w:left w:w="108" w:type="dxa"/>
              <w:bottom w:w="0" w:type="dxa"/>
              <w:right w:w="108" w:type="dxa"/>
            </w:tcMar>
            <w:vAlign w:val="center"/>
          </w:tcPr>
          <w:p w14:paraId="786738DF" w14:textId="77777777" w:rsidR="00E71AC0" w:rsidRDefault="00667FA1">
            <w:pPr>
              <w:rPr>
                <w:rFonts w:ascii="Arial" w:hAnsi="Arial" w:cs="Arial"/>
                <w:color w:val="000000"/>
              </w:rPr>
            </w:pPr>
            <w:r>
              <w:rPr>
                <w:rFonts w:ascii="Arial" w:hAnsi="Arial" w:cs="Arial"/>
                <w:color w:val="000000"/>
              </w:rPr>
              <w:t>90</w:t>
            </w:r>
          </w:p>
        </w:tc>
        <w:tc>
          <w:tcPr>
            <w:tcW w:w="1444" w:type="dxa"/>
            <w:tcBorders>
              <w:top w:val="single" w:sz="4" w:space="0" w:color="000000"/>
              <w:bottom w:val="single" w:sz="12" w:space="0" w:color="000000"/>
              <w:right w:val="single" w:sz="12" w:space="0" w:color="000000"/>
            </w:tcBorders>
            <w:shd w:val="clear" w:color="auto" w:fill="auto"/>
            <w:noWrap/>
            <w:tcMar>
              <w:top w:w="0" w:type="dxa"/>
              <w:left w:w="108" w:type="dxa"/>
              <w:bottom w:w="0" w:type="dxa"/>
              <w:right w:w="108" w:type="dxa"/>
            </w:tcMar>
            <w:vAlign w:val="center"/>
          </w:tcPr>
          <w:p w14:paraId="786738E0" w14:textId="77777777" w:rsidR="00E71AC0" w:rsidRDefault="00667FA1">
            <w:pPr>
              <w:rPr>
                <w:rFonts w:ascii="Arial" w:hAnsi="Arial" w:cs="Arial"/>
                <w:color w:val="000000"/>
              </w:rPr>
            </w:pPr>
            <w:r>
              <w:rPr>
                <w:rFonts w:ascii="Arial" w:hAnsi="Arial" w:cs="Arial"/>
                <w:color w:val="000000"/>
              </w:rPr>
              <w:t>41%</w:t>
            </w:r>
          </w:p>
        </w:tc>
      </w:tr>
    </w:tbl>
    <w:p w14:paraId="786738E2" w14:textId="77777777" w:rsidR="00E71AC0" w:rsidRDefault="00E71AC0">
      <w:pPr>
        <w:pStyle w:val="Caption"/>
        <w:rPr>
          <w:sz w:val="2"/>
          <w:szCs w:val="2"/>
        </w:rPr>
      </w:pPr>
    </w:p>
    <w:p w14:paraId="786738E3" w14:textId="77777777" w:rsidR="00E71AC0" w:rsidRDefault="00667FA1">
      <w:pPr>
        <w:pStyle w:val="Caption"/>
      </w:pPr>
      <w:r>
        <w:t xml:space="preserve">Figure 7. Table showing the relationship between multiple elements and live formatting of training requested. </w:t>
      </w:r>
    </w:p>
    <w:p w14:paraId="786738E4" w14:textId="77777777" w:rsidR="00E71AC0" w:rsidRDefault="00E71AC0">
      <w:pPr>
        <w:spacing w:line="360" w:lineRule="auto"/>
        <w:rPr>
          <w:rFonts w:ascii="Arial" w:hAnsi="Arial" w:cs="Arial"/>
          <w:sz w:val="28"/>
          <w:szCs w:val="28"/>
        </w:rPr>
      </w:pPr>
    </w:p>
    <w:p w14:paraId="786738E5" w14:textId="77777777" w:rsidR="00E71AC0" w:rsidRDefault="00E71AC0"/>
    <w:p w14:paraId="786738E6" w14:textId="77777777" w:rsidR="00E71AC0" w:rsidRDefault="00667FA1">
      <w:pPr>
        <w:spacing w:line="360" w:lineRule="auto"/>
      </w:pPr>
      <w:r>
        <w:rPr>
          <w:rFonts w:ascii="Arial" w:hAnsi="Arial" w:cs="Arial"/>
          <w:u w:val="single"/>
        </w:rPr>
        <w:t>Interviews</w:t>
      </w:r>
      <w:r>
        <w:rPr>
          <w:rFonts w:ascii="Arial" w:hAnsi="Arial" w:cs="Arial"/>
        </w:rPr>
        <w:t xml:space="preserve"> </w:t>
      </w:r>
    </w:p>
    <w:p w14:paraId="786738E7" w14:textId="77777777" w:rsidR="00E71AC0" w:rsidRDefault="00667FA1">
      <w:pPr>
        <w:spacing w:line="360" w:lineRule="auto"/>
        <w:rPr>
          <w:rFonts w:ascii="Arial" w:hAnsi="Arial" w:cs="Arial"/>
        </w:rPr>
      </w:pPr>
      <w:r>
        <w:rPr>
          <w:rFonts w:ascii="Arial" w:hAnsi="Arial" w:cs="Arial"/>
        </w:rPr>
        <w:t xml:space="preserve">It was envisaged that 10 interviews would be undertaken, from those that responded to the initial invitation and completed questionnaires, as the second part of the study. However, out of the 262 completed questionnaires, 120 people agreed to follow up the questionnaires by participating in a semi-structured interview.  Whilst this </w:t>
      </w:r>
      <w:r>
        <w:rPr>
          <w:rFonts w:ascii="Arial" w:hAnsi="Arial" w:cs="Arial"/>
        </w:rPr>
        <w:lastRenderedPageBreak/>
        <w:t>appeared to be a good response, with 46% wanting to provide further information, only 6 of those in reality had the time/capacity to actually attend an interview. This in itself was an indication of the capacity issues managers have to undertake any activity outside of their day-to-day role, with only 5% of those who agreed to discuss matters further able to attend.</w:t>
      </w:r>
    </w:p>
    <w:p w14:paraId="786738E8" w14:textId="77777777" w:rsidR="00E71AC0" w:rsidRDefault="00E71AC0">
      <w:pPr>
        <w:spacing w:line="360" w:lineRule="auto"/>
        <w:rPr>
          <w:rFonts w:ascii="Arial" w:hAnsi="Arial" w:cs="Arial"/>
        </w:rPr>
      </w:pPr>
    </w:p>
    <w:p w14:paraId="786738E9" w14:textId="77777777" w:rsidR="00E71AC0" w:rsidRDefault="00667FA1">
      <w:pPr>
        <w:spacing w:line="360" w:lineRule="auto"/>
        <w:rPr>
          <w:rFonts w:ascii="Arial" w:hAnsi="Arial" w:cs="Arial"/>
        </w:rPr>
      </w:pPr>
      <w:r>
        <w:rPr>
          <w:rFonts w:ascii="Arial" w:hAnsi="Arial" w:cs="Arial"/>
        </w:rPr>
        <w:t>From the responses provided there were two clear themes intertwined amidst all of the questions that appear to have influenced the preferences in training: time and relationships.</w:t>
      </w:r>
    </w:p>
    <w:p w14:paraId="786738EA" w14:textId="77777777" w:rsidR="00E71AC0" w:rsidRDefault="00E71AC0">
      <w:pPr>
        <w:spacing w:line="360" w:lineRule="auto"/>
        <w:rPr>
          <w:rFonts w:ascii="Arial" w:hAnsi="Arial" w:cs="Arial"/>
        </w:rPr>
      </w:pPr>
    </w:p>
    <w:p w14:paraId="786738EB" w14:textId="77777777" w:rsidR="00E71AC0" w:rsidRDefault="00667FA1">
      <w:pPr>
        <w:spacing w:line="360" w:lineRule="auto"/>
        <w:rPr>
          <w:rFonts w:ascii="Arial" w:hAnsi="Arial" w:cs="Arial"/>
        </w:rPr>
      </w:pPr>
      <w:r>
        <w:rPr>
          <w:rFonts w:ascii="Arial" w:hAnsi="Arial" w:cs="Arial"/>
        </w:rPr>
        <w:t>Relationships:</w:t>
      </w:r>
    </w:p>
    <w:p w14:paraId="786738EC" w14:textId="77777777" w:rsidR="00E71AC0" w:rsidRDefault="00667FA1">
      <w:pPr>
        <w:spacing w:line="360" w:lineRule="auto"/>
        <w:rPr>
          <w:rFonts w:ascii="Arial" w:hAnsi="Arial" w:cs="Arial"/>
        </w:rPr>
      </w:pPr>
      <w:r>
        <w:rPr>
          <w:rFonts w:ascii="Arial" w:hAnsi="Arial" w:cs="Arial"/>
        </w:rPr>
        <w:t>Interestingly, while the questionnaires showed a slight preferential leaning towards a virtually facilitated session over a face-to-face session, in the interviews each of the interviewees spoke in favour of face-to-face sessions over the virtual environment.  There was a mixed response by the interviewees as to the level of negativity relating to the virtual environment, from understanding the benefits that come from being able to deliver virtually to a complete dismissal of the desire to attend any sessions in that environment.  Those with a strong negative viewpoint claimed the ease of distraction and lack of engagement as evident reasons for their feelings, always from experience.</w:t>
      </w:r>
    </w:p>
    <w:p w14:paraId="786738ED" w14:textId="77777777" w:rsidR="00E71AC0" w:rsidRDefault="00667FA1">
      <w:pPr>
        <w:spacing w:line="360" w:lineRule="auto"/>
        <w:rPr>
          <w:rFonts w:ascii="Arial" w:hAnsi="Arial" w:cs="Arial"/>
        </w:rPr>
      </w:pPr>
      <w:r>
        <w:rPr>
          <w:rFonts w:ascii="Arial" w:hAnsi="Arial" w:cs="Arial"/>
        </w:rPr>
        <w:t xml:space="preserve">There was a common feeling amongst the interviewees that an important part of learning is to be in a room with people, fellow learners, to experience the session. The reasons given for this were around the networking opportunities it provided which would potentially help with future working, and the learning opportunities through sharing experiences and lessons learned, both positive and negative. </w:t>
      </w:r>
    </w:p>
    <w:p w14:paraId="786738EE" w14:textId="3405DD8F" w:rsidR="00E71AC0" w:rsidRDefault="00667FA1">
      <w:pPr>
        <w:spacing w:line="360" w:lineRule="auto"/>
        <w:rPr>
          <w:rFonts w:ascii="Arial" w:hAnsi="Arial" w:cs="Arial"/>
        </w:rPr>
      </w:pPr>
      <w:r>
        <w:rPr>
          <w:rFonts w:ascii="Arial" w:hAnsi="Arial" w:cs="Arial"/>
        </w:rPr>
        <w:t xml:space="preserve">Additionally, the importance of the live relationship with the facilitator was constantly brought out, whether it be in a face-to-face or virtual environment. There was a mutual belief around the importance of being able to ask additional questions to gain a deeper understanding or to clarify information from the facilitator/trainer.  The responses indicate the perception that in undertaking ‘on demand’ training or using toolkits there is not the ability to gain a deep level of understanding or ask pertinent questions to clarify thoughts. This point does raise an interesting question, why do managers think that they cannot reach out to gain further understanding and </w:t>
      </w:r>
      <w:r>
        <w:rPr>
          <w:rFonts w:ascii="Arial" w:hAnsi="Arial" w:cs="Arial"/>
        </w:rPr>
        <w:lastRenderedPageBreak/>
        <w:t>clarification if not in a live session?  As this was not explored in the interviews, it would be interesting to explore in a further study.</w:t>
      </w:r>
    </w:p>
    <w:p w14:paraId="601181F3" w14:textId="77777777" w:rsidR="00A108C1" w:rsidRDefault="00A108C1">
      <w:pPr>
        <w:spacing w:line="360" w:lineRule="auto"/>
        <w:rPr>
          <w:rFonts w:ascii="Arial" w:hAnsi="Arial" w:cs="Arial"/>
        </w:rPr>
      </w:pPr>
    </w:p>
    <w:p w14:paraId="786738EF" w14:textId="77777777" w:rsidR="00E71AC0" w:rsidRDefault="00667FA1">
      <w:pPr>
        <w:spacing w:line="360" w:lineRule="auto"/>
        <w:rPr>
          <w:rFonts w:ascii="Arial" w:hAnsi="Arial" w:cs="Arial"/>
        </w:rPr>
      </w:pPr>
      <w:r>
        <w:rPr>
          <w:rFonts w:ascii="Arial" w:hAnsi="Arial" w:cs="Arial"/>
        </w:rPr>
        <w:t>Time:</w:t>
      </w:r>
    </w:p>
    <w:p w14:paraId="786738F0" w14:textId="7D1A067E" w:rsidR="00E71AC0" w:rsidRDefault="00667FA1">
      <w:pPr>
        <w:spacing w:line="360" w:lineRule="auto"/>
        <w:rPr>
          <w:rFonts w:ascii="Arial" w:hAnsi="Arial" w:cs="Arial"/>
        </w:rPr>
      </w:pPr>
      <w:r>
        <w:rPr>
          <w:rFonts w:ascii="Arial" w:hAnsi="Arial" w:cs="Arial"/>
        </w:rPr>
        <w:t>A shared message was highlighted throughout the interviews in the frustrations around the time constraints and its impact on the ability to attend learning. Many opinions were expressed as a result of this shared feeling, on aspects including quality</w:t>
      </w:r>
      <w:r w:rsidR="0084172A">
        <w:rPr>
          <w:rFonts w:ascii="Arial" w:hAnsi="Arial" w:cs="Arial"/>
        </w:rPr>
        <w:t xml:space="preserve"> and perceived</w:t>
      </w:r>
      <w:r>
        <w:rPr>
          <w:rFonts w:ascii="Arial" w:hAnsi="Arial" w:cs="Arial"/>
        </w:rPr>
        <w:t xml:space="preserve"> importance</w:t>
      </w:r>
      <w:r w:rsidR="0084172A">
        <w:rPr>
          <w:rFonts w:ascii="Arial" w:hAnsi="Arial" w:cs="Arial"/>
        </w:rPr>
        <w:t>.</w:t>
      </w:r>
    </w:p>
    <w:p w14:paraId="786738F1" w14:textId="5294B079" w:rsidR="00E71AC0" w:rsidRDefault="00667FA1">
      <w:pPr>
        <w:spacing w:line="360" w:lineRule="auto"/>
        <w:rPr>
          <w:rFonts w:ascii="Arial" w:hAnsi="Arial" w:cs="Arial"/>
        </w:rPr>
      </w:pPr>
      <w:r>
        <w:rPr>
          <w:rFonts w:ascii="Arial" w:hAnsi="Arial" w:cs="Arial"/>
        </w:rPr>
        <w:t>Through the questions around the formatting preferences of the training, the responses suggest that time plays an important role in influencing these preferences. Most interviewees expressed a desire to not be distracted during learning, and by attending a virtual learning environment or a face-to-face session in the building they work, interviewees felt the chances of being interrupted and taken away from training, even if for a short amount of time, was high.  That this would impact on the level of understanding gained, leaving the attendance of the overall session a waste of time; time that they did not have to waste</w:t>
      </w:r>
      <w:r w:rsidR="00A108C1">
        <w:rPr>
          <w:rFonts w:ascii="Arial" w:hAnsi="Arial" w:cs="Arial"/>
        </w:rPr>
        <w:t>, a point Hu (2024) suggests discourages adults from participating in learning</w:t>
      </w:r>
      <w:r>
        <w:rPr>
          <w:rFonts w:ascii="Arial" w:hAnsi="Arial" w:cs="Arial"/>
        </w:rPr>
        <w:t xml:space="preserve">. </w:t>
      </w:r>
    </w:p>
    <w:p w14:paraId="786738F2" w14:textId="77777777" w:rsidR="00E71AC0" w:rsidRDefault="00667FA1">
      <w:pPr>
        <w:spacing w:line="360" w:lineRule="auto"/>
        <w:rPr>
          <w:rFonts w:ascii="Arial" w:hAnsi="Arial" w:cs="Arial"/>
        </w:rPr>
      </w:pPr>
      <w:r>
        <w:rPr>
          <w:rFonts w:ascii="Arial" w:hAnsi="Arial" w:cs="Arial"/>
        </w:rPr>
        <w:t>The general opinion on preferred duration and levels of commitment to training suggests that it is dependent on the individual’s perception of the topic. Many interviews held the opinion that workforce planning training needed a greater amount of time due to its importance and complexity. Those who did not fully understand what was involved in workforce planning did not know what length of time was appropriate for the training, confessing their understanding of its importance so believed it probably should need more time for delivery. Whereas one manager felt that workforce planning was a not a difficult nor intense activity therefore did not warrant spending more than one hour in training, nor be willing to spend more than that due perceptions of its importance in relation to other managerial activities.  This suggests that the time given to training should be relational to the topic; however, perception on the topic may influence the willingness to attend depending on the length of time given for that particular training.</w:t>
      </w:r>
    </w:p>
    <w:p w14:paraId="786738F3" w14:textId="77777777" w:rsidR="00E71AC0" w:rsidRDefault="00667FA1">
      <w:pPr>
        <w:spacing w:line="360" w:lineRule="auto"/>
        <w:rPr>
          <w:rFonts w:ascii="Arial" w:hAnsi="Arial" w:cs="Arial"/>
        </w:rPr>
      </w:pPr>
      <w:r>
        <w:rPr>
          <w:rFonts w:ascii="Arial" w:hAnsi="Arial" w:cs="Arial"/>
        </w:rPr>
        <w:t xml:space="preserve">Another general feeling around the time given to workforce planning training was around the quality of the training delivered and its content. In discussing the possibility of bitesize training, most interviewees felt that the quality of training could </w:t>
      </w:r>
      <w:r>
        <w:rPr>
          <w:rFonts w:ascii="Arial" w:hAnsi="Arial" w:cs="Arial"/>
        </w:rPr>
        <w:lastRenderedPageBreak/>
        <w:t>be impacted negatively if workforce planning was delivered in short, concise formats; however, if the quality could be assured, interviewees were open to the possibility of accessing this as it would take up less of their work time.</w:t>
      </w:r>
    </w:p>
    <w:p w14:paraId="786738F4" w14:textId="63583B73" w:rsidR="00E71AC0" w:rsidRDefault="00667FA1">
      <w:pPr>
        <w:spacing w:line="360" w:lineRule="auto"/>
        <w:rPr>
          <w:rFonts w:ascii="Arial" w:hAnsi="Arial" w:cs="Arial"/>
        </w:rPr>
      </w:pPr>
      <w:r>
        <w:rPr>
          <w:rFonts w:ascii="Arial" w:hAnsi="Arial" w:cs="Arial"/>
        </w:rPr>
        <w:t xml:space="preserve">The universal attitude among those interviewed was that only training that was important to their role would be attended, and not that which was only of interest.  While the interviews brought out that there was a desire to have the time to attend training that was solely of interest, there was the recognition that time and capacity does not allow for that to happen, therefore, if the topic is thought of as being of import or necessary for the role, the managers would make the time to attend. </w:t>
      </w:r>
      <w:r w:rsidR="00A108C1">
        <w:rPr>
          <w:rFonts w:ascii="Arial" w:hAnsi="Arial" w:cs="Arial"/>
        </w:rPr>
        <w:t>This is in line with the motivational suggestions by Broek et al. (2023) and Ali et al. (2022), that professional healthcare workers need to see the importance and value post-training to encourage them to participate.</w:t>
      </w:r>
    </w:p>
    <w:p w14:paraId="786738F6" w14:textId="77777777" w:rsidR="00E71AC0" w:rsidRDefault="00667FA1">
      <w:pPr>
        <w:spacing w:line="360" w:lineRule="auto"/>
        <w:rPr>
          <w:rFonts w:ascii="Arial" w:hAnsi="Arial" w:cs="Arial"/>
        </w:rPr>
      </w:pPr>
      <w:r>
        <w:rPr>
          <w:rFonts w:ascii="Arial" w:hAnsi="Arial" w:cs="Arial"/>
        </w:rPr>
        <w:t>The responses across each of the interviewees reveal a common thread throughout the management staff within the Health Board, that of time constraints, and could account for less than advantageous numbers who were able to participate in the interviews.  The suggestion being, that it was not an unwillingness to participate in the process that prevented their involvement, but an inability to attend, due to the lack of time.</w:t>
      </w:r>
    </w:p>
    <w:p w14:paraId="786738F7" w14:textId="77777777" w:rsidR="00E71AC0" w:rsidRDefault="00E71AC0">
      <w:pPr>
        <w:rPr>
          <w:rFonts w:eastAsia="Aptos"/>
        </w:rPr>
      </w:pPr>
    </w:p>
    <w:p w14:paraId="786738F8" w14:textId="14AD9C77" w:rsidR="00E71AC0" w:rsidRDefault="00667FA1">
      <w:pPr>
        <w:spacing w:line="360" w:lineRule="auto"/>
        <w:rPr>
          <w:rFonts w:ascii="Arial" w:hAnsi="Arial" w:cs="Arial"/>
        </w:rPr>
      </w:pPr>
      <w:r>
        <w:rPr>
          <w:rFonts w:ascii="Arial" w:hAnsi="Arial" w:cs="Arial"/>
        </w:rPr>
        <w:t xml:space="preserve">It is important to note that while common themes and </w:t>
      </w:r>
      <w:r w:rsidRPr="006431E4">
        <w:rPr>
          <w:rFonts w:ascii="Arial" w:hAnsi="Arial" w:cs="Arial"/>
        </w:rPr>
        <w:t>message</w:t>
      </w:r>
      <w:r w:rsidR="006431E4" w:rsidRPr="006431E4">
        <w:rPr>
          <w:rFonts w:ascii="Arial" w:hAnsi="Arial" w:cs="Arial"/>
        </w:rPr>
        <w:t>s</w:t>
      </w:r>
      <w:r>
        <w:rPr>
          <w:rFonts w:ascii="Arial" w:hAnsi="Arial" w:cs="Arial"/>
        </w:rPr>
        <w:t xml:space="preserve"> came through from the interviews, the number of managers interviewed counts as less than 1% of the overall employees at bands 5 and above.  Due to deadlines and capacity, it was not possible to interview more employees.  For potentially more accurate findings, a more comprehensive study involving the interviewing of a greater number of managers needs to take place. </w:t>
      </w:r>
    </w:p>
    <w:p w14:paraId="786738F9" w14:textId="77777777" w:rsidR="00E71AC0" w:rsidRDefault="00667FA1">
      <w:pPr>
        <w:spacing w:line="360" w:lineRule="auto"/>
      </w:pPr>
      <w:r>
        <w:rPr>
          <w:rFonts w:ascii="Arial" w:hAnsi="Arial" w:cs="Arial"/>
          <w:noProof/>
        </w:rPr>
        <mc:AlternateContent>
          <mc:Choice Requires="wps">
            <w:drawing>
              <wp:anchor distT="0" distB="0" distL="114300" distR="114300" simplePos="0" relativeHeight="251675648" behindDoc="0" locked="0" layoutInCell="1" allowOverlap="1" wp14:anchorId="786737C8" wp14:editId="786737C9">
                <wp:simplePos x="0" y="0"/>
                <wp:positionH relativeFrom="margin">
                  <wp:posOffset>-655323</wp:posOffset>
                </wp:positionH>
                <wp:positionV relativeFrom="paragraph">
                  <wp:posOffset>215268</wp:posOffset>
                </wp:positionV>
                <wp:extent cx="6964052" cy="20948"/>
                <wp:effectExtent l="0" t="0" r="27298" b="36202"/>
                <wp:wrapNone/>
                <wp:docPr id="11" name="Straight Connector 14"/>
                <wp:cNvGraphicFramePr/>
                <a:graphic xmlns:a="http://schemas.openxmlformats.org/drawingml/2006/main">
                  <a:graphicData uri="http://schemas.microsoft.com/office/word/2010/wordprocessingShape">
                    <wps:wsp>
                      <wps:cNvCnPr/>
                      <wps:spPr>
                        <a:xfrm flipV="1">
                          <a:off x="0" y="0"/>
                          <a:ext cx="6964052" cy="20948"/>
                        </a:xfrm>
                        <a:prstGeom prst="straightConnector1">
                          <a:avLst/>
                        </a:prstGeom>
                        <a:noFill/>
                        <a:ln w="19046" cap="flat">
                          <a:solidFill>
                            <a:srgbClr val="000000"/>
                          </a:solidFill>
                          <a:prstDash val="solid"/>
                          <a:miter/>
                        </a:ln>
                      </wps:spPr>
                      <wps:bodyPr/>
                    </wps:wsp>
                  </a:graphicData>
                </a:graphic>
              </wp:anchor>
            </w:drawing>
          </mc:Choice>
          <mc:Fallback>
            <w:pict>
              <v:shape w14:anchorId="2056CCAF" id="Straight Connector 14" o:spid="_x0000_s1026" type="#_x0000_t32" style="position:absolute;margin-left:-51.6pt;margin-top:16.95pt;width:548.35pt;height:1.65pt;flip:y;z-index:25167564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" strokeweight=".52906mm">
                <v:stroke joinstyle="miter"/>
                <w10:wrap anchorx="margin"/>
              </v:shape>
            </w:pict>
          </mc:Fallback>
        </mc:AlternateContent>
      </w:r>
    </w:p>
    <w:p w14:paraId="786738FA" w14:textId="77777777" w:rsidR="00E71AC0" w:rsidRDefault="00E71AC0">
      <w:pPr>
        <w:spacing w:line="360" w:lineRule="auto"/>
        <w:rPr>
          <w:rFonts w:ascii="Arial" w:hAnsi="Arial" w:cs="Arial"/>
        </w:rPr>
      </w:pPr>
    </w:p>
    <w:p w14:paraId="786738FB" w14:textId="02F74FBD" w:rsidR="00E71AC0" w:rsidRDefault="00667FA1">
      <w:pPr>
        <w:spacing w:line="360" w:lineRule="auto"/>
      </w:pPr>
      <w:r>
        <w:rPr>
          <w:rFonts w:ascii="Arial" w:hAnsi="Arial" w:cs="Arial"/>
          <w:b/>
          <w:bCs/>
          <w:u w:val="single"/>
        </w:rPr>
        <w:t>Conclusion</w:t>
      </w:r>
      <w:r>
        <w:rPr>
          <w:rFonts w:ascii="Arial" w:hAnsi="Arial" w:cs="Arial"/>
          <w:b/>
          <w:bCs/>
        </w:rPr>
        <w:t xml:space="preserve">     </w:t>
      </w:r>
      <w:r>
        <w:rPr>
          <w:rFonts w:ascii="Arial" w:hAnsi="Arial" w:cs="Arial"/>
          <w:b/>
          <w:bCs/>
          <w:color w:val="FF0000"/>
        </w:rPr>
        <w:t>(4</w:t>
      </w:r>
      <w:r w:rsidR="00427196">
        <w:rPr>
          <w:rFonts w:ascii="Arial" w:hAnsi="Arial" w:cs="Arial"/>
          <w:b/>
          <w:bCs/>
          <w:color w:val="FF0000"/>
        </w:rPr>
        <w:t>58/</w:t>
      </w:r>
      <w:r>
        <w:rPr>
          <w:rFonts w:ascii="Arial" w:hAnsi="Arial" w:cs="Arial"/>
          <w:b/>
          <w:bCs/>
          <w:color w:val="FF0000"/>
        </w:rPr>
        <w:t>500)</w:t>
      </w:r>
      <w:r>
        <w:rPr>
          <w:rFonts w:ascii="Arial" w:hAnsi="Arial" w:cs="Arial"/>
          <w:b/>
          <w:bCs/>
          <w:u w:val="single"/>
        </w:rPr>
        <w:t xml:space="preserve">    </w:t>
      </w:r>
    </w:p>
    <w:p w14:paraId="786738FC" w14:textId="7599B38F" w:rsidR="00E71AC0" w:rsidRDefault="00667FA1">
      <w:pPr>
        <w:spacing w:line="360" w:lineRule="auto"/>
        <w:rPr>
          <w:rFonts w:ascii="Arial" w:hAnsi="Arial" w:cs="Arial"/>
        </w:rPr>
      </w:pPr>
      <w:r>
        <w:rPr>
          <w:rFonts w:ascii="Arial" w:hAnsi="Arial" w:cs="Arial"/>
        </w:rPr>
        <w:t xml:space="preserve">To address the shortfall in Hywel Dda Health Board’s workforce planning capability, this study aimed to answer the question, how would the delivery of workforce </w:t>
      </w:r>
      <w:r w:rsidRPr="006431E4">
        <w:rPr>
          <w:rFonts w:ascii="Arial" w:hAnsi="Arial" w:cs="Arial"/>
        </w:rPr>
        <w:t>planning education need to look to enable greater accessibility and participation? The lower contribution rate of managers from the start of the study</w:t>
      </w:r>
      <w:r w:rsidR="00467CD4" w:rsidRPr="006431E4">
        <w:rPr>
          <w:rFonts w:ascii="Arial" w:hAnsi="Arial" w:cs="Arial"/>
        </w:rPr>
        <w:t xml:space="preserve"> indicate</w:t>
      </w:r>
      <w:r w:rsidRPr="006431E4">
        <w:rPr>
          <w:rFonts w:ascii="Arial" w:hAnsi="Arial" w:cs="Arial"/>
        </w:rPr>
        <w:t xml:space="preserve"> that managers experience obstacles when it comes to workforce planning.</w:t>
      </w:r>
      <w:r>
        <w:rPr>
          <w:rFonts w:ascii="Arial" w:hAnsi="Arial" w:cs="Arial"/>
        </w:rPr>
        <w:t xml:space="preserve"> The findings then revealed that due to time constraints and capacity issues the perception of </w:t>
      </w:r>
      <w:r>
        <w:rPr>
          <w:rFonts w:ascii="Arial" w:hAnsi="Arial" w:cs="Arial"/>
        </w:rPr>
        <w:lastRenderedPageBreak/>
        <w:t xml:space="preserve">workforce planning needs to be viewed as important for managers to prioritise their time to undertake the training.  The importance of relationships influenced the preferred method of delivery of learning for managers working within the Health Board to be through live facilitated sessions but in different formats. Though it would be prudent to acknowledge those requesting non-facilitated resources only, which will influence the prioritisation of future training plans. The findings from the questionnaires indicate that training sessions should be developed firstly as hour sessions, then half day, and some full day sessions, depending on the topical content and its complexity, as managers prefer the time to ask questions to deepen understanding and share learning amongst colleagues.  As time is seen as a precious commodity, developing programmes with multiple sessions may be desired, it may not be realistic for large number of managers to attend, therefore it would be unwise to organise these often. While there was a clear preference in the delivery of facilitated sessions, over non-facilitated, there was little difference in the preference between face-to-face and virtual learning environments, therefore it would be beneficial to deliver in both formats to attract more managers. While there is potential to deliver training on the various elements of workforce planning, the most common need was for assistance in the practical application of the activity.  Whilst this would indicate this would be a priority for the team to facilitate, the delivery of training, both theoretical and practical cannot be overlooked, particularly due to the large numbers that requested them. </w:t>
      </w:r>
    </w:p>
    <w:p w14:paraId="786738FD" w14:textId="52D78604" w:rsidR="00E71AC0" w:rsidRDefault="00667FA1">
      <w:pPr>
        <w:pStyle w:val="nova-legacy-e-listitem"/>
        <w:shd w:val="clear" w:color="auto" w:fill="FFFFFF"/>
        <w:spacing w:before="0" w:after="0" w:line="360" w:lineRule="auto"/>
        <w:rPr>
          <w:rFonts w:ascii="Arial" w:hAnsi="Arial" w:cs="Arial"/>
        </w:rPr>
      </w:pPr>
      <w:r>
        <w:rPr>
          <w:rFonts w:ascii="Arial" w:hAnsi="Arial" w:cs="Arial"/>
        </w:rPr>
        <w:t>Furthermore, whilst aiming to answer the primary question, further information was gleaned that aid understanding to manager</w:t>
      </w:r>
      <w:r w:rsidR="00467CD4">
        <w:rPr>
          <w:rFonts w:ascii="Arial" w:hAnsi="Arial" w:cs="Arial"/>
        </w:rPr>
        <w:t>s</w:t>
      </w:r>
      <w:r>
        <w:rPr>
          <w:rFonts w:ascii="Arial" w:hAnsi="Arial" w:cs="Arial"/>
        </w:rPr>
        <w:t xml:space="preserve"> attitudes that could impact on the success of the training delivered.  In addition to the barriers of time and capacity, to increase the success rate of any future workforce planning training, there needs to be significant work in the way of communication, to inform managers of training available and its </w:t>
      </w:r>
      <w:r w:rsidRPr="006431E4">
        <w:rPr>
          <w:rFonts w:ascii="Arial" w:hAnsi="Arial" w:cs="Arial"/>
        </w:rPr>
        <w:t>import</w:t>
      </w:r>
      <w:r w:rsidR="00467CD4" w:rsidRPr="006431E4">
        <w:rPr>
          <w:rFonts w:ascii="Arial" w:hAnsi="Arial" w:cs="Arial"/>
        </w:rPr>
        <w:t>ance</w:t>
      </w:r>
      <w:r>
        <w:rPr>
          <w:rFonts w:ascii="Arial" w:hAnsi="Arial" w:cs="Arial"/>
        </w:rPr>
        <w:t xml:space="preserve">. The inconsistent understanding of the importance of workforce planning will impact the number of managers willing and able to attend any training organised.  Also, there is a need for an improvement in the marketing of the training available, otherwise the development of a more improved and suitable training suite will be of no benefit to any </w:t>
      </w:r>
      <w:r w:rsidRPr="00922A91">
        <w:rPr>
          <w:rFonts w:ascii="Arial" w:hAnsi="Arial" w:cs="Arial"/>
        </w:rPr>
        <w:t>manger</w:t>
      </w:r>
      <w:r>
        <w:rPr>
          <w:rFonts w:ascii="Arial" w:hAnsi="Arial" w:cs="Arial"/>
        </w:rPr>
        <w:t xml:space="preserve">, or the organisation. </w:t>
      </w:r>
    </w:p>
    <w:p w14:paraId="786738FE" w14:textId="77777777" w:rsidR="00E71AC0" w:rsidRDefault="00E71AC0">
      <w:pPr>
        <w:spacing w:line="360" w:lineRule="auto"/>
        <w:rPr>
          <w:rFonts w:ascii="Arial" w:hAnsi="Arial" w:cs="Arial"/>
        </w:rPr>
      </w:pPr>
    </w:p>
    <w:p w14:paraId="786738FF" w14:textId="77777777" w:rsidR="00E71AC0" w:rsidRDefault="00E71AC0">
      <w:pPr>
        <w:spacing w:line="360" w:lineRule="auto"/>
        <w:rPr>
          <w:rFonts w:ascii="Arial" w:hAnsi="Arial" w:cs="Arial"/>
        </w:rPr>
      </w:pPr>
    </w:p>
    <w:p w14:paraId="78673900" w14:textId="77777777" w:rsidR="00E71AC0" w:rsidRDefault="00667FA1">
      <w:pPr>
        <w:spacing w:line="360" w:lineRule="auto"/>
      </w:pPr>
      <w:r>
        <w:rPr>
          <w:rFonts w:ascii="Arial" w:hAnsi="Arial" w:cs="Arial"/>
          <w:b/>
          <w:bCs/>
          <w:u w:val="single"/>
        </w:rPr>
        <w:lastRenderedPageBreak/>
        <w:t>Recommendations</w:t>
      </w:r>
    </w:p>
    <w:p w14:paraId="78673901" w14:textId="77777777" w:rsidR="00E71AC0" w:rsidRDefault="00667FA1">
      <w:pPr>
        <w:pStyle w:val="ListParagraph"/>
        <w:numPr>
          <w:ilvl w:val="0"/>
          <w:numId w:val="2"/>
        </w:numPr>
        <w:spacing w:line="360" w:lineRule="auto"/>
        <w:rPr>
          <w:rFonts w:ascii="Arial" w:hAnsi="Arial" w:cs="Arial"/>
        </w:rPr>
      </w:pPr>
      <w:r>
        <w:rPr>
          <w:rFonts w:ascii="Arial" w:hAnsi="Arial" w:cs="Arial"/>
        </w:rPr>
        <w:t>Further interviews, undertaking more over a greater length of time, providing more opportunity for those with restricted capacity to attend.  This would allow for wider participation, an increase of information and more depth to the findings originally taken.</w:t>
      </w:r>
    </w:p>
    <w:p w14:paraId="78673902" w14:textId="77777777" w:rsidR="00E71AC0" w:rsidRDefault="00667FA1">
      <w:pPr>
        <w:pStyle w:val="ListParagraph"/>
        <w:numPr>
          <w:ilvl w:val="0"/>
          <w:numId w:val="2"/>
        </w:numPr>
        <w:spacing w:line="360" w:lineRule="auto"/>
        <w:rPr>
          <w:rFonts w:ascii="Arial" w:hAnsi="Arial" w:cs="Arial"/>
        </w:rPr>
      </w:pPr>
      <w:r>
        <w:rPr>
          <w:rFonts w:ascii="Arial" w:hAnsi="Arial" w:cs="Arial"/>
        </w:rPr>
        <w:t>Once the training programmes for workforce planning are developed based on the above findings, it would be good to seek further evaluation to ascertain whether 1) original needs have been met, or 2) original needs were only what was perceived, and by meeting those perceived needs, actual needs have been realised.</w:t>
      </w:r>
    </w:p>
    <w:p w14:paraId="78673903" w14:textId="77777777" w:rsidR="00E71AC0" w:rsidRDefault="00667FA1">
      <w:pPr>
        <w:pStyle w:val="ListParagraph"/>
        <w:numPr>
          <w:ilvl w:val="0"/>
          <w:numId w:val="2"/>
        </w:numPr>
        <w:spacing w:line="360" w:lineRule="auto"/>
        <w:rPr>
          <w:rFonts w:ascii="Arial" w:hAnsi="Arial" w:cs="Arial"/>
        </w:rPr>
      </w:pPr>
      <w:r>
        <w:rPr>
          <w:rFonts w:ascii="Arial" w:hAnsi="Arial" w:cs="Arial"/>
        </w:rPr>
        <w:t>Communication strategy needs to be further developed to make managers aware of 1) what is involved in workforce planning, 2) its importance, 3) the range of workforce planning training &amp; support available.</w:t>
      </w:r>
    </w:p>
    <w:p w14:paraId="701200E4" w14:textId="6201BBA1" w:rsidR="00E834C8" w:rsidRDefault="00E834C8">
      <w:pPr>
        <w:pStyle w:val="ListParagraph"/>
        <w:numPr>
          <w:ilvl w:val="0"/>
          <w:numId w:val="2"/>
        </w:numPr>
        <w:spacing w:line="360" w:lineRule="auto"/>
        <w:rPr>
          <w:rFonts w:ascii="Arial" w:hAnsi="Arial" w:cs="Arial"/>
        </w:rPr>
      </w:pPr>
      <w:r>
        <w:rPr>
          <w:rFonts w:ascii="Arial" w:hAnsi="Arial" w:cs="Arial"/>
        </w:rPr>
        <w:t>While the research did</w:t>
      </w:r>
      <w:r w:rsidR="006C346B">
        <w:rPr>
          <w:rFonts w:ascii="Arial" w:hAnsi="Arial" w:cs="Arial"/>
        </w:rPr>
        <w:t xml:space="preserve"> answer the original question, there is still further research to be conducted</w:t>
      </w:r>
      <w:r w:rsidR="009E3A1F">
        <w:rPr>
          <w:rFonts w:ascii="Arial" w:hAnsi="Arial" w:cs="Arial"/>
        </w:rPr>
        <w:t>, with an increased participation and extended period of time given, for a more detailed response.</w:t>
      </w:r>
    </w:p>
    <w:p w14:paraId="7867390C" w14:textId="77777777" w:rsidR="00E71AC0" w:rsidRDefault="00667FA1">
      <w:pPr>
        <w:spacing w:line="360" w:lineRule="auto"/>
        <w:rPr>
          <w:rFonts w:ascii="Arial" w:hAnsi="Arial" w:cs="Arial"/>
          <w:b/>
          <w:bCs/>
          <w:u w:val="single"/>
        </w:rPr>
      </w:pPr>
      <w:r>
        <w:rPr>
          <w:rFonts w:ascii="Arial" w:hAnsi="Arial" w:cs="Arial"/>
          <w:b/>
          <w:bCs/>
          <w:u w:val="single"/>
        </w:rPr>
        <w:t>Bibliography</w:t>
      </w:r>
    </w:p>
    <w:p w14:paraId="7867390D" w14:textId="77777777" w:rsidR="00E71AC0" w:rsidRDefault="00E71AC0">
      <w:pPr>
        <w:spacing w:line="360" w:lineRule="auto"/>
        <w:rPr>
          <w:rFonts w:ascii="Arial" w:hAnsi="Arial" w:cs="Arial"/>
          <w:b/>
          <w:bCs/>
          <w:u w:val="single"/>
        </w:rPr>
      </w:pPr>
    </w:p>
    <w:p w14:paraId="7867390E" w14:textId="77777777" w:rsidR="00E71AC0" w:rsidRDefault="00667FA1">
      <w:pPr>
        <w:pStyle w:val="Bibliography"/>
        <w:spacing w:line="360" w:lineRule="auto"/>
        <w:ind w:left="720" w:hanging="720"/>
      </w:pPr>
      <w:proofErr w:type="spellStart"/>
      <w:r>
        <w:rPr>
          <w:rFonts w:ascii="Arial" w:hAnsi="Arial" w:cs="Arial"/>
          <w:lang w:val="en-US"/>
        </w:rPr>
        <w:t>Akerfeldt</w:t>
      </w:r>
      <w:proofErr w:type="spellEnd"/>
      <w:r>
        <w:rPr>
          <w:rFonts w:ascii="Arial" w:hAnsi="Arial" w:cs="Arial"/>
          <w:lang w:val="en-US"/>
        </w:rPr>
        <w:t xml:space="preserve">, A., Bergdahl, N., &amp; </w:t>
      </w:r>
      <w:proofErr w:type="spellStart"/>
      <w:r>
        <w:rPr>
          <w:rFonts w:ascii="Arial" w:hAnsi="Arial" w:cs="Arial"/>
          <w:lang w:val="en-US"/>
        </w:rPr>
        <w:t>Hrastinkski</w:t>
      </w:r>
      <w:proofErr w:type="spellEnd"/>
      <w:r>
        <w:rPr>
          <w:rFonts w:ascii="Arial" w:hAnsi="Arial" w:cs="Arial"/>
          <w:lang w:val="en-US"/>
        </w:rPr>
        <w:t xml:space="preserve">, S. (2024). Adult learners’ perceptions of distance education. </w:t>
      </w:r>
      <w:r>
        <w:rPr>
          <w:rFonts w:ascii="Arial" w:hAnsi="Arial" w:cs="Arial"/>
          <w:i/>
          <w:iCs/>
          <w:lang w:val="en-US"/>
        </w:rPr>
        <w:t>Journal of Adult and Continuing Education</w:t>
      </w:r>
      <w:r>
        <w:rPr>
          <w:rFonts w:ascii="Arial" w:hAnsi="Arial" w:cs="Arial"/>
          <w:lang w:val="en-US"/>
        </w:rPr>
        <w:t>, Volume 30, Issue 1, Pages 248-266.</w:t>
      </w:r>
    </w:p>
    <w:p w14:paraId="7867390F" w14:textId="77777777" w:rsidR="00E71AC0" w:rsidRDefault="00667FA1">
      <w:pPr>
        <w:pStyle w:val="Bibliography"/>
        <w:spacing w:line="360" w:lineRule="auto"/>
        <w:ind w:left="720" w:hanging="720"/>
      </w:pPr>
      <w:r>
        <w:rPr>
          <w:rFonts w:ascii="Arial" w:hAnsi="Arial" w:cs="Arial"/>
          <w:lang w:val="en-US"/>
        </w:rPr>
        <w:t xml:space="preserve">Ali, D. A., </w:t>
      </w:r>
      <w:proofErr w:type="spellStart"/>
      <w:r>
        <w:rPr>
          <w:rFonts w:ascii="Arial" w:hAnsi="Arial" w:cs="Arial"/>
          <w:lang w:val="en-US"/>
        </w:rPr>
        <w:t>Fazaz</w:t>
      </w:r>
      <w:proofErr w:type="spellEnd"/>
      <w:r>
        <w:rPr>
          <w:rFonts w:ascii="Arial" w:hAnsi="Arial" w:cs="Arial"/>
          <w:lang w:val="en-US"/>
        </w:rPr>
        <w:t xml:space="preserve">, M., </w:t>
      </w:r>
      <w:proofErr w:type="spellStart"/>
      <w:r>
        <w:rPr>
          <w:rFonts w:ascii="Arial" w:hAnsi="Arial" w:cs="Arial"/>
          <w:lang w:val="en-US"/>
        </w:rPr>
        <w:t>Ounaceur</w:t>
      </w:r>
      <w:proofErr w:type="spellEnd"/>
      <w:r>
        <w:rPr>
          <w:rFonts w:ascii="Arial" w:hAnsi="Arial" w:cs="Arial"/>
          <w:lang w:val="en-US"/>
        </w:rPr>
        <w:t xml:space="preserve">, B., </w:t>
      </w:r>
      <w:proofErr w:type="spellStart"/>
      <w:r>
        <w:rPr>
          <w:rFonts w:ascii="Arial" w:hAnsi="Arial" w:cs="Arial"/>
          <w:lang w:val="en-US"/>
        </w:rPr>
        <w:t>Houate</w:t>
      </w:r>
      <w:proofErr w:type="spellEnd"/>
      <w:r>
        <w:rPr>
          <w:rFonts w:ascii="Arial" w:hAnsi="Arial" w:cs="Arial"/>
          <w:lang w:val="en-US"/>
        </w:rPr>
        <w:t xml:space="preserve">, B. E., </w:t>
      </w:r>
      <w:proofErr w:type="spellStart"/>
      <w:r>
        <w:rPr>
          <w:rFonts w:ascii="Arial" w:hAnsi="Arial" w:cs="Arial"/>
          <w:lang w:val="en-US"/>
        </w:rPr>
        <w:t>Koutbi</w:t>
      </w:r>
      <w:proofErr w:type="spellEnd"/>
      <w:r>
        <w:rPr>
          <w:rFonts w:ascii="Arial" w:hAnsi="Arial" w:cs="Arial"/>
          <w:lang w:val="en-US"/>
        </w:rPr>
        <w:t xml:space="preserve">, M. E., </w:t>
      </w:r>
      <w:proofErr w:type="spellStart"/>
      <w:r>
        <w:rPr>
          <w:rFonts w:ascii="Arial" w:hAnsi="Arial" w:cs="Arial"/>
          <w:lang w:val="en-US"/>
        </w:rPr>
        <w:t>Khiat</w:t>
      </w:r>
      <w:proofErr w:type="spellEnd"/>
      <w:r>
        <w:rPr>
          <w:rFonts w:ascii="Arial" w:hAnsi="Arial" w:cs="Arial"/>
          <w:lang w:val="en-US"/>
        </w:rPr>
        <w:t xml:space="preserve">, A. E., &amp; </w:t>
      </w:r>
      <w:proofErr w:type="spellStart"/>
      <w:r>
        <w:rPr>
          <w:rFonts w:ascii="Arial" w:hAnsi="Arial" w:cs="Arial"/>
          <w:lang w:val="en-US"/>
        </w:rPr>
        <w:t>Shenjazi</w:t>
      </w:r>
      <w:proofErr w:type="spellEnd"/>
      <w:r>
        <w:rPr>
          <w:rFonts w:ascii="Arial" w:hAnsi="Arial" w:cs="Arial"/>
          <w:lang w:val="en-US"/>
        </w:rPr>
        <w:t xml:space="preserve">, F. (2022). Motivational factors influencing nurses’ participation in continuing education sessions: A hospital-based study. </w:t>
      </w:r>
      <w:r>
        <w:rPr>
          <w:rFonts w:ascii="Arial" w:hAnsi="Arial" w:cs="Arial"/>
          <w:i/>
          <w:iCs/>
          <w:lang w:val="en-US"/>
        </w:rPr>
        <w:t>Journal of Adult and Continuing Education</w:t>
      </w:r>
      <w:r>
        <w:rPr>
          <w:rFonts w:ascii="Arial" w:hAnsi="Arial" w:cs="Arial"/>
          <w:lang w:val="en-US"/>
        </w:rPr>
        <w:t>, Volume 29, Issue 2, Pages 395-407.</w:t>
      </w:r>
    </w:p>
    <w:p w14:paraId="78673910" w14:textId="77777777" w:rsidR="00E71AC0" w:rsidRDefault="00667FA1">
      <w:pPr>
        <w:spacing w:line="360" w:lineRule="auto"/>
      </w:pPr>
      <w:r>
        <w:rPr>
          <w:rFonts w:ascii="Arial" w:hAnsi="Arial" w:cs="Arial"/>
          <w:lang w:val="en-US"/>
        </w:rPr>
        <w:t xml:space="preserve">Allen, Kate, &amp; Marquez, A. (2019). Teaching Vocabulary with Visual aids. </w:t>
      </w:r>
      <w:r>
        <w:rPr>
          <w:rFonts w:ascii="Arial" w:hAnsi="Arial" w:cs="Arial"/>
          <w:i/>
          <w:iCs/>
          <w:lang w:val="en-US"/>
        </w:rPr>
        <w:t xml:space="preserve">Journal of </w:t>
      </w:r>
    </w:p>
    <w:p w14:paraId="78673911" w14:textId="77777777" w:rsidR="00E71AC0" w:rsidRDefault="00667FA1">
      <w:pPr>
        <w:spacing w:line="360" w:lineRule="auto"/>
        <w:ind w:left="340" w:firstLine="340"/>
      </w:pPr>
      <w:r>
        <w:rPr>
          <w:rFonts w:ascii="Arial" w:hAnsi="Arial" w:cs="Arial"/>
          <w:i/>
          <w:iCs/>
          <w:lang w:val="en-US"/>
        </w:rPr>
        <w:t>Kao Ying Industrial &amp; Commercial Vocational High School</w:t>
      </w:r>
      <w:r>
        <w:rPr>
          <w:rFonts w:ascii="Arial" w:hAnsi="Arial" w:cs="Arial"/>
          <w:lang w:val="en-US"/>
        </w:rPr>
        <w:t>, 01-05</w:t>
      </w:r>
    </w:p>
    <w:p w14:paraId="78673912" w14:textId="77777777" w:rsidR="00E71AC0" w:rsidRDefault="00667FA1">
      <w:pPr>
        <w:pStyle w:val="Bibliography"/>
        <w:spacing w:line="360" w:lineRule="auto"/>
        <w:ind w:left="720" w:hanging="720"/>
      </w:pPr>
      <w:r>
        <w:rPr>
          <w:rFonts w:ascii="Arial" w:hAnsi="Arial" w:cs="Arial"/>
          <w:lang w:val="en-US"/>
        </w:rPr>
        <w:t xml:space="preserve">Appleby, J., Leng, G., &amp; Marshall, M. (2024, March 20). </w:t>
      </w:r>
      <w:r>
        <w:rPr>
          <w:rFonts w:ascii="Arial" w:hAnsi="Arial" w:cs="Arial"/>
          <w:i/>
          <w:iCs/>
          <w:lang w:val="en-US"/>
        </w:rPr>
        <w:t>NHS funding for a secure future</w:t>
      </w:r>
      <w:r>
        <w:rPr>
          <w:rFonts w:ascii="Arial" w:hAnsi="Arial" w:cs="Arial"/>
          <w:lang w:val="en-US"/>
        </w:rPr>
        <w:t>. Retrieved from BMJ: https://www.bmj.com/content/384/bmj-2024-079341</w:t>
      </w:r>
    </w:p>
    <w:p w14:paraId="78673913" w14:textId="77777777" w:rsidR="00E71AC0" w:rsidRDefault="00667FA1">
      <w:pPr>
        <w:pStyle w:val="Bibliography"/>
        <w:spacing w:line="360" w:lineRule="auto"/>
        <w:ind w:left="720" w:hanging="720"/>
      </w:pPr>
      <w:r>
        <w:rPr>
          <w:rFonts w:ascii="Arial" w:hAnsi="Arial" w:cs="Arial"/>
          <w:lang w:val="en-US"/>
        </w:rPr>
        <w:t xml:space="preserve">Broek, S., Linden, J. v., </w:t>
      </w:r>
      <w:proofErr w:type="spellStart"/>
      <w:r>
        <w:rPr>
          <w:rFonts w:ascii="Arial" w:hAnsi="Arial" w:cs="Arial"/>
          <w:lang w:val="en-US"/>
        </w:rPr>
        <w:t>Kuijpers</w:t>
      </w:r>
      <w:proofErr w:type="spellEnd"/>
      <w:r>
        <w:rPr>
          <w:rFonts w:ascii="Arial" w:hAnsi="Arial" w:cs="Arial"/>
          <w:lang w:val="en-US"/>
        </w:rPr>
        <w:t xml:space="preserve">, M. A., &amp; </w:t>
      </w:r>
      <w:proofErr w:type="spellStart"/>
      <w:r>
        <w:rPr>
          <w:rFonts w:ascii="Arial" w:hAnsi="Arial" w:cs="Arial"/>
          <w:lang w:val="en-US"/>
        </w:rPr>
        <w:t>Semeijn</w:t>
      </w:r>
      <w:proofErr w:type="spellEnd"/>
      <w:r>
        <w:rPr>
          <w:rFonts w:ascii="Arial" w:hAnsi="Arial" w:cs="Arial"/>
          <w:lang w:val="en-US"/>
        </w:rPr>
        <w:t xml:space="preserve">, J. H. (2023). What makes adults choose to learn: Factors that stimulate or prevent adults from learning. </w:t>
      </w:r>
      <w:r>
        <w:rPr>
          <w:rFonts w:ascii="Arial" w:hAnsi="Arial" w:cs="Arial"/>
          <w:i/>
          <w:iCs/>
          <w:lang w:val="en-US"/>
        </w:rPr>
        <w:lastRenderedPageBreak/>
        <w:t>Journal of Adult and Continuing Education</w:t>
      </w:r>
      <w:r>
        <w:rPr>
          <w:rFonts w:ascii="Arial" w:hAnsi="Arial" w:cs="Arial"/>
          <w:lang w:val="en-US"/>
        </w:rPr>
        <w:t>, Volume 29, Issue 2, Page 620-642.</w:t>
      </w:r>
    </w:p>
    <w:p w14:paraId="78673914" w14:textId="77777777" w:rsidR="00E71AC0" w:rsidRDefault="00667FA1">
      <w:pPr>
        <w:pStyle w:val="Bibliography"/>
        <w:spacing w:line="360" w:lineRule="auto"/>
        <w:ind w:left="720" w:hanging="720"/>
      </w:pPr>
      <w:proofErr w:type="spellStart"/>
      <w:r>
        <w:rPr>
          <w:rFonts w:ascii="Arial" w:hAnsi="Arial" w:cs="Arial"/>
          <w:lang w:val="en-US"/>
        </w:rPr>
        <w:t>Bušljeta</w:t>
      </w:r>
      <w:proofErr w:type="spellEnd"/>
      <w:r>
        <w:rPr>
          <w:rFonts w:ascii="Arial" w:hAnsi="Arial" w:cs="Arial"/>
          <w:lang w:val="en-US"/>
        </w:rPr>
        <w:t xml:space="preserve">, D. R. (2013). Effective Use of Teaching and Learning Resources. </w:t>
      </w:r>
      <w:r>
        <w:rPr>
          <w:rFonts w:ascii="Arial" w:hAnsi="Arial" w:cs="Arial"/>
          <w:i/>
          <w:iCs/>
          <w:lang w:val="en-US"/>
        </w:rPr>
        <w:t>Czech-Polish Historical and Pedagogical Journal</w:t>
      </w:r>
      <w:r>
        <w:rPr>
          <w:rFonts w:ascii="Arial" w:hAnsi="Arial" w:cs="Arial"/>
          <w:lang w:val="en-US"/>
        </w:rPr>
        <w:t xml:space="preserve">, Vol. 5; 2; </w:t>
      </w:r>
      <w:proofErr w:type="spellStart"/>
      <w:r>
        <w:rPr>
          <w:rFonts w:ascii="Arial" w:hAnsi="Arial" w:cs="Arial"/>
          <w:lang w:val="en-US"/>
        </w:rPr>
        <w:t>pg</w:t>
      </w:r>
      <w:proofErr w:type="spellEnd"/>
      <w:r>
        <w:rPr>
          <w:rFonts w:ascii="Arial" w:hAnsi="Arial" w:cs="Arial"/>
          <w:lang w:val="en-US"/>
        </w:rPr>
        <w:t xml:space="preserve"> 55-70. Retrieved from </w:t>
      </w:r>
      <w:proofErr w:type="spellStart"/>
      <w:r>
        <w:rPr>
          <w:rFonts w:ascii="Arial" w:hAnsi="Arial" w:cs="Arial"/>
          <w:lang w:val="en-US"/>
        </w:rPr>
        <w:t>Researchgate</w:t>
      </w:r>
      <w:proofErr w:type="spellEnd"/>
      <w:r>
        <w:rPr>
          <w:rFonts w:ascii="Arial" w:hAnsi="Arial" w:cs="Arial"/>
          <w:lang w:val="en-US"/>
        </w:rPr>
        <w:t>.</w:t>
      </w:r>
    </w:p>
    <w:p w14:paraId="78673915" w14:textId="77777777" w:rsidR="00E71AC0" w:rsidRDefault="00667FA1">
      <w:pPr>
        <w:pStyle w:val="Bibliography"/>
        <w:spacing w:line="360" w:lineRule="auto"/>
        <w:ind w:left="720" w:hanging="720"/>
      </w:pPr>
      <w:r>
        <w:rPr>
          <w:rFonts w:ascii="Arial" w:hAnsi="Arial" w:cs="Arial"/>
          <w:lang w:val="en-US"/>
        </w:rPr>
        <w:t xml:space="preserve">Cairns, A. (2023, September 22). Professionalism and Artist–Teachers in Adult Community Learning in the UK. </w:t>
      </w:r>
      <w:r>
        <w:rPr>
          <w:rFonts w:ascii="Arial" w:hAnsi="Arial" w:cs="Arial"/>
          <w:i/>
          <w:iCs/>
          <w:lang w:val="en-US"/>
        </w:rPr>
        <w:t xml:space="preserve">The International </w:t>
      </w:r>
      <w:r>
        <w:rPr>
          <w:rFonts w:ascii="Arial" w:hAnsi="Arial" w:cs="Arial"/>
          <w:lang w:val="en-US"/>
        </w:rPr>
        <w:t xml:space="preserve">, Vol 43, Issue 1, </w:t>
      </w:r>
      <w:proofErr w:type="spellStart"/>
      <w:r>
        <w:rPr>
          <w:rFonts w:ascii="Arial" w:hAnsi="Arial" w:cs="Arial"/>
          <w:lang w:val="en-US"/>
        </w:rPr>
        <w:t>pg</w:t>
      </w:r>
      <w:proofErr w:type="spellEnd"/>
      <w:r>
        <w:rPr>
          <w:rFonts w:ascii="Arial" w:hAnsi="Arial" w:cs="Arial"/>
          <w:lang w:val="en-US"/>
        </w:rPr>
        <w:t xml:space="preserve"> 4-17. Retrieved from </w:t>
      </w:r>
      <w:hyperlink r:id="rId14" w:history="1">
        <w:r>
          <w:rPr>
            <w:rStyle w:val="Hyperlink"/>
            <w:rFonts w:ascii="Arial" w:hAnsi="Arial" w:cs="Arial"/>
            <w:lang w:val="en-US"/>
          </w:rPr>
          <w:t>https://onlinelibrary-wiley-com.ezproxy.uwtsd.ac.uk/doi/full/10.1111/jade.12473</w:t>
        </w:r>
      </w:hyperlink>
      <w:r>
        <w:rPr>
          <w:rFonts w:ascii="Arial" w:hAnsi="Arial" w:cs="Arial"/>
          <w:lang w:val="en-US"/>
        </w:rPr>
        <w:t xml:space="preserve"> (Accessed on 4th July 2024)</w:t>
      </w:r>
    </w:p>
    <w:p w14:paraId="78673916" w14:textId="77777777" w:rsidR="00E71AC0" w:rsidRDefault="00667FA1">
      <w:pPr>
        <w:spacing w:line="360" w:lineRule="auto"/>
        <w:rPr>
          <w:rFonts w:ascii="Arial" w:hAnsi="Arial" w:cs="Arial"/>
          <w:shd w:val="clear" w:color="auto" w:fill="FFFFFF"/>
        </w:rPr>
      </w:pPr>
      <w:r>
        <w:rPr>
          <w:rFonts w:ascii="Arial" w:hAnsi="Arial" w:cs="Arial"/>
          <w:shd w:val="clear" w:color="auto" w:fill="FFFFFF"/>
        </w:rPr>
        <w:t xml:space="preserve">CHOY, S. and LE, A.H., 2023/11//. Workplace practices that support learning across </w:t>
      </w:r>
    </w:p>
    <w:p w14:paraId="78673917" w14:textId="77777777" w:rsidR="00E71AC0" w:rsidRDefault="00667FA1">
      <w:pPr>
        <w:spacing w:line="360" w:lineRule="auto"/>
        <w:ind w:left="340" w:firstLine="340"/>
      </w:pPr>
      <w:r>
        <w:rPr>
          <w:rFonts w:ascii="Arial" w:hAnsi="Arial" w:cs="Arial"/>
          <w:shd w:val="clear" w:color="auto" w:fill="FFFFFF"/>
        </w:rPr>
        <w:t>working life. </w:t>
      </w:r>
      <w:r>
        <w:rPr>
          <w:rFonts w:ascii="Arial" w:hAnsi="Arial" w:cs="Arial"/>
          <w:i/>
          <w:iCs/>
          <w:shd w:val="clear" w:color="auto" w:fill="FFFFFF"/>
        </w:rPr>
        <w:t>Australian Journal of Adult Learning, </w:t>
      </w:r>
      <w:r>
        <w:rPr>
          <w:rFonts w:ascii="Arial" w:hAnsi="Arial" w:cs="Arial"/>
          <w:b/>
          <w:bCs/>
          <w:shd w:val="clear" w:color="auto" w:fill="FFFFFF"/>
        </w:rPr>
        <w:t>63</w:t>
      </w:r>
      <w:r>
        <w:rPr>
          <w:rFonts w:ascii="Arial" w:hAnsi="Arial" w:cs="Arial"/>
          <w:shd w:val="clear" w:color="auto" w:fill="FFFFFF"/>
        </w:rPr>
        <w:t>(3), pp. 320-342.</w:t>
      </w:r>
    </w:p>
    <w:p w14:paraId="78673918" w14:textId="77777777" w:rsidR="00E71AC0" w:rsidRDefault="00667FA1">
      <w:pPr>
        <w:pStyle w:val="Bibliography"/>
        <w:spacing w:line="360" w:lineRule="auto"/>
        <w:ind w:left="720" w:hanging="720"/>
      </w:pPr>
      <w:r>
        <w:rPr>
          <w:rFonts w:ascii="Arial" w:hAnsi="Arial" w:cs="Arial"/>
          <w:lang w:val="en-US"/>
        </w:rPr>
        <w:t xml:space="preserve">CIPD. (n.d.). </w:t>
      </w:r>
      <w:r>
        <w:rPr>
          <w:rFonts w:ascii="Arial" w:hAnsi="Arial" w:cs="Arial"/>
          <w:i/>
          <w:iCs/>
          <w:lang w:val="en-US"/>
        </w:rPr>
        <w:t xml:space="preserve">Strategic workforce planning </w:t>
      </w:r>
      <w:proofErr w:type="spellStart"/>
      <w:r>
        <w:rPr>
          <w:rFonts w:ascii="Arial" w:hAnsi="Arial" w:cs="Arial"/>
          <w:i/>
          <w:iCs/>
          <w:lang w:val="en-US"/>
        </w:rPr>
        <w:t>programme</w:t>
      </w:r>
      <w:proofErr w:type="spellEnd"/>
      <w:r>
        <w:rPr>
          <w:rFonts w:ascii="Arial" w:hAnsi="Arial" w:cs="Arial"/>
          <w:lang w:val="en-US"/>
        </w:rPr>
        <w:t>. Retrieved from CIPD: https://shop.cipd.org/product?catalog=Strategic-Workforce-Planning</w:t>
      </w:r>
    </w:p>
    <w:p w14:paraId="78673919" w14:textId="77777777" w:rsidR="00E71AC0" w:rsidRDefault="00667FA1">
      <w:pPr>
        <w:pStyle w:val="Bibliography"/>
        <w:spacing w:line="360" w:lineRule="auto"/>
        <w:ind w:left="720" w:hanging="720"/>
      </w:pPr>
      <w:r>
        <w:rPr>
          <w:rFonts w:ascii="Arial" w:hAnsi="Arial" w:cs="Arial"/>
          <w:lang w:val="en-US"/>
        </w:rPr>
        <w:t xml:space="preserve">Cookson, C., &amp; Cameron-Chileshe, J. (2023, January 3). </w:t>
      </w:r>
      <w:r>
        <w:rPr>
          <w:rFonts w:ascii="Arial" w:hAnsi="Arial" w:cs="Arial"/>
          <w:i/>
          <w:iCs/>
          <w:lang w:val="en-US"/>
        </w:rPr>
        <w:t>Why is the NHS in its worst ever crisis?</w:t>
      </w:r>
      <w:r>
        <w:rPr>
          <w:rFonts w:ascii="Arial" w:hAnsi="Arial" w:cs="Arial"/>
          <w:lang w:val="en-US"/>
        </w:rPr>
        <w:t xml:space="preserve"> Retrieved from Financial Times: </w:t>
      </w:r>
      <w:hyperlink r:id="rId15" w:history="1">
        <w:r>
          <w:rPr>
            <w:rStyle w:val="Hyperlink"/>
            <w:rFonts w:ascii="Arial" w:hAnsi="Arial" w:cs="Arial"/>
            <w:lang w:val="en-US"/>
          </w:rPr>
          <w:t>https://www.ft.com/content/b593116d-f948-4757-b2fa-c74adadc8b42</w:t>
        </w:r>
      </w:hyperlink>
      <w:r>
        <w:rPr>
          <w:rStyle w:val="Hyperlink"/>
          <w:rFonts w:ascii="Arial" w:hAnsi="Arial" w:cs="Arial"/>
          <w:color w:val="auto"/>
          <w:u w:val="none"/>
          <w:lang w:val="en-US"/>
        </w:rPr>
        <w:t xml:space="preserve"> (21</w:t>
      </w:r>
      <w:r>
        <w:rPr>
          <w:rStyle w:val="Hyperlink"/>
          <w:rFonts w:ascii="Arial" w:hAnsi="Arial" w:cs="Arial"/>
          <w:color w:val="auto"/>
          <w:u w:val="none"/>
          <w:vertAlign w:val="superscript"/>
          <w:lang w:val="en-US"/>
        </w:rPr>
        <w:t>st</w:t>
      </w:r>
      <w:r>
        <w:rPr>
          <w:rStyle w:val="Hyperlink"/>
          <w:rFonts w:ascii="Arial" w:hAnsi="Arial" w:cs="Arial"/>
          <w:color w:val="auto"/>
          <w:u w:val="none"/>
          <w:lang w:val="en-US"/>
        </w:rPr>
        <w:t xml:space="preserve"> September 2023)</w:t>
      </w:r>
    </w:p>
    <w:p w14:paraId="7867391A" w14:textId="77777777" w:rsidR="00E71AC0" w:rsidRDefault="00667FA1">
      <w:pPr>
        <w:pStyle w:val="Bibliography"/>
        <w:spacing w:line="360" w:lineRule="auto"/>
        <w:ind w:left="720" w:hanging="720"/>
      </w:pPr>
      <w:r>
        <w:rPr>
          <w:rFonts w:ascii="Arial" w:hAnsi="Arial" w:cs="Arial"/>
          <w:lang w:val="en-US"/>
        </w:rPr>
        <w:t xml:space="preserve">Denscombe, M. (2008, July). Communities of Practice: A Research Paradigm for the Mixed Methods Approach. </w:t>
      </w:r>
      <w:r>
        <w:rPr>
          <w:rFonts w:ascii="Arial" w:hAnsi="Arial" w:cs="Arial"/>
          <w:i/>
          <w:iCs/>
          <w:lang w:val="en-US"/>
        </w:rPr>
        <w:t>Journal of Mixed Method Research</w:t>
      </w:r>
      <w:r>
        <w:rPr>
          <w:rFonts w:ascii="Arial" w:hAnsi="Arial" w:cs="Arial"/>
          <w:lang w:val="en-US"/>
        </w:rPr>
        <w:t>, pp. Volume 2, Number 3, Pages 270-283.</w:t>
      </w:r>
    </w:p>
    <w:p w14:paraId="7867391B" w14:textId="77777777" w:rsidR="00E71AC0" w:rsidRDefault="00667FA1">
      <w:pPr>
        <w:pStyle w:val="Bibliography"/>
        <w:spacing w:line="360" w:lineRule="auto"/>
        <w:ind w:left="720" w:hanging="720"/>
      </w:pPr>
      <w:proofErr w:type="spellStart"/>
      <w:r>
        <w:rPr>
          <w:rFonts w:ascii="Arial" w:hAnsi="Arial" w:cs="Arial"/>
          <w:lang w:val="en-US"/>
        </w:rPr>
        <w:t>Derera</w:t>
      </w:r>
      <w:proofErr w:type="spellEnd"/>
      <w:r>
        <w:rPr>
          <w:rFonts w:ascii="Arial" w:hAnsi="Arial" w:cs="Arial"/>
          <w:lang w:val="en-US"/>
        </w:rPr>
        <w:t xml:space="preserve">, K. (n.d.). </w:t>
      </w:r>
      <w:r>
        <w:rPr>
          <w:rFonts w:ascii="Arial" w:hAnsi="Arial" w:cs="Arial"/>
          <w:i/>
          <w:iCs/>
          <w:lang w:val="en-US"/>
        </w:rPr>
        <w:t>Toolkits: A guide to developing toolkits that work</w:t>
      </w:r>
      <w:r>
        <w:rPr>
          <w:rFonts w:ascii="Arial" w:hAnsi="Arial" w:cs="Arial"/>
          <w:lang w:val="en-US"/>
        </w:rPr>
        <w:t xml:space="preserve">. Retrieved from The Human Capital Hub: </w:t>
      </w:r>
      <w:hyperlink r:id="rId16" w:history="1">
        <w:r>
          <w:rPr>
            <w:rStyle w:val="Hyperlink"/>
            <w:rFonts w:ascii="Arial" w:hAnsi="Arial" w:cs="Arial"/>
            <w:lang w:val="en-US"/>
          </w:rPr>
          <w:t>https://www.thehumancapitalhub.com/articles/Toolkits-A-Guide-To-Developing-Toolkits-That-Work</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2024)</w:t>
      </w:r>
    </w:p>
    <w:p w14:paraId="7867391C" w14:textId="77777777" w:rsidR="00E71AC0" w:rsidRDefault="00667FA1">
      <w:pPr>
        <w:spacing w:line="360" w:lineRule="auto"/>
      </w:pPr>
      <w:proofErr w:type="spellStart"/>
      <w:r>
        <w:rPr>
          <w:rFonts w:ascii="Arial" w:hAnsi="Arial" w:cs="Arial"/>
          <w:lang w:val="en-US"/>
        </w:rPr>
        <w:t>DiLeornado</w:t>
      </w:r>
      <w:proofErr w:type="spellEnd"/>
      <w:r>
        <w:rPr>
          <w:rFonts w:ascii="Arial" w:hAnsi="Arial" w:cs="Arial"/>
          <w:lang w:val="en-US"/>
        </w:rPr>
        <w:t xml:space="preserve">, Alexander; </w:t>
      </w:r>
      <w:proofErr w:type="spellStart"/>
      <w:r>
        <w:rPr>
          <w:rFonts w:ascii="Arial" w:hAnsi="Arial" w:cs="Arial"/>
          <w:lang w:val="en-US"/>
        </w:rPr>
        <w:t>Lauricella</w:t>
      </w:r>
      <w:proofErr w:type="spellEnd"/>
      <w:r>
        <w:rPr>
          <w:rFonts w:ascii="Arial" w:hAnsi="Arial" w:cs="Arial"/>
          <w:lang w:val="en-US"/>
        </w:rPr>
        <w:t xml:space="preserve">, Taylor; </w:t>
      </w:r>
      <w:proofErr w:type="spellStart"/>
      <w:r>
        <w:rPr>
          <w:rFonts w:ascii="Arial" w:hAnsi="Arial" w:cs="Arial"/>
          <w:lang w:val="en-US"/>
        </w:rPr>
        <w:t>Schaninger</w:t>
      </w:r>
      <w:proofErr w:type="spellEnd"/>
      <w:r>
        <w:rPr>
          <w:rFonts w:ascii="Arial" w:hAnsi="Arial" w:cs="Arial"/>
          <w:lang w:val="en-US"/>
        </w:rPr>
        <w:t xml:space="preserve">, Bill (2021, May 11). </w:t>
      </w:r>
      <w:r>
        <w:rPr>
          <w:rFonts w:ascii="Arial" w:hAnsi="Arial" w:cs="Arial"/>
          <w:i/>
          <w:iCs/>
          <w:color w:val="000000"/>
          <w:shd w:val="clear" w:color="auto" w:fill="FFFFFF"/>
        </w:rPr>
        <w:t xml:space="preserve">Survey </w:t>
      </w:r>
    </w:p>
    <w:p w14:paraId="7867391D" w14:textId="77777777" w:rsidR="00E71AC0" w:rsidRDefault="00667FA1">
      <w:pPr>
        <w:spacing w:line="360" w:lineRule="auto"/>
        <w:ind w:left="720"/>
      </w:pPr>
      <w:r>
        <w:rPr>
          <w:rFonts w:ascii="Arial" w:hAnsi="Arial" w:cs="Arial"/>
          <w:i/>
          <w:iCs/>
          <w:color w:val="000000"/>
          <w:shd w:val="clear" w:color="auto" w:fill="FFFFFF"/>
        </w:rPr>
        <w:t xml:space="preserve">fatigue? Blame the leader, not the question. </w:t>
      </w:r>
      <w:r>
        <w:rPr>
          <w:rFonts w:ascii="Arial" w:hAnsi="Arial" w:cs="Arial"/>
          <w:color w:val="000000"/>
          <w:shd w:val="clear" w:color="auto" w:fill="FFFFFF"/>
        </w:rPr>
        <w:t xml:space="preserve">Retrieved from McKinsey &amp; Company: </w:t>
      </w:r>
      <w:hyperlink r:id="rId17" w:history="1">
        <w:r>
          <w:rPr>
            <w:rStyle w:val="Hyperlink"/>
            <w:rFonts w:ascii="Arial" w:hAnsi="Arial" w:cs="Arial"/>
          </w:rPr>
          <w:t>Survey fatigue? Blame the leader, not the question (mckinsey.com)</w:t>
        </w:r>
      </w:hyperlink>
      <w:r>
        <w:rPr>
          <w:rFonts w:ascii="Arial" w:hAnsi="Arial" w:cs="Arial"/>
        </w:rPr>
        <w:t xml:space="preserve"> (Accessed on 9</w:t>
      </w:r>
      <w:r>
        <w:rPr>
          <w:rFonts w:ascii="Arial" w:hAnsi="Arial" w:cs="Arial"/>
          <w:vertAlign w:val="superscript"/>
        </w:rPr>
        <w:t>th</w:t>
      </w:r>
      <w:r>
        <w:rPr>
          <w:rFonts w:ascii="Arial" w:hAnsi="Arial" w:cs="Arial"/>
        </w:rPr>
        <w:t xml:space="preserve"> October 2024)</w:t>
      </w:r>
    </w:p>
    <w:p w14:paraId="7867391E" w14:textId="77777777" w:rsidR="00E71AC0" w:rsidRDefault="00667FA1">
      <w:pPr>
        <w:pStyle w:val="Bibliography"/>
        <w:spacing w:line="360" w:lineRule="auto"/>
        <w:ind w:left="720" w:hanging="720"/>
      </w:pPr>
      <w:r>
        <w:rPr>
          <w:rFonts w:ascii="Arial" w:hAnsi="Arial" w:cs="Arial"/>
          <w:lang w:val="en-US"/>
        </w:rPr>
        <w:t xml:space="preserve">HCI. (2024). </w:t>
      </w:r>
      <w:r>
        <w:rPr>
          <w:rFonts w:ascii="Arial" w:hAnsi="Arial" w:cs="Arial"/>
          <w:i/>
          <w:iCs/>
          <w:lang w:val="en-US"/>
        </w:rPr>
        <w:t>Strategic Workforce Planning (SWP) Certification</w:t>
      </w:r>
      <w:r>
        <w:rPr>
          <w:rFonts w:ascii="Arial" w:hAnsi="Arial" w:cs="Arial"/>
          <w:lang w:val="en-US"/>
        </w:rPr>
        <w:t>. Retrieved from Human Capital Institute: https://www.hci.org/SWP</w:t>
      </w:r>
    </w:p>
    <w:p w14:paraId="7867391F" w14:textId="77777777" w:rsidR="00E71AC0" w:rsidRDefault="00667FA1">
      <w:pPr>
        <w:pStyle w:val="Bibliography"/>
        <w:spacing w:line="360" w:lineRule="auto"/>
        <w:ind w:left="720" w:hanging="720"/>
      </w:pPr>
      <w:r>
        <w:rPr>
          <w:rFonts w:ascii="Arial" w:hAnsi="Arial" w:cs="Arial"/>
          <w:lang w:val="en-US"/>
        </w:rPr>
        <w:lastRenderedPageBreak/>
        <w:t xml:space="preserve">Hu, H.-M. (2024). A Qualitative Study on Why Older Adults May Be Reluctant to Participate in Learning Activities. </w:t>
      </w:r>
      <w:r>
        <w:rPr>
          <w:rFonts w:ascii="Arial" w:hAnsi="Arial" w:cs="Arial"/>
          <w:i/>
          <w:iCs/>
          <w:lang w:val="en-US"/>
        </w:rPr>
        <w:t>Journal of Adult and Continuing Education</w:t>
      </w:r>
      <w:r>
        <w:rPr>
          <w:rFonts w:ascii="Arial" w:hAnsi="Arial" w:cs="Arial"/>
          <w:lang w:val="en-US"/>
        </w:rPr>
        <w:t>, Volume 30, Issue 1, Pages 39-55.</w:t>
      </w:r>
    </w:p>
    <w:p w14:paraId="78673920" w14:textId="77777777" w:rsidR="00E71AC0" w:rsidRDefault="00667FA1">
      <w:pPr>
        <w:spacing w:line="360" w:lineRule="auto"/>
      </w:pPr>
      <w:r>
        <w:rPr>
          <w:rFonts w:ascii="Arial" w:hAnsi="Arial" w:cs="Arial"/>
          <w:lang w:val="en-US"/>
        </w:rPr>
        <w:t xml:space="preserve">Hywel Dda UHB. (2024, February 23). </w:t>
      </w:r>
      <w:r>
        <w:rPr>
          <w:rFonts w:ascii="Arial" w:hAnsi="Arial" w:cs="Arial"/>
          <w:i/>
          <w:iCs/>
          <w:lang w:val="en-US"/>
        </w:rPr>
        <w:t>Staff Survey Dashboard - Hywel Dda UHB</w:t>
      </w:r>
      <w:r>
        <w:rPr>
          <w:rFonts w:ascii="Arial" w:hAnsi="Arial" w:cs="Arial"/>
          <w:lang w:val="en-US"/>
        </w:rPr>
        <w:t xml:space="preserve">. </w:t>
      </w:r>
    </w:p>
    <w:p w14:paraId="78673921" w14:textId="77777777" w:rsidR="00E71AC0" w:rsidRDefault="00667FA1">
      <w:pPr>
        <w:spacing w:line="360" w:lineRule="auto"/>
        <w:ind w:left="340"/>
      </w:pPr>
      <w:r>
        <w:rPr>
          <w:rFonts w:ascii="Arial" w:hAnsi="Arial" w:cs="Arial"/>
          <w:lang w:val="en-US"/>
        </w:rPr>
        <w:t xml:space="preserve">Retrieved from Hywel Dda University Health Board: </w:t>
      </w:r>
      <w:hyperlink r:id="rId18" w:history="1">
        <w:r>
          <w:rPr>
            <w:rStyle w:val="Hyperlink"/>
            <w:rFonts w:ascii="Arial" w:hAnsi="Arial" w:cs="Arial"/>
            <w:lang w:val="en-US"/>
          </w:rPr>
          <w:t>https://nhswales365.sharepoint.com/:p:/s/HDD_OD_Team-CultureandWorkforceExperience/EZsFzb_ud2JLmP2RbNgx2XsBXCJBGL31x6Ntjk-gtXLiWg</w:t>
        </w:r>
      </w:hyperlink>
      <w:r>
        <w:rPr>
          <w:rFonts w:ascii="Arial" w:hAnsi="Arial" w:cs="Arial"/>
          <w:lang w:val="en-US"/>
        </w:rPr>
        <w:t xml:space="preserve"> (accessed 1st October 2024)</w:t>
      </w:r>
    </w:p>
    <w:p w14:paraId="78673922" w14:textId="77777777" w:rsidR="00E71AC0" w:rsidRDefault="00667FA1">
      <w:pPr>
        <w:pStyle w:val="Bibliography"/>
        <w:spacing w:line="360" w:lineRule="auto"/>
        <w:ind w:left="720" w:hanging="720"/>
      </w:pPr>
      <w:proofErr w:type="spellStart"/>
      <w:r>
        <w:rPr>
          <w:rFonts w:ascii="Arial" w:hAnsi="Arial" w:cs="Arial"/>
          <w:lang w:val="en-US"/>
        </w:rPr>
        <w:t>Kithaka</w:t>
      </w:r>
      <w:proofErr w:type="spellEnd"/>
      <w:r>
        <w:rPr>
          <w:rFonts w:ascii="Arial" w:hAnsi="Arial" w:cs="Arial"/>
          <w:lang w:val="en-US"/>
        </w:rPr>
        <w:t xml:space="preserve">, S. (2021, January). </w:t>
      </w:r>
      <w:r>
        <w:rPr>
          <w:rFonts w:ascii="Arial" w:hAnsi="Arial" w:cs="Arial"/>
          <w:i/>
          <w:iCs/>
          <w:lang w:val="en-US"/>
        </w:rPr>
        <w:t>Strategic Workforce Planning</w:t>
      </w:r>
      <w:r>
        <w:rPr>
          <w:rFonts w:ascii="Arial" w:hAnsi="Arial" w:cs="Arial"/>
          <w:lang w:val="en-US"/>
        </w:rPr>
        <w:t xml:space="preserve">. Retrieved from Udemy: </w:t>
      </w:r>
      <w:hyperlink r:id="rId19" w:history="1">
        <w:r>
          <w:rPr>
            <w:rStyle w:val="Hyperlink"/>
            <w:rFonts w:ascii="Arial" w:hAnsi="Arial" w:cs="Arial"/>
            <w:lang w:val="en-US"/>
          </w:rPr>
          <w:t>https://www.udemy.com/course/strategic-workforce-planning/?couponCode=THANKSLEARNER24</w:t>
        </w:r>
      </w:hyperlink>
      <w:r>
        <w:rPr>
          <w:rFonts w:ascii="Arial" w:hAnsi="Arial" w:cs="Arial"/>
          <w:lang w:val="en-US"/>
        </w:rPr>
        <w:t xml:space="preserve"> (</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23" w14:textId="77777777" w:rsidR="00E71AC0" w:rsidRDefault="00667FA1">
      <w:pPr>
        <w:pStyle w:val="Bibliography"/>
        <w:spacing w:line="360" w:lineRule="auto"/>
        <w:ind w:left="720" w:hanging="720"/>
      </w:pPr>
      <w:proofErr w:type="spellStart"/>
      <w:r>
        <w:rPr>
          <w:rFonts w:ascii="Arial" w:hAnsi="Arial" w:cs="Arial"/>
          <w:lang w:val="en-US"/>
        </w:rPr>
        <w:t>Kwapong</w:t>
      </w:r>
      <w:proofErr w:type="spellEnd"/>
      <w:r>
        <w:rPr>
          <w:rFonts w:ascii="Arial" w:hAnsi="Arial" w:cs="Arial"/>
          <w:lang w:val="en-US"/>
        </w:rPr>
        <w:t xml:space="preserve">, O. A. (2022). E-learning experiences of adults during Covid-19 outbreak: The moderating effect of gender. </w:t>
      </w:r>
      <w:r>
        <w:rPr>
          <w:rFonts w:ascii="Arial" w:hAnsi="Arial" w:cs="Arial"/>
          <w:i/>
          <w:iCs/>
          <w:lang w:val="en-US"/>
        </w:rPr>
        <w:t>Journal of Adult and Continuing Education</w:t>
      </w:r>
      <w:r>
        <w:rPr>
          <w:rFonts w:ascii="Arial" w:hAnsi="Arial" w:cs="Arial"/>
          <w:lang w:val="en-US"/>
        </w:rPr>
        <w:t>, Volume 28, Issue 2, Pages 312-332.</w:t>
      </w:r>
    </w:p>
    <w:p w14:paraId="78673924" w14:textId="77777777" w:rsidR="00E71AC0" w:rsidRDefault="00667FA1">
      <w:pPr>
        <w:pStyle w:val="Bibliography"/>
        <w:spacing w:line="360" w:lineRule="auto"/>
        <w:ind w:left="720" w:hanging="720"/>
      </w:pPr>
      <w:r>
        <w:rPr>
          <w:rFonts w:ascii="Arial" w:hAnsi="Arial" w:cs="Arial"/>
          <w:lang w:val="en-US"/>
        </w:rPr>
        <w:t xml:space="preserve">Kumar, S. (2017, May). </w:t>
      </w:r>
      <w:r>
        <w:rPr>
          <w:rFonts w:ascii="Arial" w:hAnsi="Arial" w:cs="Arial"/>
          <w:i/>
          <w:iCs/>
          <w:lang w:val="en-US"/>
        </w:rPr>
        <w:t>Teaching Materials and Teaching Aids</w:t>
      </w:r>
      <w:r>
        <w:rPr>
          <w:rFonts w:ascii="Arial" w:hAnsi="Arial" w:cs="Arial"/>
          <w:lang w:val="en-US"/>
        </w:rPr>
        <w:t xml:space="preserve">. Retrieved from Research Gate: </w:t>
      </w:r>
      <w:hyperlink r:id="rId20" w:history="1">
        <w:r>
          <w:rPr>
            <w:rStyle w:val="Hyperlink"/>
            <w:rFonts w:ascii="Arial" w:hAnsi="Arial" w:cs="Arial"/>
            <w:lang w:val="en-US"/>
          </w:rPr>
          <w:t>https://www.researchgate.net/publication/318215081_Teaching_materials_and_teaching_aids_-_1_teaching_material</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78673925" w14:textId="77777777" w:rsidR="00E71AC0" w:rsidRDefault="00667FA1">
      <w:pPr>
        <w:pStyle w:val="Bibliography"/>
        <w:spacing w:line="360" w:lineRule="auto"/>
        <w:ind w:left="720" w:hanging="720"/>
      </w:pPr>
      <w:r>
        <w:rPr>
          <w:rFonts w:ascii="Arial" w:hAnsi="Arial" w:cs="Arial"/>
          <w:lang w:val="en-US"/>
        </w:rPr>
        <w:t xml:space="preserve">London Training for Excellence. (2024). </w:t>
      </w:r>
      <w:r>
        <w:rPr>
          <w:rFonts w:ascii="Arial" w:hAnsi="Arial" w:cs="Arial"/>
          <w:i/>
          <w:iCs/>
          <w:lang w:val="en-US"/>
        </w:rPr>
        <w:t>Workforce Planning</w:t>
      </w:r>
      <w:r>
        <w:rPr>
          <w:rFonts w:ascii="Arial" w:hAnsi="Arial" w:cs="Arial"/>
          <w:lang w:val="en-US"/>
        </w:rPr>
        <w:t xml:space="preserve">. Retrieved from London Training for Excellence: </w:t>
      </w:r>
      <w:hyperlink r:id="rId21" w:history="1">
        <w:r>
          <w:rPr>
            <w:rStyle w:val="Hyperlink"/>
            <w:rFonts w:ascii="Arial" w:hAnsi="Arial" w:cs="Arial"/>
            <w:lang w:val="en-US"/>
          </w:rPr>
          <w:t>https://www.londontfe.com/course/human-resources-and-talent-development/Workforce-Planning/2749</w:t>
        </w:r>
      </w:hyperlink>
      <w:r>
        <w:rPr>
          <w:rFonts w:ascii="Arial" w:hAnsi="Arial" w:cs="Arial"/>
          <w:lang w:val="en-US"/>
        </w:rPr>
        <w:t xml:space="preserve"> (</w:t>
      </w:r>
      <w:r>
        <w:rPr>
          <w:rFonts w:ascii="Arial" w:hAnsi="Arial" w:cs="Arial"/>
        </w:rPr>
        <w:t>Accessed on 13</w:t>
      </w:r>
      <w:r>
        <w:rPr>
          <w:rFonts w:ascii="Arial" w:hAnsi="Arial" w:cs="Arial"/>
          <w:vertAlign w:val="superscript"/>
        </w:rPr>
        <w:t>th</w:t>
      </w:r>
      <w:r>
        <w:rPr>
          <w:rFonts w:ascii="Arial" w:hAnsi="Arial" w:cs="Arial"/>
        </w:rPr>
        <w:t xml:space="preserve"> July 2024).</w:t>
      </w:r>
    </w:p>
    <w:p w14:paraId="78673926" w14:textId="77777777" w:rsidR="00E71AC0" w:rsidRDefault="00667FA1">
      <w:pPr>
        <w:pStyle w:val="Bibliography"/>
        <w:spacing w:line="360" w:lineRule="auto"/>
        <w:ind w:left="720" w:hanging="720"/>
      </w:pPr>
      <w:proofErr w:type="spellStart"/>
      <w:r>
        <w:rPr>
          <w:rFonts w:ascii="Arial" w:hAnsi="Arial" w:cs="Arial"/>
          <w:lang w:val="en-US"/>
        </w:rPr>
        <w:t>Magwenya</w:t>
      </w:r>
      <w:proofErr w:type="spellEnd"/>
      <w:r>
        <w:rPr>
          <w:rFonts w:ascii="Arial" w:hAnsi="Arial" w:cs="Arial"/>
          <w:lang w:val="en-US"/>
        </w:rPr>
        <w:t xml:space="preserve">, R. H., Ross, A. J., &amp; </w:t>
      </w:r>
      <w:proofErr w:type="spellStart"/>
      <w:r>
        <w:rPr>
          <w:rFonts w:ascii="Arial" w:hAnsi="Arial" w:cs="Arial"/>
          <w:lang w:val="en-US"/>
        </w:rPr>
        <w:t>Ngatiane</w:t>
      </w:r>
      <w:proofErr w:type="spellEnd"/>
      <w:r>
        <w:rPr>
          <w:rFonts w:ascii="Arial" w:hAnsi="Arial" w:cs="Arial"/>
          <w:lang w:val="en-US"/>
        </w:rPr>
        <w:t xml:space="preserve">, L. S. (2022). Continuing professional development in the last decade – A scoping review. </w:t>
      </w:r>
      <w:r>
        <w:rPr>
          <w:rFonts w:ascii="Arial" w:hAnsi="Arial" w:cs="Arial"/>
          <w:i/>
          <w:iCs/>
          <w:lang w:val="en-US"/>
        </w:rPr>
        <w:t>Journal of Adult and Continuing Education</w:t>
      </w:r>
      <w:r>
        <w:rPr>
          <w:rFonts w:ascii="Arial" w:hAnsi="Arial" w:cs="Arial"/>
          <w:lang w:val="en-US"/>
        </w:rPr>
        <w:t>, Volume 29, Issue 2, Pages 408-437.</w:t>
      </w:r>
    </w:p>
    <w:p w14:paraId="78673927" w14:textId="77777777" w:rsidR="00E71AC0" w:rsidRDefault="00667FA1">
      <w:pPr>
        <w:pStyle w:val="Bibliography"/>
        <w:spacing w:line="360" w:lineRule="auto"/>
        <w:ind w:left="720" w:hanging="720"/>
      </w:pPr>
      <w:r>
        <w:rPr>
          <w:rFonts w:ascii="Arial" w:hAnsi="Arial" w:cs="Arial"/>
          <w:lang w:val="en-US"/>
        </w:rPr>
        <w:t xml:space="preserve">Malamed, C. (n.d.). </w:t>
      </w:r>
      <w:r>
        <w:rPr>
          <w:rFonts w:ascii="Arial" w:hAnsi="Arial" w:cs="Arial"/>
          <w:i/>
          <w:iCs/>
          <w:lang w:val="en-US"/>
        </w:rPr>
        <w:t>Writing and Formatting Voiceover Scripts</w:t>
      </w:r>
      <w:r>
        <w:rPr>
          <w:rFonts w:ascii="Arial" w:hAnsi="Arial" w:cs="Arial"/>
          <w:lang w:val="en-US"/>
        </w:rPr>
        <w:t xml:space="preserve">. Retrieved from eLearning Coach: </w:t>
      </w:r>
      <w:hyperlink r:id="rId22" w:history="1">
        <w:r>
          <w:rPr>
            <w:rStyle w:val="Hyperlink"/>
            <w:rFonts w:ascii="Arial" w:hAnsi="Arial" w:cs="Arial"/>
            <w:lang w:val="en-US"/>
          </w:rPr>
          <w:t>https://www.bing.com/search?q=what+to+bear+in+mind+when+recording+teaching&amp;qs=n&amp;form=QBRE&amp;sp=-1&amp;lq=0&amp;pq=what+to+bear+in+mind+when+recording+&amp;sc=6-36&amp;sk=&amp;cvid=D4E29E8A7B8045DC86ADDF1AD8448FB8&amp;ghsh=0&amp;ghacc=0&amp;ghpl=</w:t>
        </w:r>
      </w:hyperlink>
      <w:r>
        <w:rPr>
          <w:rFonts w:ascii="Arial" w:hAnsi="Arial" w:cs="Arial"/>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24277DB5" w14:textId="3AB0378D" w:rsidR="00562AC1" w:rsidRPr="00686A05" w:rsidRDefault="00562AC1" w:rsidP="00686A05">
      <w:pPr>
        <w:pStyle w:val="Bibliography"/>
        <w:spacing w:line="360" w:lineRule="auto"/>
        <w:ind w:left="720" w:hanging="720"/>
        <w:rPr>
          <w:rFonts w:ascii="Arial" w:hAnsi="Arial" w:cs="Arial"/>
          <w:noProof/>
          <w:lang w:val="en-US"/>
        </w:rPr>
      </w:pPr>
      <w:r w:rsidRPr="00686A05">
        <w:rPr>
          <w:rFonts w:ascii="Arial" w:hAnsi="Arial" w:cs="Arial"/>
          <w:noProof/>
          <w:lang w:val="en-US"/>
        </w:rPr>
        <w:lastRenderedPageBreak/>
        <w:t xml:space="preserve">Marcy, V. (2001). Adult Learning Styles: How the VARK Learning Style Inventory Can Be Used to Improve Student Learning. </w:t>
      </w:r>
      <w:r w:rsidRPr="00686A05">
        <w:rPr>
          <w:rFonts w:ascii="Arial" w:hAnsi="Arial" w:cs="Arial"/>
          <w:i/>
          <w:iCs/>
          <w:noProof/>
          <w:lang w:val="en-US"/>
        </w:rPr>
        <w:t>Journal of the Association of Physician Assistant Programs</w:t>
      </w:r>
      <w:r w:rsidRPr="00686A05">
        <w:rPr>
          <w:rFonts w:ascii="Arial" w:hAnsi="Arial" w:cs="Arial"/>
          <w:noProof/>
          <w:lang w:val="en-US"/>
        </w:rPr>
        <w:t>, p. 12.</w:t>
      </w:r>
    </w:p>
    <w:p w14:paraId="78673928" w14:textId="648A2E85" w:rsidR="00E71AC0" w:rsidRDefault="00667FA1">
      <w:pPr>
        <w:pStyle w:val="Bibliography"/>
        <w:spacing w:line="360" w:lineRule="auto"/>
        <w:ind w:left="720" w:hanging="720"/>
      </w:pPr>
      <w:r>
        <w:rPr>
          <w:rFonts w:ascii="Arial" w:hAnsi="Arial" w:cs="Arial"/>
          <w:lang w:val="en-US"/>
        </w:rPr>
        <w:t xml:space="preserve">Morton, D., Fulton, S., Harris, M., </w:t>
      </w:r>
      <w:proofErr w:type="spellStart"/>
      <w:r>
        <w:rPr>
          <w:rFonts w:ascii="Arial" w:hAnsi="Arial" w:cs="Arial"/>
          <w:lang w:val="en-US"/>
        </w:rPr>
        <w:t>Domalewski</w:t>
      </w:r>
      <w:proofErr w:type="spellEnd"/>
      <w:r>
        <w:rPr>
          <w:rFonts w:ascii="Arial" w:hAnsi="Arial" w:cs="Arial"/>
          <w:lang w:val="en-US"/>
        </w:rPr>
        <w:t xml:space="preserve">, R., Scolari, N., Wishart, L., . . . Hale, K. (2023). Development and implementation of a training package to improve the confidence, skills and knowledge of multi-disciplinary clinicians in the use of </w:t>
      </w:r>
      <w:proofErr w:type="spellStart"/>
      <w:r>
        <w:rPr>
          <w:rFonts w:ascii="Arial" w:hAnsi="Arial" w:cs="Arial"/>
          <w:lang w:val="en-US"/>
        </w:rPr>
        <w:t>telepractice</w:t>
      </w:r>
      <w:proofErr w:type="spellEnd"/>
      <w:r>
        <w:rPr>
          <w:rFonts w:ascii="Arial" w:hAnsi="Arial" w:cs="Arial"/>
          <w:lang w:val="en-US"/>
        </w:rPr>
        <w:t xml:space="preserve"> for outpatient services. </w:t>
      </w:r>
      <w:r>
        <w:rPr>
          <w:rFonts w:ascii="Arial" w:hAnsi="Arial" w:cs="Arial"/>
          <w:i/>
          <w:iCs/>
          <w:lang w:val="en-US"/>
        </w:rPr>
        <w:t>Journal of Adult and Continuing Education</w:t>
      </w:r>
      <w:r>
        <w:rPr>
          <w:rFonts w:ascii="Arial" w:hAnsi="Arial" w:cs="Arial"/>
          <w:lang w:val="en-US"/>
        </w:rPr>
        <w:t>, Volume 29, Issue 2, Pages 379-394.</w:t>
      </w:r>
    </w:p>
    <w:p w14:paraId="78673929" w14:textId="77777777" w:rsidR="00E71AC0" w:rsidRDefault="00667FA1">
      <w:pPr>
        <w:pStyle w:val="Bibliography"/>
        <w:spacing w:line="360" w:lineRule="auto"/>
        <w:ind w:left="720" w:hanging="720"/>
      </w:pPr>
      <w:r>
        <w:rPr>
          <w:rFonts w:ascii="Arial" w:hAnsi="Arial" w:cs="Arial"/>
          <w:lang w:val="en-US"/>
        </w:rPr>
        <w:t xml:space="preserve">My HR Future. (2024). </w:t>
      </w:r>
      <w:r>
        <w:rPr>
          <w:rFonts w:ascii="Arial" w:hAnsi="Arial" w:cs="Arial"/>
          <w:i/>
          <w:iCs/>
          <w:lang w:val="en-US"/>
        </w:rPr>
        <w:t>Online Workforce Planning Courses</w:t>
      </w:r>
      <w:r>
        <w:rPr>
          <w:rFonts w:ascii="Arial" w:hAnsi="Arial" w:cs="Arial"/>
          <w:lang w:val="en-US"/>
        </w:rPr>
        <w:t xml:space="preserve">. Retrieved from My HR Future: </w:t>
      </w:r>
      <w:hyperlink r:id="rId23" w:history="1">
        <w:r>
          <w:rPr>
            <w:rStyle w:val="Hyperlink"/>
            <w:rFonts w:ascii="Arial" w:hAnsi="Arial" w:cs="Arial"/>
            <w:lang w:val="en-US"/>
          </w:rPr>
          <w:t>https://www.myhrfuture.com/online-workforce-planning-training</w:t>
        </w:r>
      </w:hyperlink>
      <w:r>
        <w:rPr>
          <w:rFonts w:ascii="Arial" w:hAnsi="Arial" w:cs="Arial"/>
          <w:lang w:val="en-US"/>
        </w:rPr>
        <w:t>. (</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2A" w14:textId="77777777" w:rsidR="00E71AC0" w:rsidRDefault="00667FA1">
      <w:pPr>
        <w:pStyle w:val="Bibliography"/>
        <w:spacing w:line="360" w:lineRule="auto"/>
        <w:rPr>
          <w:rFonts w:ascii="Arial" w:hAnsi="Arial" w:cs="Arial"/>
          <w:lang w:val="en-US"/>
        </w:rPr>
      </w:pPr>
      <w:proofErr w:type="spellStart"/>
      <w:r>
        <w:rPr>
          <w:rFonts w:ascii="Arial" w:hAnsi="Arial" w:cs="Arial"/>
          <w:lang w:val="en-US"/>
        </w:rPr>
        <w:t>Ordu</w:t>
      </w:r>
      <w:proofErr w:type="spellEnd"/>
      <w:r>
        <w:rPr>
          <w:rFonts w:ascii="Arial" w:hAnsi="Arial" w:cs="Arial"/>
          <w:lang w:val="en-US"/>
        </w:rPr>
        <w:t xml:space="preserve">, U. B.-A. (2021). The Role of Teaching and Learning Aids/Methods in a </w:t>
      </w:r>
    </w:p>
    <w:p w14:paraId="7867392B" w14:textId="77777777" w:rsidR="00E71AC0" w:rsidRDefault="00667FA1">
      <w:pPr>
        <w:pStyle w:val="Bibliography"/>
        <w:spacing w:line="360" w:lineRule="auto"/>
        <w:ind w:left="680"/>
      </w:pPr>
      <w:r>
        <w:rPr>
          <w:rFonts w:ascii="Arial" w:hAnsi="Arial" w:cs="Arial"/>
          <w:lang w:val="en-US"/>
        </w:rPr>
        <w:t xml:space="preserve">Changing World. </w:t>
      </w:r>
      <w:r>
        <w:rPr>
          <w:rFonts w:ascii="Arial" w:hAnsi="Arial" w:cs="Arial"/>
          <w:i/>
          <w:iCs/>
          <w:lang w:val="en-US"/>
        </w:rPr>
        <w:t>New Challenges to Education: Lessons from Around the World</w:t>
      </w:r>
      <w:r>
        <w:rPr>
          <w:rFonts w:ascii="Arial" w:hAnsi="Arial" w:cs="Arial"/>
          <w:lang w:val="en-US"/>
        </w:rPr>
        <w:t xml:space="preserve">, Vol. 19; </w:t>
      </w:r>
      <w:proofErr w:type="spellStart"/>
      <w:r>
        <w:rPr>
          <w:rFonts w:ascii="Arial" w:hAnsi="Arial" w:cs="Arial"/>
          <w:lang w:val="en-US"/>
        </w:rPr>
        <w:t>pg</w:t>
      </w:r>
      <w:proofErr w:type="spellEnd"/>
      <w:r>
        <w:rPr>
          <w:rFonts w:ascii="Arial" w:hAnsi="Arial" w:cs="Arial"/>
          <w:lang w:val="en-US"/>
        </w:rPr>
        <w:t xml:space="preserve"> 210-216.</w:t>
      </w:r>
    </w:p>
    <w:p w14:paraId="7867392C" w14:textId="77777777" w:rsidR="00E71AC0" w:rsidRDefault="00667FA1">
      <w:pPr>
        <w:pStyle w:val="Bibliography"/>
        <w:spacing w:line="360" w:lineRule="auto"/>
        <w:ind w:left="720" w:hanging="720"/>
      </w:pPr>
      <w:r>
        <w:rPr>
          <w:rFonts w:ascii="Arial" w:hAnsi="Arial" w:cs="Arial"/>
          <w:lang w:val="en-US"/>
        </w:rPr>
        <w:t xml:space="preserve">Rehman, A. A., &amp; </w:t>
      </w:r>
      <w:proofErr w:type="spellStart"/>
      <w:r>
        <w:rPr>
          <w:rFonts w:ascii="Arial" w:hAnsi="Arial" w:cs="Arial"/>
          <w:lang w:val="en-US"/>
        </w:rPr>
        <w:t>Alharthi</w:t>
      </w:r>
      <w:proofErr w:type="spellEnd"/>
      <w:r>
        <w:rPr>
          <w:rFonts w:ascii="Arial" w:hAnsi="Arial" w:cs="Arial"/>
          <w:lang w:val="en-US"/>
        </w:rPr>
        <w:t xml:space="preserve">, K. (2016). Introduction to Research Paradigms. </w:t>
      </w:r>
      <w:r>
        <w:rPr>
          <w:rFonts w:ascii="Arial" w:hAnsi="Arial" w:cs="Arial"/>
          <w:i/>
          <w:iCs/>
          <w:lang w:val="en-US"/>
        </w:rPr>
        <w:t>International Journal of Educational Investigations</w:t>
      </w:r>
      <w:r>
        <w:rPr>
          <w:rFonts w:ascii="Arial" w:hAnsi="Arial" w:cs="Arial"/>
          <w:lang w:val="en-US"/>
        </w:rPr>
        <w:t>, Volume 3; Number 8; pp. 51-59.</w:t>
      </w:r>
    </w:p>
    <w:p w14:paraId="7867392D" w14:textId="77777777" w:rsidR="00E71AC0" w:rsidRDefault="00667FA1">
      <w:pPr>
        <w:pStyle w:val="Bibliography"/>
        <w:spacing w:line="360" w:lineRule="auto"/>
        <w:ind w:left="720" w:hanging="720"/>
      </w:pPr>
      <w:r>
        <w:rPr>
          <w:rFonts w:ascii="Arial" w:hAnsi="Arial" w:cs="Arial"/>
        </w:rPr>
        <w:t xml:space="preserve">Skills 4 Health. (2023). </w:t>
      </w:r>
      <w:r>
        <w:rPr>
          <w:rFonts w:ascii="Arial" w:hAnsi="Arial" w:cs="Arial"/>
          <w:i/>
          <w:iCs/>
        </w:rPr>
        <w:t>Six Steps Methodology to Integrated Workforce Planning</w:t>
      </w:r>
      <w:r>
        <w:rPr>
          <w:rFonts w:ascii="Arial" w:hAnsi="Arial" w:cs="Arial"/>
        </w:rPr>
        <w:t xml:space="preserve">. Retrieved from Skills 4 Health: </w:t>
      </w:r>
      <w:hyperlink r:id="rId24" w:anchor=":~:text=The%20Six%20Steps%20Methodology%20offers%3A%201%20a%20systematic,care%2C%20where%20the%20same%20approach%20has%20been%20adopted" w:history="1">
        <w:r>
          <w:rPr>
            <w:rStyle w:val="Hyperlink"/>
            <w:rFonts w:ascii="Arial" w:hAnsi="Arial" w:cs="Arial"/>
          </w:rPr>
          <w:t>https://www.skillsforhealth.org.uk/resources/six-steps-methodology-to-integrated-workforce-planning/#:~:text=The%20Six%20Steps%20Methodology%20offers%3A%201%20a%20systematic,care%2C%20where%20the%20same%20approach%20has%20been%20adopted</w:t>
        </w:r>
      </w:hyperlink>
      <w:r>
        <w:rPr>
          <w:rFonts w:ascii="Arial" w:hAnsi="Arial" w:cs="Arial"/>
        </w:rPr>
        <w:t>. (Accessed on 4</w:t>
      </w:r>
      <w:r>
        <w:rPr>
          <w:rFonts w:ascii="Arial" w:hAnsi="Arial" w:cs="Arial"/>
          <w:vertAlign w:val="superscript"/>
        </w:rPr>
        <w:t>th</w:t>
      </w:r>
      <w:r>
        <w:rPr>
          <w:rFonts w:ascii="Arial" w:hAnsi="Arial" w:cs="Arial"/>
        </w:rPr>
        <w:t xml:space="preserve"> August 2024).</w:t>
      </w:r>
    </w:p>
    <w:p w14:paraId="7867392E" w14:textId="77777777" w:rsidR="00E71AC0" w:rsidRDefault="00667FA1">
      <w:pPr>
        <w:pStyle w:val="Bibliography"/>
        <w:spacing w:line="360" w:lineRule="auto"/>
      </w:pPr>
      <w:r>
        <w:rPr>
          <w:rFonts w:ascii="Arial" w:hAnsi="Arial" w:cs="Arial"/>
          <w:lang w:val="en-US"/>
        </w:rPr>
        <w:t xml:space="preserve">Snelling, C. (2022, December 20). </w:t>
      </w:r>
      <w:r>
        <w:rPr>
          <w:rFonts w:ascii="Arial" w:hAnsi="Arial" w:cs="Arial"/>
          <w:i/>
          <w:iCs/>
          <w:lang w:val="en-US"/>
        </w:rPr>
        <w:t>Lessons from the pandemic: making the most of technologies in teaching</w:t>
      </w:r>
      <w:r>
        <w:rPr>
          <w:rFonts w:ascii="Arial" w:hAnsi="Arial" w:cs="Arial"/>
          <w:lang w:val="en-US"/>
        </w:rPr>
        <w:t xml:space="preserve">. Retrieved from Universities UK: </w:t>
      </w:r>
      <w:hyperlink r:id="rId25" w:history="1">
        <w:r>
          <w:rPr>
            <w:rStyle w:val="Hyperlink"/>
            <w:rFonts w:ascii="Arial" w:hAnsi="Arial" w:cs="Arial"/>
            <w:lang w:val="en-US"/>
          </w:rPr>
          <w:t>https://www.universitiesuk.ac.uk/what-we-do/policy-and-research/publications/lessons-pandemic-making-most</w:t>
        </w:r>
      </w:hyperlink>
      <w:r>
        <w:rPr>
          <w:rStyle w:val="Hyperlink"/>
          <w:rFonts w:ascii="Arial" w:hAnsi="Arial" w:cs="Arial"/>
          <w:lang w:val="en-US"/>
        </w:rPr>
        <w:t>.</w:t>
      </w:r>
      <w:r>
        <w:rPr>
          <w:rStyle w:val="Hyperlink"/>
          <w:rFonts w:ascii="Arial" w:hAnsi="Arial" w:cs="Arial"/>
          <w:u w:val="none"/>
          <w:lang w:val="en-US"/>
        </w:rPr>
        <w:t xml:space="preserve"> (</w:t>
      </w:r>
      <w:r>
        <w:rPr>
          <w:rFonts w:ascii="Arial" w:hAnsi="Arial" w:cs="Arial"/>
        </w:rPr>
        <w:t>Accessed on 23</w:t>
      </w:r>
      <w:r>
        <w:rPr>
          <w:rFonts w:ascii="Arial" w:hAnsi="Arial" w:cs="Arial"/>
          <w:vertAlign w:val="superscript"/>
        </w:rPr>
        <w:t>rd</w:t>
      </w:r>
      <w:r>
        <w:rPr>
          <w:rFonts w:ascii="Arial" w:hAnsi="Arial" w:cs="Arial"/>
        </w:rPr>
        <w:t xml:space="preserve"> October 2023).</w:t>
      </w:r>
    </w:p>
    <w:p w14:paraId="7867392F" w14:textId="77777777" w:rsidR="00E71AC0" w:rsidRDefault="00667FA1">
      <w:pPr>
        <w:pStyle w:val="Bibliography"/>
        <w:spacing w:line="360" w:lineRule="auto"/>
        <w:ind w:left="720" w:hanging="720"/>
      </w:pPr>
      <w:r>
        <w:rPr>
          <w:rFonts w:ascii="Arial" w:hAnsi="Arial" w:cs="Arial"/>
          <w:lang w:val="en-US"/>
        </w:rPr>
        <w:t xml:space="preserve">Steele, A. (2019, June 25). </w:t>
      </w:r>
      <w:r>
        <w:rPr>
          <w:rFonts w:ascii="Arial" w:hAnsi="Arial" w:cs="Arial"/>
          <w:i/>
          <w:iCs/>
          <w:lang w:val="en-US"/>
        </w:rPr>
        <w:t>What is active learning and what are the benefits?</w:t>
      </w:r>
      <w:r>
        <w:rPr>
          <w:rFonts w:ascii="Arial" w:hAnsi="Arial" w:cs="Arial"/>
          <w:lang w:val="en-US"/>
        </w:rPr>
        <w:t xml:space="preserve"> Retrieved from Cambridge University Press: </w:t>
      </w:r>
      <w:hyperlink r:id="rId26" w:history="1">
        <w:r>
          <w:rPr>
            <w:rStyle w:val="Hyperlink"/>
            <w:rFonts w:ascii="Arial" w:hAnsi="Arial" w:cs="Arial"/>
            <w:lang w:val="en-US"/>
          </w:rPr>
          <w:t>https://www.cambridge.org/us/education/blog/2019/06/25/what-active-learning-and-what-are-benefits/</w:t>
        </w:r>
      </w:hyperlink>
      <w:r>
        <w:rPr>
          <w:rStyle w:val="Hyperlink"/>
          <w:rFonts w:ascii="Arial" w:hAnsi="Arial" w:cs="Arial"/>
          <w:u w:val="none"/>
          <w:lang w:val="en-US"/>
        </w:rPr>
        <w:t xml:space="preserve"> </w:t>
      </w:r>
      <w:r>
        <w:rPr>
          <w:rStyle w:val="Hyperlink"/>
          <w:rFonts w:ascii="Arial" w:hAnsi="Arial" w:cs="Arial"/>
          <w:color w:val="auto"/>
          <w:u w:val="none"/>
          <w:lang w:val="en-US"/>
        </w:rPr>
        <w:t>(</w:t>
      </w:r>
      <w:r>
        <w:rPr>
          <w:rFonts w:ascii="Arial" w:hAnsi="Arial" w:cs="Arial"/>
        </w:rPr>
        <w:t>Accessed on 4</w:t>
      </w:r>
      <w:r>
        <w:rPr>
          <w:rFonts w:ascii="Arial" w:hAnsi="Arial" w:cs="Arial"/>
          <w:vertAlign w:val="superscript"/>
        </w:rPr>
        <w:t>th</w:t>
      </w:r>
      <w:r>
        <w:rPr>
          <w:rFonts w:ascii="Arial" w:hAnsi="Arial" w:cs="Arial"/>
        </w:rPr>
        <w:t xml:space="preserve"> August 2024).</w:t>
      </w:r>
    </w:p>
    <w:p w14:paraId="78673930" w14:textId="77777777" w:rsidR="00E71AC0" w:rsidRDefault="00667FA1">
      <w:pPr>
        <w:pStyle w:val="Bibliography"/>
        <w:spacing w:line="360" w:lineRule="auto"/>
        <w:ind w:left="720" w:hanging="720"/>
      </w:pPr>
      <w:proofErr w:type="spellStart"/>
      <w:r>
        <w:rPr>
          <w:rFonts w:ascii="Arial" w:hAnsi="Arial" w:cs="Arial"/>
          <w:lang w:val="en-US"/>
        </w:rPr>
        <w:lastRenderedPageBreak/>
        <w:t>Tymms</w:t>
      </w:r>
      <w:proofErr w:type="spellEnd"/>
      <w:r>
        <w:rPr>
          <w:rFonts w:ascii="Arial" w:hAnsi="Arial" w:cs="Arial"/>
          <w:lang w:val="en-US"/>
        </w:rPr>
        <w:t xml:space="preserve">, P. (2021). Interventions: Experiments. In R. Coe, M. Waring, L. V. Hedges, &amp; L. D. Ashley, </w:t>
      </w:r>
      <w:r>
        <w:rPr>
          <w:rFonts w:ascii="Arial" w:hAnsi="Arial" w:cs="Arial"/>
          <w:i/>
          <w:iCs/>
          <w:lang w:val="en-US"/>
        </w:rPr>
        <w:t>Research Methods &amp; Methodologies in Education</w:t>
      </w:r>
      <w:r>
        <w:rPr>
          <w:rFonts w:ascii="Arial" w:hAnsi="Arial" w:cs="Arial"/>
          <w:lang w:val="en-US"/>
        </w:rPr>
        <w:t xml:space="preserve"> (pp. 179-185). London: Sage.</w:t>
      </w:r>
    </w:p>
    <w:p w14:paraId="78673931" w14:textId="77777777" w:rsidR="00E71AC0" w:rsidRDefault="00667FA1">
      <w:pPr>
        <w:pStyle w:val="Bibliography"/>
        <w:spacing w:line="360" w:lineRule="auto"/>
        <w:ind w:left="720" w:hanging="720"/>
      </w:pPr>
      <w:r>
        <w:rPr>
          <w:rFonts w:ascii="Arial" w:hAnsi="Arial" w:cs="Arial"/>
          <w:lang w:val="en-US"/>
        </w:rPr>
        <w:t xml:space="preserve">Veronica, M., &amp; Lawrence, M. (2010, November 25). Secondary School Teachers and Learning Style Preferences: action or watching in the classroom? </w:t>
      </w:r>
      <w:r>
        <w:rPr>
          <w:rFonts w:ascii="Arial" w:hAnsi="Arial" w:cs="Arial"/>
          <w:i/>
          <w:iCs/>
          <w:lang w:val="en-US"/>
        </w:rPr>
        <w:t>Educational Psychology</w:t>
      </w:r>
      <w:r>
        <w:rPr>
          <w:rFonts w:ascii="Arial" w:hAnsi="Arial" w:cs="Arial"/>
          <w:lang w:val="en-US"/>
        </w:rPr>
        <w:t xml:space="preserve">, pp. Vol. 17:1-2, </w:t>
      </w:r>
      <w:proofErr w:type="spellStart"/>
      <w:r>
        <w:rPr>
          <w:rFonts w:ascii="Arial" w:hAnsi="Arial" w:cs="Arial"/>
          <w:lang w:val="en-US"/>
        </w:rPr>
        <w:t>pg</w:t>
      </w:r>
      <w:proofErr w:type="spellEnd"/>
      <w:r>
        <w:rPr>
          <w:rFonts w:ascii="Arial" w:hAnsi="Arial" w:cs="Arial"/>
          <w:lang w:val="en-US"/>
        </w:rPr>
        <w:t xml:space="preserve"> 157-170.</w:t>
      </w:r>
    </w:p>
    <w:p w14:paraId="78673932" w14:textId="77777777" w:rsidR="00E71AC0" w:rsidRDefault="00667FA1">
      <w:pPr>
        <w:pStyle w:val="Bibliography"/>
        <w:spacing w:line="360" w:lineRule="auto"/>
        <w:ind w:left="720" w:hanging="720"/>
      </w:pPr>
      <w:r>
        <w:rPr>
          <w:rFonts w:ascii="Arial" w:hAnsi="Arial" w:cs="Arial"/>
        </w:rPr>
        <w:t xml:space="preserve">Welsh Government. (2023, February 1). </w:t>
      </w:r>
      <w:r>
        <w:rPr>
          <w:rFonts w:ascii="Arial" w:hAnsi="Arial" w:cs="Arial"/>
          <w:i/>
          <w:iCs/>
        </w:rPr>
        <w:t>Plan to address NHS workforce challenges</w:t>
      </w:r>
      <w:r>
        <w:rPr>
          <w:rFonts w:ascii="Arial" w:hAnsi="Arial" w:cs="Arial"/>
        </w:rPr>
        <w:t xml:space="preserve">. Retrieved from Welsh Government: </w:t>
      </w:r>
      <w:hyperlink r:id="rId27" w:history="1">
        <w:r>
          <w:rPr>
            <w:rStyle w:val="Hyperlink"/>
            <w:rFonts w:ascii="Arial" w:hAnsi="Arial" w:cs="Arial"/>
          </w:rPr>
          <w:t>https://www.gov.wales/plan-address-nhs-workforce-challenges</w:t>
        </w:r>
      </w:hyperlink>
      <w:r>
        <w:rPr>
          <w:rFonts w:ascii="Arial" w:hAnsi="Arial" w:cs="Arial"/>
        </w:rPr>
        <w:t xml:space="preserve"> (Accessed on 29</w:t>
      </w:r>
      <w:r>
        <w:rPr>
          <w:rFonts w:ascii="Arial" w:hAnsi="Arial" w:cs="Arial"/>
          <w:vertAlign w:val="superscript"/>
        </w:rPr>
        <w:t>th</w:t>
      </w:r>
      <w:r>
        <w:rPr>
          <w:rFonts w:ascii="Arial" w:hAnsi="Arial" w:cs="Arial"/>
        </w:rPr>
        <w:t xml:space="preserve"> September 2024).</w:t>
      </w:r>
    </w:p>
    <w:p w14:paraId="78673933" w14:textId="77777777" w:rsidR="00E71AC0" w:rsidRDefault="00667FA1">
      <w:pPr>
        <w:pStyle w:val="Bibliography"/>
        <w:spacing w:line="360" w:lineRule="auto"/>
        <w:ind w:left="720" w:hanging="720"/>
      </w:pPr>
      <w:r>
        <w:rPr>
          <w:rFonts w:ascii="Arial" w:hAnsi="Arial" w:cs="Arial"/>
          <w:lang w:val="en-US"/>
        </w:rPr>
        <w:t xml:space="preserve">Yusupova, N., </w:t>
      </w:r>
      <w:proofErr w:type="spellStart"/>
      <w:r>
        <w:rPr>
          <w:rFonts w:ascii="Arial" w:hAnsi="Arial" w:cs="Arial"/>
          <w:lang w:val="en-US"/>
        </w:rPr>
        <w:t>Azamatjon</w:t>
      </w:r>
      <w:proofErr w:type="spellEnd"/>
      <w:r>
        <w:rPr>
          <w:rFonts w:ascii="Arial" w:hAnsi="Arial" w:cs="Arial"/>
          <w:lang w:val="en-US"/>
        </w:rPr>
        <w:t xml:space="preserve">, Q., &amp; </w:t>
      </w:r>
      <w:proofErr w:type="spellStart"/>
      <w:r>
        <w:rPr>
          <w:rFonts w:ascii="Arial" w:hAnsi="Arial" w:cs="Arial"/>
          <w:lang w:val="en-US"/>
        </w:rPr>
        <w:t>Adilova</w:t>
      </w:r>
      <w:proofErr w:type="spellEnd"/>
      <w:r>
        <w:rPr>
          <w:rFonts w:ascii="Arial" w:hAnsi="Arial" w:cs="Arial"/>
          <w:lang w:val="en-US"/>
        </w:rPr>
        <w:t xml:space="preserve"> </w:t>
      </w:r>
      <w:proofErr w:type="spellStart"/>
      <w:r>
        <w:rPr>
          <w:rFonts w:ascii="Arial" w:hAnsi="Arial" w:cs="Arial"/>
          <w:lang w:val="en-US"/>
        </w:rPr>
        <w:t>Fotima</w:t>
      </w:r>
      <w:proofErr w:type="spellEnd"/>
      <w:r>
        <w:rPr>
          <w:rFonts w:ascii="Arial" w:hAnsi="Arial" w:cs="Arial"/>
          <w:lang w:val="en-US"/>
        </w:rPr>
        <w:t xml:space="preserve">, M. (2022, April 3454-3462). Learning Styles and their Different Features. </w:t>
      </w:r>
      <w:r>
        <w:rPr>
          <w:rFonts w:ascii="Arial" w:hAnsi="Arial" w:cs="Arial"/>
          <w:i/>
          <w:iCs/>
          <w:lang w:val="en-US"/>
        </w:rPr>
        <w:t>International Journal of Innovative Research in Science, Engineering and Technology</w:t>
      </w:r>
      <w:r>
        <w:rPr>
          <w:rFonts w:ascii="Arial" w:hAnsi="Arial" w:cs="Arial"/>
          <w:lang w:val="en-US"/>
        </w:rPr>
        <w:t>, pp. Volume 11, Issue 4.</w:t>
      </w:r>
    </w:p>
    <w:p w14:paraId="78673934" w14:textId="77777777" w:rsidR="00E71AC0" w:rsidRDefault="00E71AC0">
      <w:pPr>
        <w:spacing w:line="360" w:lineRule="auto"/>
        <w:rPr>
          <w:rFonts w:ascii="Arial" w:hAnsi="Arial" w:cs="Arial"/>
        </w:rPr>
      </w:pPr>
    </w:p>
    <w:p w14:paraId="78673935" w14:textId="77777777" w:rsidR="00E71AC0" w:rsidRDefault="00E71AC0">
      <w:pPr>
        <w:spacing w:line="360" w:lineRule="auto"/>
        <w:rPr>
          <w:rFonts w:ascii="Arial" w:hAnsi="Arial" w:cs="Arial"/>
        </w:rPr>
      </w:pPr>
    </w:p>
    <w:p w14:paraId="78673936" w14:textId="77777777" w:rsidR="00E71AC0" w:rsidRDefault="00E71AC0">
      <w:pPr>
        <w:spacing w:line="360" w:lineRule="auto"/>
        <w:rPr>
          <w:rFonts w:ascii="Arial" w:hAnsi="Arial" w:cs="Arial"/>
        </w:rPr>
      </w:pPr>
    </w:p>
    <w:p w14:paraId="78673937" w14:textId="77777777" w:rsidR="00E71AC0" w:rsidRDefault="00E71AC0"/>
    <w:p w14:paraId="78673938" w14:textId="77777777" w:rsidR="00E71AC0" w:rsidRDefault="00E71AC0"/>
    <w:p w14:paraId="78673939" w14:textId="77777777" w:rsidR="00E71AC0" w:rsidRDefault="00E71AC0"/>
    <w:p w14:paraId="7867393A" w14:textId="77777777" w:rsidR="00E71AC0" w:rsidRDefault="00E71AC0">
      <w:pPr>
        <w:spacing w:line="360" w:lineRule="auto"/>
        <w:rPr>
          <w:rFonts w:ascii="Arial" w:hAnsi="Arial" w:cs="Arial"/>
        </w:rPr>
      </w:pPr>
    </w:p>
    <w:p w14:paraId="7867393B" w14:textId="77777777" w:rsidR="00E71AC0" w:rsidRDefault="00E71AC0"/>
    <w:p w14:paraId="7867393C" w14:textId="77777777" w:rsidR="00E71AC0" w:rsidRDefault="00E71AC0"/>
    <w:p w14:paraId="7867393D" w14:textId="77777777" w:rsidR="00E71AC0" w:rsidRDefault="00E71AC0"/>
    <w:p w14:paraId="7867393E" w14:textId="77777777" w:rsidR="00E71AC0" w:rsidRDefault="00667FA1">
      <w:pPr>
        <w:spacing w:line="360" w:lineRule="auto"/>
        <w:rPr>
          <w:rFonts w:ascii="Arial" w:hAnsi="Arial" w:cs="Arial"/>
          <w:b/>
          <w:bCs/>
          <w:sz w:val="28"/>
          <w:szCs w:val="28"/>
        </w:rPr>
      </w:pPr>
      <w:r>
        <w:rPr>
          <w:rFonts w:ascii="Arial" w:hAnsi="Arial" w:cs="Arial"/>
          <w:b/>
          <w:bCs/>
          <w:sz w:val="28"/>
          <w:szCs w:val="28"/>
        </w:rPr>
        <w:t>Appendix A</w:t>
      </w:r>
    </w:p>
    <w:p w14:paraId="7867393F" w14:textId="77777777" w:rsidR="00E71AC0" w:rsidRDefault="00E71AC0">
      <w:pPr>
        <w:spacing w:line="360" w:lineRule="auto"/>
        <w:rPr>
          <w:rFonts w:ascii="Arial" w:hAnsi="Arial" w:cs="Arial"/>
          <w:sz w:val="28"/>
          <w:szCs w:val="28"/>
        </w:rPr>
      </w:pPr>
    </w:p>
    <w:p w14:paraId="78673940" w14:textId="77777777" w:rsidR="00E71AC0" w:rsidRDefault="00667FA1">
      <w:pPr>
        <w:spacing w:line="360" w:lineRule="auto"/>
        <w:rPr>
          <w:rFonts w:ascii="Arial" w:hAnsi="Arial" w:cs="Arial"/>
          <w:sz w:val="28"/>
          <w:szCs w:val="28"/>
        </w:rPr>
      </w:pPr>
      <w:r>
        <w:rPr>
          <w:rFonts w:ascii="Arial" w:hAnsi="Arial" w:cs="Arial"/>
          <w:sz w:val="28"/>
          <w:szCs w:val="28"/>
        </w:rPr>
        <w:t xml:space="preserve">Have Your Say! Workforce Planning Training </w:t>
      </w:r>
    </w:p>
    <w:p w14:paraId="78673941" w14:textId="77777777" w:rsidR="00E71AC0" w:rsidRDefault="00E71AC0">
      <w:pPr>
        <w:spacing w:line="360" w:lineRule="auto"/>
        <w:rPr>
          <w:rFonts w:ascii="Arial" w:hAnsi="Arial" w:cs="Arial"/>
        </w:rPr>
      </w:pPr>
    </w:p>
    <w:p w14:paraId="78673942" w14:textId="77777777" w:rsidR="00E71AC0" w:rsidRDefault="00667FA1">
      <w:pPr>
        <w:spacing w:line="360" w:lineRule="auto"/>
        <w:rPr>
          <w:rFonts w:ascii="Arial" w:hAnsi="Arial" w:cs="Arial"/>
        </w:rPr>
      </w:pPr>
      <w:r>
        <w:rPr>
          <w:rFonts w:ascii="Arial" w:hAnsi="Arial" w:cs="Arial"/>
        </w:rPr>
        <w:t>Help us provide training that suits your needs &amp; circumstances. In completing this survey, you are helping us understand and prioritise the programmes to develop with a view to fitting in with your working life. By completing this survey, you are consenting to your participation of this evaluation, and it should no longer than 10 minutes to complete. Thank you.</w:t>
      </w:r>
    </w:p>
    <w:p w14:paraId="78673943" w14:textId="77777777" w:rsidR="00E71AC0" w:rsidRDefault="00E71AC0">
      <w:pPr>
        <w:spacing w:line="360" w:lineRule="auto"/>
        <w:rPr>
          <w:rFonts w:ascii="Arial" w:hAnsi="Arial" w:cs="Arial"/>
        </w:rPr>
      </w:pPr>
    </w:p>
    <w:p w14:paraId="78673944" w14:textId="77777777" w:rsidR="00E71AC0" w:rsidRDefault="00667FA1">
      <w:pPr>
        <w:spacing w:line="360" w:lineRule="auto"/>
        <w:rPr>
          <w:rFonts w:ascii="Arial" w:hAnsi="Arial" w:cs="Arial"/>
        </w:rPr>
      </w:pPr>
      <w:r>
        <w:rPr>
          <w:rFonts w:ascii="Arial" w:hAnsi="Arial" w:cs="Arial"/>
        </w:rPr>
        <w:t xml:space="preserve">* Required </w:t>
      </w:r>
    </w:p>
    <w:p w14:paraId="78673945" w14:textId="77777777" w:rsidR="00E71AC0" w:rsidRDefault="00E71AC0">
      <w:pPr>
        <w:spacing w:line="360" w:lineRule="auto"/>
        <w:rPr>
          <w:rFonts w:ascii="Arial" w:hAnsi="Arial" w:cs="Arial"/>
        </w:rPr>
      </w:pPr>
    </w:p>
    <w:p w14:paraId="78673946" w14:textId="77777777" w:rsidR="00E71AC0" w:rsidRDefault="00667FA1">
      <w:pPr>
        <w:spacing w:line="360" w:lineRule="auto"/>
        <w:rPr>
          <w:rFonts w:ascii="Arial" w:hAnsi="Arial" w:cs="Arial"/>
          <w:b/>
          <w:bCs/>
        </w:rPr>
      </w:pPr>
      <w:r>
        <w:rPr>
          <w:rFonts w:ascii="Arial" w:hAnsi="Arial" w:cs="Arial"/>
          <w:b/>
          <w:bCs/>
        </w:rPr>
        <w:lastRenderedPageBreak/>
        <w:t xml:space="preserve">WORKFORCE PLANNING TRAINING  </w:t>
      </w:r>
    </w:p>
    <w:p w14:paraId="78673947" w14:textId="77777777" w:rsidR="00E71AC0" w:rsidRDefault="00E71AC0">
      <w:pPr>
        <w:spacing w:line="360" w:lineRule="auto"/>
        <w:rPr>
          <w:rFonts w:ascii="Arial" w:hAnsi="Arial" w:cs="Arial"/>
        </w:rPr>
      </w:pPr>
    </w:p>
    <w:p w14:paraId="78673948" w14:textId="77777777" w:rsidR="00E71AC0" w:rsidRDefault="00667FA1">
      <w:pPr>
        <w:spacing w:line="360" w:lineRule="auto"/>
        <w:rPr>
          <w:rFonts w:ascii="Arial" w:hAnsi="Arial" w:cs="Arial"/>
        </w:rPr>
      </w:pPr>
      <w:r>
        <w:rPr>
          <w:rFonts w:ascii="Arial" w:hAnsi="Arial" w:cs="Arial"/>
        </w:rPr>
        <w:t xml:space="preserve">1. Have you accessed any training on Workforce Planning before? * </w:t>
      </w:r>
    </w:p>
    <w:p w14:paraId="78673949" w14:textId="77777777" w:rsidR="00E71AC0" w:rsidRDefault="00E71AC0">
      <w:pPr>
        <w:spacing w:line="360" w:lineRule="auto"/>
        <w:rPr>
          <w:rFonts w:ascii="Arial" w:hAnsi="Arial" w:cs="Arial"/>
        </w:rPr>
      </w:pPr>
    </w:p>
    <w:p w14:paraId="7867394A" w14:textId="77777777" w:rsidR="00E71AC0" w:rsidRDefault="00667FA1">
      <w:pPr>
        <w:spacing w:line="360" w:lineRule="auto"/>
        <w:rPr>
          <w:rFonts w:ascii="Arial" w:hAnsi="Arial" w:cs="Arial"/>
        </w:rPr>
      </w:pPr>
      <w:r>
        <w:rPr>
          <w:rFonts w:ascii="Arial" w:hAnsi="Arial" w:cs="Arial"/>
        </w:rPr>
        <w:t>Yes</w:t>
      </w:r>
    </w:p>
    <w:p w14:paraId="7867394B" w14:textId="77777777" w:rsidR="00E71AC0" w:rsidRDefault="00667FA1">
      <w:pPr>
        <w:spacing w:line="360" w:lineRule="auto"/>
        <w:rPr>
          <w:rFonts w:ascii="Arial" w:hAnsi="Arial" w:cs="Arial"/>
        </w:rPr>
      </w:pPr>
      <w:r>
        <w:rPr>
          <w:rFonts w:ascii="Arial" w:hAnsi="Arial" w:cs="Arial"/>
        </w:rPr>
        <w:t>No</w:t>
      </w:r>
    </w:p>
    <w:p w14:paraId="7867394C" w14:textId="77777777" w:rsidR="00E71AC0" w:rsidRDefault="00E71AC0">
      <w:pPr>
        <w:spacing w:line="360" w:lineRule="auto"/>
        <w:rPr>
          <w:rFonts w:ascii="Arial" w:hAnsi="Arial" w:cs="Arial"/>
        </w:rPr>
      </w:pPr>
    </w:p>
    <w:p w14:paraId="7867394D" w14:textId="77777777" w:rsidR="00E71AC0" w:rsidRDefault="00667FA1">
      <w:pPr>
        <w:spacing w:line="360" w:lineRule="auto"/>
        <w:rPr>
          <w:rFonts w:ascii="Arial" w:hAnsi="Arial" w:cs="Arial"/>
        </w:rPr>
      </w:pPr>
      <w:r>
        <w:rPr>
          <w:rFonts w:ascii="Arial" w:hAnsi="Arial" w:cs="Arial"/>
        </w:rPr>
        <w:t>2. If not, why have you not yet accessed it? *</w:t>
      </w:r>
    </w:p>
    <w:p w14:paraId="7867394E" w14:textId="77777777" w:rsidR="00E71AC0" w:rsidRDefault="00E71AC0">
      <w:pPr>
        <w:spacing w:line="360" w:lineRule="auto"/>
        <w:rPr>
          <w:rFonts w:ascii="Arial" w:hAnsi="Arial" w:cs="Arial"/>
        </w:rPr>
      </w:pPr>
    </w:p>
    <w:p w14:paraId="7867394F" w14:textId="77777777" w:rsidR="00E71AC0" w:rsidRDefault="00667FA1">
      <w:pPr>
        <w:spacing w:line="360" w:lineRule="auto"/>
        <w:rPr>
          <w:rFonts w:ascii="Arial" w:hAnsi="Arial" w:cs="Arial"/>
        </w:rPr>
      </w:pPr>
      <w:r>
        <w:rPr>
          <w:rFonts w:ascii="Arial" w:hAnsi="Arial" w:cs="Arial"/>
        </w:rPr>
        <w:t xml:space="preserve">I was unaware of the training </w:t>
      </w:r>
    </w:p>
    <w:p w14:paraId="78673950" w14:textId="77777777" w:rsidR="00E71AC0" w:rsidRDefault="00667FA1">
      <w:pPr>
        <w:spacing w:line="360" w:lineRule="auto"/>
        <w:rPr>
          <w:rFonts w:ascii="Arial" w:hAnsi="Arial" w:cs="Arial"/>
        </w:rPr>
      </w:pPr>
      <w:r>
        <w:rPr>
          <w:rFonts w:ascii="Arial" w:hAnsi="Arial" w:cs="Arial"/>
        </w:rPr>
        <w:t xml:space="preserve">I was not authorised by my line manager </w:t>
      </w:r>
    </w:p>
    <w:p w14:paraId="78673951" w14:textId="77777777" w:rsidR="00E71AC0" w:rsidRDefault="00667FA1">
      <w:pPr>
        <w:spacing w:line="360" w:lineRule="auto"/>
        <w:rPr>
          <w:rFonts w:ascii="Arial" w:hAnsi="Arial" w:cs="Arial"/>
        </w:rPr>
      </w:pPr>
      <w:r>
        <w:rPr>
          <w:rFonts w:ascii="Arial" w:hAnsi="Arial" w:cs="Arial"/>
        </w:rPr>
        <w:t xml:space="preserve">The training was too long </w:t>
      </w:r>
    </w:p>
    <w:p w14:paraId="78673952" w14:textId="77777777" w:rsidR="00E71AC0" w:rsidRDefault="00667FA1">
      <w:pPr>
        <w:spacing w:line="360" w:lineRule="auto"/>
        <w:rPr>
          <w:rFonts w:ascii="Arial" w:hAnsi="Arial" w:cs="Arial"/>
        </w:rPr>
      </w:pPr>
      <w:r>
        <w:rPr>
          <w:rFonts w:ascii="Arial" w:hAnsi="Arial" w:cs="Arial"/>
        </w:rPr>
        <w:t xml:space="preserve">I have not had the capacity to attend </w:t>
      </w:r>
    </w:p>
    <w:p w14:paraId="78673953" w14:textId="77777777" w:rsidR="00E71AC0" w:rsidRDefault="00667FA1">
      <w:pPr>
        <w:spacing w:line="360" w:lineRule="auto"/>
        <w:rPr>
          <w:rFonts w:ascii="Arial" w:hAnsi="Arial" w:cs="Arial"/>
        </w:rPr>
      </w:pPr>
      <w:r>
        <w:rPr>
          <w:rFonts w:ascii="Arial" w:hAnsi="Arial" w:cs="Arial"/>
        </w:rPr>
        <w:t xml:space="preserve">I could not travel to the training venue </w:t>
      </w:r>
    </w:p>
    <w:p w14:paraId="78673954" w14:textId="77777777" w:rsidR="00E71AC0" w:rsidRDefault="00667FA1">
      <w:pPr>
        <w:spacing w:line="360" w:lineRule="auto"/>
        <w:rPr>
          <w:rFonts w:ascii="Arial" w:hAnsi="Arial" w:cs="Arial"/>
        </w:rPr>
      </w:pPr>
      <w:r>
        <w:rPr>
          <w:rFonts w:ascii="Arial" w:hAnsi="Arial" w:cs="Arial"/>
        </w:rPr>
        <w:t>I cannot attend on Fridays</w:t>
      </w:r>
    </w:p>
    <w:p w14:paraId="78673955" w14:textId="77777777" w:rsidR="00E71AC0" w:rsidRDefault="00E71AC0">
      <w:pPr>
        <w:spacing w:line="360" w:lineRule="auto"/>
        <w:rPr>
          <w:rFonts w:ascii="Arial" w:hAnsi="Arial" w:cs="Arial"/>
        </w:rPr>
      </w:pPr>
    </w:p>
    <w:p w14:paraId="78673956" w14:textId="77777777" w:rsidR="00E71AC0" w:rsidRDefault="00667FA1">
      <w:pPr>
        <w:spacing w:line="360" w:lineRule="auto"/>
        <w:rPr>
          <w:rFonts w:ascii="Arial" w:hAnsi="Arial" w:cs="Arial"/>
        </w:rPr>
      </w:pPr>
      <w:r>
        <w:rPr>
          <w:rFonts w:ascii="Arial" w:hAnsi="Arial" w:cs="Arial"/>
        </w:rPr>
        <w:t>3. What elements of Workforce Planning would you want to attend in future? *</w:t>
      </w:r>
    </w:p>
    <w:p w14:paraId="78673957" w14:textId="77777777" w:rsidR="00E71AC0" w:rsidRDefault="00E71AC0">
      <w:pPr>
        <w:spacing w:line="360" w:lineRule="auto"/>
        <w:rPr>
          <w:rFonts w:ascii="Arial" w:hAnsi="Arial" w:cs="Arial"/>
        </w:rPr>
      </w:pPr>
    </w:p>
    <w:p w14:paraId="78673958" w14:textId="77777777" w:rsidR="00E71AC0" w:rsidRDefault="00667FA1">
      <w:pPr>
        <w:spacing w:line="360" w:lineRule="auto"/>
        <w:rPr>
          <w:rFonts w:ascii="Arial" w:hAnsi="Arial" w:cs="Arial"/>
        </w:rPr>
      </w:pPr>
      <w:r>
        <w:rPr>
          <w:rFonts w:ascii="Arial" w:hAnsi="Arial" w:cs="Arial"/>
        </w:rPr>
        <w:t xml:space="preserve">Methodology Workforce data modelling </w:t>
      </w:r>
    </w:p>
    <w:p w14:paraId="78673959" w14:textId="77777777" w:rsidR="00E71AC0" w:rsidRDefault="00667FA1">
      <w:pPr>
        <w:spacing w:line="360" w:lineRule="auto"/>
        <w:rPr>
          <w:rFonts w:ascii="Arial" w:hAnsi="Arial" w:cs="Arial"/>
        </w:rPr>
      </w:pPr>
      <w:r>
        <w:rPr>
          <w:rFonts w:ascii="Arial" w:hAnsi="Arial" w:cs="Arial"/>
        </w:rPr>
        <w:t xml:space="preserve">OPERATIONAL workforce planning </w:t>
      </w:r>
    </w:p>
    <w:p w14:paraId="7867395A" w14:textId="77777777" w:rsidR="00E71AC0" w:rsidRDefault="00667FA1">
      <w:pPr>
        <w:spacing w:line="360" w:lineRule="auto"/>
        <w:rPr>
          <w:rFonts w:ascii="Arial" w:hAnsi="Arial" w:cs="Arial"/>
        </w:rPr>
      </w:pPr>
      <w:r>
        <w:rPr>
          <w:rFonts w:ascii="Arial" w:hAnsi="Arial" w:cs="Arial"/>
        </w:rPr>
        <w:t xml:space="preserve">STRATEGIC workforce planning </w:t>
      </w:r>
    </w:p>
    <w:p w14:paraId="7867395B" w14:textId="77777777" w:rsidR="00E71AC0" w:rsidRDefault="00667FA1">
      <w:pPr>
        <w:spacing w:line="360" w:lineRule="auto"/>
        <w:rPr>
          <w:rFonts w:ascii="Arial" w:hAnsi="Arial" w:cs="Arial"/>
        </w:rPr>
      </w:pPr>
      <w:r>
        <w:rPr>
          <w:rFonts w:ascii="Arial" w:hAnsi="Arial" w:cs="Arial"/>
        </w:rPr>
        <w:t xml:space="preserve">Horizon scanning Future workforce projections </w:t>
      </w:r>
    </w:p>
    <w:p w14:paraId="7867395C" w14:textId="77777777" w:rsidR="00E71AC0" w:rsidRDefault="00667FA1">
      <w:pPr>
        <w:spacing w:line="360" w:lineRule="auto"/>
        <w:rPr>
          <w:rFonts w:ascii="Arial" w:hAnsi="Arial" w:cs="Arial"/>
        </w:rPr>
      </w:pPr>
      <w:r>
        <w:rPr>
          <w:rFonts w:ascii="Arial" w:hAnsi="Arial" w:cs="Arial"/>
        </w:rPr>
        <w:t xml:space="preserve">Understanding the IMTP (Annual Plan) and Education Commissioning </w:t>
      </w:r>
    </w:p>
    <w:p w14:paraId="7867395D" w14:textId="77777777" w:rsidR="00E71AC0" w:rsidRDefault="00667FA1">
      <w:pPr>
        <w:spacing w:line="360" w:lineRule="auto"/>
        <w:rPr>
          <w:rFonts w:ascii="Arial" w:hAnsi="Arial" w:cs="Arial"/>
        </w:rPr>
      </w:pPr>
      <w:r>
        <w:rPr>
          <w:rFonts w:ascii="Arial" w:hAnsi="Arial" w:cs="Arial"/>
        </w:rPr>
        <w:t xml:space="preserve">Role Design/Redesign </w:t>
      </w:r>
    </w:p>
    <w:p w14:paraId="7867395E" w14:textId="77777777" w:rsidR="00E71AC0" w:rsidRDefault="00667FA1">
      <w:pPr>
        <w:spacing w:line="360" w:lineRule="auto"/>
        <w:rPr>
          <w:rFonts w:ascii="Arial" w:hAnsi="Arial" w:cs="Arial"/>
        </w:rPr>
      </w:pPr>
      <w:r>
        <w:rPr>
          <w:rFonts w:ascii="Arial" w:hAnsi="Arial" w:cs="Arial"/>
        </w:rPr>
        <w:t xml:space="preserve">Workforce planning documents and resources </w:t>
      </w:r>
    </w:p>
    <w:p w14:paraId="7867395F" w14:textId="77777777" w:rsidR="00E71AC0" w:rsidRDefault="00667FA1">
      <w:pPr>
        <w:spacing w:line="360" w:lineRule="auto"/>
        <w:rPr>
          <w:rFonts w:ascii="Arial" w:hAnsi="Arial" w:cs="Arial"/>
        </w:rPr>
      </w:pPr>
      <w:r>
        <w:rPr>
          <w:rFonts w:ascii="Arial" w:hAnsi="Arial" w:cs="Arial"/>
        </w:rPr>
        <w:t xml:space="preserve">Practical application of workforce planning in your service </w:t>
      </w:r>
    </w:p>
    <w:p w14:paraId="78673960" w14:textId="77777777" w:rsidR="00E71AC0" w:rsidRDefault="00667FA1">
      <w:pPr>
        <w:spacing w:line="360" w:lineRule="auto"/>
        <w:rPr>
          <w:rFonts w:ascii="Arial" w:hAnsi="Arial" w:cs="Arial"/>
        </w:rPr>
      </w:pPr>
      <w:r>
        <w:rPr>
          <w:rFonts w:ascii="Arial" w:hAnsi="Arial" w:cs="Arial"/>
        </w:rPr>
        <w:t xml:space="preserve">Organisation / service design </w:t>
      </w:r>
    </w:p>
    <w:p w14:paraId="78673961" w14:textId="77777777" w:rsidR="00E71AC0" w:rsidRDefault="00667FA1">
      <w:pPr>
        <w:spacing w:line="360" w:lineRule="auto"/>
        <w:rPr>
          <w:rFonts w:ascii="Arial" w:hAnsi="Arial" w:cs="Arial"/>
        </w:rPr>
      </w:pPr>
      <w:r>
        <w:rPr>
          <w:rFonts w:ascii="Arial" w:hAnsi="Arial" w:cs="Arial"/>
        </w:rPr>
        <w:t>Other</w:t>
      </w:r>
    </w:p>
    <w:p w14:paraId="78673962" w14:textId="77777777" w:rsidR="00E71AC0" w:rsidRDefault="00E71AC0">
      <w:pPr>
        <w:spacing w:line="360" w:lineRule="auto"/>
        <w:rPr>
          <w:rFonts w:ascii="Arial" w:hAnsi="Arial" w:cs="Arial"/>
        </w:rPr>
      </w:pPr>
    </w:p>
    <w:p w14:paraId="78673963" w14:textId="77777777" w:rsidR="00E71AC0" w:rsidRDefault="00667FA1">
      <w:pPr>
        <w:spacing w:line="360" w:lineRule="auto"/>
        <w:rPr>
          <w:rFonts w:ascii="Arial" w:hAnsi="Arial" w:cs="Arial"/>
        </w:rPr>
      </w:pPr>
      <w:r>
        <w:rPr>
          <w:rFonts w:ascii="Arial" w:hAnsi="Arial" w:cs="Arial"/>
        </w:rPr>
        <w:t>4. How much time would you realistically be able to give to any training? *</w:t>
      </w:r>
    </w:p>
    <w:p w14:paraId="78673964" w14:textId="77777777" w:rsidR="00E71AC0" w:rsidRDefault="00E71AC0">
      <w:pPr>
        <w:spacing w:line="360" w:lineRule="auto"/>
        <w:rPr>
          <w:rFonts w:ascii="Arial" w:hAnsi="Arial" w:cs="Arial"/>
        </w:rPr>
      </w:pPr>
    </w:p>
    <w:p w14:paraId="78673965" w14:textId="77777777" w:rsidR="00E71AC0" w:rsidRDefault="00667FA1">
      <w:pPr>
        <w:spacing w:line="360" w:lineRule="auto"/>
        <w:rPr>
          <w:rFonts w:ascii="Arial" w:hAnsi="Arial" w:cs="Arial"/>
        </w:rPr>
      </w:pPr>
      <w:r>
        <w:rPr>
          <w:rFonts w:ascii="Arial" w:hAnsi="Arial" w:cs="Arial"/>
        </w:rPr>
        <w:t xml:space="preserve">5 - 15 minutes </w:t>
      </w:r>
    </w:p>
    <w:p w14:paraId="78673966" w14:textId="77777777" w:rsidR="00E71AC0" w:rsidRDefault="00667FA1">
      <w:pPr>
        <w:spacing w:line="360" w:lineRule="auto"/>
        <w:rPr>
          <w:rFonts w:ascii="Arial" w:hAnsi="Arial" w:cs="Arial"/>
        </w:rPr>
      </w:pPr>
      <w:r>
        <w:rPr>
          <w:rFonts w:ascii="Arial" w:hAnsi="Arial" w:cs="Arial"/>
        </w:rPr>
        <w:t xml:space="preserve">15 - 30 minutes </w:t>
      </w:r>
    </w:p>
    <w:p w14:paraId="78673967" w14:textId="77777777" w:rsidR="00E71AC0" w:rsidRDefault="00667FA1">
      <w:pPr>
        <w:spacing w:line="360" w:lineRule="auto"/>
        <w:rPr>
          <w:rFonts w:ascii="Arial" w:hAnsi="Arial" w:cs="Arial"/>
        </w:rPr>
      </w:pPr>
      <w:r>
        <w:rPr>
          <w:rFonts w:ascii="Arial" w:hAnsi="Arial" w:cs="Arial"/>
        </w:rPr>
        <w:lastRenderedPageBreak/>
        <w:t xml:space="preserve">30 - 45 minutes </w:t>
      </w:r>
    </w:p>
    <w:p w14:paraId="78673968" w14:textId="77777777" w:rsidR="00E71AC0" w:rsidRDefault="00667FA1">
      <w:pPr>
        <w:spacing w:line="360" w:lineRule="auto"/>
        <w:rPr>
          <w:rFonts w:ascii="Arial" w:hAnsi="Arial" w:cs="Arial"/>
        </w:rPr>
      </w:pPr>
      <w:r>
        <w:rPr>
          <w:rFonts w:ascii="Arial" w:hAnsi="Arial" w:cs="Arial"/>
        </w:rPr>
        <w:t xml:space="preserve">45 - 60 minutes </w:t>
      </w:r>
    </w:p>
    <w:p w14:paraId="78673969" w14:textId="77777777" w:rsidR="00E71AC0" w:rsidRDefault="00667FA1">
      <w:pPr>
        <w:spacing w:line="360" w:lineRule="auto"/>
        <w:rPr>
          <w:rFonts w:ascii="Arial" w:hAnsi="Arial" w:cs="Arial"/>
        </w:rPr>
      </w:pPr>
      <w:r>
        <w:rPr>
          <w:rFonts w:ascii="Arial" w:hAnsi="Arial" w:cs="Arial"/>
        </w:rPr>
        <w:t xml:space="preserve">1 - 2 hours </w:t>
      </w:r>
    </w:p>
    <w:p w14:paraId="7867396A" w14:textId="77777777" w:rsidR="00E71AC0" w:rsidRDefault="00667FA1">
      <w:pPr>
        <w:spacing w:line="360" w:lineRule="auto"/>
        <w:rPr>
          <w:rFonts w:ascii="Arial" w:hAnsi="Arial" w:cs="Arial"/>
        </w:rPr>
      </w:pPr>
      <w:r>
        <w:rPr>
          <w:rFonts w:ascii="Arial" w:hAnsi="Arial" w:cs="Arial"/>
        </w:rPr>
        <w:t xml:space="preserve">2 - 3 hours </w:t>
      </w:r>
    </w:p>
    <w:p w14:paraId="7867396B" w14:textId="77777777" w:rsidR="00E71AC0" w:rsidRDefault="00667FA1">
      <w:pPr>
        <w:spacing w:line="360" w:lineRule="auto"/>
        <w:rPr>
          <w:rFonts w:ascii="Arial" w:hAnsi="Arial" w:cs="Arial"/>
        </w:rPr>
      </w:pPr>
      <w:r>
        <w:rPr>
          <w:rFonts w:ascii="Arial" w:hAnsi="Arial" w:cs="Arial"/>
        </w:rPr>
        <w:t xml:space="preserve">Half day </w:t>
      </w:r>
    </w:p>
    <w:p w14:paraId="7867396C" w14:textId="77777777" w:rsidR="00E71AC0" w:rsidRDefault="00667FA1">
      <w:pPr>
        <w:spacing w:line="360" w:lineRule="auto"/>
        <w:rPr>
          <w:rFonts w:ascii="Arial" w:hAnsi="Arial" w:cs="Arial"/>
        </w:rPr>
      </w:pPr>
      <w:r>
        <w:rPr>
          <w:rFonts w:ascii="Arial" w:hAnsi="Arial" w:cs="Arial"/>
        </w:rPr>
        <w:t>Full day</w:t>
      </w:r>
    </w:p>
    <w:p w14:paraId="7867396D" w14:textId="77777777" w:rsidR="00E71AC0" w:rsidRDefault="00E71AC0">
      <w:pPr>
        <w:spacing w:line="360" w:lineRule="auto"/>
        <w:rPr>
          <w:rFonts w:ascii="Arial" w:hAnsi="Arial" w:cs="Arial"/>
        </w:rPr>
      </w:pPr>
    </w:p>
    <w:p w14:paraId="7867396E" w14:textId="77777777" w:rsidR="00E71AC0" w:rsidRDefault="00667FA1">
      <w:pPr>
        <w:spacing w:line="360" w:lineRule="auto"/>
        <w:rPr>
          <w:rFonts w:ascii="Arial" w:hAnsi="Arial" w:cs="Arial"/>
        </w:rPr>
      </w:pPr>
      <w:r>
        <w:rPr>
          <w:rFonts w:ascii="Arial" w:hAnsi="Arial" w:cs="Arial"/>
        </w:rPr>
        <w:t>5. Which of the following programme would you be willing and/or able to commit to? *</w:t>
      </w:r>
    </w:p>
    <w:p w14:paraId="7867396F" w14:textId="77777777" w:rsidR="00E71AC0" w:rsidRDefault="00E71AC0">
      <w:pPr>
        <w:spacing w:line="360" w:lineRule="auto"/>
        <w:rPr>
          <w:rFonts w:ascii="Arial" w:hAnsi="Arial" w:cs="Arial"/>
        </w:rPr>
      </w:pPr>
    </w:p>
    <w:p w14:paraId="78673970" w14:textId="77777777" w:rsidR="00E71AC0" w:rsidRDefault="00667FA1">
      <w:pPr>
        <w:spacing w:line="360" w:lineRule="auto"/>
        <w:rPr>
          <w:rFonts w:ascii="Arial" w:hAnsi="Arial" w:cs="Arial"/>
        </w:rPr>
      </w:pPr>
      <w:r>
        <w:rPr>
          <w:rFonts w:ascii="Arial" w:hAnsi="Arial" w:cs="Arial"/>
        </w:rPr>
        <w:t xml:space="preserve">One-off 1 hour session(s) </w:t>
      </w:r>
    </w:p>
    <w:p w14:paraId="78673971" w14:textId="77777777" w:rsidR="00E71AC0" w:rsidRDefault="00667FA1">
      <w:pPr>
        <w:spacing w:line="360" w:lineRule="auto"/>
        <w:rPr>
          <w:rFonts w:ascii="Arial" w:hAnsi="Arial" w:cs="Arial"/>
        </w:rPr>
      </w:pPr>
      <w:r>
        <w:rPr>
          <w:rFonts w:ascii="Arial" w:hAnsi="Arial" w:cs="Arial"/>
        </w:rPr>
        <w:t xml:space="preserve">One-off </w:t>
      </w:r>
    </w:p>
    <w:p w14:paraId="78673972" w14:textId="77777777" w:rsidR="00E71AC0" w:rsidRDefault="00667FA1">
      <w:pPr>
        <w:spacing w:line="360" w:lineRule="auto"/>
        <w:rPr>
          <w:rFonts w:ascii="Arial" w:hAnsi="Arial" w:cs="Arial"/>
        </w:rPr>
      </w:pPr>
      <w:r>
        <w:rPr>
          <w:rFonts w:ascii="Arial" w:hAnsi="Arial" w:cs="Arial"/>
        </w:rPr>
        <w:t xml:space="preserve">1 day session(s) </w:t>
      </w:r>
    </w:p>
    <w:p w14:paraId="78673973" w14:textId="77777777" w:rsidR="00E71AC0" w:rsidRDefault="00667FA1">
      <w:pPr>
        <w:spacing w:line="360" w:lineRule="auto"/>
        <w:rPr>
          <w:rFonts w:ascii="Arial" w:hAnsi="Arial" w:cs="Arial"/>
        </w:rPr>
      </w:pPr>
      <w:r>
        <w:rPr>
          <w:rFonts w:ascii="Arial" w:hAnsi="Arial" w:cs="Arial"/>
        </w:rPr>
        <w:t xml:space="preserve">5 x 1 hour series </w:t>
      </w:r>
    </w:p>
    <w:p w14:paraId="78673974" w14:textId="77777777" w:rsidR="00E71AC0" w:rsidRDefault="00667FA1">
      <w:pPr>
        <w:spacing w:line="360" w:lineRule="auto"/>
        <w:rPr>
          <w:rFonts w:ascii="Arial" w:hAnsi="Arial" w:cs="Arial"/>
        </w:rPr>
      </w:pPr>
      <w:r>
        <w:rPr>
          <w:rFonts w:ascii="Arial" w:hAnsi="Arial" w:cs="Arial"/>
        </w:rPr>
        <w:t xml:space="preserve">3 x Half Day series </w:t>
      </w:r>
    </w:p>
    <w:p w14:paraId="78673975" w14:textId="77777777" w:rsidR="00E71AC0" w:rsidRDefault="00667FA1">
      <w:pPr>
        <w:spacing w:line="360" w:lineRule="auto"/>
        <w:rPr>
          <w:rFonts w:ascii="Arial" w:hAnsi="Arial" w:cs="Arial"/>
        </w:rPr>
      </w:pPr>
      <w:r>
        <w:rPr>
          <w:rFonts w:ascii="Arial" w:hAnsi="Arial" w:cs="Arial"/>
        </w:rPr>
        <w:t xml:space="preserve">2 x Full Day series </w:t>
      </w:r>
    </w:p>
    <w:p w14:paraId="78673976" w14:textId="77777777" w:rsidR="00E71AC0" w:rsidRDefault="00667FA1">
      <w:pPr>
        <w:spacing w:line="360" w:lineRule="auto"/>
        <w:rPr>
          <w:rFonts w:ascii="Arial" w:hAnsi="Arial" w:cs="Arial"/>
        </w:rPr>
      </w:pPr>
      <w:r>
        <w:rPr>
          <w:rFonts w:ascii="Arial" w:hAnsi="Arial" w:cs="Arial"/>
        </w:rPr>
        <w:t xml:space="preserve">All of the above </w:t>
      </w:r>
    </w:p>
    <w:p w14:paraId="78673977" w14:textId="77777777" w:rsidR="00E71AC0" w:rsidRDefault="00667FA1">
      <w:pPr>
        <w:spacing w:line="360" w:lineRule="auto"/>
        <w:rPr>
          <w:rFonts w:ascii="Arial" w:hAnsi="Arial" w:cs="Arial"/>
        </w:rPr>
      </w:pPr>
      <w:r>
        <w:rPr>
          <w:rFonts w:ascii="Arial" w:hAnsi="Arial" w:cs="Arial"/>
        </w:rPr>
        <w:t xml:space="preserve">None of the above </w:t>
      </w:r>
    </w:p>
    <w:p w14:paraId="78673978" w14:textId="77777777" w:rsidR="00E71AC0" w:rsidRDefault="00667FA1">
      <w:pPr>
        <w:spacing w:line="360" w:lineRule="auto"/>
        <w:rPr>
          <w:rFonts w:ascii="Arial" w:hAnsi="Arial" w:cs="Arial"/>
        </w:rPr>
      </w:pPr>
      <w:r>
        <w:rPr>
          <w:rFonts w:ascii="Arial" w:hAnsi="Arial" w:cs="Arial"/>
        </w:rPr>
        <w:t>Other</w:t>
      </w:r>
    </w:p>
    <w:p w14:paraId="78673979" w14:textId="77777777" w:rsidR="00E71AC0" w:rsidRDefault="00E71AC0">
      <w:pPr>
        <w:spacing w:line="360" w:lineRule="auto"/>
        <w:rPr>
          <w:rFonts w:ascii="Arial" w:hAnsi="Arial" w:cs="Arial"/>
        </w:rPr>
      </w:pPr>
    </w:p>
    <w:p w14:paraId="7867397A" w14:textId="77777777" w:rsidR="00E71AC0" w:rsidRDefault="00667FA1">
      <w:pPr>
        <w:spacing w:line="360" w:lineRule="auto"/>
        <w:rPr>
          <w:rFonts w:ascii="Arial" w:hAnsi="Arial" w:cs="Arial"/>
        </w:rPr>
      </w:pPr>
      <w:r>
        <w:rPr>
          <w:rFonts w:ascii="Arial" w:hAnsi="Arial" w:cs="Arial"/>
        </w:rPr>
        <w:t>6. What format would you prefer to access the training? *</w:t>
      </w:r>
    </w:p>
    <w:p w14:paraId="7867397B" w14:textId="77777777" w:rsidR="00E71AC0" w:rsidRDefault="00E71AC0">
      <w:pPr>
        <w:spacing w:line="360" w:lineRule="auto"/>
        <w:rPr>
          <w:rFonts w:ascii="Arial" w:hAnsi="Arial" w:cs="Arial"/>
        </w:rPr>
      </w:pPr>
    </w:p>
    <w:p w14:paraId="7867397C" w14:textId="77777777" w:rsidR="00E71AC0" w:rsidRDefault="00667FA1">
      <w:pPr>
        <w:spacing w:line="360" w:lineRule="auto"/>
        <w:rPr>
          <w:rFonts w:ascii="Arial" w:hAnsi="Arial" w:cs="Arial"/>
        </w:rPr>
      </w:pPr>
      <w:r>
        <w:rPr>
          <w:rFonts w:ascii="Arial" w:hAnsi="Arial" w:cs="Arial"/>
        </w:rPr>
        <w:t xml:space="preserve">Face to face - live Virtual - live </w:t>
      </w:r>
    </w:p>
    <w:p w14:paraId="7867397D" w14:textId="77777777" w:rsidR="00E71AC0" w:rsidRDefault="00667FA1">
      <w:pPr>
        <w:spacing w:line="360" w:lineRule="auto"/>
        <w:rPr>
          <w:rFonts w:ascii="Arial" w:hAnsi="Arial" w:cs="Arial"/>
        </w:rPr>
      </w:pPr>
      <w:r>
        <w:rPr>
          <w:rFonts w:ascii="Arial" w:hAnsi="Arial" w:cs="Arial"/>
        </w:rPr>
        <w:t xml:space="preserve">On Demand - watch back when convenient </w:t>
      </w:r>
    </w:p>
    <w:p w14:paraId="7867397E" w14:textId="77777777" w:rsidR="00E71AC0" w:rsidRDefault="00667FA1">
      <w:pPr>
        <w:spacing w:line="360" w:lineRule="auto"/>
        <w:rPr>
          <w:rFonts w:ascii="Arial" w:hAnsi="Arial" w:cs="Arial"/>
        </w:rPr>
      </w:pPr>
      <w:r>
        <w:rPr>
          <w:rFonts w:ascii="Arial" w:hAnsi="Arial" w:cs="Arial"/>
        </w:rPr>
        <w:t xml:space="preserve">Practical Workshop - live </w:t>
      </w:r>
    </w:p>
    <w:p w14:paraId="7867397F" w14:textId="77777777" w:rsidR="00E71AC0" w:rsidRDefault="00667FA1">
      <w:pPr>
        <w:spacing w:line="360" w:lineRule="auto"/>
        <w:rPr>
          <w:rFonts w:ascii="Arial" w:hAnsi="Arial" w:cs="Arial"/>
        </w:rPr>
      </w:pPr>
      <w:r>
        <w:rPr>
          <w:rFonts w:ascii="Arial" w:hAnsi="Arial" w:cs="Arial"/>
        </w:rPr>
        <w:t xml:space="preserve">Toolkit - resources only </w:t>
      </w:r>
    </w:p>
    <w:p w14:paraId="78673980" w14:textId="77777777" w:rsidR="00E71AC0" w:rsidRDefault="00667FA1">
      <w:pPr>
        <w:spacing w:line="360" w:lineRule="auto"/>
        <w:rPr>
          <w:rFonts w:ascii="Arial" w:hAnsi="Arial" w:cs="Arial"/>
        </w:rPr>
      </w:pPr>
      <w:r>
        <w:rPr>
          <w:rFonts w:ascii="Arial" w:hAnsi="Arial" w:cs="Arial"/>
        </w:rPr>
        <w:t>Other</w:t>
      </w:r>
    </w:p>
    <w:p w14:paraId="78673981" w14:textId="77777777" w:rsidR="00E71AC0" w:rsidRDefault="00E71AC0">
      <w:pPr>
        <w:spacing w:line="360" w:lineRule="auto"/>
        <w:rPr>
          <w:rFonts w:ascii="Arial" w:hAnsi="Arial" w:cs="Arial"/>
        </w:rPr>
      </w:pPr>
    </w:p>
    <w:p w14:paraId="78673982" w14:textId="77777777" w:rsidR="00E71AC0" w:rsidRDefault="00667FA1">
      <w:pPr>
        <w:spacing w:line="360" w:lineRule="auto"/>
        <w:rPr>
          <w:rFonts w:ascii="Arial" w:hAnsi="Arial" w:cs="Arial"/>
        </w:rPr>
      </w:pPr>
      <w:r>
        <w:rPr>
          <w:rFonts w:ascii="Arial" w:hAnsi="Arial" w:cs="Arial"/>
        </w:rPr>
        <w:t>7. If the training was online, how would you access it? *</w:t>
      </w:r>
    </w:p>
    <w:p w14:paraId="78673983" w14:textId="77777777" w:rsidR="00E71AC0" w:rsidRDefault="00E71AC0">
      <w:pPr>
        <w:spacing w:line="360" w:lineRule="auto"/>
        <w:rPr>
          <w:rFonts w:ascii="Arial" w:hAnsi="Arial" w:cs="Arial"/>
        </w:rPr>
      </w:pPr>
    </w:p>
    <w:p w14:paraId="78673984" w14:textId="77777777" w:rsidR="00E71AC0" w:rsidRDefault="00667FA1">
      <w:pPr>
        <w:spacing w:line="360" w:lineRule="auto"/>
        <w:rPr>
          <w:rFonts w:ascii="Arial" w:hAnsi="Arial" w:cs="Arial"/>
        </w:rPr>
      </w:pPr>
      <w:r>
        <w:rPr>
          <w:rFonts w:ascii="Arial" w:hAnsi="Arial" w:cs="Arial"/>
        </w:rPr>
        <w:t xml:space="preserve">Work office PC/laptop </w:t>
      </w:r>
    </w:p>
    <w:p w14:paraId="78673985" w14:textId="77777777" w:rsidR="00E71AC0" w:rsidRDefault="00667FA1">
      <w:pPr>
        <w:spacing w:line="360" w:lineRule="auto"/>
        <w:rPr>
          <w:rFonts w:ascii="Arial" w:hAnsi="Arial" w:cs="Arial"/>
        </w:rPr>
      </w:pPr>
      <w:r>
        <w:rPr>
          <w:rFonts w:ascii="Arial" w:hAnsi="Arial" w:cs="Arial"/>
        </w:rPr>
        <w:t xml:space="preserve">Health Board Library PC/laptop </w:t>
      </w:r>
    </w:p>
    <w:p w14:paraId="78673986" w14:textId="77777777" w:rsidR="00E71AC0" w:rsidRDefault="00667FA1">
      <w:pPr>
        <w:spacing w:line="360" w:lineRule="auto"/>
        <w:rPr>
          <w:rFonts w:ascii="Arial" w:hAnsi="Arial" w:cs="Arial"/>
        </w:rPr>
      </w:pPr>
      <w:r>
        <w:rPr>
          <w:rFonts w:ascii="Arial" w:hAnsi="Arial" w:cs="Arial"/>
        </w:rPr>
        <w:t xml:space="preserve">Personal PC/laptop </w:t>
      </w:r>
    </w:p>
    <w:p w14:paraId="78673987" w14:textId="77777777" w:rsidR="00E71AC0" w:rsidRDefault="00667FA1">
      <w:pPr>
        <w:spacing w:line="360" w:lineRule="auto"/>
        <w:rPr>
          <w:rFonts w:ascii="Arial" w:hAnsi="Arial" w:cs="Arial"/>
        </w:rPr>
      </w:pPr>
      <w:r>
        <w:rPr>
          <w:rFonts w:ascii="Arial" w:hAnsi="Arial" w:cs="Arial"/>
        </w:rPr>
        <w:lastRenderedPageBreak/>
        <w:t xml:space="preserve">Community Library PC/laptop </w:t>
      </w:r>
    </w:p>
    <w:p w14:paraId="78673988" w14:textId="77777777" w:rsidR="00E71AC0" w:rsidRDefault="00667FA1">
      <w:pPr>
        <w:spacing w:line="360" w:lineRule="auto"/>
        <w:rPr>
          <w:rFonts w:ascii="Arial" w:hAnsi="Arial" w:cs="Arial"/>
        </w:rPr>
      </w:pPr>
      <w:r>
        <w:rPr>
          <w:rFonts w:ascii="Arial" w:hAnsi="Arial" w:cs="Arial"/>
        </w:rPr>
        <w:t xml:space="preserve">Friend/Family Member's PC/laptop </w:t>
      </w:r>
    </w:p>
    <w:p w14:paraId="78673989" w14:textId="77777777" w:rsidR="00E71AC0" w:rsidRDefault="00667FA1">
      <w:pPr>
        <w:spacing w:line="360" w:lineRule="auto"/>
        <w:rPr>
          <w:rFonts w:ascii="Arial" w:hAnsi="Arial" w:cs="Arial"/>
        </w:rPr>
      </w:pPr>
      <w:r>
        <w:rPr>
          <w:rFonts w:ascii="Arial" w:hAnsi="Arial" w:cs="Arial"/>
        </w:rPr>
        <w:t>Other</w:t>
      </w:r>
    </w:p>
    <w:p w14:paraId="7867398A" w14:textId="77777777" w:rsidR="00E71AC0" w:rsidRDefault="00E71AC0">
      <w:pPr>
        <w:spacing w:line="360" w:lineRule="auto"/>
        <w:rPr>
          <w:rFonts w:ascii="Arial" w:hAnsi="Arial" w:cs="Arial"/>
        </w:rPr>
      </w:pPr>
    </w:p>
    <w:p w14:paraId="7867398B" w14:textId="77777777" w:rsidR="00E71AC0" w:rsidRDefault="00667FA1">
      <w:pPr>
        <w:spacing w:line="360" w:lineRule="auto"/>
        <w:rPr>
          <w:rFonts w:ascii="Arial" w:hAnsi="Arial" w:cs="Arial"/>
        </w:rPr>
      </w:pPr>
      <w:r>
        <w:rPr>
          <w:rFonts w:ascii="Arial" w:hAnsi="Arial" w:cs="Arial"/>
        </w:rPr>
        <w:t xml:space="preserve">8. To further our understanding around the training needs of employees within the Health Board and the challenges being faced around participating in training, we would like to speak 5 - 10 people to gain more knowledge and adopt relevant practices to help you.  Would you be willing to participate in a conversation around this? * </w:t>
      </w:r>
    </w:p>
    <w:p w14:paraId="7867398C" w14:textId="77777777" w:rsidR="00E71AC0" w:rsidRDefault="00E71AC0">
      <w:pPr>
        <w:spacing w:line="360" w:lineRule="auto"/>
        <w:rPr>
          <w:rFonts w:ascii="Arial" w:hAnsi="Arial" w:cs="Arial"/>
        </w:rPr>
      </w:pPr>
    </w:p>
    <w:p w14:paraId="7867398D" w14:textId="77777777" w:rsidR="00E71AC0" w:rsidRDefault="00667FA1">
      <w:pPr>
        <w:spacing w:line="360" w:lineRule="auto"/>
        <w:rPr>
          <w:rFonts w:ascii="Arial" w:hAnsi="Arial" w:cs="Arial"/>
        </w:rPr>
      </w:pPr>
      <w:r>
        <w:rPr>
          <w:rFonts w:ascii="Arial" w:hAnsi="Arial" w:cs="Arial"/>
        </w:rPr>
        <w:t xml:space="preserve">Yes </w:t>
      </w:r>
    </w:p>
    <w:p w14:paraId="7867398E" w14:textId="77777777" w:rsidR="00E71AC0" w:rsidRDefault="00667FA1">
      <w:pPr>
        <w:spacing w:line="360" w:lineRule="auto"/>
        <w:rPr>
          <w:rFonts w:ascii="Arial" w:hAnsi="Arial" w:cs="Arial"/>
        </w:rPr>
      </w:pPr>
      <w:r>
        <w:rPr>
          <w:rFonts w:ascii="Arial" w:hAnsi="Arial" w:cs="Arial"/>
        </w:rPr>
        <w:t>No</w:t>
      </w:r>
    </w:p>
    <w:p w14:paraId="7867398F" w14:textId="77777777" w:rsidR="00E71AC0" w:rsidRDefault="00E71AC0">
      <w:pPr>
        <w:spacing w:line="360" w:lineRule="auto"/>
        <w:rPr>
          <w:rFonts w:ascii="Arial" w:hAnsi="Arial" w:cs="Arial"/>
        </w:rPr>
      </w:pPr>
    </w:p>
    <w:p w14:paraId="78673990" w14:textId="77777777" w:rsidR="00E71AC0" w:rsidRDefault="00667FA1">
      <w:pPr>
        <w:spacing w:line="360" w:lineRule="auto"/>
        <w:rPr>
          <w:rFonts w:ascii="Arial" w:hAnsi="Arial" w:cs="Arial"/>
          <w:b/>
          <w:bCs/>
        </w:rPr>
      </w:pPr>
      <w:r>
        <w:rPr>
          <w:rFonts w:ascii="Arial" w:hAnsi="Arial" w:cs="Arial"/>
          <w:b/>
          <w:bCs/>
        </w:rPr>
        <w:t xml:space="preserve">YOUR DETAILS </w:t>
      </w:r>
    </w:p>
    <w:p w14:paraId="78673991" w14:textId="77777777" w:rsidR="00E71AC0" w:rsidRDefault="00667FA1">
      <w:pPr>
        <w:spacing w:line="360" w:lineRule="auto"/>
        <w:rPr>
          <w:rFonts w:ascii="Arial" w:hAnsi="Arial" w:cs="Arial"/>
        </w:rPr>
      </w:pPr>
      <w:r>
        <w:rPr>
          <w:rFonts w:ascii="Arial" w:hAnsi="Arial" w:cs="Arial"/>
        </w:rPr>
        <w:t>Please be assured your responses will be anonymised in the findings of the report. To note, the conversation will be in the form of a semi-structure interview, with a small number of set questions and potentially a small number of follow up questions to clarify the interviewers understanding. The conversation will take no more than 1 hour and can be arranged to take place virtually for your convenience.</w:t>
      </w:r>
    </w:p>
    <w:p w14:paraId="78673992" w14:textId="77777777" w:rsidR="00E71AC0" w:rsidRDefault="00E71AC0">
      <w:pPr>
        <w:spacing w:line="360" w:lineRule="auto"/>
        <w:rPr>
          <w:rFonts w:ascii="Arial" w:hAnsi="Arial" w:cs="Arial"/>
        </w:rPr>
      </w:pPr>
    </w:p>
    <w:p w14:paraId="78673993" w14:textId="77777777" w:rsidR="00E71AC0" w:rsidRDefault="00667FA1">
      <w:pPr>
        <w:spacing w:line="360" w:lineRule="auto"/>
        <w:rPr>
          <w:rFonts w:ascii="Arial" w:hAnsi="Arial" w:cs="Arial"/>
        </w:rPr>
      </w:pPr>
      <w:r>
        <w:rPr>
          <w:rFonts w:ascii="Arial" w:hAnsi="Arial" w:cs="Arial"/>
        </w:rPr>
        <w:t>9. Name *</w:t>
      </w:r>
    </w:p>
    <w:p w14:paraId="78673994" w14:textId="77777777" w:rsidR="00E71AC0" w:rsidRDefault="00E71AC0">
      <w:pPr>
        <w:spacing w:line="360" w:lineRule="auto"/>
        <w:rPr>
          <w:rFonts w:ascii="Arial" w:hAnsi="Arial" w:cs="Arial"/>
        </w:rPr>
      </w:pPr>
    </w:p>
    <w:p w14:paraId="78673995" w14:textId="77777777" w:rsidR="00E71AC0" w:rsidRDefault="00667FA1">
      <w:pPr>
        <w:spacing w:line="360" w:lineRule="auto"/>
        <w:rPr>
          <w:rFonts w:ascii="Arial" w:hAnsi="Arial" w:cs="Arial"/>
        </w:rPr>
      </w:pPr>
      <w:r>
        <w:rPr>
          <w:rFonts w:ascii="Arial" w:hAnsi="Arial" w:cs="Arial"/>
        </w:rPr>
        <w:t>10. Email address *</w:t>
      </w:r>
    </w:p>
    <w:p w14:paraId="7BD29D7A" w14:textId="77777777" w:rsidR="00A108C1" w:rsidRDefault="00A108C1">
      <w:pPr>
        <w:suppressAutoHyphens w:val="0"/>
        <w:spacing w:after="160" w:line="247" w:lineRule="auto"/>
        <w:rPr>
          <w:rFonts w:ascii="Arial" w:hAnsi="Arial" w:cs="Arial"/>
          <w:b/>
          <w:bCs/>
        </w:rPr>
      </w:pPr>
      <w:r>
        <w:rPr>
          <w:rFonts w:ascii="Arial" w:hAnsi="Arial" w:cs="Arial"/>
          <w:b/>
          <w:bCs/>
        </w:rPr>
        <w:br w:type="page"/>
      </w:r>
    </w:p>
    <w:p w14:paraId="78673996" w14:textId="2D42EEDF" w:rsidR="00E71AC0" w:rsidRDefault="00667FA1">
      <w:pPr>
        <w:spacing w:line="360" w:lineRule="auto"/>
        <w:rPr>
          <w:rFonts w:ascii="Arial" w:hAnsi="Arial" w:cs="Arial"/>
          <w:b/>
          <w:bCs/>
        </w:rPr>
      </w:pPr>
      <w:r>
        <w:rPr>
          <w:rFonts w:ascii="Arial" w:hAnsi="Arial" w:cs="Arial"/>
          <w:b/>
          <w:bCs/>
        </w:rPr>
        <w:lastRenderedPageBreak/>
        <w:t>Appendix B</w:t>
      </w:r>
    </w:p>
    <w:p w14:paraId="78673997" w14:textId="77777777" w:rsidR="00E71AC0" w:rsidRDefault="00667FA1">
      <w:pPr>
        <w:spacing w:line="360" w:lineRule="auto"/>
        <w:rPr>
          <w:rFonts w:ascii="Arial" w:hAnsi="Arial" w:cs="Arial"/>
          <w:b/>
          <w:bCs/>
        </w:rPr>
      </w:pPr>
      <w:r>
        <w:rPr>
          <w:rFonts w:ascii="Arial" w:hAnsi="Arial" w:cs="Arial"/>
          <w:b/>
          <w:bCs/>
        </w:rPr>
        <w:t>Interview Questions</w:t>
      </w:r>
    </w:p>
    <w:p w14:paraId="78673998" w14:textId="77777777" w:rsidR="00E71AC0" w:rsidRDefault="00667FA1">
      <w:pPr>
        <w:spacing w:line="360" w:lineRule="auto"/>
      </w:pPr>
      <w:r>
        <w:rPr>
          <w:noProof/>
        </w:rPr>
        <mc:AlternateContent>
          <mc:Choice Requires="wps">
            <w:drawing>
              <wp:anchor distT="0" distB="0" distL="114300" distR="114300" simplePos="0" relativeHeight="251664384" behindDoc="0" locked="0" layoutInCell="1" allowOverlap="1" wp14:anchorId="786737CA" wp14:editId="786737CB">
                <wp:simplePos x="0" y="0"/>
                <wp:positionH relativeFrom="column">
                  <wp:posOffset>4072252</wp:posOffset>
                </wp:positionH>
                <wp:positionV relativeFrom="paragraph">
                  <wp:posOffset>247016</wp:posOffset>
                </wp:positionV>
                <wp:extent cx="203838" cy="189866"/>
                <wp:effectExtent l="0" t="0" r="24762" b="19684"/>
                <wp:wrapNone/>
                <wp:docPr id="12" name="Rectangle 12"/>
                <wp:cNvGraphicFramePr/>
                <a:graphic xmlns:a="http://schemas.openxmlformats.org/drawingml/2006/main">
                  <a:graphicData uri="http://schemas.microsoft.com/office/word/2010/wordprocessingShape">
                    <wps:wsp>
                      <wps:cNvSpPr/>
                      <wps:spPr>
                        <a:xfrm>
                          <a:off x="0" y="0"/>
                          <a:ext cx="203838" cy="189866"/>
                        </a:xfrm>
                        <a:prstGeom prst="rect">
                          <a:avLst/>
                        </a:prstGeom>
                        <a:solidFill>
                          <a:srgbClr val="FFFFFF"/>
                        </a:solidFill>
                        <a:ln w="9528" cap="flat">
                          <a:solidFill>
                            <a:srgbClr val="000000"/>
                          </a:solidFill>
                          <a:prstDash val="solid"/>
                          <a:miter/>
                        </a:ln>
                      </wps:spPr>
                      <wps:bodyPr lIns="0" tIns="0" rIns="0" bIns="0"/>
                    </wps:wsp>
                  </a:graphicData>
                </a:graphic>
              </wp:anchor>
            </w:drawing>
          </mc:Choice>
          <mc:Fallback>
            <w:pict>
              <v:rect w14:anchorId="1C4ED75C" id="Rectangle 12" o:spid="_x0000_s1026" style="position:absolute;margin-left:320.65pt;margin-top:19.45pt;width:16.05pt;height:14.9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" strokeweight=".26467mm">
                <v:textbox inset="0,0,0,0"/>
              </v:rect>
            </w:pict>
          </mc:Fallback>
        </mc:AlternateContent>
      </w:r>
    </w:p>
    <w:p w14:paraId="78673999" w14:textId="77777777" w:rsidR="00E71AC0" w:rsidRDefault="00667FA1">
      <w:pPr>
        <w:spacing w:line="360" w:lineRule="auto"/>
      </w:pPr>
      <w:r>
        <w:rPr>
          <w:rFonts w:ascii="Arial" w:hAnsi="Arial" w:cs="Arial"/>
        </w:rPr>
        <w:t>Reminders:</w:t>
      </w:r>
      <w:r>
        <w:rPr>
          <w:rFonts w:ascii="Arial" w:hAnsi="Arial" w:cs="Arial"/>
        </w:rPr>
        <w:tab/>
        <w:t>Purpose of interviews/study</w:t>
      </w:r>
      <w:r>
        <w:rPr>
          <w:rFonts w:ascii="Arial" w:hAnsi="Arial" w:cs="Arial"/>
        </w:rPr>
        <w:tab/>
      </w:r>
      <w:r>
        <w:rPr>
          <w:rFonts w:ascii="Arial" w:hAnsi="Arial" w:cs="Arial"/>
        </w:rPr>
        <w:tab/>
      </w:r>
      <w:r>
        <w:rPr>
          <w:rFonts w:ascii="Arial" w:hAnsi="Arial" w:cs="Arial"/>
        </w:rPr>
        <w:tab/>
      </w:r>
    </w:p>
    <w:p w14:paraId="7867399A" w14:textId="77777777" w:rsidR="00E71AC0" w:rsidRDefault="00667FA1">
      <w:pPr>
        <w:spacing w:line="360" w:lineRule="auto"/>
      </w:pPr>
      <w:r>
        <w:rPr>
          <w:noProof/>
        </w:rPr>
        <mc:AlternateContent>
          <mc:Choice Requires="wps">
            <w:drawing>
              <wp:anchor distT="0" distB="0" distL="114300" distR="114300" simplePos="0" relativeHeight="251666432" behindDoc="0" locked="0" layoutInCell="1" allowOverlap="1" wp14:anchorId="786737CC" wp14:editId="786737CD">
                <wp:simplePos x="0" y="0"/>
                <wp:positionH relativeFrom="column">
                  <wp:posOffset>4070981</wp:posOffset>
                </wp:positionH>
                <wp:positionV relativeFrom="paragraph">
                  <wp:posOffset>8887</wp:posOffset>
                </wp:positionV>
                <wp:extent cx="203838" cy="189866"/>
                <wp:effectExtent l="0" t="0" r="24762" b="19684"/>
                <wp:wrapNone/>
                <wp:docPr id="13" name="Rectangle 11"/>
                <wp:cNvGraphicFramePr/>
                <a:graphic xmlns:a="http://schemas.openxmlformats.org/drawingml/2006/main">
                  <a:graphicData uri="http://schemas.microsoft.com/office/word/2010/wordprocessingShape">
                    <wps:wsp>
                      <wps:cNvSpPr/>
                      <wps:spPr>
                        <a:xfrm>
                          <a:off x="0" y="0"/>
                          <a:ext cx="203838" cy="189866"/>
                        </a:xfrm>
                        <a:prstGeom prst="rect">
                          <a:avLst/>
                        </a:prstGeom>
                        <a:solidFill>
                          <a:srgbClr val="FFFFFF"/>
                        </a:solidFill>
                        <a:ln w="9528" cap="flat">
                          <a:solidFill>
                            <a:srgbClr val="000000"/>
                          </a:solidFill>
                          <a:prstDash val="solid"/>
                          <a:miter/>
                        </a:ln>
                      </wps:spPr>
                      <wps:bodyPr lIns="0" tIns="0" rIns="0" bIns="0"/>
                    </wps:wsp>
                  </a:graphicData>
                </a:graphic>
              </wp:anchor>
            </w:drawing>
          </mc:Choice>
          <mc:Fallback>
            <w:pict>
              <v:rect w14:anchorId="716D034C" id="Rectangle 11" o:spid="_x0000_s1026" style="position:absolute;margin-left:320.55pt;margin-top:.7pt;width:16.05pt;height:14.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" strokeweight=".26467mm">
                <v:textbox inset="0,0,0,0"/>
              </v:rect>
            </w:pict>
          </mc:Fallback>
        </mc:AlternateContent>
      </w:r>
      <w:r>
        <w:rPr>
          <w:rFonts w:ascii="Arial" w:hAnsi="Arial" w:cs="Arial"/>
        </w:rPr>
        <w:tab/>
      </w:r>
      <w:r>
        <w:rPr>
          <w:rFonts w:ascii="Arial" w:hAnsi="Arial" w:cs="Arial"/>
        </w:rPr>
        <w:tab/>
        <w:t>Can stop or withdraw at any time</w:t>
      </w:r>
      <w:r>
        <w:rPr>
          <w:rFonts w:ascii="Arial" w:hAnsi="Arial" w:cs="Arial"/>
        </w:rPr>
        <w:tab/>
      </w:r>
      <w:r>
        <w:rPr>
          <w:rFonts w:ascii="Arial" w:hAnsi="Arial" w:cs="Arial"/>
        </w:rPr>
        <w:tab/>
      </w:r>
      <w:r>
        <w:rPr>
          <w:rFonts w:ascii="Arial" w:hAnsi="Arial" w:cs="Arial"/>
        </w:rPr>
        <w:tab/>
      </w:r>
    </w:p>
    <w:p w14:paraId="7867399B" w14:textId="77777777" w:rsidR="00E71AC0" w:rsidRDefault="00667FA1">
      <w:pPr>
        <w:spacing w:line="360" w:lineRule="auto"/>
      </w:pPr>
      <w:r>
        <w:rPr>
          <w:noProof/>
        </w:rPr>
        <mc:AlternateContent>
          <mc:Choice Requires="wps">
            <w:drawing>
              <wp:anchor distT="0" distB="0" distL="114300" distR="114300" simplePos="0" relativeHeight="251665408" behindDoc="0" locked="0" layoutInCell="1" allowOverlap="1" wp14:anchorId="786737CE" wp14:editId="786737CF">
                <wp:simplePos x="0" y="0"/>
                <wp:positionH relativeFrom="column">
                  <wp:posOffset>4070981</wp:posOffset>
                </wp:positionH>
                <wp:positionV relativeFrom="paragraph">
                  <wp:posOffset>12701</wp:posOffset>
                </wp:positionV>
                <wp:extent cx="203838" cy="189866"/>
                <wp:effectExtent l="0" t="0" r="24762" b="19684"/>
                <wp:wrapNone/>
                <wp:docPr id="14" name="Rectangle 10"/>
                <wp:cNvGraphicFramePr/>
                <a:graphic xmlns:a="http://schemas.openxmlformats.org/drawingml/2006/main">
                  <a:graphicData uri="http://schemas.microsoft.com/office/word/2010/wordprocessingShape">
                    <wps:wsp>
                      <wps:cNvSpPr/>
                      <wps:spPr>
                        <a:xfrm>
                          <a:off x="0" y="0"/>
                          <a:ext cx="203838" cy="189866"/>
                        </a:xfrm>
                        <a:prstGeom prst="rect">
                          <a:avLst/>
                        </a:prstGeom>
                        <a:solidFill>
                          <a:srgbClr val="FFFFFF"/>
                        </a:solidFill>
                        <a:ln w="9528" cap="flat">
                          <a:solidFill>
                            <a:srgbClr val="000000"/>
                          </a:solidFill>
                          <a:prstDash val="solid"/>
                          <a:miter/>
                        </a:ln>
                      </wps:spPr>
                      <wps:bodyPr lIns="0" tIns="0" rIns="0" bIns="0"/>
                    </wps:wsp>
                  </a:graphicData>
                </a:graphic>
              </wp:anchor>
            </w:drawing>
          </mc:Choice>
          <mc:Fallback>
            <w:pict>
              <v:rect w14:anchorId="04FD8928" id="Rectangle 10" o:spid="_x0000_s1026" style="position:absolute;margin-left:320.55pt;margin-top:1pt;width:16.05pt;height:14.9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" strokeweight=".26467mm">
                <v:textbox inset="0,0,0,0"/>
              </v:rect>
            </w:pict>
          </mc:Fallback>
        </mc:AlternateContent>
      </w:r>
      <w:r>
        <w:rPr>
          <w:rFonts w:ascii="Arial" w:hAnsi="Arial" w:cs="Arial"/>
        </w:rPr>
        <w:tab/>
      </w:r>
      <w:r>
        <w:rPr>
          <w:rFonts w:ascii="Arial" w:hAnsi="Arial" w:cs="Arial"/>
        </w:rPr>
        <w:tab/>
        <w:t>Anonymous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7867399C" w14:textId="77777777" w:rsidR="00E71AC0" w:rsidRDefault="00667FA1">
      <w:pPr>
        <w:spacing w:line="360" w:lineRule="auto"/>
        <w:rPr>
          <w:rFonts w:ascii="Arial" w:hAnsi="Arial" w:cs="Arial"/>
        </w:rPr>
      </w:pPr>
      <w:r>
        <w:rPr>
          <w:rFonts w:ascii="Arial" w:hAnsi="Arial" w:cs="Arial"/>
        </w:rPr>
        <w:tab/>
      </w:r>
      <w:r>
        <w:rPr>
          <w:rFonts w:ascii="Arial" w:hAnsi="Arial" w:cs="Arial"/>
        </w:rPr>
        <w:tab/>
      </w:r>
    </w:p>
    <w:p w14:paraId="6412663C" w14:textId="77777777" w:rsidR="00A108C1" w:rsidRDefault="00A108C1" w:rsidP="008B57D6">
      <w:pPr>
        <w:spacing w:line="360" w:lineRule="auto"/>
        <w:rPr>
          <w:rFonts w:ascii="Aptos" w:eastAsia="Aptos" w:hAnsi="Aptos" w:cs="Aptos"/>
          <w:b/>
          <w:bCs/>
          <w:color w:val="000000" w:themeColor="text1"/>
        </w:rPr>
      </w:pPr>
      <w:r w:rsidRPr="509603D5">
        <w:rPr>
          <w:rFonts w:ascii="Aptos" w:eastAsia="Aptos" w:hAnsi="Aptos" w:cs="Aptos"/>
          <w:b/>
          <w:bCs/>
        </w:rPr>
        <w:t>1) Reflecting on the preferences you shared about the duration and commitment for training program</w:t>
      </w:r>
      <w:r w:rsidRPr="509603D5">
        <w:rPr>
          <w:rFonts w:ascii="Aptos" w:eastAsia="Aptos" w:hAnsi="Aptos" w:cs="Aptos"/>
          <w:b/>
          <w:bCs/>
          <w:color w:val="000000" w:themeColor="text1"/>
        </w:rPr>
        <w:t>mes, to what extent were your responses influenced by your views on training in general versus specifically workforce planning training?</w:t>
      </w:r>
    </w:p>
    <w:p w14:paraId="6F0E4B80" w14:textId="77777777" w:rsidR="00A108C1" w:rsidRDefault="00A108C1" w:rsidP="008B57D6">
      <w:pPr>
        <w:spacing w:line="360" w:lineRule="auto"/>
        <w:rPr>
          <w:rFonts w:ascii="Aptos" w:eastAsia="Aptos" w:hAnsi="Aptos" w:cs="Aptos"/>
        </w:rPr>
      </w:pPr>
    </w:p>
    <w:p w14:paraId="1273604B" w14:textId="77777777" w:rsidR="00A108C1" w:rsidRDefault="00A108C1" w:rsidP="008B57D6">
      <w:pPr>
        <w:spacing w:line="360" w:lineRule="auto"/>
        <w:rPr>
          <w:rFonts w:ascii="Aptos" w:eastAsia="Aptos" w:hAnsi="Aptos" w:cs="Aptos"/>
        </w:rPr>
      </w:pPr>
      <w:r w:rsidRPr="509603D5">
        <w:rPr>
          <w:rFonts w:ascii="Aptos" w:eastAsia="Aptos" w:hAnsi="Aptos" w:cs="Aptos"/>
        </w:rPr>
        <w:t>Follow up question - "Could you elaborate on the differences, if any, between how you approach general training and workforce planning training?"</w:t>
      </w:r>
    </w:p>
    <w:p w14:paraId="6CDA0989" w14:textId="77777777" w:rsidR="008B57D6" w:rsidRDefault="008B57D6" w:rsidP="008B57D6">
      <w:pPr>
        <w:spacing w:line="360" w:lineRule="auto"/>
        <w:rPr>
          <w:rFonts w:ascii="Aptos" w:eastAsia="Aptos" w:hAnsi="Aptos" w:cs="Aptos"/>
          <w:b/>
          <w:bCs/>
        </w:rPr>
      </w:pPr>
    </w:p>
    <w:p w14:paraId="27DB0366" w14:textId="6D9E4C17" w:rsidR="00A108C1" w:rsidRDefault="00A108C1" w:rsidP="008B57D6">
      <w:pPr>
        <w:spacing w:line="360" w:lineRule="auto"/>
        <w:rPr>
          <w:rFonts w:ascii="Aptos" w:eastAsia="Aptos" w:hAnsi="Aptos" w:cs="Aptos"/>
        </w:rPr>
      </w:pPr>
      <w:r w:rsidRPr="509603D5">
        <w:rPr>
          <w:rFonts w:ascii="Aptos" w:eastAsia="Aptos" w:hAnsi="Aptos" w:cs="Aptos"/>
          <w:b/>
          <w:bCs/>
        </w:rPr>
        <w:t>2) The questionnaire revealed a preference split between one-off sessions and multiple-session programmes. What factors might discourage you from committing to a multiple-session programme?</w:t>
      </w:r>
    </w:p>
    <w:p w14:paraId="52295475" w14:textId="77777777" w:rsidR="00A108C1" w:rsidRDefault="00A108C1" w:rsidP="008B57D6">
      <w:pPr>
        <w:spacing w:line="360" w:lineRule="auto"/>
        <w:rPr>
          <w:rFonts w:ascii="Aptos" w:eastAsia="Aptos" w:hAnsi="Aptos" w:cs="Aptos"/>
        </w:rPr>
      </w:pPr>
      <w:r w:rsidRPr="509603D5">
        <w:rPr>
          <w:rFonts w:ascii="Aptos" w:eastAsia="Aptos" w:hAnsi="Aptos" w:cs="Aptos"/>
        </w:rPr>
        <w:t>Follow-up questions</w:t>
      </w:r>
      <w:r w:rsidRPr="509603D5">
        <w:rPr>
          <w:rFonts w:ascii="Aptos" w:eastAsia="Aptos" w:hAnsi="Aptos" w:cs="Aptos"/>
          <w:i/>
          <w:iCs/>
        </w:rPr>
        <w:t xml:space="preserve"> - </w:t>
      </w:r>
      <w:r w:rsidRPr="509603D5">
        <w:rPr>
          <w:rFonts w:ascii="Aptos" w:eastAsia="Aptos" w:hAnsi="Aptos" w:cs="Aptos"/>
        </w:rPr>
        <w:t xml:space="preserve"> "Are there specific barriers, like scheduling or workload, that affect your ability to attend multiple sessions?"</w:t>
      </w:r>
    </w:p>
    <w:p w14:paraId="1699F003" w14:textId="77777777" w:rsidR="00A108C1" w:rsidRDefault="00A108C1" w:rsidP="008B57D6">
      <w:pPr>
        <w:spacing w:line="360" w:lineRule="auto"/>
      </w:pPr>
      <w:r w:rsidRPr="509603D5">
        <w:rPr>
          <w:rFonts w:ascii="Aptos" w:eastAsia="Aptos" w:hAnsi="Aptos" w:cs="Aptos"/>
        </w:rPr>
        <w:t>"If time or commitment wasn’t an issue, would your preference change?"</w:t>
      </w:r>
    </w:p>
    <w:p w14:paraId="2A995EF6" w14:textId="77777777" w:rsidR="00A108C1" w:rsidRDefault="00A108C1" w:rsidP="008B57D6">
      <w:pPr>
        <w:spacing w:line="360" w:lineRule="auto"/>
      </w:pPr>
    </w:p>
    <w:p w14:paraId="498B5DB4" w14:textId="77777777" w:rsidR="00A108C1" w:rsidRDefault="00A108C1" w:rsidP="008B57D6">
      <w:pPr>
        <w:spacing w:line="360" w:lineRule="auto"/>
        <w:rPr>
          <w:rFonts w:ascii="Aptos" w:eastAsia="Aptos" w:hAnsi="Aptos" w:cs="Aptos"/>
          <w:b/>
          <w:bCs/>
          <w:color w:val="000000" w:themeColor="text1"/>
        </w:rPr>
      </w:pPr>
      <w:r w:rsidRPr="509603D5">
        <w:rPr>
          <w:rFonts w:ascii="Aptos" w:eastAsia="Aptos" w:hAnsi="Aptos" w:cs="Aptos"/>
          <w:b/>
          <w:bCs/>
        </w:rPr>
        <w:t xml:space="preserve">3) A significant proportion of respondents preferred live, facilitated sessions (either face-to-face or virtual) over on-demand sessions or toolkits. What would influence your preference for </w:t>
      </w:r>
      <w:r w:rsidRPr="509603D5">
        <w:rPr>
          <w:rFonts w:ascii="Aptos" w:eastAsia="Aptos" w:hAnsi="Aptos" w:cs="Aptos"/>
          <w:b/>
          <w:bCs/>
          <w:color w:val="000000" w:themeColor="text1"/>
        </w:rPr>
        <w:t>live, facilitated session over an on-demand played back session or a toolkit provided?</w:t>
      </w:r>
    </w:p>
    <w:p w14:paraId="2C23CD43" w14:textId="77777777" w:rsidR="00A108C1" w:rsidRDefault="00A108C1" w:rsidP="008B57D6">
      <w:pPr>
        <w:spacing w:line="360" w:lineRule="auto"/>
        <w:rPr>
          <w:rFonts w:ascii="Aptos" w:eastAsia="Aptos" w:hAnsi="Aptos" w:cs="Aptos"/>
        </w:rPr>
      </w:pPr>
    </w:p>
    <w:p w14:paraId="74864C3E" w14:textId="77777777" w:rsidR="00A108C1" w:rsidRDefault="00A108C1" w:rsidP="008B57D6">
      <w:pPr>
        <w:spacing w:line="360" w:lineRule="auto"/>
        <w:rPr>
          <w:rFonts w:ascii="Aptos" w:eastAsia="Aptos" w:hAnsi="Aptos" w:cs="Aptos"/>
          <w:i/>
          <w:iCs/>
          <w:lang w:val="en-US"/>
        </w:rPr>
      </w:pPr>
      <w:r w:rsidRPr="509603D5">
        <w:rPr>
          <w:rFonts w:ascii="Aptos" w:eastAsia="Aptos" w:hAnsi="Aptos" w:cs="Aptos"/>
        </w:rPr>
        <w:t>Follow-up questions</w:t>
      </w:r>
      <w:r w:rsidRPr="509603D5">
        <w:rPr>
          <w:rFonts w:ascii="Aptos" w:eastAsia="Aptos" w:hAnsi="Aptos" w:cs="Aptos"/>
          <w:i/>
          <w:iCs/>
        </w:rPr>
        <w:t xml:space="preserve"> -</w:t>
      </w:r>
      <w:r w:rsidRPr="509603D5">
        <w:rPr>
          <w:rFonts w:ascii="Aptos" w:eastAsia="Aptos" w:hAnsi="Aptos" w:cs="Aptos"/>
        </w:rPr>
        <w:t>"Is this preference different when it comes to workforce planning training compared to other training topics?"</w:t>
      </w:r>
    </w:p>
    <w:p w14:paraId="21242FAD" w14:textId="77777777" w:rsidR="00A108C1" w:rsidRDefault="00A108C1" w:rsidP="008B57D6">
      <w:pPr>
        <w:spacing w:line="360" w:lineRule="auto"/>
        <w:rPr>
          <w:rFonts w:ascii="Aptos" w:eastAsia="Aptos" w:hAnsi="Aptos" w:cs="Aptos"/>
        </w:rPr>
      </w:pPr>
    </w:p>
    <w:p w14:paraId="0445C1DD" w14:textId="77777777" w:rsidR="00A108C1" w:rsidRDefault="00A108C1" w:rsidP="008B57D6">
      <w:pPr>
        <w:spacing w:line="360" w:lineRule="auto"/>
      </w:pPr>
      <w:r w:rsidRPr="509603D5">
        <w:rPr>
          <w:rFonts w:ascii="Aptos" w:eastAsia="Aptos" w:hAnsi="Aptos" w:cs="Aptos"/>
        </w:rPr>
        <w:t>"What advantages do you see in live sessions that might be missing from other formats?"</w:t>
      </w:r>
    </w:p>
    <w:p w14:paraId="032AEFBD" w14:textId="77777777" w:rsidR="00A108C1" w:rsidRDefault="00A108C1" w:rsidP="008B57D6">
      <w:pPr>
        <w:spacing w:line="360" w:lineRule="auto"/>
      </w:pPr>
    </w:p>
    <w:p w14:paraId="0A9E95C1" w14:textId="62961CCD" w:rsidR="00A108C1" w:rsidRDefault="00A108C1" w:rsidP="008B57D6">
      <w:pPr>
        <w:spacing w:line="360" w:lineRule="auto"/>
        <w:rPr>
          <w:rFonts w:ascii="Aptos" w:eastAsia="Aptos" w:hAnsi="Aptos" w:cs="Aptos"/>
        </w:rPr>
      </w:pPr>
      <w:r>
        <w:rPr>
          <w:rFonts w:ascii="Aptos" w:eastAsia="Aptos" w:hAnsi="Aptos" w:cs="Aptos"/>
          <w:b/>
          <w:bCs/>
        </w:rPr>
        <w:lastRenderedPageBreak/>
        <w:t>4</w:t>
      </w:r>
      <w:r w:rsidRPr="509603D5">
        <w:rPr>
          <w:rFonts w:ascii="Aptos" w:eastAsia="Aptos" w:hAnsi="Aptos" w:cs="Aptos"/>
          <w:b/>
          <w:bCs/>
        </w:rPr>
        <w:t>) I noticed that only a small proportion of respondents favoured bitesize learning sessions (5 to 30 minutes). Why do you think shorter, more focused sessions are less popular among respondents?</w:t>
      </w:r>
    </w:p>
    <w:p w14:paraId="01CEDCDE" w14:textId="77777777" w:rsidR="00A108C1" w:rsidRDefault="00A108C1" w:rsidP="008B57D6">
      <w:pPr>
        <w:spacing w:line="360" w:lineRule="auto"/>
        <w:rPr>
          <w:rFonts w:ascii="Aptos" w:eastAsia="Aptos" w:hAnsi="Aptos" w:cs="Aptos"/>
        </w:rPr>
      </w:pPr>
      <w:r w:rsidRPr="509603D5">
        <w:rPr>
          <w:rFonts w:ascii="Aptos" w:eastAsia="Aptos" w:hAnsi="Aptos" w:cs="Aptos"/>
        </w:rPr>
        <w:t>Follow-up questions - "Do you think the nature of workforce planning training requires more in-depth or extended sessions?"</w:t>
      </w:r>
    </w:p>
    <w:p w14:paraId="6A7944DC" w14:textId="77777777" w:rsidR="00A108C1" w:rsidRDefault="00A108C1" w:rsidP="008B57D6">
      <w:pPr>
        <w:spacing w:line="360" w:lineRule="auto"/>
      </w:pPr>
      <w:r w:rsidRPr="509603D5">
        <w:rPr>
          <w:rFonts w:ascii="Aptos" w:eastAsia="Aptos" w:hAnsi="Aptos" w:cs="Aptos"/>
        </w:rPr>
        <w:t>"Is there a scenario where you would prefer bitesize learning, and if so, when?"</w:t>
      </w:r>
    </w:p>
    <w:p w14:paraId="495397AB" w14:textId="77777777" w:rsidR="00A108C1" w:rsidRDefault="00A108C1" w:rsidP="008B57D6">
      <w:pPr>
        <w:spacing w:line="360" w:lineRule="auto"/>
      </w:pPr>
    </w:p>
    <w:p w14:paraId="7C5DACF1" w14:textId="77777777" w:rsidR="00A108C1" w:rsidRDefault="00A108C1" w:rsidP="008B57D6">
      <w:pPr>
        <w:spacing w:line="360" w:lineRule="auto"/>
        <w:rPr>
          <w:rFonts w:ascii="Aptos" w:eastAsia="Aptos" w:hAnsi="Aptos" w:cs="Aptos"/>
          <w:b/>
          <w:bCs/>
        </w:rPr>
      </w:pPr>
      <w:r w:rsidRPr="509603D5">
        <w:rPr>
          <w:rFonts w:ascii="Aptos" w:eastAsia="Aptos" w:hAnsi="Aptos" w:cs="Aptos"/>
          <w:b/>
          <w:bCs/>
        </w:rPr>
        <w:t>5) In one of the questions, you were asked to select which elements of workforce planning you'd like training in. What factors influenced your choices?</w:t>
      </w:r>
    </w:p>
    <w:p w14:paraId="678C9638" w14:textId="77777777" w:rsidR="00A108C1" w:rsidRDefault="00A108C1" w:rsidP="008B57D6">
      <w:pPr>
        <w:spacing w:line="360" w:lineRule="auto"/>
        <w:rPr>
          <w:rFonts w:ascii="Aptos" w:eastAsia="Aptos" w:hAnsi="Aptos" w:cs="Aptos"/>
        </w:rPr>
      </w:pPr>
    </w:p>
    <w:p w14:paraId="176BE120" w14:textId="77777777" w:rsidR="00A108C1" w:rsidRDefault="00A108C1" w:rsidP="008B57D6">
      <w:pPr>
        <w:spacing w:line="360" w:lineRule="auto"/>
        <w:rPr>
          <w:rFonts w:ascii="Aptos" w:eastAsia="Aptos" w:hAnsi="Aptos" w:cs="Aptos"/>
          <w:i/>
          <w:iCs/>
          <w:lang w:val="en-US"/>
        </w:rPr>
      </w:pPr>
      <w:r w:rsidRPr="509603D5">
        <w:rPr>
          <w:rFonts w:ascii="Aptos" w:eastAsia="Aptos" w:hAnsi="Aptos" w:cs="Aptos"/>
        </w:rPr>
        <w:t>Follow-up questions</w:t>
      </w:r>
      <w:r w:rsidRPr="509603D5">
        <w:rPr>
          <w:rFonts w:ascii="Aptos" w:eastAsia="Aptos" w:hAnsi="Aptos" w:cs="Aptos"/>
          <w:i/>
          <w:iCs/>
        </w:rPr>
        <w:t xml:space="preserve"> -</w:t>
      </w:r>
    </w:p>
    <w:p w14:paraId="20A848FE" w14:textId="77777777" w:rsidR="00A108C1" w:rsidRDefault="00A108C1" w:rsidP="008B57D6">
      <w:pPr>
        <w:spacing w:line="360" w:lineRule="auto"/>
      </w:pPr>
      <w:r w:rsidRPr="509603D5">
        <w:rPr>
          <w:rFonts w:ascii="Aptos" w:eastAsia="Aptos" w:hAnsi="Aptos" w:cs="Aptos"/>
        </w:rPr>
        <w:t>"Did you choose these elements based on areas you are interested in, or are they areas you feel you need to improve?"</w:t>
      </w:r>
    </w:p>
    <w:p w14:paraId="7304ECDF" w14:textId="77777777" w:rsidR="00A108C1" w:rsidRDefault="00A108C1" w:rsidP="008B57D6">
      <w:pPr>
        <w:spacing w:line="360" w:lineRule="auto"/>
        <w:rPr>
          <w:rFonts w:ascii="Aptos" w:eastAsia="Aptos" w:hAnsi="Aptos" w:cs="Aptos"/>
        </w:rPr>
      </w:pPr>
    </w:p>
    <w:p w14:paraId="1E75078E" w14:textId="77777777" w:rsidR="00A108C1" w:rsidRDefault="00A108C1" w:rsidP="008B57D6">
      <w:pPr>
        <w:spacing w:line="360" w:lineRule="auto"/>
      </w:pPr>
      <w:r w:rsidRPr="509603D5">
        <w:rPr>
          <w:rFonts w:ascii="Aptos" w:eastAsia="Aptos" w:hAnsi="Aptos" w:cs="Aptos"/>
        </w:rPr>
        <w:t>"Were your selections based on what you think is critical to workforce planning, or did personal preferences play a role?"</w:t>
      </w:r>
    </w:p>
    <w:p w14:paraId="0AAF92CE" w14:textId="77777777" w:rsidR="00A108C1" w:rsidRDefault="00A108C1" w:rsidP="008B57D6">
      <w:pPr>
        <w:spacing w:line="360" w:lineRule="auto"/>
      </w:pPr>
    </w:p>
    <w:p w14:paraId="786739B0" w14:textId="77777777" w:rsidR="00E71AC0" w:rsidRDefault="00E71AC0" w:rsidP="008B57D6">
      <w:pPr>
        <w:spacing w:line="360" w:lineRule="auto"/>
      </w:pPr>
    </w:p>
    <w:sectPr w:rsidR="00E71AC0">
      <w:headerReference w:type="default" r:id="rId28"/>
      <w:footerReference w:type="default" r:id="rId2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1B0DE" w14:textId="77777777" w:rsidR="00D43B03" w:rsidRDefault="00D43B03">
      <w:r>
        <w:separator/>
      </w:r>
    </w:p>
  </w:endnote>
  <w:endnote w:type="continuationSeparator" w:id="0">
    <w:p w14:paraId="0B437DEA" w14:textId="77777777" w:rsidR="00D43B03" w:rsidRDefault="00D43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737DB" w14:textId="77777777" w:rsidR="004846F1" w:rsidRDefault="00667FA1">
    <w:pPr>
      <w:pStyle w:val="Footer"/>
      <w:jc w:val="right"/>
    </w:pPr>
    <w:r>
      <w:fldChar w:fldCharType="begin"/>
    </w:r>
    <w:r>
      <w:instrText xml:space="preserve"> PAGE </w:instrText>
    </w:r>
    <w:r>
      <w:fldChar w:fldCharType="separate"/>
    </w:r>
    <w:r>
      <w:t>2</w:t>
    </w:r>
    <w:r>
      <w:fldChar w:fldCharType="end"/>
    </w:r>
  </w:p>
  <w:p w14:paraId="786737DC" w14:textId="77777777" w:rsidR="004846F1" w:rsidRDefault="00667FA1">
    <w:pPr>
      <w:pStyle w:val="Footer"/>
    </w:pPr>
    <w:r>
      <w:t>Shelley Dony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B64F6" w14:textId="77777777" w:rsidR="00D43B03" w:rsidRDefault="00D43B03">
      <w:r>
        <w:rPr>
          <w:color w:val="000000"/>
        </w:rPr>
        <w:separator/>
      </w:r>
    </w:p>
  </w:footnote>
  <w:footnote w:type="continuationSeparator" w:id="0">
    <w:p w14:paraId="133EDBBD" w14:textId="77777777" w:rsidR="00D43B03" w:rsidRDefault="00D43B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737D8" w14:textId="77777777" w:rsidR="004846F1" w:rsidRDefault="00667FA1">
    <w:pPr>
      <w:pStyle w:val="Header"/>
    </w:pPr>
    <w:r>
      <w:rPr>
        <w:rFonts w:ascii="Arial" w:hAnsi="Arial" w:cs="Arial"/>
        <w:i/>
        <w:iCs/>
      </w:rPr>
      <w:t>How would the delivery of workforce planning education need to look to enable greater accessibility and participation?</w:t>
    </w:r>
  </w:p>
  <w:p w14:paraId="786737D9" w14:textId="77777777" w:rsidR="004846F1" w:rsidRDefault="004846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3360C"/>
    <w:multiLevelType w:val="multilevel"/>
    <w:tmpl w:val="4D868C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F844DA7"/>
    <w:multiLevelType w:val="multilevel"/>
    <w:tmpl w:val="A09E6314"/>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197813010">
    <w:abstractNumId w:val="1"/>
  </w:num>
  <w:num w:numId="2" w16cid:durableId="457262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1AC0"/>
    <w:rsid w:val="0002077C"/>
    <w:rsid w:val="0004094C"/>
    <w:rsid w:val="00072EE9"/>
    <w:rsid w:val="00081A69"/>
    <w:rsid w:val="001B65CD"/>
    <w:rsid w:val="002B0B10"/>
    <w:rsid w:val="00333D89"/>
    <w:rsid w:val="003452E7"/>
    <w:rsid w:val="00345E63"/>
    <w:rsid w:val="00427196"/>
    <w:rsid w:val="00467CD4"/>
    <w:rsid w:val="004846F1"/>
    <w:rsid w:val="004C6D64"/>
    <w:rsid w:val="00562AC1"/>
    <w:rsid w:val="005A17D9"/>
    <w:rsid w:val="006214EF"/>
    <w:rsid w:val="006431E4"/>
    <w:rsid w:val="00667FA1"/>
    <w:rsid w:val="00686A05"/>
    <w:rsid w:val="006C346B"/>
    <w:rsid w:val="006D5E5F"/>
    <w:rsid w:val="008064C8"/>
    <w:rsid w:val="0084172A"/>
    <w:rsid w:val="00891D0B"/>
    <w:rsid w:val="008B57D6"/>
    <w:rsid w:val="008D1211"/>
    <w:rsid w:val="00922A91"/>
    <w:rsid w:val="009E3A1F"/>
    <w:rsid w:val="009F623E"/>
    <w:rsid w:val="00A108C1"/>
    <w:rsid w:val="00B024A0"/>
    <w:rsid w:val="00C647EB"/>
    <w:rsid w:val="00CA5340"/>
    <w:rsid w:val="00CB66DB"/>
    <w:rsid w:val="00D43B03"/>
    <w:rsid w:val="00D441D3"/>
    <w:rsid w:val="00E41EA3"/>
    <w:rsid w:val="00E71AC0"/>
    <w:rsid w:val="00E834C8"/>
    <w:rsid w:val="00EA02E1"/>
    <w:rsid w:val="00EB56C9"/>
    <w:rsid w:val="00EF49E7"/>
    <w:rsid w:val="00F07B0A"/>
    <w:rsid w:val="00F24437"/>
    <w:rsid w:val="00FD3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737B4"/>
  <w15:docId w15:val="{7468B5E6-455F-4D9E-8DF0-B9246CA55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sz w:val="24"/>
      <w:szCs w:val="24"/>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sz w:val="24"/>
      <w:szCs w:val="24"/>
      <w:lang w:eastAsia="en-GB"/>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tyle>
  <w:style w:type="paragraph" w:styleId="ListParagraph">
    <w:name w:val="List Paragraph"/>
    <w:basedOn w:val="Normal"/>
    <w:pPr>
      <w:ind w:left="720"/>
      <w:contextualSpacing/>
    </w:pPr>
  </w:style>
  <w:style w:type="character" w:styleId="Emphasis">
    <w:name w:val="Emphasis"/>
    <w:basedOn w:val="DefaultParagraphFont"/>
    <w:rPr>
      <w:i/>
      <w:iCs/>
    </w:rPr>
  </w:style>
  <w:style w:type="paragraph" w:customStyle="1" w:styleId="nova-legacy-e-listitem">
    <w:name w:val="nova-legacy-e-list__item"/>
    <w:basedOn w:val="Normal"/>
    <w:pPr>
      <w:spacing w:before="100" w:after="10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rPr>
      <w:sz w:val="16"/>
      <w:szCs w:val="16"/>
    </w:rPr>
  </w:style>
  <w:style w:type="paragraph" w:styleId="CommentText">
    <w:name w:val="annotation text"/>
    <w:basedOn w:val="Normal"/>
    <w:rPr>
      <w:sz w:val="20"/>
      <w:szCs w:val="20"/>
      <w:lang w:eastAsia="en-US"/>
    </w:rPr>
  </w:style>
  <w:style w:type="character" w:customStyle="1" w:styleId="CommentTextChar">
    <w:name w:val="Comment Text Char"/>
    <w:basedOn w:val="DefaultParagraphFont"/>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rPr>
      <w:b/>
      <w:bCs/>
      <w:lang w:eastAsia="en-GB"/>
    </w:rPr>
  </w:style>
  <w:style w:type="character" w:customStyle="1" w:styleId="CommentSubjectChar">
    <w:name w:val="Comment Subject Char"/>
    <w:basedOn w:val="CommentTextChar"/>
    <w:rPr>
      <w:rFonts w:ascii="Times New Roman" w:eastAsia="Times New Roman" w:hAnsi="Times New Roman" w:cs="Times New Roman"/>
      <w:b/>
      <w:bCs/>
      <w:sz w:val="20"/>
      <w:szCs w:val="20"/>
      <w:lang w:eastAsia="en-GB"/>
    </w:rPr>
  </w:style>
  <w:style w:type="character" w:customStyle="1" w:styleId="CommentTextChar1">
    <w:name w:val="Comment Text Char1"/>
    <w:basedOn w:val="DefaultParagraphFont"/>
    <w:rPr>
      <w:rFonts w:ascii="Times New Roman" w:eastAsia="Times New Roman" w:hAnsi="Times New Roman" w:cs="Times New Roman"/>
      <w:sz w:val="20"/>
      <w:szCs w:val="20"/>
    </w:rPr>
  </w:style>
  <w:style w:type="paragraph" w:styleId="Caption">
    <w:name w:val="caption"/>
    <w:basedOn w:val="Normal"/>
    <w:next w:val="Normal"/>
    <w:pPr>
      <w:spacing w:after="200"/>
    </w:pPr>
    <w:rPr>
      <w:i/>
      <w:iCs/>
      <w:color w:val="44546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hyperlink" Target="https://nhswales365.sharepoint.com/:p:/s/HDD_OD_Team-CultureandWorkforceExperience/EZsFzb_ud2JLmP2RbNgx2XsBXCJBGL31x6Ntjk-gtXLiWg" TargetMode="External"/><Relationship Id="rId26" Type="http://schemas.openxmlformats.org/officeDocument/2006/relationships/hyperlink" Target="https://www.cambridge.org/us/education/blog/2019/06/25/what-active-learning-and-what-are-benefits/" TargetMode="External"/><Relationship Id="rId3" Type="http://schemas.openxmlformats.org/officeDocument/2006/relationships/styles" Target="styles.xml"/><Relationship Id="rId21" Type="http://schemas.openxmlformats.org/officeDocument/2006/relationships/hyperlink" Target="https://www.londontfe.com/course/human-resources-and-talent-development/Workforce-Planning/2749"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mckinsey.com/capabilities/people-and-organizational-performance/our-insights/the-organization-blog/survey-fatigue-blame-the-leader-not-the-question" TargetMode="External"/><Relationship Id="rId25" Type="http://schemas.openxmlformats.org/officeDocument/2006/relationships/hyperlink" Target="https://www.universitiesuk.ac.uk/what-we-do/policy-and-research/publications/lessons-pandemic-making-most" TargetMode="External"/><Relationship Id="rId2" Type="http://schemas.openxmlformats.org/officeDocument/2006/relationships/numbering" Target="numbering.xml"/><Relationship Id="rId16" Type="http://schemas.openxmlformats.org/officeDocument/2006/relationships/hyperlink" Target="https://www.thehumancapitalhub.com/articles/Toolkits-A-Guide-To-Developing-Toolkits-That-Work" TargetMode="External"/><Relationship Id="rId20" Type="http://schemas.openxmlformats.org/officeDocument/2006/relationships/hyperlink" Target="https://www.researchgate.net/publication/318215081_Teaching_materials_and_teaching_aids_-_1_teaching_materia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skillsforhealth.org.uk/resources/six-steps-methodology-to-integrated-workforce-planning/" TargetMode="External"/><Relationship Id="rId5" Type="http://schemas.openxmlformats.org/officeDocument/2006/relationships/webSettings" Target="webSettings.xml"/><Relationship Id="rId15" Type="http://schemas.openxmlformats.org/officeDocument/2006/relationships/hyperlink" Target="https://www.ft.com/content/b593116d-f948-4757-b2fa-c74adadc8b42" TargetMode="External"/><Relationship Id="rId23" Type="http://schemas.openxmlformats.org/officeDocument/2006/relationships/hyperlink" Target="https://www.myhrfuture.com/online-workforce-planning-training" TargetMode="External"/><Relationship Id="rId28" Type="http://schemas.openxmlformats.org/officeDocument/2006/relationships/header" Target="header1.xml"/><Relationship Id="rId10" Type="http://schemas.openxmlformats.org/officeDocument/2006/relationships/chart" Target="charts/chart2.xml"/><Relationship Id="rId19" Type="http://schemas.openxmlformats.org/officeDocument/2006/relationships/hyperlink" Target="https://www.udemy.com/course/strategic-workforce-planning/?couponCode=THANKSLEARNER2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onlinelibrary-wiley-com.ezproxy.uwtsd.ac.uk/doi/full/10.1111/jade.12473" TargetMode="External"/><Relationship Id="rId22" Type="http://schemas.openxmlformats.org/officeDocument/2006/relationships/hyperlink" Target="https://www.bing.com/search?q=what+to+bear+in+mind+when+recording+teaching&amp;qs=n&amp;form=QBRE&amp;sp=-1&amp;lq=0&amp;pq=what+to+bear+in+mind+when+recording+&amp;sc=6-36&amp;sk=&amp;cvid=D4E29E8A7B8045DC86ADDF1AD8448FB8&amp;ghsh=0&amp;ghacc=0&amp;ghpl=" TargetMode="External"/><Relationship Id="rId27" Type="http://schemas.openxmlformats.org/officeDocument/2006/relationships/hyperlink" Target="https://www.gov.wales/plan-address-nhs-workforce-challenges"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Commitment of Managers to Undertake Training</a:t>
            </a:r>
          </a:p>
        </c:rich>
      </c:tx>
      <c:overlay val="0"/>
      <c:spPr>
        <a:noFill/>
        <a:ln>
          <a:noFill/>
        </a:ln>
      </c:spPr>
    </c:title>
    <c:autoTitleDeleted val="0"/>
    <c:plotArea>
      <c:layout/>
      <c:barChart>
        <c:barDir val="bar"/>
        <c:grouping val="clustered"/>
        <c:varyColors val="0"/>
        <c:ser>
          <c:idx val="0"/>
          <c:order val="0"/>
          <c:tx>
            <c:v>Percentage</c:v>
          </c:tx>
          <c:spPr>
            <a:solidFill>
              <a:srgbClr val="4472C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7"/>
              <c:pt idx="0">
                <c:v>One-off day session</c:v>
              </c:pt>
              <c:pt idx="1">
                <c:v>One-off hour session</c:v>
              </c:pt>
              <c:pt idx="2">
                <c:v>All of the above</c:v>
              </c:pt>
              <c:pt idx="3">
                <c:v>None of the above</c:v>
              </c:pt>
              <c:pt idx="4">
                <c:v>5 x 1 hr</c:v>
              </c:pt>
              <c:pt idx="5">
                <c:v>2 x full days</c:v>
              </c:pt>
              <c:pt idx="6">
                <c:v>3 x half days</c:v>
              </c:pt>
            </c:strLit>
          </c:cat>
          <c:val>
            <c:numLit>
              <c:formatCode>General</c:formatCode>
              <c:ptCount val="7"/>
              <c:pt idx="0">
                <c:v>23</c:v>
              </c:pt>
              <c:pt idx="1">
                <c:v>52.7</c:v>
              </c:pt>
              <c:pt idx="2">
                <c:v>27.1</c:v>
              </c:pt>
              <c:pt idx="3">
                <c:v>2.2999999999999998</c:v>
              </c:pt>
              <c:pt idx="4">
                <c:v>24.1</c:v>
              </c:pt>
              <c:pt idx="5">
                <c:v>6.1</c:v>
              </c:pt>
              <c:pt idx="6">
                <c:v>14.5</c:v>
              </c:pt>
            </c:numLit>
          </c:val>
          <c:extLst>
            <c:ext xmlns:c16="http://schemas.microsoft.com/office/drawing/2014/chart" uri="{C3380CC4-5D6E-409C-BE32-E72D297353CC}">
              <c16:uniqueId val="{00000000-8D30-4F42-B7C2-ED87925A2311}"/>
            </c:ext>
          </c:extLst>
        </c:ser>
        <c:dLbls>
          <c:showLegendKey val="0"/>
          <c:showVal val="0"/>
          <c:showCatName val="0"/>
          <c:showSerName val="0"/>
          <c:showPercent val="0"/>
          <c:showBubbleSize val="0"/>
        </c:dLbls>
        <c:gapWidth val="182"/>
        <c:axId val="1120466256"/>
        <c:axId val="905194448"/>
      </c:barChart>
      <c:valAx>
        <c:axId val="905194448"/>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0" i="0" u="none" strike="noStrike" kern="1200" baseline="0">
                    <a:solidFill>
                      <a:srgbClr val="595959"/>
                    </a:solidFill>
                    <a:latin typeface="Calibri"/>
                  </a:defRPr>
                </a:pPr>
                <a:r>
                  <a:rPr lang="en-US" sz="1000" b="0" i="0" u="none" strike="noStrike" kern="1200" cap="none" spc="0" baseline="0">
                    <a:solidFill>
                      <a:srgbClr val="595959"/>
                    </a:solidFill>
                    <a:uFillTx/>
                    <a:latin typeface="Calibri"/>
                  </a:rPr>
                  <a:t>Percentage</a:t>
                </a:r>
              </a:p>
            </c:rich>
          </c:tx>
          <c:overlay val="0"/>
          <c:spPr>
            <a:noFill/>
            <a:ln>
              <a:noFill/>
            </a:ln>
          </c:spPr>
        </c:title>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120466256"/>
        <c:crosses val="autoZero"/>
        <c:crossBetween val="between"/>
      </c:valAx>
      <c:catAx>
        <c:axId val="1120466256"/>
        <c:scaling>
          <c:orientation val="minMax"/>
        </c:scaling>
        <c:delete val="0"/>
        <c:axPos val="l"/>
        <c:title>
          <c:tx>
            <c:rich>
              <a:bodyPr lIns="0" tIns="0" rIns="0" bIns="0"/>
              <a:lstStyle/>
              <a:p>
                <a:pPr marL="0" marR="0" indent="0" algn="ctr" defTabSz="914400" fontAlgn="auto" hangingPunct="1">
                  <a:lnSpc>
                    <a:spcPct val="100000"/>
                  </a:lnSpc>
                  <a:spcBef>
                    <a:spcPts val="0"/>
                  </a:spcBef>
                  <a:spcAft>
                    <a:spcPts val="0"/>
                  </a:spcAft>
                  <a:tabLst/>
                  <a:defRPr lang="en-US" sz="1000" b="0" i="0" u="none" strike="noStrike" kern="1200" baseline="0">
                    <a:solidFill>
                      <a:srgbClr val="595959"/>
                    </a:solidFill>
                    <a:latin typeface="Calibri"/>
                  </a:defRPr>
                </a:pPr>
                <a:r>
                  <a:rPr lang="en-US" sz="1000" b="0" i="0" u="none" strike="noStrike" kern="1200" cap="none" spc="0" baseline="0">
                    <a:solidFill>
                      <a:srgbClr val="595959"/>
                    </a:solidFill>
                    <a:uFillTx/>
                    <a:latin typeface="Calibri"/>
                  </a:rPr>
                  <a:t>Commitment</a:t>
                </a:r>
              </a:p>
            </c:rich>
          </c:tx>
          <c:overlay val="0"/>
          <c:spPr>
            <a:noFill/>
            <a:ln>
              <a:noFill/>
            </a:ln>
          </c:spPr>
        </c:title>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905194448"/>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Duration Vs Commitment</a:t>
            </a:r>
          </a:p>
        </c:rich>
      </c:tx>
      <c:overlay val="0"/>
      <c:spPr>
        <a:noFill/>
        <a:ln>
          <a:noFill/>
        </a:ln>
      </c:spPr>
    </c:title>
    <c:autoTitleDeleted val="0"/>
    <c:plotArea>
      <c:layout/>
      <c:barChart>
        <c:barDir val="col"/>
        <c:grouping val="clustered"/>
        <c:varyColors val="0"/>
        <c:ser>
          <c:idx val="0"/>
          <c:order val="0"/>
          <c:tx>
            <c:v>Half day</c:v>
          </c:tx>
          <c:spPr>
            <a:solidFill>
              <a:srgbClr val="4472C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2"/>
              <c:pt idx="0">
                <c:v>Duration</c:v>
              </c:pt>
              <c:pt idx="1">
                <c:v>Commitment</c:v>
              </c:pt>
            </c:strLit>
          </c:cat>
          <c:val>
            <c:numLit>
              <c:formatCode>General</c:formatCode>
              <c:ptCount val="2"/>
              <c:pt idx="0">
                <c:v>25.2</c:v>
              </c:pt>
              <c:pt idx="1">
                <c:v>14.5</c:v>
              </c:pt>
            </c:numLit>
          </c:val>
          <c:extLst>
            <c:ext xmlns:c16="http://schemas.microsoft.com/office/drawing/2014/chart" uri="{C3380CC4-5D6E-409C-BE32-E72D297353CC}">
              <c16:uniqueId val="{00000000-9509-4257-B8C3-0FA469AD7ECE}"/>
            </c:ext>
          </c:extLst>
        </c:ser>
        <c:ser>
          <c:idx val="1"/>
          <c:order val="1"/>
          <c:tx>
            <c:v>Full day</c:v>
          </c:tx>
          <c:spPr>
            <a:solidFill>
              <a:srgbClr val="ED7D31"/>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2"/>
              <c:pt idx="0">
                <c:v>Duration</c:v>
              </c:pt>
              <c:pt idx="1">
                <c:v>Commitment</c:v>
              </c:pt>
            </c:strLit>
          </c:cat>
          <c:val>
            <c:numLit>
              <c:formatCode>General</c:formatCode>
              <c:ptCount val="2"/>
              <c:pt idx="0">
                <c:v>18.3</c:v>
              </c:pt>
              <c:pt idx="1">
                <c:v>6.1</c:v>
              </c:pt>
            </c:numLit>
          </c:val>
          <c:extLst>
            <c:ext xmlns:c16="http://schemas.microsoft.com/office/drawing/2014/chart" uri="{C3380CC4-5D6E-409C-BE32-E72D297353CC}">
              <c16:uniqueId val="{00000001-9509-4257-B8C3-0FA469AD7ECE}"/>
            </c:ext>
          </c:extLst>
        </c:ser>
        <c:dLbls>
          <c:showLegendKey val="0"/>
          <c:showVal val="0"/>
          <c:showCatName val="0"/>
          <c:showSerName val="0"/>
          <c:showPercent val="0"/>
          <c:showBubbleSize val="0"/>
        </c:dLbls>
        <c:gapWidth val="219"/>
        <c:overlap val="-27"/>
        <c:axId val="1124695312"/>
        <c:axId val="903008528"/>
      </c:barChart>
      <c:valAx>
        <c:axId val="903008528"/>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124695312"/>
        <c:crosses val="autoZero"/>
        <c:crossBetween val="between"/>
      </c:valAx>
      <c:catAx>
        <c:axId val="1124695312"/>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903008528"/>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The Training Format Preferneces of Managers</a:t>
            </a:r>
          </a:p>
        </c:rich>
      </c:tx>
      <c:overlay val="0"/>
      <c:spPr>
        <a:noFill/>
        <a:ln>
          <a:noFill/>
        </a:ln>
      </c:spPr>
    </c:title>
    <c:autoTitleDeleted val="0"/>
    <c:plotArea>
      <c:layout/>
      <c:barChart>
        <c:barDir val="bar"/>
        <c:grouping val="clustered"/>
        <c:varyColors val="0"/>
        <c:ser>
          <c:idx val="0"/>
          <c:order val="0"/>
          <c:tx>
            <c:v>Number</c:v>
          </c:tx>
          <c:spPr>
            <a:solidFill>
              <a:srgbClr val="4472C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5"/>
              <c:pt idx="0">
                <c:v>Face to face - live</c:v>
              </c:pt>
              <c:pt idx="1">
                <c:v>Virtual - live</c:v>
              </c:pt>
              <c:pt idx="2">
                <c:v>On Demand - watch back when convenient</c:v>
              </c:pt>
              <c:pt idx="3">
                <c:v>Toolkits - Resource Only</c:v>
              </c:pt>
              <c:pt idx="4">
                <c:v>Practical Workshop - live</c:v>
              </c:pt>
            </c:strLit>
          </c:cat>
          <c:val>
            <c:numLit>
              <c:formatCode>General</c:formatCode>
              <c:ptCount val="5"/>
              <c:pt idx="0">
                <c:v>140</c:v>
              </c:pt>
              <c:pt idx="1">
                <c:v>187</c:v>
              </c:pt>
              <c:pt idx="2">
                <c:v>102</c:v>
              </c:pt>
              <c:pt idx="3">
                <c:v>43</c:v>
              </c:pt>
              <c:pt idx="4">
                <c:v>98</c:v>
              </c:pt>
            </c:numLit>
          </c:val>
          <c:extLst>
            <c:ext xmlns:c16="http://schemas.microsoft.com/office/drawing/2014/chart" uri="{C3380CC4-5D6E-409C-BE32-E72D297353CC}">
              <c16:uniqueId val="{00000000-CCCC-4364-9502-6022A6F888C3}"/>
            </c:ext>
          </c:extLst>
        </c:ser>
        <c:ser>
          <c:idx val="1"/>
          <c:order val="1"/>
          <c:tx>
            <c:v>Percentage</c:v>
          </c:tx>
          <c:spPr>
            <a:solidFill>
              <a:srgbClr val="ED7D31"/>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5"/>
              <c:pt idx="0">
                <c:v>Face to face - live</c:v>
              </c:pt>
              <c:pt idx="1">
                <c:v>Virtual - live</c:v>
              </c:pt>
              <c:pt idx="2">
                <c:v>On Demand - watch back when convenient</c:v>
              </c:pt>
              <c:pt idx="3">
                <c:v>Toolkits - Resource Only</c:v>
              </c:pt>
              <c:pt idx="4">
                <c:v>Practical Workshop - live</c:v>
              </c:pt>
            </c:strLit>
          </c:cat>
          <c:val>
            <c:numLit>
              <c:formatCode>General</c:formatCode>
              <c:ptCount val="5"/>
              <c:pt idx="0">
                <c:v>53.4</c:v>
              </c:pt>
              <c:pt idx="1">
                <c:v>71.400000000000006</c:v>
              </c:pt>
              <c:pt idx="2">
                <c:v>39</c:v>
              </c:pt>
              <c:pt idx="3">
                <c:v>16.399999999999999</c:v>
              </c:pt>
              <c:pt idx="4">
                <c:v>37.4</c:v>
              </c:pt>
            </c:numLit>
          </c:val>
          <c:extLst>
            <c:ext xmlns:c16="http://schemas.microsoft.com/office/drawing/2014/chart" uri="{C3380CC4-5D6E-409C-BE32-E72D297353CC}">
              <c16:uniqueId val="{00000001-CCCC-4364-9502-6022A6F888C3}"/>
            </c:ext>
          </c:extLst>
        </c:ser>
        <c:dLbls>
          <c:showLegendKey val="0"/>
          <c:showVal val="0"/>
          <c:showCatName val="0"/>
          <c:showSerName val="0"/>
          <c:showPercent val="0"/>
          <c:showBubbleSize val="0"/>
        </c:dLbls>
        <c:gapWidth val="182"/>
        <c:axId val="1123088640"/>
        <c:axId val="903009008"/>
      </c:barChart>
      <c:valAx>
        <c:axId val="903009008"/>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1000" b="0" i="0" u="none" strike="noStrike" kern="1200" baseline="0">
                    <a:solidFill>
                      <a:srgbClr val="595959"/>
                    </a:solidFill>
                    <a:latin typeface="Calibri"/>
                  </a:defRPr>
                </a:pPr>
                <a:r>
                  <a:rPr lang="en-US" sz="1000" b="0" i="0" u="none" strike="noStrike" kern="1200" cap="none" spc="0" baseline="0">
                    <a:solidFill>
                      <a:srgbClr val="595959"/>
                    </a:solidFill>
                    <a:uFillTx/>
                    <a:latin typeface="Calibri"/>
                  </a:rPr>
                  <a:t>Percentage</a:t>
                </a:r>
              </a:p>
            </c:rich>
          </c:tx>
          <c:overlay val="0"/>
          <c:spPr>
            <a:noFill/>
            <a:ln>
              <a:noFill/>
            </a:ln>
          </c:spPr>
        </c:title>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123088640"/>
        <c:crosses val="autoZero"/>
        <c:crossBetween val="between"/>
      </c:valAx>
      <c:catAx>
        <c:axId val="1123088640"/>
        <c:scaling>
          <c:orientation val="minMax"/>
        </c:scaling>
        <c:delete val="0"/>
        <c:axPos val="l"/>
        <c:title>
          <c:tx>
            <c:rich>
              <a:bodyPr lIns="0" tIns="0" rIns="0" bIns="0"/>
              <a:lstStyle/>
              <a:p>
                <a:pPr marL="0" marR="0" indent="0" algn="ctr" defTabSz="914400" fontAlgn="auto" hangingPunct="1">
                  <a:lnSpc>
                    <a:spcPct val="100000"/>
                  </a:lnSpc>
                  <a:spcBef>
                    <a:spcPts val="0"/>
                  </a:spcBef>
                  <a:spcAft>
                    <a:spcPts val="0"/>
                  </a:spcAft>
                  <a:tabLst/>
                  <a:defRPr lang="en-US" sz="1000" b="0" i="0" u="none" strike="noStrike" kern="1200" baseline="0">
                    <a:solidFill>
                      <a:srgbClr val="595959"/>
                    </a:solidFill>
                    <a:latin typeface="Calibri"/>
                  </a:defRPr>
                </a:pPr>
                <a:r>
                  <a:rPr lang="en-US" sz="1000" b="0" i="0" u="none" strike="noStrike" kern="1200" cap="none" spc="0" baseline="0">
                    <a:solidFill>
                      <a:srgbClr val="595959"/>
                    </a:solidFill>
                    <a:uFillTx/>
                    <a:latin typeface="Calibri"/>
                  </a:rPr>
                  <a:t>Format</a:t>
                </a:r>
              </a:p>
            </c:rich>
          </c:tx>
          <c:overlay val="0"/>
          <c:spPr>
            <a:noFill/>
            <a:ln>
              <a:noFill/>
            </a:ln>
          </c:spPr>
        </c:title>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903009008"/>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Single Element Request</a:t>
            </a:r>
          </a:p>
        </c:rich>
      </c:tx>
      <c:overlay val="0"/>
      <c:spPr>
        <a:noFill/>
        <a:ln>
          <a:noFill/>
        </a:ln>
      </c:spPr>
    </c:title>
    <c:autoTitleDeleted val="0"/>
    <c:plotArea>
      <c:layout/>
      <c:pieChart>
        <c:varyColors val="1"/>
        <c:ser>
          <c:idx val="0"/>
          <c:order val="0"/>
          <c:tx>
            <c:v>Number</c:v>
          </c:tx>
          <c:dPt>
            <c:idx val="0"/>
            <c:bubble3D val="0"/>
            <c:spPr>
              <a:solidFill>
                <a:srgbClr val="4472C4"/>
              </a:solidFill>
              <a:ln w="19046">
                <a:solidFill>
                  <a:srgbClr val="FFFFFF"/>
                </a:solidFill>
                <a:prstDash val="solid"/>
              </a:ln>
            </c:spPr>
            <c:extLst>
              <c:ext xmlns:c16="http://schemas.microsoft.com/office/drawing/2014/chart" uri="{C3380CC4-5D6E-409C-BE32-E72D297353CC}">
                <c16:uniqueId val="{00000001-2F65-485E-8A66-18AA1F06516B}"/>
              </c:ext>
            </c:extLst>
          </c:dPt>
          <c:dPt>
            <c:idx val="1"/>
            <c:bubble3D val="0"/>
            <c:spPr>
              <a:solidFill>
                <a:srgbClr val="ED7D31"/>
              </a:solidFill>
              <a:ln w="19046">
                <a:solidFill>
                  <a:srgbClr val="FFFFFF"/>
                </a:solidFill>
                <a:prstDash val="solid"/>
              </a:ln>
            </c:spPr>
            <c:extLst>
              <c:ext xmlns:c16="http://schemas.microsoft.com/office/drawing/2014/chart" uri="{C3380CC4-5D6E-409C-BE32-E72D297353CC}">
                <c16:uniqueId val="{00000002-2F65-485E-8A66-18AA1F06516B}"/>
              </c:ext>
            </c:extLst>
          </c:dPt>
          <c:dPt>
            <c:idx val="2"/>
            <c:bubble3D val="0"/>
            <c:spPr>
              <a:solidFill>
                <a:srgbClr val="A5A5A5"/>
              </a:solidFill>
              <a:ln w="19046">
                <a:solidFill>
                  <a:srgbClr val="FFFFFF"/>
                </a:solidFill>
                <a:prstDash val="solid"/>
              </a:ln>
            </c:spPr>
            <c:extLst>
              <c:ext xmlns:c16="http://schemas.microsoft.com/office/drawing/2014/chart" uri="{C3380CC4-5D6E-409C-BE32-E72D297353CC}">
                <c16:uniqueId val="{00000003-2F65-485E-8A66-18AA1F06516B}"/>
              </c:ext>
            </c:extLst>
          </c:dPt>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Calibri"/>
                  </a:defRPr>
                </a:pPr>
                <a:endParaRPr lang="en-US"/>
              </a:p>
            </c:txPr>
            <c:showLegendKey val="0"/>
            <c:showVal val="1"/>
            <c:showCatName val="0"/>
            <c:showSerName val="0"/>
            <c:showPercent val="0"/>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3"/>
              <c:pt idx="0">
                <c:v>practical application</c:v>
              </c:pt>
              <c:pt idx="1">
                <c:v>operational planning</c:v>
              </c:pt>
              <c:pt idx="2">
                <c:v>IMTP/EC</c:v>
              </c:pt>
            </c:strLit>
          </c:cat>
          <c:val>
            <c:numLit>
              <c:formatCode>General</c:formatCode>
              <c:ptCount val="3"/>
              <c:pt idx="0">
                <c:v>25</c:v>
              </c:pt>
              <c:pt idx="1">
                <c:v>3</c:v>
              </c:pt>
              <c:pt idx="2">
                <c:v>1</c:v>
              </c:pt>
            </c:numLit>
          </c:val>
          <c:extLst>
            <c:ext xmlns:c16="http://schemas.microsoft.com/office/drawing/2014/chart" uri="{C3380CC4-5D6E-409C-BE32-E72D297353CC}">
              <c16:uniqueId val="{00000000-2F65-485E-8A66-18AA1F06516B}"/>
            </c:ext>
          </c:extLst>
        </c:ser>
        <c:dLbls>
          <c:showLegendKey val="0"/>
          <c:showVal val="0"/>
          <c:showCatName val="0"/>
          <c:showSerName val="0"/>
          <c:showPercent val="0"/>
          <c:showBubbleSize val="0"/>
          <c:showLeaderLines val="1"/>
        </c:dLbls>
        <c:firstSliceAng val="360"/>
      </c:pieChart>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B56FF-8732-4E3D-9FAF-5014F33BC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5174</Words>
  <Characters>29497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(Hywel Dda UHB - Project Manager - Workforce Planning)</dc:creator>
  <dc:description/>
  <cp:lastModifiedBy>Shelley Dony (Hywel Dda UHB - Project Manager - Workforce Planning)</cp:lastModifiedBy>
  <cp:revision>3</cp:revision>
  <dcterms:created xsi:type="dcterms:W3CDTF">2024-11-12T11:05:00Z</dcterms:created>
  <dcterms:modified xsi:type="dcterms:W3CDTF">2024-11-12T11:21:00Z</dcterms:modified>
</cp:coreProperties>
</file>