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120" w:after="120" w:line="480"/>
        <w:ind w:right="0" w:left="0" w:firstLine="720"/>
        <w:jc w:val="center"/>
        <w:rPr>
          <w:rFonts w:ascii="Times New Roman" w:hAnsi="Times New Roman" w:cs="Times New Roman" w:eastAsia="Times New Roman"/>
          <w:color w:val="auto"/>
          <w:spacing w:val="0"/>
          <w:position w:val="0"/>
          <w:sz w:val="24"/>
          <w:shd w:fill="auto" w:val="clear"/>
        </w:rPr>
      </w:pPr>
    </w:p>
    <w:p>
      <w:pPr>
        <w:spacing w:before="120" w:after="120" w:line="480"/>
        <w:ind w:right="0" w:left="0" w:firstLine="720"/>
        <w:jc w:val="center"/>
        <w:rPr>
          <w:rFonts w:ascii="Times New Roman" w:hAnsi="Times New Roman" w:cs="Times New Roman" w:eastAsia="Times New Roman"/>
          <w:color w:val="auto"/>
          <w:spacing w:val="0"/>
          <w:position w:val="0"/>
          <w:sz w:val="24"/>
          <w:shd w:fill="auto" w:val="clear"/>
        </w:rPr>
      </w:pPr>
    </w:p>
    <w:p>
      <w:pPr>
        <w:spacing w:before="120" w:after="120" w:line="480"/>
        <w:ind w:right="0" w:left="0" w:firstLine="720"/>
        <w:jc w:val="center"/>
        <w:rPr>
          <w:rFonts w:ascii="Times New Roman" w:hAnsi="Times New Roman" w:cs="Times New Roman" w:eastAsia="Times New Roman"/>
          <w:color w:val="auto"/>
          <w:spacing w:val="0"/>
          <w:position w:val="0"/>
          <w:sz w:val="24"/>
          <w:shd w:fill="auto" w:val="clear"/>
        </w:rPr>
      </w:pPr>
    </w:p>
    <w:p>
      <w:pPr>
        <w:spacing w:before="120" w:after="120" w:line="480"/>
        <w:ind w:right="0" w:left="0" w:firstLine="720"/>
        <w:jc w:val="center"/>
        <w:rPr>
          <w:rFonts w:ascii="Times New Roman" w:hAnsi="Times New Roman" w:cs="Times New Roman" w:eastAsia="Times New Roman"/>
          <w:color w:val="auto"/>
          <w:spacing w:val="0"/>
          <w:position w:val="0"/>
          <w:sz w:val="24"/>
          <w:shd w:fill="auto" w:val="clear"/>
        </w:rPr>
      </w:pPr>
    </w:p>
    <w:p>
      <w:pPr>
        <w:spacing w:before="120" w:after="120" w:line="480"/>
        <w:ind w:right="0" w:left="0" w:firstLine="720"/>
        <w:jc w:val="center"/>
        <w:rPr>
          <w:rFonts w:ascii="Times New Roman" w:hAnsi="Times New Roman" w:cs="Times New Roman" w:eastAsia="Times New Roman"/>
          <w:color w:val="auto"/>
          <w:spacing w:val="0"/>
          <w:position w:val="0"/>
          <w:sz w:val="24"/>
          <w:shd w:fill="auto" w:val="clear"/>
        </w:rPr>
      </w:pPr>
    </w:p>
    <w:p>
      <w:pPr>
        <w:spacing w:before="120" w:after="120" w:line="480"/>
        <w:ind w:right="0" w:left="0" w:firstLine="720"/>
        <w:jc w:val="center"/>
        <w:rPr>
          <w:rFonts w:ascii="Times New Roman" w:hAnsi="Times New Roman" w:cs="Times New Roman" w:eastAsia="Times New Roman"/>
          <w:color w:val="auto"/>
          <w:spacing w:val="0"/>
          <w:position w:val="0"/>
          <w:sz w:val="24"/>
          <w:shd w:fill="auto" w:val="clear"/>
        </w:rPr>
      </w:pPr>
    </w:p>
    <w:p>
      <w:pPr>
        <w:spacing w:before="120" w:after="120" w:line="480"/>
        <w:ind w:right="0" w:left="0" w:firstLine="72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[Foram Ashokkumar Patel]</w:t>
      </w:r>
    </w:p>
    <w:p>
      <w:pPr>
        <w:spacing w:before="120" w:after="120" w:line="480"/>
        <w:ind w:right="0" w:left="0" w:firstLine="72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[Human resourse management]</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480"/>
        <w:ind w:right="0" w:left="0" w:firstLine="720"/>
        <w:jc w:val="left"/>
        <w:rPr>
          <w:rFonts w:ascii="Times New Roman" w:hAnsi="Times New Roman" w:cs="Times New Roman" w:eastAsia="Times New Roman"/>
          <w:color w:val="auto"/>
          <w:spacing w:val="0"/>
          <w:position w:val="0"/>
          <w:sz w:val="24"/>
          <w:shd w:fill="auto" w:val="clear"/>
        </w:rPr>
      </w:pPr>
    </w:p>
    <w:p>
      <w:pPr>
        <w:spacing w:before="120" w:after="120" w:line="480"/>
        <w:ind w:right="0" w:left="0" w:firstLine="72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i/>
          <w:color w:val="auto"/>
          <w:spacing w:val="0"/>
          <w:position w:val="0"/>
          <w:sz w:val="24"/>
          <w:shd w:fill="auto" w:val="clear"/>
        </w:rPr>
      </w:pPr>
    </w:p>
    <w:p>
      <w:pPr>
        <w:keepNext w:val="true"/>
        <w:keepLines w:val="true"/>
        <w:spacing w:before="120" w:after="120" w:line="48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Introduction</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report aims to explore the human resource measures and related strategies that are essential for the company's progress. For the international technology company. Microsoft can be claimed as one of the leading companies in this field. Based on that, as a manager at Microsoft, some strategic measures have been proposed in relation to human resources management. The proposed strategies are supported by the related theories. In the end, the conclusion has been drawn as a summary of the report.</w:t>
      </w:r>
    </w:p>
    <w:p>
      <w:pPr>
        <w:keepNext w:val="true"/>
        <w:keepLines w:val="true"/>
        <w:spacing w:before="120" w:after="120" w:line="48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Background of the company</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Microsoft is a well-known company as an international technology corporation. It was founded by Bill Gates in 1975. The company was founded on the combined ideas of Bill Gates and Paul Allen, who had a special interest in computers and programming (Prikshat, Malik and Budhwar, 2021). The company started as a small organization with only local operations. Later, Bill Gates came up with the idea of ​​a programming language and tried several programs, which, despite the initial difficulties, succeeded.</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1976, Microsoft Corporation was registered in Mexico City. The company has chosen so well that it promotes its growth and progress (Klafke et al., 2019). In a short time, the company expanded its operations to sell its products in Iceland and abroad. The company grew every day and developed more sophisticated and popular programming languages ​​such as FORTRAN and COBOL (Prikshat, Malik and Budhwar, 2021).</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growth in the number of computer manufacturers in the market has accelerated the company's growth. This will increase demand for Microsoft products, and Microsoft will therefore need to strengthen its manufacturing policies to meet demand. For example, it opened an office in Japan in 1978 (Klafke et al., 2019). Since then, new developments have emerged that have put the company in a better position in the market. A major development was MS-DOS, which offered the way for other complex applications such as Windows. In 1982, Microsoft Company changed its name to Microsoft Corporation. Microsoft is active in the software industry (Abdullah et al., 2020). It offers many products and services designed to meet the needs of customers in the software industry. In addition, the company responds to other areas to increase its competitive advantage.</w:t>
      </w:r>
    </w:p>
    <w:p>
      <w:pPr>
        <w:keepNext w:val="true"/>
        <w:keepLines w:val="true"/>
        <w:spacing w:before="120" w:after="120" w:line="48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The 5Ps Model</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5Ps model is a strategic model developed by Randall Schuler, a renowned HR specialist in the early 1990s (Holland, Dowling and Brewster, 2022). The model defines five P categories that affect the overall behaviour of Human resource management.</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These are the tasks, overall vision and goals of the organization in the field. These are defined as business protocols that are selected and set to achieve a specific goal within business objectives. These are specific business and personnel processes used in day-to-day operations, including organizational processes (Srikoon et al., 2018). These are the people involved in the business, from management to new employees. This is the general state of the results, usually those that are identified and measured as KPIs, but their observations help to define and modify the other four Ps. The model requires that the five Ps be balanced (Ren et al., 2018). They all influence each other, and the results of their interactions must be balanced in order to achieve the overall business goals that company leaders, employees and society as a whole want.</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case of Microsoft, it has been realized that the five Ps model is majorly based on the actual measures they are performing in their day to day activities. For instance, the company has the leading purpose of progressing in different countries with its diversified portfolio (Ge et al., 2019). This purpose can only be fulfilled with the principles drawn by the human resources of Microsoft, such as working actions and policies. Apart from this, the people and their related preference is also an important indicator of Microsoft's success (Srikoon et al., 2018). As they are dealing in the technology field, therefore they require special consideration about the actions that they are going to perform in their daily measures. That's why this is claimed to be one of the major and most essential aspects of the company's success (Xia et al., 2019). On the other hand, it is quite clear that human resource management is considered the major responsible department while dealing with all such measures. Based on that, the HR department in Microsoft is majorly responsible for the possible actions that have been proposed below to achieve their desired progress in the related field.</w:t>
      </w:r>
    </w:p>
    <w:p>
      <w:pPr>
        <w:keepNext w:val="true"/>
        <w:keepLines w:val="true"/>
        <w:spacing w:before="120" w:after="120" w:line="48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Change Management</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Organizational Change is one of the turning points in the development of every institution. According to Lv et al. (2018), Change can be a way to address many important challenges, such as those related to politics, governance, the rule of law, philosophy, and the allocation of knowledge, rights, and resources. Sometimes changes are needed to address mistakes made in the past and to improve the quality of learning and performance in an organizational context.</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Even the most successful organizations need to change to maintain their positive and long-term results. At first glance, Microsoft doesn't seem to be a good example of organizational Change (Wang et al., 2019). This is because the company has been so successful that no change is needed. Indeed, in the internal management of Human resources, Microsoft continues to face many customer challenges that pose serious barriers to innovation and creativity in the software market.</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already mentioned, Microsoft has recently undergone a major restructuring. The program is suggested to improve business performance, productivity, and the quality of innovative development. This Change is based on the firm belief that it will enable Microsoft to innovate, create and market quality products faster and more efficiently (Shilnikov, 2020). Unfortunately, even the most successful restructurings fail to create favourable opportunities to prioritize the needs of customers and employees through participation.</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Microsoft is an open system that interacts with the environment and uses environmental feedback as a source of information and guidance. According to Ermel and Medeiros (2019), open systems theory does little to achieve and maintain a reasonable balance between successful consumer and employee involvement. Microsoft needs to change the way it works with its customers and employees to ensure that no stakeholder feels discriminated against or actively involved in product development.</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Employees and customers are clearly the two most important stakeholders affected by the proposed changes. Today, Microsoft has many options and strategies for maintaining two-way customer relationships. Bhargava and Rubel (2019) argue that the conversation model helps consumers to participate in the creation of ideas and creative product development. However, not all employees value customer involvement in the initial stages of product development and design.</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Many employees seek responsibility for communicating their ideas and turning them into products and services. However, when the right balance is struck, employees and customers benefit. However, employees will see the company's profits grow with better products and more sales. Similarly, customers are more likely to stay with Microsoft as they see their ideas turned into practical and cost-effective products (Burns et al., 2018). Stakeholder communities, where institutions are more profitable, more socially responsible and more responsive to customer needs, will also benefit from the proposed changeover plan.</w:t>
      </w:r>
    </w:p>
    <w:p>
      <w:pPr>
        <w:keepNext w:val="true"/>
        <w:keepLines w:val="true"/>
        <w:spacing w:before="120" w:after="120" w:line="480"/>
        <w:ind w:right="0" w:left="0" w:firstLine="0"/>
        <w:jc w:val="center"/>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Lewin’s Change Model</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Ansari (2019), Lewin's approach to Change involves three stages, depending on the pattern of thawing, adaptation, and freezing. The first step, known as "unfreezing", is designed to overcome stakeholders' opposition to change, making them realize that it has a positive effect, but protecting them from various risks. This Change should not be implemented as much as possible, but it should be necessary (Bhargava and Rubel, 2019). At this stage, Microsoft needs to focus on their current situation of customer satisfaction. They should get prepared for new Changes in this regard. The second stage concerns the process of implementing the Change. This is where every part of the organization begins to change. Microsoft can develop related policies that could be applied for change management at their station. Finally, the last step is re-freeze, which means that the new process is accepted as a new script (Ermel and Medeiros, 2019). The activity will remain the same until further changes are needed. </w:t>
      </w:r>
    </w:p>
    <w:p>
      <w:pPr>
        <w:keepNext w:val="true"/>
        <w:keepLines w:val="true"/>
        <w:spacing w:before="120" w:after="120" w:line="48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Compensation</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Although Microsoft is a leading company with a lot of strategic measures to be followed for the business success. However, some control measures can be taken. For example, Microsoft's human resource management may encourage employees to work for shareholders (Lauer, 2020). Therefore, in return, they can reward with some compensation and incentives. Some incentives may include performance rewards. Salaries of Microsoft executives and employees can be the major concern at this point. Salary plans are needed in business institutions. Landlords expect rental income, and businesses expect to benefit from their investments (Ansari, 2019). Similarly, the workforce expects fair compensation for business processes in the form of wages or salaries. Management salaries, on the other hand, are higher than other employees. This is because they have more skills and experience and their jobs deserve a high salary.</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 effective pay package should also be based on results (the role of the employee and the quality of his or her work), personality (the value that the employee adds to the organization) and performance. In 2019, Microsoft executives developed incentive plans that allow pay committees for a specific performance period (Raza and Waheed, 2018). Therefore, the maximum amount of management compensation is a percentage of the incentive fund for a certain performance period (for example, the financial year). The CEO's salary can be up to $25 million a year in shares or cash bonuses.</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motivation works because it is based on performance. However, it is not profitable. The $ 25 million compensations per board member means the company is leaving the company enormously (Larsen, Boje and Bruun, 2020). This shows a significant gap between managers' and employees' payrolls. It is not effective because most of the work is done by employees, not managers (Burns et al., 2018). Therefore, Microsoft's benefits and performance could not be significant for the pay scale. As a result, it can undermine employee motivation and lead to poor company performance. In addition, some employees may give up looking for a higher salary and leave the company without talented and skilled employees.</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order to improve the compensation plan, the remuneration committee should remunerate all employees on the basis of their performance, efficiency, skills and experience. Therefore, employees should also receive bonuses and incentives in the form of stock options for good performance (Raza and Waheed, 2018). It encourages them to improve their performance and productivity. However, management incentives, such as stock options, should be reduced as they are currently too high and affect the company's performance.</w:t>
      </w:r>
    </w:p>
    <w:p>
      <w:pPr>
        <w:keepNext w:val="true"/>
        <w:keepLines w:val="true"/>
        <w:spacing w:before="120" w:after="120" w:line="480"/>
        <w:ind w:right="0" w:left="0" w:firstLine="0"/>
        <w:jc w:val="center"/>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Maslow's Hierarchy of Need</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Maslow's hierarchy of needs, there are multiple different levels in the hierarchy that are required to be followed by the individuals. It is claimed that one cannot jump to the next level until the need of the previous level is satisfied (Hubbard et al., 2021). Based on that, the hierarchy is based on five different levels, including physiological needs, safety needs, love and belonging needs, esteem needs, and self-actualization needs. In such a manner, the compensation plan of the employees is linked with the psychological and safety needs of the employees, which vary from their situation to situation. Some employees consider this as their basic right to get some handsome amount for managing their expenses. At the same time, some consider compensation for their safety for surviving in the company (Otto-Tholen, 2020). Therefore, the level of need is linked with what employees are thinking. At such a stage, the compensation is working as one of the major motivational factors for employees to work under such conditions.</w:t>
      </w:r>
    </w:p>
    <w:p>
      <w:pPr>
        <w:keepNext w:val="true"/>
        <w:keepLines w:val="true"/>
        <w:spacing w:before="120" w:after="120" w:line="480"/>
        <w:ind w:right="0" w:left="0" w:firstLine="0"/>
        <w:jc w:val="center"/>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Motivation tools and techniques</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Pleasure technology is one of the oldest techniques for the compensation plan. The tool offers a reward for the productivity of the employees. It encourages employees to be more productive, and they tend to produce more when they feel their efforts are getting rewarded.</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Hubbard et al. (2021), performance motivators play a key role in achieving high levels of motivation. The most effective way is to appeal to people's selfishness, and by giving employees the opportunity to earn more, you can do more as an employer.</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addition, Microsoft can achieve this target by setting deadlines that help to achieve more goals, as employees tend to be more productive and focused as deadlines approach. This can be achieved by creating a shorter schedule that is more efficient (Larsen, Boje and Bruun, 2020). HR at Microsoft must encourage teamwork and create an environment that supports teamwork and effective compensation.</w:t>
      </w:r>
    </w:p>
    <w:p>
      <w:pPr>
        <w:keepNext w:val="true"/>
        <w:keepLines w:val="true"/>
        <w:spacing w:before="120" w:after="120" w:line="48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Leadership Development</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Leadership is claimed to be one of the most prominent and essential measures to be followed on the premises of Microsoft. This is because it provides support as well as management skills that support team actions (Lauer, 2020). However, Microsoft's incorporation is divided into different organizational departments. These include manufacturing, marketing, finance/accounting and human resources. The company has different offices in marketing, first a marketing manager and then three offices on the ground floor, a sales manager, a marketing research manager and a product manager (Bhargava and Rubel, 2019).</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three offices mentioned above work with dedicated teams to ensure the efficiency and effectiveness of these offices. Finance is an integral part of Microsoft, managed by CFOs, followed by two offices. This includes Operations accountants and Financial accountants.</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production divisions of Microsoft are under the control of the HR and the production managers, respectively (Otto-Tholen, 2020). This indicates the company has a great and strong hierarchical system in which everyone has a supportive team to work with. In such regard, the element of the leadership gets prominent in relation to the management. In dealing with lead management, it is proposed that Microsoft must come up with a participative leadership style (Ibarra and Rattan, 2018). This is one of the supportive measures for the company to progress in the most essential and effective manner.</w:t>
      </w:r>
    </w:p>
    <w:p>
      <w:pPr>
        <w:keepNext w:val="true"/>
        <w:keepLines w:val="true"/>
        <w:spacing w:before="120" w:after="120" w:line="480"/>
        <w:ind w:right="0" w:left="0" w:firstLine="0"/>
        <w:jc w:val="center"/>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Participative leadership Theory</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Raza and Waheed (2018), the participative leadership style involves sharing the decision-making process with employees. Employees' opinions are taken into account because managers do not know everything. Therefore, the knowledge, skills and abilities of the staff should be taken into account before deciding in favour of the project.</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a leader in Microsoft, the management must train subordinates; thus, involving employees' input helps to make quality decisions (Larsen, Boje and Bruun, 2020). In addition, those are encouraged, which leads to better performance and, consequently, higher productivity.</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Sometimes the level of employee participation depends on the decision. The group improves cooperation rather than the competition because they work towards the same goal. Participatory leadership is an opportunity to develop potential future leaders in an organization. Employees are also motivated when their opinions are taken into account (Wulandari et al., 2020). Based on this theoretical implementation, the company can take some major steps in this regard to resolve some potential issues in the company.</w:t>
      </w:r>
    </w:p>
    <w:p>
      <w:pPr>
        <w:keepNext w:val="true"/>
        <w:keepLines w:val="true"/>
        <w:spacing w:before="120" w:after="120" w:line="48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Conclusion</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Finally, Microsoft is one of the most successful companies in the global technology market. But even the most successful companies are not immune to mistakes. The proposed initiative aims to achieve and maintain a reasonable balance between the 5ps model of Microsoft with relation to proposing some strategic measures in human resource management. Microsoft must be prepared to face and overcome change.</w:t>
      </w:r>
    </w:p>
    <w:p>
      <w:pPr>
        <w:spacing w:before="120" w:after="12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observed that Microsoft's pay structure is very depressing because the gap between managers and employees is so great. However, possible solutions to these problems are an increase in staff salaries along with a good compensation plan. Moreover, some change management plan along with leadership development has been proposed for effective changes in the human resource for the achievement of the company targets. By following such measures, the company can further progress in future. </w:t>
      </w:r>
    </w:p>
    <w:p>
      <w:pPr>
        <w:spacing w:before="120" w:after="120" w:line="480"/>
        <w:ind w:right="0" w:left="0" w:firstLine="72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120" w:after="120" w:line="48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References:</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Abdullah, P.Y., Zeebaree, S.R., Shukur, H.M. and Jacksi, K., 2020. HRM system using cloud computing for Small and Medium Enterprises (SMEs). </w:t>
      </w:r>
      <w:r>
        <w:rPr>
          <w:rFonts w:ascii="Arial" w:hAnsi="Arial" w:cs="Arial" w:eastAsia="Arial"/>
          <w:i/>
          <w:color w:val="222222"/>
          <w:spacing w:val="0"/>
          <w:position w:val="0"/>
          <w:sz w:val="20"/>
          <w:shd w:fill="FFFFFF" w:val="clear"/>
        </w:rPr>
        <w:t xml:space="preserve">Technology Reports of Kansai University</w:t>
      </w:r>
      <w:r>
        <w:rPr>
          <w:rFonts w:ascii="Arial" w:hAnsi="Arial" w:cs="Arial" w:eastAsia="Arial"/>
          <w:color w:val="222222"/>
          <w:spacing w:val="0"/>
          <w:position w:val="0"/>
          <w:sz w:val="20"/>
          <w:shd w:fill="FFFFFF" w:val="clear"/>
        </w:rPr>
        <w:t xml:space="preserve">, </w:t>
      </w:r>
      <w:r>
        <w:rPr>
          <w:rFonts w:ascii="Arial" w:hAnsi="Arial" w:cs="Arial" w:eastAsia="Arial"/>
          <w:i/>
          <w:color w:val="222222"/>
          <w:spacing w:val="0"/>
          <w:position w:val="0"/>
          <w:sz w:val="20"/>
          <w:shd w:fill="FFFFFF" w:val="clear"/>
        </w:rPr>
        <w:t xml:space="preserve">62</w:t>
      </w:r>
      <w:r>
        <w:rPr>
          <w:rFonts w:ascii="Arial" w:hAnsi="Arial" w:cs="Arial" w:eastAsia="Arial"/>
          <w:color w:val="222222"/>
          <w:spacing w:val="0"/>
          <w:position w:val="0"/>
          <w:sz w:val="20"/>
          <w:shd w:fill="FFFFFF" w:val="clear"/>
        </w:rPr>
        <w:t xml:space="preserve">(04), p.04. </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Ansari, R., 2019. Dynamic simulation model for project change-management policies: engineering project case. </w:t>
      </w:r>
      <w:r>
        <w:rPr>
          <w:rFonts w:ascii="Arial" w:hAnsi="Arial" w:cs="Arial" w:eastAsia="Arial"/>
          <w:i/>
          <w:color w:val="222222"/>
          <w:spacing w:val="0"/>
          <w:position w:val="0"/>
          <w:sz w:val="20"/>
          <w:shd w:fill="FFFFFF" w:val="clear"/>
        </w:rPr>
        <w:t xml:space="preserve">Journal of Construction Engineering and Management</w:t>
      </w:r>
      <w:r>
        <w:rPr>
          <w:rFonts w:ascii="Arial" w:hAnsi="Arial" w:cs="Arial" w:eastAsia="Arial"/>
          <w:color w:val="222222"/>
          <w:spacing w:val="0"/>
          <w:position w:val="0"/>
          <w:sz w:val="20"/>
          <w:shd w:fill="FFFFFF" w:val="clear"/>
        </w:rPr>
        <w:t xml:space="preserve">, </w:t>
      </w:r>
      <w:r>
        <w:rPr>
          <w:rFonts w:ascii="Arial" w:hAnsi="Arial" w:cs="Arial" w:eastAsia="Arial"/>
          <w:i/>
          <w:color w:val="222222"/>
          <w:spacing w:val="0"/>
          <w:position w:val="0"/>
          <w:sz w:val="20"/>
          <w:shd w:fill="FFFFFF" w:val="clear"/>
        </w:rPr>
        <w:t xml:space="preserve">145</w:t>
      </w:r>
      <w:r>
        <w:rPr>
          <w:rFonts w:ascii="Arial" w:hAnsi="Arial" w:cs="Arial" w:eastAsia="Arial"/>
          <w:color w:val="222222"/>
          <w:spacing w:val="0"/>
          <w:position w:val="0"/>
          <w:sz w:val="20"/>
          <w:shd w:fill="FFFFFF" w:val="clear"/>
        </w:rPr>
        <w:t xml:space="preserve">(7), p.05019008. </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Bhargava, H.K. and Rubel, O., 2019. Sales force compensation design for two-sided market platforms. </w:t>
      </w:r>
      <w:r>
        <w:rPr>
          <w:rFonts w:ascii="Arial" w:hAnsi="Arial" w:cs="Arial" w:eastAsia="Arial"/>
          <w:i/>
          <w:color w:val="222222"/>
          <w:spacing w:val="0"/>
          <w:position w:val="0"/>
          <w:sz w:val="20"/>
          <w:shd w:fill="FFFFFF" w:val="clear"/>
        </w:rPr>
        <w:t xml:space="preserve">Journal of Marketing Research</w:t>
      </w:r>
      <w:r>
        <w:rPr>
          <w:rFonts w:ascii="Arial" w:hAnsi="Arial" w:cs="Arial" w:eastAsia="Arial"/>
          <w:color w:val="222222"/>
          <w:spacing w:val="0"/>
          <w:position w:val="0"/>
          <w:sz w:val="20"/>
          <w:shd w:fill="FFFFFF" w:val="clear"/>
        </w:rPr>
        <w:t xml:space="preserve">, </w:t>
      </w:r>
      <w:r>
        <w:rPr>
          <w:rFonts w:ascii="Arial" w:hAnsi="Arial" w:cs="Arial" w:eastAsia="Arial"/>
          <w:i/>
          <w:color w:val="222222"/>
          <w:spacing w:val="0"/>
          <w:position w:val="0"/>
          <w:sz w:val="20"/>
          <w:shd w:fill="FFFFFF" w:val="clear"/>
        </w:rPr>
        <w:t xml:space="preserve">56</w:t>
      </w:r>
      <w:r>
        <w:rPr>
          <w:rFonts w:ascii="Arial" w:hAnsi="Arial" w:cs="Arial" w:eastAsia="Arial"/>
          <w:color w:val="222222"/>
          <w:spacing w:val="0"/>
          <w:position w:val="0"/>
          <w:sz w:val="20"/>
          <w:shd w:fill="FFFFFF" w:val="clear"/>
        </w:rPr>
        <w:t xml:space="preserve">(4), pp.666-678. </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Burns, K.H., Borowitz, M.J., Carroll, K.C., Gocke, C.D., Hooper, J.E., Amukele, T., Tobian, A.A., Valentine, A., Kahl, R., Rodas-Eral, V. and Boitnott, J.K., 2018. The evolution of earned, transparent, and quantifiable faculty salary compensation: the Johns Hopkins pathology experience. </w:t>
      </w:r>
      <w:r>
        <w:rPr>
          <w:rFonts w:ascii="Arial" w:hAnsi="Arial" w:cs="Arial" w:eastAsia="Arial"/>
          <w:i/>
          <w:color w:val="222222"/>
          <w:spacing w:val="0"/>
          <w:position w:val="0"/>
          <w:sz w:val="20"/>
          <w:shd w:fill="FFFFFF" w:val="clear"/>
        </w:rPr>
        <w:t xml:space="preserve">Academic pathology</w:t>
      </w:r>
      <w:r>
        <w:rPr>
          <w:rFonts w:ascii="Arial" w:hAnsi="Arial" w:cs="Arial" w:eastAsia="Arial"/>
          <w:color w:val="222222"/>
          <w:spacing w:val="0"/>
          <w:position w:val="0"/>
          <w:sz w:val="20"/>
          <w:shd w:fill="FFFFFF" w:val="clear"/>
        </w:rPr>
        <w:t xml:space="preserve">, </w:t>
      </w:r>
      <w:r>
        <w:rPr>
          <w:rFonts w:ascii="Arial" w:hAnsi="Arial" w:cs="Arial" w:eastAsia="Arial"/>
          <w:i/>
          <w:color w:val="222222"/>
          <w:spacing w:val="0"/>
          <w:position w:val="0"/>
          <w:sz w:val="20"/>
          <w:shd w:fill="FFFFFF" w:val="clear"/>
        </w:rPr>
        <w:t xml:space="preserve">5</w:t>
      </w:r>
      <w:r>
        <w:rPr>
          <w:rFonts w:ascii="Arial" w:hAnsi="Arial" w:cs="Arial" w:eastAsia="Arial"/>
          <w:color w:val="222222"/>
          <w:spacing w:val="0"/>
          <w:position w:val="0"/>
          <w:sz w:val="20"/>
          <w:shd w:fill="FFFFFF" w:val="clear"/>
        </w:rPr>
        <w:t xml:space="preserve">, p.2374289518777463.</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Efe, P. and Demirors, O., 2019. A change management model and its application in software development projects. </w:t>
      </w:r>
      <w:r>
        <w:rPr>
          <w:rFonts w:ascii="Arial" w:hAnsi="Arial" w:cs="Arial" w:eastAsia="Arial"/>
          <w:i/>
          <w:color w:val="222222"/>
          <w:spacing w:val="0"/>
          <w:position w:val="0"/>
          <w:sz w:val="20"/>
          <w:shd w:fill="FFFFFF" w:val="clear"/>
        </w:rPr>
        <w:t xml:space="preserve">Computer Standards &amp; Interfaces</w:t>
      </w:r>
      <w:r>
        <w:rPr>
          <w:rFonts w:ascii="Arial" w:hAnsi="Arial" w:cs="Arial" w:eastAsia="Arial"/>
          <w:color w:val="222222"/>
          <w:spacing w:val="0"/>
          <w:position w:val="0"/>
          <w:sz w:val="20"/>
          <w:shd w:fill="FFFFFF" w:val="clear"/>
        </w:rPr>
        <w:t xml:space="preserve">, </w:t>
      </w:r>
      <w:r>
        <w:rPr>
          <w:rFonts w:ascii="Arial" w:hAnsi="Arial" w:cs="Arial" w:eastAsia="Arial"/>
          <w:i/>
          <w:color w:val="222222"/>
          <w:spacing w:val="0"/>
          <w:position w:val="0"/>
          <w:sz w:val="20"/>
          <w:shd w:fill="FFFFFF" w:val="clear"/>
        </w:rPr>
        <w:t xml:space="preserve">66</w:t>
      </w:r>
      <w:r>
        <w:rPr>
          <w:rFonts w:ascii="Arial" w:hAnsi="Arial" w:cs="Arial" w:eastAsia="Arial"/>
          <w:color w:val="222222"/>
          <w:spacing w:val="0"/>
          <w:position w:val="0"/>
          <w:sz w:val="20"/>
          <w:shd w:fill="FFFFFF" w:val="clear"/>
        </w:rPr>
        <w:t xml:space="preserve">, p.103353.</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Ermel, M.D.A. and Medeiros, V., 2019. Stock-based compensation plan: an analysis of the determinants of its use. </w:t>
      </w:r>
      <w:r>
        <w:rPr>
          <w:rFonts w:ascii="Arial" w:hAnsi="Arial" w:cs="Arial" w:eastAsia="Arial"/>
          <w:i/>
          <w:color w:val="222222"/>
          <w:spacing w:val="0"/>
          <w:position w:val="0"/>
          <w:sz w:val="20"/>
          <w:shd w:fill="FFFFFF" w:val="clear"/>
        </w:rPr>
        <w:t xml:space="preserve">Revista Contabilidade &amp; Finanças</w:t>
      </w:r>
      <w:r>
        <w:rPr>
          <w:rFonts w:ascii="Arial" w:hAnsi="Arial" w:cs="Arial" w:eastAsia="Arial"/>
          <w:color w:val="222222"/>
          <w:spacing w:val="0"/>
          <w:position w:val="0"/>
          <w:sz w:val="20"/>
          <w:shd w:fill="FFFFFF" w:val="clear"/>
        </w:rPr>
        <w:t xml:space="preserve">, </w:t>
      </w:r>
      <w:r>
        <w:rPr>
          <w:rFonts w:ascii="Arial" w:hAnsi="Arial" w:cs="Arial" w:eastAsia="Arial"/>
          <w:i/>
          <w:color w:val="222222"/>
          <w:spacing w:val="0"/>
          <w:position w:val="0"/>
          <w:sz w:val="20"/>
          <w:shd w:fill="FFFFFF" w:val="clear"/>
        </w:rPr>
        <w:t xml:space="preserve">31</w:t>
      </w:r>
      <w:r>
        <w:rPr>
          <w:rFonts w:ascii="Arial" w:hAnsi="Arial" w:cs="Arial" w:eastAsia="Arial"/>
          <w:color w:val="222222"/>
          <w:spacing w:val="0"/>
          <w:position w:val="0"/>
          <w:sz w:val="20"/>
          <w:shd w:fill="FFFFFF" w:val="clear"/>
        </w:rPr>
        <w:t xml:space="preserve">, pp.84-98.</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Ge, L., Cai, Y., Ying, F., Liu, H., Zhang, D., He, Y., Pang, L., Yan, D., Xu, A., Ma, H. and Xia, Z., 2019. miR-181c-5p exacerbates hypoxia/reoxygenation-induced cardiomyocyte apoptosis via targeting PTPN4. </w:t>
      </w:r>
      <w:r>
        <w:rPr>
          <w:rFonts w:ascii="Arial" w:hAnsi="Arial" w:cs="Arial" w:eastAsia="Arial"/>
          <w:i/>
          <w:color w:val="222222"/>
          <w:spacing w:val="0"/>
          <w:position w:val="0"/>
          <w:sz w:val="20"/>
          <w:shd w:fill="FFFFFF" w:val="clear"/>
        </w:rPr>
        <w:t xml:space="preserve">Oxidative Medicine and Cellular Longevity</w:t>
      </w:r>
      <w:r>
        <w:rPr>
          <w:rFonts w:ascii="Arial" w:hAnsi="Arial" w:cs="Arial" w:eastAsia="Arial"/>
          <w:color w:val="222222"/>
          <w:spacing w:val="0"/>
          <w:position w:val="0"/>
          <w:sz w:val="20"/>
          <w:shd w:fill="FFFFFF" w:val="clear"/>
        </w:rPr>
        <w:t xml:space="preserve">, </w:t>
      </w:r>
      <w:r>
        <w:rPr>
          <w:rFonts w:ascii="Arial" w:hAnsi="Arial" w:cs="Arial" w:eastAsia="Arial"/>
          <w:i/>
          <w:color w:val="222222"/>
          <w:spacing w:val="0"/>
          <w:position w:val="0"/>
          <w:sz w:val="20"/>
          <w:shd w:fill="FFFFFF" w:val="clear"/>
        </w:rPr>
        <w:t xml:space="preserve">2019</w:t>
      </w:r>
      <w:r>
        <w:rPr>
          <w:rFonts w:ascii="Arial" w:hAnsi="Arial" w:cs="Arial" w:eastAsia="Arial"/>
          <w:color w:val="222222"/>
          <w:spacing w:val="0"/>
          <w:position w:val="0"/>
          <w:sz w:val="20"/>
          <w:shd w:fill="FFFFFF" w:val="clear"/>
        </w:rPr>
        <w:t xml:space="preserve">.</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Holland, P., Dowling, P. and Brewster, C., 2022. HRM and the smart and dark side of technology. </w:t>
      </w:r>
      <w:r>
        <w:rPr>
          <w:rFonts w:ascii="Arial" w:hAnsi="Arial" w:cs="Arial" w:eastAsia="Arial"/>
          <w:i/>
          <w:color w:val="222222"/>
          <w:spacing w:val="0"/>
          <w:position w:val="0"/>
          <w:sz w:val="20"/>
          <w:shd w:fill="FFFFFF" w:val="clear"/>
        </w:rPr>
        <w:t xml:space="preserve">Asia Pacific Journal of Human Resources</w:t>
      </w:r>
      <w:r>
        <w:rPr>
          <w:rFonts w:ascii="Arial" w:hAnsi="Arial" w:cs="Arial" w:eastAsia="Arial"/>
          <w:color w:val="222222"/>
          <w:spacing w:val="0"/>
          <w:position w:val="0"/>
          <w:sz w:val="20"/>
          <w:shd w:fill="FFFFFF" w:val="clear"/>
        </w:rPr>
        <w:t xml:space="preserve">, </w:t>
      </w:r>
      <w:r>
        <w:rPr>
          <w:rFonts w:ascii="Arial" w:hAnsi="Arial" w:cs="Arial" w:eastAsia="Arial"/>
          <w:i/>
          <w:color w:val="222222"/>
          <w:spacing w:val="0"/>
          <w:position w:val="0"/>
          <w:sz w:val="20"/>
          <w:shd w:fill="FFFFFF" w:val="clear"/>
        </w:rPr>
        <w:t xml:space="preserve">60</w:t>
      </w:r>
      <w:r>
        <w:rPr>
          <w:rFonts w:ascii="Arial" w:hAnsi="Arial" w:cs="Arial" w:eastAsia="Arial"/>
          <w:color w:val="222222"/>
          <w:spacing w:val="0"/>
          <w:position w:val="0"/>
          <w:sz w:val="20"/>
          <w:shd w:fill="FFFFFF" w:val="clear"/>
        </w:rPr>
        <w:t xml:space="preserve">(1), pp.62-78.</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Hubbard, M., Bailey, M.J., Hess, D. and Hellebro, M., 2021. </w:t>
      </w:r>
      <w:r>
        <w:rPr>
          <w:rFonts w:ascii="Arial" w:hAnsi="Arial" w:cs="Arial" w:eastAsia="Arial"/>
          <w:i/>
          <w:color w:val="222222"/>
          <w:spacing w:val="0"/>
          <w:position w:val="0"/>
          <w:sz w:val="20"/>
          <w:shd w:fill="FFFFFF" w:val="clear"/>
        </w:rPr>
        <w:t xml:space="preserve">Mastering microsoft teams</w:t>
      </w:r>
      <w:r>
        <w:rPr>
          <w:rFonts w:ascii="Arial" w:hAnsi="Arial" w:cs="Arial" w:eastAsia="Arial"/>
          <w:color w:val="222222"/>
          <w:spacing w:val="0"/>
          <w:position w:val="0"/>
          <w:sz w:val="20"/>
          <w:shd w:fill="FFFFFF" w:val="clear"/>
        </w:rPr>
        <w:t xml:space="preserve"> (pp. 57-74). Apress.</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Ibarra, H. and Rattan, A., 2018. Microsoft: instilling a growth mindset. </w:t>
      </w:r>
      <w:r>
        <w:rPr>
          <w:rFonts w:ascii="Arial" w:hAnsi="Arial" w:cs="Arial" w:eastAsia="Arial"/>
          <w:i/>
          <w:color w:val="222222"/>
          <w:spacing w:val="0"/>
          <w:position w:val="0"/>
          <w:sz w:val="20"/>
          <w:shd w:fill="FFFFFF" w:val="clear"/>
        </w:rPr>
        <w:t xml:space="preserve">London Business School Review</w:t>
      </w:r>
      <w:r>
        <w:rPr>
          <w:rFonts w:ascii="Arial" w:hAnsi="Arial" w:cs="Arial" w:eastAsia="Arial"/>
          <w:color w:val="222222"/>
          <w:spacing w:val="0"/>
          <w:position w:val="0"/>
          <w:sz w:val="20"/>
          <w:shd w:fill="FFFFFF" w:val="clear"/>
        </w:rPr>
        <w:t xml:space="preserve">, </w:t>
      </w:r>
      <w:r>
        <w:rPr>
          <w:rFonts w:ascii="Arial" w:hAnsi="Arial" w:cs="Arial" w:eastAsia="Arial"/>
          <w:i/>
          <w:color w:val="222222"/>
          <w:spacing w:val="0"/>
          <w:position w:val="0"/>
          <w:sz w:val="20"/>
          <w:shd w:fill="FFFFFF" w:val="clear"/>
        </w:rPr>
        <w:t xml:space="preserve">29</w:t>
      </w:r>
      <w:r>
        <w:rPr>
          <w:rFonts w:ascii="Arial" w:hAnsi="Arial" w:cs="Arial" w:eastAsia="Arial"/>
          <w:color w:val="222222"/>
          <w:spacing w:val="0"/>
          <w:position w:val="0"/>
          <w:sz w:val="20"/>
          <w:shd w:fill="FFFFFF" w:val="clear"/>
        </w:rPr>
        <w:t xml:space="preserve">(3), pp.50-53.</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Klafke, G.M., Miller, R.J., Tidwell, J.P., Thomas, D.B., Sanchez, D., Arroyo, T.P.F. and de León, A.A.P., 2019. High-resolution melt (HRM) analysis for detection of SNPs associated with pyrethroid resistance in the southern cattle fever tick, Rhipicephalus (Boophilus) microplus (Acari: Ixodidae). </w:t>
      </w:r>
      <w:r>
        <w:rPr>
          <w:rFonts w:ascii="Arial" w:hAnsi="Arial" w:cs="Arial" w:eastAsia="Arial"/>
          <w:i/>
          <w:color w:val="222222"/>
          <w:spacing w:val="0"/>
          <w:position w:val="0"/>
          <w:sz w:val="20"/>
          <w:shd w:fill="FFFFFF" w:val="clear"/>
        </w:rPr>
        <w:t xml:space="preserve">International Journal for Parasitology: Drugs and Drug Resistance</w:t>
      </w:r>
      <w:r>
        <w:rPr>
          <w:rFonts w:ascii="Arial" w:hAnsi="Arial" w:cs="Arial" w:eastAsia="Arial"/>
          <w:color w:val="222222"/>
          <w:spacing w:val="0"/>
          <w:position w:val="0"/>
          <w:sz w:val="20"/>
          <w:shd w:fill="FFFFFF" w:val="clear"/>
        </w:rPr>
        <w:t xml:space="preserve">, </w:t>
      </w:r>
      <w:r>
        <w:rPr>
          <w:rFonts w:ascii="Arial" w:hAnsi="Arial" w:cs="Arial" w:eastAsia="Arial"/>
          <w:i/>
          <w:color w:val="222222"/>
          <w:spacing w:val="0"/>
          <w:position w:val="0"/>
          <w:sz w:val="20"/>
          <w:shd w:fill="FFFFFF" w:val="clear"/>
        </w:rPr>
        <w:t xml:space="preserve">9</w:t>
      </w:r>
      <w:r>
        <w:rPr>
          <w:rFonts w:ascii="Arial" w:hAnsi="Arial" w:cs="Arial" w:eastAsia="Arial"/>
          <w:color w:val="222222"/>
          <w:spacing w:val="0"/>
          <w:position w:val="0"/>
          <w:sz w:val="20"/>
          <w:shd w:fill="FFFFFF" w:val="clear"/>
        </w:rPr>
        <w:t xml:space="preserve">, pp.100-111.</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Larsen, J., Boje, D.M. and Bruun, L., 2020. </w:t>
      </w:r>
      <w:r>
        <w:rPr>
          <w:rFonts w:ascii="Arial" w:hAnsi="Arial" w:cs="Arial" w:eastAsia="Arial"/>
          <w:i/>
          <w:color w:val="222222"/>
          <w:spacing w:val="0"/>
          <w:position w:val="0"/>
          <w:sz w:val="20"/>
          <w:shd w:fill="FFFFFF" w:val="clear"/>
        </w:rPr>
        <w:t xml:space="preserve">True Storytelling: Seven Principles for an Ethical and Sustainable Change-management Strategy</w:t>
      </w:r>
      <w:r>
        <w:rPr>
          <w:rFonts w:ascii="Arial" w:hAnsi="Arial" w:cs="Arial" w:eastAsia="Arial"/>
          <w:color w:val="222222"/>
          <w:spacing w:val="0"/>
          <w:position w:val="0"/>
          <w:sz w:val="20"/>
          <w:shd w:fill="FFFFFF" w:val="clear"/>
        </w:rPr>
        <w:t xml:space="preserve">. Routledge.</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Lauer, T., 2020. </w:t>
      </w:r>
      <w:r>
        <w:rPr>
          <w:rFonts w:ascii="Arial" w:hAnsi="Arial" w:cs="Arial" w:eastAsia="Arial"/>
          <w:i/>
          <w:color w:val="222222"/>
          <w:spacing w:val="0"/>
          <w:position w:val="0"/>
          <w:sz w:val="20"/>
          <w:shd w:fill="FFFFFF" w:val="clear"/>
        </w:rPr>
        <w:t xml:space="preserve">Change management: fundamentals and success factors</w:t>
      </w:r>
      <w:r>
        <w:rPr>
          <w:rFonts w:ascii="Arial" w:hAnsi="Arial" w:cs="Arial" w:eastAsia="Arial"/>
          <w:color w:val="222222"/>
          <w:spacing w:val="0"/>
          <w:position w:val="0"/>
          <w:sz w:val="20"/>
          <w:shd w:fill="FFFFFF" w:val="clear"/>
        </w:rPr>
        <w:t xml:space="preserve">. Springer Nature.</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Lv, J., Zeng, Y., Qian, Y., Dong, J., Zhang, Z. and Zhang, J., 2018. MicroRNA let-7c-5p improves neurological outcomes in a murine model of traumatic brain injury by suppressing neuroinflammation and regulating microglial activation. </w:t>
      </w:r>
      <w:r>
        <w:rPr>
          <w:rFonts w:ascii="Arial" w:hAnsi="Arial" w:cs="Arial" w:eastAsia="Arial"/>
          <w:i/>
          <w:color w:val="222222"/>
          <w:spacing w:val="0"/>
          <w:position w:val="0"/>
          <w:sz w:val="20"/>
          <w:shd w:fill="FFFFFF" w:val="clear"/>
        </w:rPr>
        <w:t xml:space="preserve">Brain research</w:t>
      </w:r>
      <w:r>
        <w:rPr>
          <w:rFonts w:ascii="Arial" w:hAnsi="Arial" w:cs="Arial" w:eastAsia="Arial"/>
          <w:color w:val="222222"/>
          <w:spacing w:val="0"/>
          <w:position w:val="0"/>
          <w:sz w:val="20"/>
          <w:shd w:fill="FFFFFF" w:val="clear"/>
        </w:rPr>
        <w:t xml:space="preserve">, </w:t>
      </w:r>
      <w:r>
        <w:rPr>
          <w:rFonts w:ascii="Arial" w:hAnsi="Arial" w:cs="Arial" w:eastAsia="Arial"/>
          <w:i/>
          <w:color w:val="222222"/>
          <w:spacing w:val="0"/>
          <w:position w:val="0"/>
          <w:sz w:val="20"/>
          <w:shd w:fill="FFFFFF" w:val="clear"/>
        </w:rPr>
        <w:t xml:space="preserve">1685</w:t>
      </w:r>
      <w:r>
        <w:rPr>
          <w:rFonts w:ascii="Arial" w:hAnsi="Arial" w:cs="Arial" w:eastAsia="Arial"/>
          <w:color w:val="222222"/>
          <w:spacing w:val="0"/>
          <w:position w:val="0"/>
          <w:sz w:val="20"/>
          <w:shd w:fill="FFFFFF" w:val="clear"/>
        </w:rPr>
        <w:t xml:space="preserve">, pp.91-104.</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Otto-Tholen, J., 2020. Leadership communication in a virtual environment-A case study of Microsoft Office 365 as digital communication tools at Volvo Construction Equipment.</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Prikshat, V., Malik, A. and Budhwar, P., 2021. AI-augmented HRM: Antecedents, assimilation and multilevel consequences. </w:t>
      </w:r>
      <w:r>
        <w:rPr>
          <w:rFonts w:ascii="Arial" w:hAnsi="Arial" w:cs="Arial" w:eastAsia="Arial"/>
          <w:i/>
          <w:color w:val="222222"/>
          <w:spacing w:val="0"/>
          <w:position w:val="0"/>
          <w:sz w:val="20"/>
          <w:shd w:fill="FFFFFF" w:val="clear"/>
        </w:rPr>
        <w:t xml:space="preserve">Human Resource Management Review</w:t>
      </w:r>
      <w:r>
        <w:rPr>
          <w:rFonts w:ascii="Arial" w:hAnsi="Arial" w:cs="Arial" w:eastAsia="Arial"/>
          <w:color w:val="222222"/>
          <w:spacing w:val="0"/>
          <w:position w:val="0"/>
          <w:sz w:val="20"/>
          <w:shd w:fill="FFFFFF" w:val="clear"/>
        </w:rPr>
        <w:t xml:space="preserve">, p.100860.</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Raza, S. and Waheed, U., 2018, November. Managing change in Agile software development a comparative study. In </w:t>
      </w:r>
      <w:r>
        <w:rPr>
          <w:rFonts w:ascii="Arial" w:hAnsi="Arial" w:cs="Arial" w:eastAsia="Arial"/>
          <w:i/>
          <w:color w:val="222222"/>
          <w:spacing w:val="0"/>
          <w:position w:val="0"/>
          <w:sz w:val="20"/>
          <w:shd w:fill="FFFFFF" w:val="clear"/>
        </w:rPr>
        <w:t xml:space="preserve">2018 IEEE 21st International Multi-Topic Conference (INMIC)</w:t>
      </w:r>
      <w:r>
        <w:rPr>
          <w:rFonts w:ascii="Arial" w:hAnsi="Arial" w:cs="Arial" w:eastAsia="Arial"/>
          <w:color w:val="222222"/>
          <w:spacing w:val="0"/>
          <w:position w:val="0"/>
          <w:sz w:val="20"/>
          <w:shd w:fill="FFFFFF" w:val="clear"/>
        </w:rPr>
        <w:t xml:space="preserve"> (pp. 1-8). IEEE.</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Ren, X., Zhang, H., Cong, H., Wang, X., Ni, H., Shen, X. and Ju, S., 2018. Diagnostic model of serum miR-193a-5p, HE4 and CA125 improves the diagnostic efficacy of epithelium ovarian cancer. </w:t>
      </w:r>
      <w:r>
        <w:rPr>
          <w:rFonts w:ascii="Arial" w:hAnsi="Arial" w:cs="Arial" w:eastAsia="Arial"/>
          <w:i/>
          <w:color w:val="222222"/>
          <w:spacing w:val="0"/>
          <w:position w:val="0"/>
          <w:sz w:val="20"/>
          <w:shd w:fill="FFFFFF" w:val="clear"/>
        </w:rPr>
        <w:t xml:space="preserve">Pathology &amp; Oncology Research</w:t>
      </w:r>
      <w:r>
        <w:rPr>
          <w:rFonts w:ascii="Arial" w:hAnsi="Arial" w:cs="Arial" w:eastAsia="Arial"/>
          <w:color w:val="222222"/>
          <w:spacing w:val="0"/>
          <w:position w:val="0"/>
          <w:sz w:val="20"/>
          <w:shd w:fill="FFFFFF" w:val="clear"/>
        </w:rPr>
        <w:t xml:space="preserve">, </w:t>
      </w:r>
      <w:r>
        <w:rPr>
          <w:rFonts w:ascii="Arial" w:hAnsi="Arial" w:cs="Arial" w:eastAsia="Arial"/>
          <w:i/>
          <w:color w:val="222222"/>
          <w:spacing w:val="0"/>
          <w:position w:val="0"/>
          <w:sz w:val="20"/>
          <w:shd w:fill="FFFFFF" w:val="clear"/>
        </w:rPr>
        <w:t xml:space="preserve">24</w:t>
      </w:r>
      <w:r>
        <w:rPr>
          <w:rFonts w:ascii="Arial" w:hAnsi="Arial" w:cs="Arial" w:eastAsia="Arial"/>
          <w:color w:val="222222"/>
          <w:spacing w:val="0"/>
          <w:position w:val="0"/>
          <w:sz w:val="20"/>
          <w:shd w:fill="FFFFFF" w:val="clear"/>
        </w:rPr>
        <w:t xml:space="preserve">(4), pp.739-744. </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Shilnikov, A.S., 2020. COMPENSATION PLAN FROM THE POINT OF VIEW OF BIG DATA. </w:t>
      </w:r>
      <w:r>
        <w:rPr>
          <w:rFonts w:ascii="Arial" w:hAnsi="Arial" w:cs="Arial" w:eastAsia="Arial"/>
          <w:i/>
          <w:color w:val="222222"/>
          <w:spacing w:val="0"/>
          <w:position w:val="0"/>
          <w:sz w:val="20"/>
          <w:shd w:fill="FFFFFF" w:val="clear"/>
        </w:rPr>
        <w:t xml:space="preserve">Международный научно-исследовательский журнал</w:t>
      </w:r>
      <w:r>
        <w:rPr>
          <w:rFonts w:ascii="Arial" w:hAnsi="Arial" w:cs="Arial" w:eastAsia="Arial"/>
          <w:color w:val="222222"/>
          <w:spacing w:val="0"/>
          <w:position w:val="0"/>
          <w:sz w:val="20"/>
          <w:shd w:fill="FFFFFF" w:val="clear"/>
        </w:rPr>
        <w:t xml:space="preserve">, (5 (95) Часть 2), pp.119-124.</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Srikoon, S., Bunterm, T., Nethanomsak, T. and Tang, K.N., 2018. Effect of 5P model on academic achievement, creative thinking, and research characteristics. </w:t>
      </w:r>
      <w:r>
        <w:rPr>
          <w:rFonts w:ascii="Arial" w:hAnsi="Arial" w:cs="Arial" w:eastAsia="Arial"/>
          <w:i/>
          <w:color w:val="222222"/>
          <w:spacing w:val="0"/>
          <w:position w:val="0"/>
          <w:sz w:val="20"/>
          <w:shd w:fill="FFFFFF" w:val="clear"/>
        </w:rPr>
        <w:t xml:space="preserve">Kasetsart Journal of Social Sciences</w:t>
      </w:r>
      <w:r>
        <w:rPr>
          <w:rFonts w:ascii="Arial" w:hAnsi="Arial" w:cs="Arial" w:eastAsia="Arial"/>
          <w:color w:val="222222"/>
          <w:spacing w:val="0"/>
          <w:position w:val="0"/>
          <w:sz w:val="20"/>
          <w:shd w:fill="FFFFFF" w:val="clear"/>
        </w:rPr>
        <w:t xml:space="preserve">, </w:t>
      </w:r>
      <w:r>
        <w:rPr>
          <w:rFonts w:ascii="Arial" w:hAnsi="Arial" w:cs="Arial" w:eastAsia="Arial"/>
          <w:i/>
          <w:color w:val="222222"/>
          <w:spacing w:val="0"/>
          <w:position w:val="0"/>
          <w:sz w:val="20"/>
          <w:shd w:fill="FFFFFF" w:val="clear"/>
        </w:rPr>
        <w:t xml:space="preserve">39</w:t>
      </w:r>
      <w:r>
        <w:rPr>
          <w:rFonts w:ascii="Arial" w:hAnsi="Arial" w:cs="Arial" w:eastAsia="Arial"/>
          <w:color w:val="222222"/>
          <w:spacing w:val="0"/>
          <w:position w:val="0"/>
          <w:sz w:val="20"/>
          <w:shd w:fill="FFFFFF" w:val="clear"/>
        </w:rPr>
        <w:t xml:space="preserve">(3), pp.488-495.</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Wang, Z., Wang, Z., Wang, T., Yuan, J., Wang, X. and Zhang, Z., 2019. Inhibition of miR-34a-5p protected myocardial ischemia reperfusion injury-induced apoptosis and reactive oxygen species accumulation through regulation of Notch Receptor 1 signaling. </w:t>
      </w:r>
      <w:r>
        <w:rPr>
          <w:rFonts w:ascii="Arial" w:hAnsi="Arial" w:cs="Arial" w:eastAsia="Arial"/>
          <w:i/>
          <w:color w:val="222222"/>
          <w:spacing w:val="0"/>
          <w:position w:val="0"/>
          <w:sz w:val="20"/>
          <w:shd w:fill="FFFFFF" w:val="clear"/>
        </w:rPr>
        <w:t xml:space="preserve">Reviews in Cardiovascular Medicine</w:t>
      </w:r>
      <w:r>
        <w:rPr>
          <w:rFonts w:ascii="Arial" w:hAnsi="Arial" w:cs="Arial" w:eastAsia="Arial"/>
          <w:color w:val="222222"/>
          <w:spacing w:val="0"/>
          <w:position w:val="0"/>
          <w:sz w:val="20"/>
          <w:shd w:fill="FFFFFF" w:val="clear"/>
        </w:rPr>
        <w:t xml:space="preserve">, </w:t>
      </w:r>
      <w:r>
        <w:rPr>
          <w:rFonts w:ascii="Arial" w:hAnsi="Arial" w:cs="Arial" w:eastAsia="Arial"/>
          <w:i/>
          <w:color w:val="222222"/>
          <w:spacing w:val="0"/>
          <w:position w:val="0"/>
          <w:sz w:val="20"/>
          <w:shd w:fill="FFFFFF" w:val="clear"/>
        </w:rPr>
        <w:t xml:space="preserve">20</w:t>
      </w:r>
      <w:r>
        <w:rPr>
          <w:rFonts w:ascii="Arial" w:hAnsi="Arial" w:cs="Arial" w:eastAsia="Arial"/>
          <w:color w:val="222222"/>
          <w:spacing w:val="0"/>
          <w:position w:val="0"/>
          <w:sz w:val="20"/>
          <w:shd w:fill="FFFFFF" w:val="clear"/>
        </w:rPr>
        <w:t xml:space="preserve">(3), pp.187-197.</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Wulandari, D.A., Agustina, Y., Nurabadi, A., Andriningrum, H., Putri, A.F., Amelia, T., Harisman, A.S.M. and Zahro, Z.R., 2020, December. Development of Microsoft Access-Based E-Archive Learning Media Applications on Archival Subjects 10th Grade of Office Administration. In </w:t>
      </w:r>
      <w:r>
        <w:rPr>
          <w:rFonts w:ascii="Arial" w:hAnsi="Arial" w:cs="Arial" w:eastAsia="Arial"/>
          <w:i/>
          <w:color w:val="222222"/>
          <w:spacing w:val="0"/>
          <w:position w:val="0"/>
          <w:sz w:val="20"/>
          <w:shd w:fill="FFFFFF" w:val="clear"/>
        </w:rPr>
        <w:t xml:space="preserve">1st International Conference on Information Technology and Education (ICITE 2020)</w:t>
      </w:r>
      <w:r>
        <w:rPr>
          <w:rFonts w:ascii="Arial" w:hAnsi="Arial" w:cs="Arial" w:eastAsia="Arial"/>
          <w:color w:val="222222"/>
          <w:spacing w:val="0"/>
          <w:position w:val="0"/>
          <w:sz w:val="20"/>
          <w:shd w:fill="FFFFFF" w:val="clear"/>
        </w:rPr>
        <w:t xml:space="preserve"> (pp. 186-191). Atlantis Press.</w:t>
      </w:r>
    </w:p>
    <w:p>
      <w:pPr>
        <w:spacing w:before="120" w:after="120" w:line="480"/>
        <w:ind w:right="0" w:left="0" w:firstLine="710"/>
        <w:jc w:val="both"/>
        <w:rPr>
          <w:rFonts w:ascii="Arial" w:hAnsi="Arial" w:cs="Arial" w:eastAsia="Arial"/>
          <w:color w:val="222222"/>
          <w:spacing w:val="0"/>
          <w:position w:val="0"/>
          <w:sz w:val="20"/>
          <w:shd w:fill="FFFFFF" w:val="clear"/>
        </w:rPr>
      </w:pPr>
      <w:r>
        <w:rPr>
          <w:rFonts w:ascii="Arial" w:hAnsi="Arial" w:cs="Arial" w:eastAsia="Arial"/>
          <w:color w:val="222222"/>
          <w:spacing w:val="0"/>
          <w:position w:val="0"/>
          <w:sz w:val="20"/>
          <w:shd w:fill="FFFFFF" w:val="clear"/>
        </w:rPr>
        <w:t xml:space="preserve">Xia, T.F., Chen, J., Wu, K., Zhang, J. and Yan, Q., 2019. Long noncoding RNA NEAT1 promotes the growth of gastric cancer cells by regulating miR-497-5p/PIK3R1 axis. </w:t>
      </w:r>
      <w:r>
        <w:rPr>
          <w:rFonts w:ascii="Arial" w:hAnsi="Arial" w:cs="Arial" w:eastAsia="Arial"/>
          <w:i/>
          <w:color w:val="222222"/>
          <w:spacing w:val="0"/>
          <w:position w:val="0"/>
          <w:sz w:val="20"/>
          <w:shd w:fill="FFFFFF" w:val="clear"/>
        </w:rPr>
        <w:t xml:space="preserve">European review for medical and pharmacological sciences</w:t>
      </w:r>
      <w:r>
        <w:rPr>
          <w:rFonts w:ascii="Arial" w:hAnsi="Arial" w:cs="Arial" w:eastAsia="Arial"/>
          <w:color w:val="222222"/>
          <w:spacing w:val="0"/>
          <w:position w:val="0"/>
          <w:sz w:val="20"/>
          <w:shd w:fill="FFFFFF" w:val="clear"/>
        </w:rPr>
        <w:t xml:space="preserve">, </w:t>
      </w:r>
      <w:r>
        <w:rPr>
          <w:rFonts w:ascii="Arial" w:hAnsi="Arial" w:cs="Arial" w:eastAsia="Arial"/>
          <w:i/>
          <w:color w:val="222222"/>
          <w:spacing w:val="0"/>
          <w:position w:val="0"/>
          <w:sz w:val="20"/>
          <w:shd w:fill="FFFFFF" w:val="clear"/>
        </w:rPr>
        <w:t xml:space="preserve">23</w:t>
      </w:r>
      <w:r>
        <w:rPr>
          <w:rFonts w:ascii="Arial" w:hAnsi="Arial" w:cs="Arial" w:eastAsia="Arial"/>
          <w:color w:val="222222"/>
          <w:spacing w:val="0"/>
          <w:position w:val="0"/>
          <w:sz w:val="20"/>
          <w:shd w:fill="FFFFFF" w:val="clear"/>
        </w:rPr>
        <w:t xml:space="preserve">(16), pp.6914-6926.</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