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35746948"/>
        <w:docPartObj>
          <w:docPartGallery w:val="Cover Pages"/>
          <w:docPartUnique/>
        </w:docPartObj>
      </w:sdtPr>
      <w:sdtContent>
        <w:p w14:paraId="24678797" w14:textId="14CCF55B" w:rsidR="002102C0" w:rsidRPr="00682742" w:rsidRDefault="002102C0" w:rsidP="00682742">
          <w:pPr>
            <w:spacing w:line="360" w:lineRule="auto"/>
            <w:jc w:val="both"/>
            <w:rPr>
              <w:rFonts w:ascii="Arial" w:hAnsi="Arial" w:cs="Arial"/>
            </w:rPr>
          </w:pPr>
        </w:p>
        <w:p w14:paraId="7267E6C3" w14:textId="30E3BBAB" w:rsidR="002102C0" w:rsidRPr="00682742" w:rsidRDefault="007C6869" w:rsidP="00682742">
          <w:pPr>
            <w:spacing w:line="360" w:lineRule="auto"/>
            <w:jc w:val="both"/>
            <w:rPr>
              <w:rFonts w:ascii="Arial" w:hAnsi="Arial" w:cs="Arial"/>
            </w:rPr>
          </w:pPr>
          <w:r>
            <w:rPr>
              <w:noProof/>
            </w:rPr>
            <w:drawing>
              <wp:anchor distT="0" distB="0" distL="114300" distR="114300" simplePos="0" relativeHeight="251661312" behindDoc="0" locked="0" layoutInCell="1" allowOverlap="1" wp14:anchorId="2BA34C1D" wp14:editId="31818088">
                <wp:simplePos x="0" y="0"/>
                <wp:positionH relativeFrom="margin">
                  <wp:align>center</wp:align>
                </wp:positionH>
                <wp:positionV relativeFrom="margin">
                  <wp:align>top</wp:align>
                </wp:positionV>
                <wp:extent cx="3638550" cy="1819275"/>
                <wp:effectExtent l="0" t="0" r="6350" b="0"/>
                <wp:wrapSquare wrapText="bothSides"/>
                <wp:docPr id="486318100" name="Picture 486318100"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18100" name="Picture 486318100" descr="A close-up of a sig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anchor>
            </w:drawing>
          </w:r>
          <w:r w:rsidR="002102C0" w:rsidRPr="00682742">
            <w:rPr>
              <w:rFonts w:ascii="Arial" w:hAnsi="Arial" w:cs="Arial"/>
              <w:noProof/>
              <w:lang w:eastAsia="zh-CN"/>
            </w:rPr>
            <mc:AlternateContent>
              <mc:Choice Requires="wps">
                <w:drawing>
                  <wp:anchor distT="0" distB="0" distL="182880" distR="182880" simplePos="0" relativeHeight="251660288" behindDoc="0" locked="0" layoutInCell="1" allowOverlap="1" wp14:anchorId="75E488CF" wp14:editId="490DC785">
                    <wp:simplePos x="0" y="0"/>
                    <wp:positionH relativeFrom="margin">
                      <wp:posOffset>-245110</wp:posOffset>
                    </wp:positionH>
                    <wp:positionV relativeFrom="page">
                      <wp:posOffset>5769610</wp:posOffset>
                    </wp:positionV>
                    <wp:extent cx="6464300" cy="6720840"/>
                    <wp:effectExtent l="0" t="0" r="0" b="8255"/>
                    <wp:wrapSquare wrapText="bothSides"/>
                    <wp:docPr id="131" name="Text Box 75"/>
                    <wp:cNvGraphicFramePr/>
                    <a:graphic xmlns:a="http://schemas.openxmlformats.org/drawingml/2006/main">
                      <a:graphicData uri="http://schemas.microsoft.com/office/word/2010/wordprocessingShape">
                        <wps:wsp>
                          <wps:cNvSpPr txBox="1"/>
                          <wps:spPr>
                            <a:xfrm>
                              <a:off x="0" y="0"/>
                              <a:ext cx="6464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A8D5AA" w14:textId="51D8C51B" w:rsidR="002102C0" w:rsidRDefault="002102C0" w:rsidP="002102C0">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lang w:val="en-GB"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102C0">
                                      <w:rPr>
                                        <w:rFonts w:eastAsiaTheme="minorHAnsi"/>
                                        <w:color w:val="156082" w:themeColor="accent1"/>
                                        <w:kern w:val="2"/>
                                        <w:sz w:val="72"/>
                                        <w:szCs w:val="72"/>
                                        <w:lang w:val="en-GB" w:eastAsia="en-US"/>
                                        <w14:ligatures w14:val="standardContextual"/>
                                      </w:rPr>
                                      <w:t>Component 2: Coursework:</w:t>
                                    </w:r>
                                    <w:r>
                                      <w:rPr>
                                        <w:rFonts w:eastAsiaTheme="minorHAnsi"/>
                                        <w:color w:val="156082" w:themeColor="accent1"/>
                                        <w:kern w:val="2"/>
                                        <w:sz w:val="72"/>
                                        <w:szCs w:val="72"/>
                                        <w:lang w:val="en-GB" w:eastAsia="en-US"/>
                                        <w14:ligatures w14:val="standardContextual"/>
                                      </w:rPr>
                                      <w:t xml:space="preserve"> </w:t>
                                    </w:r>
                                    <w:r w:rsidRPr="002102C0">
                                      <w:rPr>
                                        <w:rFonts w:eastAsiaTheme="minorHAnsi"/>
                                        <w:color w:val="156082" w:themeColor="accent1"/>
                                        <w:kern w:val="2"/>
                                        <w:sz w:val="72"/>
                                        <w:szCs w:val="72"/>
                                        <w:lang w:val="en-GB" w:eastAsia="en-US"/>
                                        <w14:ligatures w14:val="standardContextual"/>
                                      </w:rPr>
                                      <w:t>Individual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C19D02D" w14:textId="79046D2F" w:rsidR="002102C0" w:rsidRDefault="002102C0">
                                    <w:pPr>
                                      <w:pStyle w:val="NoSpacing"/>
                                      <w:spacing w:before="40" w:after="40"/>
                                      <w:rPr>
                                        <w:caps/>
                                        <w:color w:val="501549" w:themeColor="accent5" w:themeShade="80"/>
                                        <w:sz w:val="28"/>
                                        <w:szCs w:val="28"/>
                                      </w:rPr>
                                    </w:pPr>
                                    <w:r w:rsidRPr="0018335A">
                                      <w:rPr>
                                        <w:caps/>
                                        <w:color w:val="501549" w:themeColor="accent5" w:themeShade="80"/>
                                        <w:sz w:val="28"/>
                                        <w:szCs w:val="28"/>
                                      </w:rPr>
                                      <w:t>PRINCIPLES OF HUMAN RESOURCE MANAGEMENT (LCBB5012)</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553F3BC" w14:textId="533BC232" w:rsidR="002102C0" w:rsidRDefault="002102C0">
                                    <w:pPr>
                                      <w:pStyle w:val="NoSpacing"/>
                                      <w:spacing w:before="80" w:after="40"/>
                                      <w:rPr>
                                        <w:caps/>
                                        <w:color w:val="A02B93" w:themeColor="accent5"/>
                                        <w:sz w:val="24"/>
                                        <w:szCs w:val="24"/>
                                      </w:rPr>
                                    </w:pPr>
                                    <w:r>
                                      <w:rPr>
                                        <w:caps/>
                                        <w:color w:val="A02B93" w:themeColor="accent5"/>
                                        <w:sz w:val="24"/>
                                        <w:szCs w:val="24"/>
                                      </w:rPr>
                                      <w:t>Adelina Gabriela Stanciu (2245080)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5E488CF" id="_x0000_t202" coordsize="21600,21600" o:spt="202" path="m,l,21600r21600,l21600,xe">
                    <v:stroke joinstyle="miter"/>
                    <v:path gradientshapeok="t" o:connecttype="rect"/>
                  </v:shapetype>
                  <v:shape id="Text Box 75" o:spid="_x0000_s1026" type="#_x0000_t202" style="position:absolute;left:0;text-align:left;margin-left:-19.3pt;margin-top:454.3pt;width:509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" filled="f" stroked="f" strokeweight=".5pt">
                    <v:textbox style="mso-fit-shape-to-text:t" inset="0,0,0,0">
                      <w:txbxContent>
                        <w:p w14:paraId="74A8D5AA" w14:textId="51D8C51B" w:rsidR="002102C0" w:rsidRDefault="002102C0" w:rsidP="002102C0">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lang w:val="en-GB"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102C0">
                                <w:rPr>
                                  <w:rFonts w:eastAsiaTheme="minorHAnsi"/>
                                  <w:color w:val="156082" w:themeColor="accent1"/>
                                  <w:kern w:val="2"/>
                                  <w:sz w:val="72"/>
                                  <w:szCs w:val="72"/>
                                  <w:lang w:val="en-GB" w:eastAsia="en-US"/>
                                  <w14:ligatures w14:val="standardContextual"/>
                                </w:rPr>
                                <w:t>Component 2: Coursework:</w:t>
                              </w:r>
                              <w:r>
                                <w:rPr>
                                  <w:rFonts w:eastAsiaTheme="minorHAnsi"/>
                                  <w:color w:val="156082" w:themeColor="accent1"/>
                                  <w:kern w:val="2"/>
                                  <w:sz w:val="72"/>
                                  <w:szCs w:val="72"/>
                                  <w:lang w:val="en-GB" w:eastAsia="en-US"/>
                                  <w14:ligatures w14:val="standardContextual"/>
                                </w:rPr>
                                <w:t xml:space="preserve"> </w:t>
                              </w:r>
                              <w:r w:rsidRPr="002102C0">
                                <w:rPr>
                                  <w:rFonts w:eastAsiaTheme="minorHAnsi"/>
                                  <w:color w:val="156082" w:themeColor="accent1"/>
                                  <w:kern w:val="2"/>
                                  <w:sz w:val="72"/>
                                  <w:szCs w:val="72"/>
                                  <w:lang w:val="en-GB" w:eastAsia="en-US"/>
                                  <w14:ligatures w14:val="standardContextual"/>
                                </w:rPr>
                                <w:t>Individual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C19D02D" w14:textId="79046D2F" w:rsidR="002102C0" w:rsidRDefault="002102C0">
                              <w:pPr>
                                <w:pStyle w:val="NoSpacing"/>
                                <w:spacing w:before="40" w:after="40"/>
                                <w:rPr>
                                  <w:caps/>
                                  <w:color w:val="501549" w:themeColor="accent5" w:themeShade="80"/>
                                  <w:sz w:val="28"/>
                                  <w:szCs w:val="28"/>
                                </w:rPr>
                              </w:pPr>
                              <w:r w:rsidRPr="0018335A">
                                <w:rPr>
                                  <w:caps/>
                                  <w:color w:val="501549" w:themeColor="accent5" w:themeShade="80"/>
                                  <w:sz w:val="28"/>
                                  <w:szCs w:val="28"/>
                                </w:rPr>
                                <w:t>PRINCIPLES OF HUMAN RESOURCE MANAGEMENT (LCBB5012)</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553F3BC" w14:textId="533BC232" w:rsidR="002102C0" w:rsidRDefault="002102C0">
                              <w:pPr>
                                <w:pStyle w:val="NoSpacing"/>
                                <w:spacing w:before="80" w:after="40"/>
                                <w:rPr>
                                  <w:caps/>
                                  <w:color w:val="A02B93" w:themeColor="accent5"/>
                                  <w:sz w:val="24"/>
                                  <w:szCs w:val="24"/>
                                </w:rPr>
                              </w:pPr>
                              <w:r>
                                <w:rPr>
                                  <w:caps/>
                                  <w:color w:val="A02B93" w:themeColor="accent5"/>
                                  <w:sz w:val="24"/>
                                  <w:szCs w:val="24"/>
                                </w:rPr>
                                <w:t>Adelina Gabriela Stanciu (2245080)</w:t>
                              </w:r>
                            </w:p>
                          </w:sdtContent>
                        </w:sdt>
                      </w:txbxContent>
                    </v:textbox>
                    <w10:wrap type="square" anchorx="margin" anchory="page"/>
                  </v:shape>
                </w:pict>
              </mc:Fallback>
            </mc:AlternateContent>
          </w:r>
          <w:r w:rsidR="002102C0" w:rsidRPr="00682742">
            <w:rPr>
              <w:rFonts w:ascii="Arial" w:hAnsi="Arial" w:cs="Arial"/>
            </w:rPr>
            <w:br w:type="page"/>
          </w:r>
        </w:p>
      </w:sdtContent>
    </w:sdt>
    <w:sdt>
      <w:sdtPr>
        <w:rPr>
          <w:rFonts w:ascii="Arial" w:hAnsi="Arial" w:cs="Arial"/>
        </w:rPr>
        <w:id w:val="-74205737"/>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71AD5754" w14:textId="31BEBFA2" w:rsidR="002102C0" w:rsidRPr="00682742" w:rsidRDefault="002102C0" w:rsidP="00682742">
          <w:pPr>
            <w:pStyle w:val="TOCHeading"/>
            <w:spacing w:line="360" w:lineRule="auto"/>
            <w:jc w:val="both"/>
            <w:rPr>
              <w:rFonts w:ascii="Arial" w:hAnsi="Arial" w:cs="Arial"/>
            </w:rPr>
          </w:pPr>
          <w:r w:rsidRPr="00682742">
            <w:rPr>
              <w:rFonts w:ascii="Arial" w:hAnsi="Arial" w:cs="Arial"/>
            </w:rPr>
            <w:t>Table of Contents</w:t>
          </w:r>
        </w:p>
        <w:p w14:paraId="7E352B17" w14:textId="5D5DD7D1" w:rsidR="00682742" w:rsidRPr="00682742" w:rsidRDefault="002102C0" w:rsidP="00682742">
          <w:pPr>
            <w:pStyle w:val="TOC1"/>
            <w:tabs>
              <w:tab w:val="right" w:leader="dot" w:pos="9016"/>
            </w:tabs>
            <w:spacing w:line="360" w:lineRule="auto"/>
            <w:rPr>
              <w:rFonts w:ascii="Arial" w:eastAsiaTheme="minorEastAsia" w:hAnsi="Arial" w:cs="Arial"/>
              <w:b w:val="0"/>
              <w:bCs w:val="0"/>
              <w:i w:val="0"/>
              <w:iCs w:val="0"/>
              <w:noProof/>
              <w:lang w:eastAsia="en-GB"/>
            </w:rPr>
          </w:pPr>
          <w:r w:rsidRPr="00682742">
            <w:rPr>
              <w:rFonts w:ascii="Arial" w:hAnsi="Arial" w:cs="Arial"/>
              <w:b w:val="0"/>
              <w:bCs w:val="0"/>
            </w:rPr>
            <w:fldChar w:fldCharType="begin"/>
          </w:r>
          <w:r w:rsidRPr="00682742">
            <w:rPr>
              <w:rFonts w:ascii="Arial" w:hAnsi="Arial" w:cs="Arial"/>
            </w:rPr>
            <w:instrText xml:space="preserve"> TOC \o "1-3" \h \z \u </w:instrText>
          </w:r>
          <w:r w:rsidRPr="00682742">
            <w:rPr>
              <w:rFonts w:ascii="Arial" w:hAnsi="Arial" w:cs="Arial"/>
              <w:b w:val="0"/>
              <w:bCs w:val="0"/>
            </w:rPr>
            <w:fldChar w:fldCharType="separate"/>
          </w:r>
          <w:hyperlink w:anchor="_Toc229013092" w:history="1">
            <w:r w:rsidR="00682742" w:rsidRPr="00682742">
              <w:rPr>
                <w:rStyle w:val="Hyperlink"/>
                <w:rFonts w:ascii="Arial" w:hAnsi="Arial" w:cs="Arial"/>
                <w:noProof/>
              </w:rPr>
              <w:t>Introduction</w:t>
            </w:r>
            <w:r w:rsidR="00682742" w:rsidRPr="00682742">
              <w:rPr>
                <w:rFonts w:ascii="Arial" w:hAnsi="Arial" w:cs="Arial"/>
                <w:noProof/>
                <w:webHidden/>
              </w:rPr>
              <w:tab/>
            </w:r>
            <w:r w:rsidR="00682742" w:rsidRPr="00682742">
              <w:rPr>
                <w:rFonts w:ascii="Arial" w:hAnsi="Arial" w:cs="Arial"/>
                <w:noProof/>
                <w:webHidden/>
              </w:rPr>
              <w:fldChar w:fldCharType="begin"/>
            </w:r>
            <w:r w:rsidR="00682742" w:rsidRPr="00682742">
              <w:rPr>
                <w:rFonts w:ascii="Arial" w:hAnsi="Arial" w:cs="Arial"/>
                <w:noProof/>
                <w:webHidden/>
              </w:rPr>
              <w:instrText xml:space="preserve"> PAGEREF _Toc229013092 \h </w:instrText>
            </w:r>
            <w:r w:rsidR="00682742" w:rsidRPr="00682742">
              <w:rPr>
                <w:rFonts w:ascii="Arial" w:hAnsi="Arial" w:cs="Arial"/>
                <w:noProof/>
                <w:webHidden/>
              </w:rPr>
            </w:r>
            <w:r w:rsidR="00682742" w:rsidRPr="00682742">
              <w:rPr>
                <w:rFonts w:ascii="Arial" w:hAnsi="Arial" w:cs="Arial"/>
                <w:noProof/>
                <w:webHidden/>
              </w:rPr>
              <w:fldChar w:fldCharType="separate"/>
            </w:r>
            <w:r w:rsidR="00682742" w:rsidRPr="00682742">
              <w:rPr>
                <w:rFonts w:ascii="Arial" w:hAnsi="Arial" w:cs="Arial"/>
                <w:noProof/>
                <w:webHidden/>
              </w:rPr>
              <w:t>2</w:t>
            </w:r>
            <w:r w:rsidR="00682742" w:rsidRPr="00682742">
              <w:rPr>
                <w:rFonts w:ascii="Arial" w:hAnsi="Arial" w:cs="Arial"/>
                <w:noProof/>
                <w:webHidden/>
              </w:rPr>
              <w:fldChar w:fldCharType="end"/>
            </w:r>
          </w:hyperlink>
        </w:p>
        <w:p w14:paraId="58C30605" w14:textId="0AB83F95" w:rsidR="00682742" w:rsidRPr="00682742" w:rsidRDefault="00682742" w:rsidP="00682742">
          <w:pPr>
            <w:pStyle w:val="TOC1"/>
            <w:tabs>
              <w:tab w:val="right" w:leader="dot" w:pos="9016"/>
            </w:tabs>
            <w:spacing w:line="360" w:lineRule="auto"/>
            <w:rPr>
              <w:rFonts w:ascii="Arial" w:eastAsiaTheme="minorEastAsia" w:hAnsi="Arial" w:cs="Arial"/>
              <w:b w:val="0"/>
              <w:bCs w:val="0"/>
              <w:i w:val="0"/>
              <w:iCs w:val="0"/>
              <w:noProof/>
              <w:lang w:eastAsia="en-GB"/>
            </w:rPr>
          </w:pPr>
          <w:hyperlink w:anchor="_Toc229013093" w:history="1">
            <w:r w:rsidRPr="00682742">
              <w:rPr>
                <w:rStyle w:val="Hyperlink"/>
                <w:rFonts w:ascii="Arial" w:hAnsi="Arial" w:cs="Arial"/>
                <w:noProof/>
              </w:rPr>
              <w:t>Internal and External Environment</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_Toc229013093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2</w:t>
            </w:r>
            <w:r w:rsidRPr="00682742">
              <w:rPr>
                <w:rFonts w:ascii="Arial" w:hAnsi="Arial" w:cs="Arial"/>
                <w:noProof/>
                <w:webHidden/>
              </w:rPr>
              <w:fldChar w:fldCharType="end"/>
            </w:r>
          </w:hyperlink>
        </w:p>
        <w:p w14:paraId="4CCAD78A" w14:textId="1C088E80" w:rsidR="00682742" w:rsidRPr="00682742" w:rsidRDefault="00682742" w:rsidP="00682742">
          <w:pPr>
            <w:pStyle w:val="TOC1"/>
            <w:tabs>
              <w:tab w:val="right" w:leader="dot" w:pos="9016"/>
            </w:tabs>
            <w:spacing w:line="360" w:lineRule="auto"/>
            <w:rPr>
              <w:rFonts w:ascii="Arial" w:eastAsiaTheme="minorEastAsia" w:hAnsi="Arial" w:cs="Arial"/>
              <w:b w:val="0"/>
              <w:bCs w:val="0"/>
              <w:i w:val="0"/>
              <w:iCs w:val="0"/>
              <w:noProof/>
              <w:lang w:eastAsia="en-GB"/>
            </w:rPr>
          </w:pPr>
          <w:hyperlink w:anchor="_Toc229013094" w:history="1">
            <w:r w:rsidRPr="00682742">
              <w:rPr>
                <w:rStyle w:val="Hyperlink"/>
                <w:rFonts w:ascii="Arial" w:hAnsi="Arial" w:cs="Arial"/>
                <w:noProof/>
              </w:rPr>
              <w:t>Organisation Application</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_Toc229013094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4</w:t>
            </w:r>
            <w:r w:rsidRPr="00682742">
              <w:rPr>
                <w:rFonts w:ascii="Arial" w:hAnsi="Arial" w:cs="Arial"/>
                <w:noProof/>
                <w:webHidden/>
              </w:rPr>
              <w:fldChar w:fldCharType="end"/>
            </w:r>
          </w:hyperlink>
        </w:p>
        <w:p w14:paraId="1CBBAE4A" w14:textId="7921A7D0" w:rsidR="00682742" w:rsidRPr="00682742" w:rsidRDefault="00682742" w:rsidP="00682742">
          <w:pPr>
            <w:pStyle w:val="TOC1"/>
            <w:tabs>
              <w:tab w:val="right" w:leader="dot" w:pos="9016"/>
            </w:tabs>
            <w:spacing w:line="360" w:lineRule="auto"/>
            <w:rPr>
              <w:rFonts w:ascii="Arial" w:eastAsiaTheme="minorEastAsia" w:hAnsi="Arial" w:cs="Arial"/>
              <w:b w:val="0"/>
              <w:bCs w:val="0"/>
              <w:i w:val="0"/>
              <w:iCs w:val="0"/>
              <w:noProof/>
              <w:lang w:eastAsia="en-GB"/>
            </w:rPr>
          </w:pPr>
          <w:hyperlink w:anchor="_Toc229013095" w:history="1">
            <w:r w:rsidRPr="00682742">
              <w:rPr>
                <w:rStyle w:val="Hyperlink"/>
                <w:rFonts w:ascii="Arial" w:hAnsi="Arial" w:cs="Arial"/>
                <w:noProof/>
              </w:rPr>
              <w:t>Application of Model</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_Toc229013095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5</w:t>
            </w:r>
            <w:r w:rsidRPr="00682742">
              <w:rPr>
                <w:rFonts w:ascii="Arial" w:hAnsi="Arial" w:cs="Arial"/>
                <w:noProof/>
                <w:webHidden/>
              </w:rPr>
              <w:fldChar w:fldCharType="end"/>
            </w:r>
          </w:hyperlink>
        </w:p>
        <w:p w14:paraId="671A0899" w14:textId="154EEEF4" w:rsidR="00682742" w:rsidRPr="00682742" w:rsidRDefault="00682742" w:rsidP="0068274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29013096" w:history="1">
            <w:r w:rsidRPr="00682742">
              <w:rPr>
                <w:rStyle w:val="Hyperlink"/>
                <w:rFonts w:ascii="Arial" w:hAnsi="Arial" w:cs="Arial"/>
                <w:noProof/>
              </w:rPr>
              <w:t>Internal – Strengths</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_Toc229013096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5</w:t>
            </w:r>
            <w:r w:rsidRPr="00682742">
              <w:rPr>
                <w:rFonts w:ascii="Arial" w:hAnsi="Arial" w:cs="Arial"/>
                <w:noProof/>
                <w:webHidden/>
              </w:rPr>
              <w:fldChar w:fldCharType="end"/>
            </w:r>
          </w:hyperlink>
        </w:p>
        <w:p w14:paraId="6CC8CCDE" w14:textId="5FB7F751" w:rsidR="00682742" w:rsidRPr="00682742" w:rsidRDefault="00682742" w:rsidP="0068274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29013097" w:history="1">
            <w:r w:rsidRPr="00682742">
              <w:rPr>
                <w:rStyle w:val="Hyperlink"/>
                <w:rFonts w:ascii="Arial" w:hAnsi="Arial" w:cs="Arial"/>
                <w:noProof/>
              </w:rPr>
              <w:t>Internal – Weaknesses</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_Toc229013097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6</w:t>
            </w:r>
            <w:r w:rsidRPr="00682742">
              <w:rPr>
                <w:rFonts w:ascii="Arial" w:hAnsi="Arial" w:cs="Arial"/>
                <w:noProof/>
                <w:webHidden/>
              </w:rPr>
              <w:fldChar w:fldCharType="end"/>
            </w:r>
          </w:hyperlink>
        </w:p>
        <w:p w14:paraId="6E684114" w14:textId="6E368FD3" w:rsidR="00682742" w:rsidRPr="00682742" w:rsidRDefault="00682742" w:rsidP="0068274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29013098" w:history="1">
            <w:r w:rsidRPr="00682742">
              <w:rPr>
                <w:rStyle w:val="Hyperlink"/>
                <w:rFonts w:ascii="Arial" w:hAnsi="Arial" w:cs="Arial"/>
                <w:noProof/>
              </w:rPr>
              <w:t>External – Threats</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_Toc229013098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6</w:t>
            </w:r>
            <w:r w:rsidRPr="00682742">
              <w:rPr>
                <w:rFonts w:ascii="Arial" w:hAnsi="Arial" w:cs="Arial"/>
                <w:noProof/>
                <w:webHidden/>
              </w:rPr>
              <w:fldChar w:fldCharType="end"/>
            </w:r>
          </w:hyperlink>
        </w:p>
        <w:p w14:paraId="309593C7" w14:textId="193807A4" w:rsidR="00682742" w:rsidRPr="00682742" w:rsidRDefault="00682742" w:rsidP="0068274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29013099" w:history="1">
            <w:r w:rsidRPr="00682742">
              <w:rPr>
                <w:rStyle w:val="Hyperlink"/>
                <w:rFonts w:ascii="Arial" w:hAnsi="Arial" w:cs="Arial"/>
                <w:noProof/>
              </w:rPr>
              <w:t>External – Opportunities</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_Toc229013099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7</w:t>
            </w:r>
            <w:r w:rsidRPr="00682742">
              <w:rPr>
                <w:rFonts w:ascii="Arial" w:hAnsi="Arial" w:cs="Arial"/>
                <w:noProof/>
                <w:webHidden/>
              </w:rPr>
              <w:fldChar w:fldCharType="end"/>
            </w:r>
          </w:hyperlink>
        </w:p>
        <w:p w14:paraId="75530857" w14:textId="65C7782D" w:rsidR="00682742" w:rsidRPr="00682742" w:rsidRDefault="00682742" w:rsidP="00682742">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29013100" w:history="1">
            <w:r w:rsidRPr="00682742">
              <w:rPr>
                <w:rStyle w:val="Hyperlink"/>
                <w:rFonts w:ascii="Arial" w:hAnsi="Arial" w:cs="Arial"/>
                <w:noProof/>
              </w:rPr>
              <w:t>Country Differences</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_Toc229013100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7</w:t>
            </w:r>
            <w:r w:rsidRPr="00682742">
              <w:rPr>
                <w:rFonts w:ascii="Arial" w:hAnsi="Arial" w:cs="Arial"/>
                <w:noProof/>
                <w:webHidden/>
              </w:rPr>
              <w:fldChar w:fldCharType="end"/>
            </w:r>
          </w:hyperlink>
        </w:p>
        <w:p w14:paraId="0D73E3A6" w14:textId="106482B0" w:rsidR="00682742" w:rsidRPr="00682742" w:rsidRDefault="00682742" w:rsidP="00682742">
          <w:pPr>
            <w:pStyle w:val="TOC1"/>
            <w:tabs>
              <w:tab w:val="right" w:leader="dot" w:pos="9016"/>
            </w:tabs>
            <w:spacing w:line="360" w:lineRule="auto"/>
            <w:rPr>
              <w:rFonts w:ascii="Arial" w:eastAsiaTheme="minorEastAsia" w:hAnsi="Arial" w:cs="Arial"/>
              <w:b w:val="0"/>
              <w:bCs w:val="0"/>
              <w:i w:val="0"/>
              <w:iCs w:val="0"/>
              <w:noProof/>
              <w:lang w:eastAsia="en-GB"/>
            </w:rPr>
          </w:pPr>
          <w:hyperlink w:anchor="_Toc229013101" w:history="1">
            <w:r w:rsidRPr="00682742">
              <w:rPr>
                <w:rStyle w:val="Hyperlink"/>
                <w:rFonts w:ascii="Arial" w:hAnsi="Arial" w:cs="Arial"/>
                <w:noProof/>
              </w:rPr>
              <w:t>Conclusion</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_Toc229013101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8</w:t>
            </w:r>
            <w:r w:rsidRPr="00682742">
              <w:rPr>
                <w:rFonts w:ascii="Arial" w:hAnsi="Arial" w:cs="Arial"/>
                <w:noProof/>
                <w:webHidden/>
              </w:rPr>
              <w:fldChar w:fldCharType="end"/>
            </w:r>
          </w:hyperlink>
        </w:p>
        <w:p w14:paraId="31F11C51" w14:textId="5801764A" w:rsidR="00682742" w:rsidRPr="00682742" w:rsidRDefault="00682742" w:rsidP="00682742">
          <w:pPr>
            <w:pStyle w:val="TOC1"/>
            <w:tabs>
              <w:tab w:val="right" w:leader="dot" w:pos="9016"/>
            </w:tabs>
            <w:spacing w:line="360" w:lineRule="auto"/>
            <w:rPr>
              <w:rFonts w:ascii="Arial" w:eastAsiaTheme="minorEastAsia" w:hAnsi="Arial" w:cs="Arial"/>
              <w:b w:val="0"/>
              <w:bCs w:val="0"/>
              <w:i w:val="0"/>
              <w:iCs w:val="0"/>
              <w:noProof/>
              <w:lang w:eastAsia="en-GB"/>
            </w:rPr>
          </w:pPr>
          <w:hyperlink w:anchor="_Toc229013102" w:history="1">
            <w:r w:rsidRPr="00682742">
              <w:rPr>
                <w:rStyle w:val="Hyperlink"/>
                <w:rFonts w:ascii="Arial" w:hAnsi="Arial" w:cs="Arial"/>
                <w:noProof/>
              </w:rPr>
              <w:t>References</w:t>
            </w:r>
            <w:r w:rsidRPr="00682742">
              <w:rPr>
                <w:rFonts w:ascii="Arial" w:hAnsi="Arial" w:cs="Arial"/>
                <w:noProof/>
                <w:webHidden/>
              </w:rPr>
              <w:tab/>
            </w:r>
            <w:r w:rsidRPr="00682742">
              <w:rPr>
                <w:rFonts w:ascii="Arial" w:hAnsi="Arial" w:cs="Arial"/>
                <w:noProof/>
                <w:webHidden/>
              </w:rPr>
              <w:fldChar w:fldCharType="begin"/>
            </w:r>
            <w:r w:rsidRPr="00682742">
              <w:rPr>
                <w:rFonts w:ascii="Arial" w:hAnsi="Arial" w:cs="Arial"/>
                <w:noProof/>
                <w:webHidden/>
              </w:rPr>
              <w:instrText xml:space="preserve"> PAGEREF _Toc229013102 \h </w:instrText>
            </w:r>
            <w:r w:rsidRPr="00682742">
              <w:rPr>
                <w:rFonts w:ascii="Arial" w:hAnsi="Arial" w:cs="Arial"/>
                <w:noProof/>
                <w:webHidden/>
              </w:rPr>
            </w:r>
            <w:r w:rsidRPr="00682742">
              <w:rPr>
                <w:rFonts w:ascii="Arial" w:hAnsi="Arial" w:cs="Arial"/>
                <w:noProof/>
                <w:webHidden/>
              </w:rPr>
              <w:fldChar w:fldCharType="separate"/>
            </w:r>
            <w:r w:rsidRPr="00682742">
              <w:rPr>
                <w:rFonts w:ascii="Arial" w:hAnsi="Arial" w:cs="Arial"/>
                <w:noProof/>
                <w:webHidden/>
              </w:rPr>
              <w:t>10</w:t>
            </w:r>
            <w:r w:rsidRPr="00682742">
              <w:rPr>
                <w:rFonts w:ascii="Arial" w:hAnsi="Arial" w:cs="Arial"/>
                <w:noProof/>
                <w:webHidden/>
              </w:rPr>
              <w:fldChar w:fldCharType="end"/>
            </w:r>
          </w:hyperlink>
        </w:p>
        <w:p w14:paraId="21FC3132" w14:textId="09D80E12" w:rsidR="002102C0" w:rsidRPr="00682742" w:rsidRDefault="002102C0" w:rsidP="00682742">
          <w:pPr>
            <w:spacing w:line="360" w:lineRule="auto"/>
            <w:jc w:val="both"/>
            <w:rPr>
              <w:rFonts w:ascii="Arial" w:hAnsi="Arial" w:cs="Arial"/>
            </w:rPr>
          </w:pPr>
          <w:r w:rsidRPr="00682742">
            <w:rPr>
              <w:rFonts w:ascii="Arial" w:hAnsi="Arial" w:cs="Arial"/>
              <w:b/>
              <w:bCs/>
              <w:noProof/>
            </w:rPr>
            <w:fldChar w:fldCharType="end"/>
          </w:r>
        </w:p>
      </w:sdtContent>
    </w:sdt>
    <w:p w14:paraId="0356A008" w14:textId="4E5895A4" w:rsidR="002102C0" w:rsidRPr="00682742" w:rsidRDefault="002102C0" w:rsidP="00682742">
      <w:pPr>
        <w:spacing w:line="360" w:lineRule="auto"/>
        <w:jc w:val="both"/>
        <w:rPr>
          <w:rFonts w:ascii="Arial" w:hAnsi="Arial" w:cs="Arial"/>
        </w:rPr>
      </w:pPr>
      <w:r w:rsidRPr="00682742">
        <w:rPr>
          <w:rFonts w:ascii="Arial" w:hAnsi="Arial" w:cs="Arial"/>
        </w:rPr>
        <w:br w:type="page"/>
      </w:r>
    </w:p>
    <w:p w14:paraId="7FFD8FBA" w14:textId="77777777" w:rsidR="002102C0" w:rsidRPr="00682742" w:rsidRDefault="002102C0" w:rsidP="00682742">
      <w:pPr>
        <w:pStyle w:val="Heading1"/>
        <w:spacing w:line="360" w:lineRule="auto"/>
        <w:jc w:val="both"/>
        <w:rPr>
          <w:rFonts w:ascii="Arial" w:hAnsi="Arial" w:cs="Arial"/>
        </w:rPr>
      </w:pPr>
      <w:bookmarkStart w:id="0" w:name="_Toc229013092"/>
      <w:r w:rsidRPr="00682742">
        <w:rPr>
          <w:rFonts w:ascii="Arial" w:hAnsi="Arial" w:cs="Arial"/>
        </w:rPr>
        <w:lastRenderedPageBreak/>
        <w:t>Introduction</w:t>
      </w:r>
      <w:bookmarkEnd w:id="0"/>
    </w:p>
    <w:p w14:paraId="27F497CA" w14:textId="52326D5D" w:rsidR="002102C0" w:rsidRPr="00682742" w:rsidRDefault="00E03F8B" w:rsidP="00682742">
      <w:pPr>
        <w:autoSpaceDE w:val="0"/>
        <w:autoSpaceDN w:val="0"/>
        <w:adjustRightInd w:val="0"/>
        <w:spacing w:line="360" w:lineRule="auto"/>
        <w:jc w:val="both"/>
        <w:rPr>
          <w:rFonts w:ascii="Arial" w:hAnsi="Arial" w:cs="Arial"/>
          <w:kern w:val="0"/>
        </w:rPr>
      </w:pPr>
      <w:r w:rsidRPr="00682742">
        <w:rPr>
          <w:rFonts w:ascii="Arial" w:hAnsi="Arial" w:cs="Arial"/>
          <w:kern w:val="0"/>
        </w:rPr>
        <w:t>Human resource management (HRM) is widely seen as essential to organisational success because it ensures that employees’ skills, behaviours, and roles are aligned with business goals (Armstrong and Taylor, 2023). Key HR functions such as recruitment, training and development, performance management, and employee relations are especially important, as they influence an organisation’s ability to hire skilled staff, develop future capabilities, maintain strong performance, and promote positive working relationships (Marchington et al., 2021). According to Boxall and Purcell (2022), HRM contributes not only through administrative tasks but also by shaping the workforce and organisational relationships that support long-term competitive</w:t>
      </w:r>
      <w:r w:rsidRPr="00682742">
        <w:rPr>
          <w:rFonts w:ascii="Arial" w:hAnsi="Arial" w:cs="Arial"/>
          <w:kern w:val="0"/>
        </w:rPr>
        <w:t xml:space="preserve"> </w:t>
      </w:r>
      <w:r w:rsidRPr="00682742">
        <w:rPr>
          <w:rFonts w:ascii="Arial" w:hAnsi="Arial" w:cs="Arial"/>
          <w:kern w:val="0"/>
        </w:rPr>
        <w:t>advantage.</w:t>
      </w:r>
      <w:r w:rsidRPr="00682742">
        <w:rPr>
          <w:rFonts w:ascii="Arial" w:hAnsi="Arial" w:cs="Arial"/>
          <w:kern w:val="0"/>
        </w:rPr>
        <w:br/>
      </w:r>
      <w:r w:rsidRPr="00682742">
        <w:rPr>
          <w:rFonts w:ascii="Arial" w:hAnsi="Arial" w:cs="Arial"/>
          <w:kern w:val="0"/>
        </w:rPr>
        <w:t xml:space="preserve">In multinational organisations, HR functions are more complex because managers must balance the need for global consistency with the need to adapt to different labour markets, legal systems, and cultural environments </w:t>
      </w:r>
      <w:r w:rsidR="00AE7115" w:rsidRPr="00682742">
        <w:rPr>
          <w:rFonts w:ascii="Arial" w:hAnsi="Arial" w:cs="Arial"/>
          <w:kern w:val="0"/>
        </w:rPr>
        <w:t>(Tarique, Briscoe and Schuler, 2022)</w:t>
      </w:r>
      <w:r w:rsidRPr="00682742">
        <w:rPr>
          <w:rFonts w:ascii="Arial" w:hAnsi="Arial" w:cs="Arial"/>
          <w:kern w:val="0"/>
        </w:rPr>
        <w:t xml:space="preserve">. As a result, HR effectiveness cannot be judged only by internal </w:t>
      </w:r>
      <w:r w:rsidR="008609F5" w:rsidRPr="00682742">
        <w:rPr>
          <w:rFonts w:ascii="Arial" w:hAnsi="Arial" w:cs="Arial"/>
          <w:kern w:val="0"/>
        </w:rPr>
        <w:t>policies but</w:t>
      </w:r>
      <w:r w:rsidRPr="00682742">
        <w:rPr>
          <w:rFonts w:ascii="Arial" w:hAnsi="Arial" w:cs="Arial"/>
          <w:kern w:val="0"/>
        </w:rPr>
        <w:t xml:space="preserve"> must also be considered in relation to external institutional and competitive conditions (Paauwe and Farndale, 2017). From a strategic HRM perspective, HR managers work at the point where organisational strategy meets external constraints, managing the relationship between business objectives and the realities of local labour markets and regulations (Rees and Smith, 2021).</w:t>
      </w:r>
    </w:p>
    <w:p w14:paraId="3A2850B2" w14:textId="26EF60C5" w:rsidR="00E03F8B" w:rsidRPr="00682742" w:rsidRDefault="00E03F8B" w:rsidP="00682742">
      <w:pPr>
        <w:autoSpaceDE w:val="0"/>
        <w:autoSpaceDN w:val="0"/>
        <w:adjustRightInd w:val="0"/>
        <w:spacing w:after="240" w:line="360" w:lineRule="auto"/>
        <w:jc w:val="both"/>
        <w:rPr>
          <w:rFonts w:ascii="Arial" w:hAnsi="Arial" w:cs="Arial"/>
          <w:kern w:val="0"/>
        </w:rPr>
      </w:pPr>
      <w:r w:rsidRPr="00682742">
        <w:rPr>
          <w:rFonts w:ascii="Arial" w:hAnsi="Arial" w:cs="Arial"/>
          <w:kern w:val="0"/>
        </w:rPr>
        <w:t>This report analyses how environmental factors influence HR managers’ effectiveness in a global organisation using a SWOT analysis of JPMorgan Chase. It explains the SWOT framework, outlines the company’s HR practices, and evaluates internal and external factors, including cross-country differences, before highlighting findings and future implications for global HR management.</w:t>
      </w:r>
    </w:p>
    <w:p w14:paraId="6D6FDEA5" w14:textId="5AB6F5CA" w:rsidR="002102C0" w:rsidRPr="00682742" w:rsidRDefault="002102C0" w:rsidP="00682742">
      <w:pPr>
        <w:pStyle w:val="Heading1"/>
        <w:spacing w:line="360" w:lineRule="auto"/>
        <w:jc w:val="both"/>
        <w:rPr>
          <w:rFonts w:ascii="Arial" w:hAnsi="Arial" w:cs="Arial"/>
        </w:rPr>
      </w:pPr>
      <w:bookmarkStart w:id="1" w:name="_Toc229013093"/>
      <w:r w:rsidRPr="00682742">
        <w:rPr>
          <w:rFonts w:ascii="Arial" w:hAnsi="Arial" w:cs="Arial"/>
        </w:rPr>
        <w:t>Internal and External Environment</w:t>
      </w:r>
      <w:bookmarkEnd w:id="1"/>
    </w:p>
    <w:p w14:paraId="6D3A037E" w14:textId="0C04126D" w:rsidR="000E0FD7" w:rsidRPr="00682742" w:rsidRDefault="000E0FD7" w:rsidP="00682742">
      <w:pPr>
        <w:spacing w:line="360" w:lineRule="auto"/>
        <w:jc w:val="both"/>
        <w:rPr>
          <w:rFonts w:ascii="Arial" w:eastAsia="Georgia" w:hAnsi="Arial" w:cs="Arial"/>
          <w:color w:val="000000"/>
        </w:rPr>
      </w:pPr>
      <w:r w:rsidRPr="00682742">
        <w:rPr>
          <w:rFonts w:ascii="Arial" w:eastAsia="Georgia" w:hAnsi="Arial" w:cs="Arial"/>
          <w:color w:val="000000"/>
        </w:rPr>
        <w:t xml:space="preserve">SWOT is a strategic tool used to analyse an organisation by distinguishing internal elements as strengths or weaknesses and external elements as opportunities or threats. Its value lies in its straightforward structure and its capacity to link what an organisation can do internally with the broader competitive and institutional environment it operates within. Paauwe and Farndale (2017) argue that frameworks </w:t>
      </w:r>
      <w:r w:rsidRPr="00682742">
        <w:rPr>
          <w:rFonts w:ascii="Arial" w:eastAsia="Georgia" w:hAnsi="Arial" w:cs="Arial"/>
          <w:color w:val="000000"/>
        </w:rPr>
        <w:lastRenderedPageBreak/>
        <w:t>like SWOT support managers in evaluating whether their current resources and systems are sufficient to take advantage of opportunities or to respond effectively to potential threats. This is particularly relevant for HR managers, as internal aspects such as employee skills, leadership quality, organisational culture, control mechanisms and employer reputation have a direct impact on HR performance, while external influences, including legal regulations, labour market dynamics, technological developments and shifting societal expectations, shape and sometimes limit HR policy decisions.</w:t>
      </w:r>
    </w:p>
    <w:p w14:paraId="6BE14E1F" w14:textId="3980FBB0" w:rsidR="001D6F67" w:rsidRPr="00682742" w:rsidRDefault="001D6F67" w:rsidP="00682742">
      <w:pPr>
        <w:spacing w:line="360" w:lineRule="auto"/>
        <w:jc w:val="both"/>
        <w:rPr>
          <w:rFonts w:ascii="Arial" w:eastAsia="Georgia" w:hAnsi="Arial" w:cs="Arial"/>
          <w:color w:val="000000"/>
        </w:rPr>
      </w:pPr>
      <w:r w:rsidRPr="00682742">
        <w:rPr>
          <w:rFonts w:ascii="Arial" w:eastAsia="Georgia" w:hAnsi="Arial" w:cs="Arial"/>
          <w:color w:val="000000"/>
        </w:rPr>
        <w:t>The model is especially important for HR because HR activities take place where internal organisational capabilities meet external pressures. Recruitment, for example, reflects both internal strengths and external challenges, as a strong employer brand can attract talent while skill shortages or a weak reputation may limit the number of suitable applicants. Training and development are influenced by the need to strengthen internal capabilities, such as digital skills and leadership capacity, while also adapting to external opportunities like automation and expansion into new markets. In addition, performance management is shaped by internal factors such as organisational culture and governance structures, but it must also respond to external expectations related to productivity, fairness and employee wellbeing. Similarly, employee relations depend on internal elements like trust and managerial effectiveness, while also being influenced by external factors such as labour laws, trade unions and wider social expectations.</w:t>
      </w:r>
    </w:p>
    <w:p w14:paraId="5A89C100" w14:textId="095D526D" w:rsidR="00386F8E" w:rsidRPr="00682742" w:rsidRDefault="00386F8E" w:rsidP="00682742">
      <w:pPr>
        <w:spacing w:after="210" w:line="360" w:lineRule="auto"/>
        <w:jc w:val="both"/>
        <w:rPr>
          <w:rFonts w:ascii="Arial" w:eastAsia="Georgia" w:hAnsi="Arial" w:cs="Arial"/>
          <w:color w:val="000000"/>
        </w:rPr>
      </w:pPr>
      <w:r w:rsidRPr="00682742">
        <w:rPr>
          <w:rFonts w:ascii="Arial" w:eastAsia="Georgia" w:hAnsi="Arial" w:cs="Arial"/>
          <w:color w:val="000000"/>
        </w:rPr>
        <w:t>However, SWOT has several important limitations when it is used to analyse the external environment. One key issue is that it can promote a fixed or static classification of factors even though real-world conditions are constantly changing. For example, rapid digitalisation can be viewed as both an opportunity and a threat, depending on how well it is implemented, the level of employee readiness and the degree of regulatory oversight involved. In addition, SWOT does not provide clear guidance on causation or prioritisation, as it simply identifies different factors without explaining which ones are most important, how they are connected or what trade-offs managers should consider. According to Paauwe and Farndale (2017), effective HR analysis requires a deeper understanding of institutional complexity and historical developments within organisations, aspects that may be overlooked when relying only on simplified analytical frameworks such as SWOT.</w:t>
      </w:r>
    </w:p>
    <w:p w14:paraId="414EC1F1" w14:textId="5B2A9942" w:rsidR="00386F8E" w:rsidRPr="00682742" w:rsidRDefault="00386F8E" w:rsidP="00682742">
      <w:pPr>
        <w:spacing w:line="360" w:lineRule="auto"/>
        <w:jc w:val="both"/>
        <w:rPr>
          <w:rFonts w:ascii="Arial" w:eastAsia="Georgia" w:hAnsi="Arial" w:cs="Arial"/>
          <w:color w:val="000000"/>
        </w:rPr>
      </w:pPr>
      <w:r w:rsidRPr="00682742">
        <w:rPr>
          <w:rFonts w:ascii="Arial" w:eastAsia="Georgia" w:hAnsi="Arial" w:cs="Arial"/>
          <w:color w:val="000000"/>
        </w:rPr>
        <w:lastRenderedPageBreak/>
        <w:t xml:space="preserve">A further limitation is that a strictly firm focused use of SWOT may underestimate the influence of national institutional factors, such as labour market regulations, financial oversight systems and collective bargaining arrangements, all of which play a significant role in shaping HR choices in multinational organisations. In the banking sector, for instance, local regulatory authorities can turn what might appear to be a routine operational risk into a major strategic concern, which in turn has direct consequences for HR responsibilities related to employee training, conduct management and organisational culture. These limitations suggest that SWOT should be used with caution and combined with broader contextual understanding, rather than being relied upon as a single or </w:t>
      </w:r>
      <w:r w:rsidR="00682742" w:rsidRPr="00682742">
        <w:rPr>
          <w:rFonts w:ascii="Arial" w:eastAsia="Georgia" w:hAnsi="Arial" w:cs="Arial"/>
          <w:color w:val="000000"/>
        </w:rPr>
        <w:t>self-sufficient</w:t>
      </w:r>
      <w:r w:rsidRPr="00682742">
        <w:rPr>
          <w:rFonts w:ascii="Arial" w:eastAsia="Georgia" w:hAnsi="Arial" w:cs="Arial"/>
          <w:color w:val="000000"/>
        </w:rPr>
        <w:t xml:space="preserve"> analytical tool.</w:t>
      </w:r>
    </w:p>
    <w:p w14:paraId="7359CA99" w14:textId="77777777" w:rsidR="00F005A3" w:rsidRPr="00682742" w:rsidRDefault="00386F8E" w:rsidP="00682742">
      <w:pPr>
        <w:spacing w:after="240" w:line="360" w:lineRule="auto"/>
        <w:jc w:val="both"/>
        <w:rPr>
          <w:rFonts w:ascii="Arial" w:hAnsi="Arial" w:cs="Arial"/>
        </w:rPr>
      </w:pPr>
      <w:r w:rsidRPr="00682742">
        <w:rPr>
          <w:rFonts w:ascii="Arial" w:eastAsia="Georgia" w:hAnsi="Arial" w:cs="Arial"/>
          <w:color w:val="000000"/>
        </w:rPr>
        <w:t>Despite these limitations, SWOT continues to serve as a helpful starting point for HR analysis when it is applied to link internal people related capabilities with external pressures. It supports HR managers in assessing whether key processes such as recruitment, development, performance management and employee relations are effectively making use of organisational strengths, addressing internal weaknesses and responding in a consistent way to opportunities and threats in the broader environment. In this way, the main value of SWOT lies not in producing a fixed or final framework, but in encouraging critical discussion about how internal and external factors influence the ability of HR managers to act effectively.</w:t>
      </w:r>
    </w:p>
    <w:p w14:paraId="27FA463E" w14:textId="4634D19A" w:rsidR="002102C0" w:rsidRPr="00682742" w:rsidRDefault="002102C0" w:rsidP="00682742">
      <w:pPr>
        <w:pStyle w:val="Heading1"/>
        <w:spacing w:line="360" w:lineRule="auto"/>
        <w:jc w:val="both"/>
        <w:rPr>
          <w:rFonts w:ascii="Arial" w:eastAsia="Georgia" w:hAnsi="Arial" w:cs="Arial"/>
          <w:color w:val="000000"/>
        </w:rPr>
      </w:pPr>
      <w:bookmarkStart w:id="2" w:name="_Toc229013094"/>
      <w:r w:rsidRPr="00682742">
        <w:rPr>
          <w:rFonts w:ascii="Arial" w:hAnsi="Arial" w:cs="Arial"/>
        </w:rPr>
        <w:t>Organisation Application</w:t>
      </w:r>
      <w:bookmarkEnd w:id="2"/>
    </w:p>
    <w:p w14:paraId="39F0E80D" w14:textId="3390D589" w:rsidR="003100AD" w:rsidRPr="007C6869" w:rsidRDefault="001B014B" w:rsidP="00682742">
      <w:pPr>
        <w:spacing w:after="240" w:line="360" w:lineRule="auto"/>
        <w:jc w:val="both"/>
        <w:rPr>
          <w:rFonts w:ascii="Arial" w:hAnsi="Arial" w:cs="Arial"/>
        </w:rPr>
      </w:pPr>
      <w:r w:rsidRPr="007C6869">
        <w:rPr>
          <w:rFonts w:ascii="Arial" w:hAnsi="Arial" w:cs="Arial"/>
          <w:kern w:val="0"/>
        </w:rPr>
        <w:t>J</w:t>
      </w:r>
      <w:r w:rsidR="003100AD" w:rsidRPr="007C6869">
        <w:rPr>
          <w:rFonts w:ascii="Arial" w:hAnsi="Arial" w:cs="Arial"/>
          <w:kern w:val="0"/>
        </w:rPr>
        <w:t xml:space="preserve">PMorgan Chase &amp; Co. is recognised as one of the largest financial services organisations in the world, operating on a global scale (JPMorgan Chase &amp; Co., 2026a). According to its 2025 Annual Report, the company reported total assets of around 4.4 trillion dollars and employed approximately 318,512 people by the end of 2025, demonstrating its significant size and operational capacity (JPMorgan Chase &amp; Co., 2026a). The organisation operates in more than 65 countries and serves clients in over 160 countries across areas such as consumer and community banking, corporate and investment banking, commercial banking and asset management (JPMorgan Chase &amp; Co., 2026c). This extensive international presence increases the strategic importance of human resource management, as workforce decisions directly affect risk management, service delivery and regulatory compliance across different national contexts </w:t>
      </w:r>
      <w:r w:rsidR="00DD1405" w:rsidRPr="007C6869">
        <w:rPr>
          <w:rFonts w:ascii="Arial" w:hAnsi="Arial" w:cs="Arial"/>
        </w:rPr>
        <w:t xml:space="preserve">(Reiche, Tenzer and </w:t>
      </w:r>
      <w:proofErr w:type="spellStart"/>
      <w:r w:rsidR="00DD1405" w:rsidRPr="007C6869">
        <w:rPr>
          <w:rFonts w:ascii="Arial" w:hAnsi="Arial" w:cs="Arial"/>
        </w:rPr>
        <w:t>Harzing</w:t>
      </w:r>
      <w:proofErr w:type="spellEnd"/>
      <w:r w:rsidR="00DD1405" w:rsidRPr="007C6869">
        <w:rPr>
          <w:rFonts w:ascii="Arial" w:hAnsi="Arial" w:cs="Arial"/>
        </w:rPr>
        <w:t>, 2022)</w:t>
      </w:r>
      <w:r w:rsidR="003100AD" w:rsidRPr="007C6869">
        <w:rPr>
          <w:rFonts w:ascii="Arial" w:hAnsi="Arial" w:cs="Arial"/>
          <w:kern w:val="0"/>
        </w:rPr>
        <w:t xml:space="preserve">. </w:t>
      </w:r>
    </w:p>
    <w:p w14:paraId="64442793" w14:textId="4C8F3E07" w:rsidR="002102C0" w:rsidRPr="007C6869" w:rsidRDefault="003100AD" w:rsidP="00682742">
      <w:pPr>
        <w:autoSpaceDE w:val="0"/>
        <w:autoSpaceDN w:val="0"/>
        <w:adjustRightInd w:val="0"/>
        <w:spacing w:line="360" w:lineRule="auto"/>
        <w:jc w:val="both"/>
        <w:rPr>
          <w:rFonts w:ascii="Arial" w:hAnsi="Arial" w:cs="Arial"/>
          <w:kern w:val="0"/>
        </w:rPr>
      </w:pPr>
      <w:r w:rsidRPr="007C6869">
        <w:rPr>
          <w:rFonts w:ascii="Arial" w:hAnsi="Arial" w:cs="Arial"/>
          <w:kern w:val="0"/>
        </w:rPr>
        <w:lastRenderedPageBreak/>
        <w:t xml:space="preserve">The company’s disclosures indicate that long-term growth depends on its ability to attract, develop and retain skilled employees while maintaining an inclusive workplace (JPMorgan Chase &amp; Co., 2026a). It also emphasises ongoing investment in its workforce, systems and technology, with employee development viewed as essential for sustaining business performance (JPMorgan Chase &amp; Co., 2026b). In addition, its careers and skills strategy </w:t>
      </w:r>
      <w:proofErr w:type="gramStart"/>
      <w:r w:rsidRPr="007C6869">
        <w:rPr>
          <w:rFonts w:ascii="Arial" w:hAnsi="Arial" w:cs="Arial"/>
          <w:kern w:val="0"/>
        </w:rPr>
        <w:t>highlights</w:t>
      </w:r>
      <w:proofErr w:type="gramEnd"/>
      <w:r w:rsidRPr="007C6869">
        <w:rPr>
          <w:rFonts w:ascii="Arial" w:hAnsi="Arial" w:cs="Arial"/>
          <w:kern w:val="0"/>
        </w:rPr>
        <w:t xml:space="preserve"> the importance of talent pipelines, work-based learning and capability development, particularly in digital and analytical skills (JPMorgan Chase &amp; Co., 2023). Recruitment is supported by a strong employer brand and structured programmes such as the Human Resources Analyst Development Program (Bright Network, 2025). Training, development, performance management and employee relations are integrated into HR practices and are especially important in a highly regulated banking environment (LinkedIn, 2025).</w:t>
      </w:r>
    </w:p>
    <w:p w14:paraId="1B34936C" w14:textId="77777777" w:rsidR="002102C0" w:rsidRPr="00682742" w:rsidRDefault="002102C0" w:rsidP="00682742">
      <w:pPr>
        <w:pStyle w:val="Heading1"/>
        <w:spacing w:line="360" w:lineRule="auto"/>
        <w:jc w:val="both"/>
        <w:rPr>
          <w:rFonts w:ascii="Arial" w:hAnsi="Arial" w:cs="Arial"/>
        </w:rPr>
      </w:pPr>
      <w:bookmarkStart w:id="3" w:name="_Toc229013095"/>
      <w:r w:rsidRPr="00682742">
        <w:rPr>
          <w:rFonts w:ascii="Arial" w:hAnsi="Arial" w:cs="Arial"/>
        </w:rPr>
        <w:t>Application of Model</w:t>
      </w:r>
      <w:bookmarkEnd w:id="3"/>
    </w:p>
    <w:p w14:paraId="1053C689" w14:textId="3964D235" w:rsidR="006408D8" w:rsidRPr="00682742" w:rsidRDefault="006408D8" w:rsidP="00682742">
      <w:pPr>
        <w:pStyle w:val="Heading2"/>
        <w:spacing w:line="360" w:lineRule="auto"/>
        <w:jc w:val="both"/>
        <w:rPr>
          <w:rFonts w:ascii="Arial" w:hAnsi="Arial" w:cs="Arial"/>
        </w:rPr>
      </w:pPr>
      <w:bookmarkStart w:id="4" w:name="_Toc229013096"/>
      <w:r w:rsidRPr="00682742">
        <w:rPr>
          <w:rFonts w:ascii="Arial" w:hAnsi="Arial" w:cs="Arial"/>
        </w:rPr>
        <w:t xml:space="preserve">Internal </w:t>
      </w:r>
      <w:r w:rsidRPr="00682742">
        <w:rPr>
          <w:rFonts w:ascii="Arial" w:hAnsi="Arial" w:cs="Arial"/>
        </w:rPr>
        <w:t xml:space="preserve">– </w:t>
      </w:r>
      <w:r w:rsidRPr="00682742">
        <w:rPr>
          <w:rFonts w:ascii="Arial" w:hAnsi="Arial" w:cs="Arial"/>
        </w:rPr>
        <w:t>Strengths</w:t>
      </w:r>
      <w:bookmarkEnd w:id="4"/>
    </w:p>
    <w:p w14:paraId="5C2F6681" w14:textId="2CEB480A" w:rsidR="006408D8" w:rsidRPr="00682742" w:rsidRDefault="00562759" w:rsidP="00682742">
      <w:pPr>
        <w:spacing w:line="360" w:lineRule="auto"/>
        <w:jc w:val="both"/>
        <w:rPr>
          <w:rFonts w:ascii="Arial" w:hAnsi="Arial" w:cs="Arial"/>
        </w:rPr>
      </w:pPr>
      <w:r w:rsidRPr="00682742">
        <w:rPr>
          <w:rFonts w:ascii="Arial" w:hAnsi="Arial" w:cs="Arial"/>
        </w:rPr>
        <w:t>Applying SWOT to JPMorgan Chase shows how internal organisational capabilities and external pressures together influence the effectiveness of HR managers (Boxall and Purcell, 2022). One important internal strength is the company’s strong financial position and large scale of operations. According to the 2025 Annual Report, the firm achieved record net revenue and maintained solid capital levels, which allow continued investment in employees and technology (JPMorgan Chase &amp; Co., 2026a). This financial capacity enables HR to support recruitment systems, learning platforms, leadership development and employee wellbeing, thereby improving workforce planning and the use of data in HR decision making (Perkins and Robinson, 2025). In addition, the company’s global reputation increases its ability to attract highly skilled candidates in competitive labour markets (Schuler, Jackson and Tarique, 201</w:t>
      </w:r>
      <w:r w:rsidR="0050637E" w:rsidRPr="00682742">
        <w:rPr>
          <w:rFonts w:ascii="Arial" w:hAnsi="Arial" w:cs="Arial"/>
        </w:rPr>
        <w:t>6</w:t>
      </w:r>
      <w:r w:rsidRPr="00682742">
        <w:rPr>
          <w:rFonts w:ascii="Arial" w:hAnsi="Arial" w:cs="Arial"/>
        </w:rPr>
        <w:t xml:space="preserve">). Another key strength is its clear focus on employee development and inclusion, as the organisation emphasises capability building, structured career development and </w:t>
      </w:r>
      <w:proofErr w:type="gramStart"/>
      <w:r w:rsidRPr="00682742">
        <w:rPr>
          <w:rFonts w:ascii="Arial" w:hAnsi="Arial" w:cs="Arial"/>
        </w:rPr>
        <w:t>long term</w:t>
      </w:r>
      <w:proofErr w:type="gramEnd"/>
      <w:r w:rsidRPr="00682742">
        <w:rPr>
          <w:rFonts w:ascii="Arial" w:hAnsi="Arial" w:cs="Arial"/>
        </w:rPr>
        <w:t xml:space="preserve"> talent management as central to business success (JPMorgan Chase &amp; Co., 2023). This strategic approach strengthens the role and influence of HR within the organisation </w:t>
      </w:r>
      <w:r w:rsidR="005A6935" w:rsidRPr="00682742">
        <w:rPr>
          <w:rFonts w:ascii="Arial" w:hAnsi="Arial" w:cs="Arial"/>
        </w:rPr>
        <w:t>(</w:t>
      </w:r>
      <w:r w:rsidRPr="00682742">
        <w:rPr>
          <w:rFonts w:ascii="Arial" w:hAnsi="Arial" w:cs="Arial"/>
        </w:rPr>
        <w:t>Paauwe and Farndale, 2017).</w:t>
      </w:r>
    </w:p>
    <w:p w14:paraId="64FBB84E" w14:textId="2A27B3DA" w:rsidR="006408D8" w:rsidRPr="00682742" w:rsidRDefault="006408D8" w:rsidP="00682742">
      <w:pPr>
        <w:pStyle w:val="Heading2"/>
        <w:spacing w:line="360" w:lineRule="auto"/>
        <w:jc w:val="both"/>
        <w:rPr>
          <w:rFonts w:ascii="Arial" w:hAnsi="Arial" w:cs="Arial"/>
        </w:rPr>
      </w:pPr>
      <w:bookmarkStart w:id="5" w:name="_Toc229013097"/>
      <w:r w:rsidRPr="00682742">
        <w:rPr>
          <w:rFonts w:ascii="Arial" w:hAnsi="Arial" w:cs="Arial"/>
        </w:rPr>
        <w:lastRenderedPageBreak/>
        <w:t>Internal</w:t>
      </w:r>
      <w:r w:rsidRPr="00682742">
        <w:rPr>
          <w:rFonts w:ascii="Arial" w:hAnsi="Arial" w:cs="Arial"/>
        </w:rPr>
        <w:t xml:space="preserve"> – </w:t>
      </w:r>
      <w:r w:rsidRPr="00682742">
        <w:rPr>
          <w:rFonts w:ascii="Arial" w:hAnsi="Arial" w:cs="Arial"/>
        </w:rPr>
        <w:t>Weaknesses</w:t>
      </w:r>
      <w:bookmarkEnd w:id="5"/>
    </w:p>
    <w:p w14:paraId="315854E8" w14:textId="4D991ADF" w:rsidR="006408D8" w:rsidRPr="00682742" w:rsidRDefault="005A6935" w:rsidP="00682742">
      <w:pPr>
        <w:spacing w:line="360" w:lineRule="auto"/>
        <w:jc w:val="both"/>
        <w:rPr>
          <w:rFonts w:ascii="Arial" w:hAnsi="Arial" w:cs="Arial"/>
        </w:rPr>
      </w:pPr>
      <w:r w:rsidRPr="00682742">
        <w:rPr>
          <w:rFonts w:ascii="Arial" w:hAnsi="Arial" w:cs="Arial"/>
        </w:rPr>
        <w:t xml:space="preserve">Internal weaknesses and risks are also identified in the </w:t>
      </w:r>
      <w:proofErr w:type="spellStart"/>
      <w:r w:rsidRPr="00682742">
        <w:rPr>
          <w:rFonts w:ascii="Arial" w:hAnsi="Arial" w:cs="Arial"/>
        </w:rPr>
        <w:t>GlobalData</w:t>
      </w:r>
      <w:proofErr w:type="spellEnd"/>
      <w:r w:rsidRPr="00682742">
        <w:rPr>
          <w:rFonts w:ascii="Arial" w:hAnsi="Arial" w:cs="Arial"/>
        </w:rPr>
        <w:t xml:space="preserve"> SWOT report, particularly in relation to governance and control systems (</w:t>
      </w:r>
      <w:proofErr w:type="spellStart"/>
      <w:r w:rsidRPr="00682742">
        <w:rPr>
          <w:rFonts w:ascii="Arial" w:hAnsi="Arial" w:cs="Arial"/>
        </w:rPr>
        <w:t>GlobalData</w:t>
      </w:r>
      <w:proofErr w:type="spellEnd"/>
      <w:r w:rsidRPr="00682742">
        <w:rPr>
          <w:rFonts w:ascii="Arial" w:hAnsi="Arial" w:cs="Arial"/>
        </w:rPr>
        <w:t xml:space="preserve">, 2026). In November 2025, the German regulator BaFin imposed a significant fine on JPMorgan SE due to failures in </w:t>
      </w:r>
      <w:proofErr w:type="spellStart"/>
      <w:r w:rsidRPr="00682742">
        <w:rPr>
          <w:rFonts w:ascii="Arial" w:hAnsi="Arial" w:cs="Arial"/>
        </w:rPr>
        <w:t>anti money</w:t>
      </w:r>
      <w:proofErr w:type="spellEnd"/>
      <w:r w:rsidRPr="00682742">
        <w:rPr>
          <w:rFonts w:ascii="Arial" w:hAnsi="Arial" w:cs="Arial"/>
        </w:rPr>
        <w:t xml:space="preserve"> laundering reporting processes between 2021 and 2022, which reflects serious shortcomings in compliance practices (</w:t>
      </w:r>
      <w:proofErr w:type="spellStart"/>
      <w:r w:rsidRPr="00682742">
        <w:rPr>
          <w:rFonts w:ascii="Arial" w:hAnsi="Arial" w:cs="Arial"/>
        </w:rPr>
        <w:t>GlobalData</w:t>
      </w:r>
      <w:proofErr w:type="spellEnd"/>
      <w:r w:rsidRPr="00682742">
        <w:rPr>
          <w:rFonts w:ascii="Arial" w:hAnsi="Arial" w:cs="Arial"/>
        </w:rPr>
        <w:t>, 2026). Although this issue may initially appear to relate only to risk management, it also points to deeper problems in employee training, accountability and organisational culture, which are key areas of HR responsibility (Marchington et al., 2021). When employees lack proper training, when responsibilities are not clearly defined or when incentives discourage reporting concerns, HR managers may find it difficult to encourage behaviour that aligns with legal and ethical standards (Rees and Smith, 2021). Such internal weaknesses can damage the credibility of HR and shift its focus away from strategic talent development towards corrective actions such as retraining, cultural change initiatives and stricter performance and conduct management processes (Armstrong and Taylor, 2023).</w:t>
      </w:r>
    </w:p>
    <w:p w14:paraId="63B8A0FB" w14:textId="36A7BEF7" w:rsidR="006408D8" w:rsidRPr="00682742" w:rsidRDefault="006408D8" w:rsidP="00682742">
      <w:pPr>
        <w:pStyle w:val="Heading2"/>
        <w:spacing w:line="360" w:lineRule="auto"/>
        <w:jc w:val="both"/>
        <w:rPr>
          <w:rFonts w:ascii="Arial" w:hAnsi="Arial" w:cs="Arial"/>
        </w:rPr>
      </w:pPr>
      <w:bookmarkStart w:id="6" w:name="_Toc229013098"/>
      <w:r w:rsidRPr="00682742">
        <w:rPr>
          <w:rFonts w:ascii="Arial" w:hAnsi="Arial" w:cs="Arial"/>
        </w:rPr>
        <w:t xml:space="preserve">External </w:t>
      </w:r>
      <w:r w:rsidRPr="00682742">
        <w:rPr>
          <w:rFonts w:ascii="Arial" w:hAnsi="Arial" w:cs="Arial"/>
        </w:rPr>
        <w:t xml:space="preserve">– </w:t>
      </w:r>
      <w:r w:rsidRPr="00682742">
        <w:rPr>
          <w:rFonts w:ascii="Arial" w:hAnsi="Arial" w:cs="Arial"/>
        </w:rPr>
        <w:t>Threats</w:t>
      </w:r>
      <w:bookmarkEnd w:id="6"/>
    </w:p>
    <w:p w14:paraId="319C8776" w14:textId="011EF9CC" w:rsidR="006408D8" w:rsidRPr="00682742" w:rsidRDefault="00F908CF" w:rsidP="00682742">
      <w:pPr>
        <w:spacing w:after="240" w:line="360" w:lineRule="auto"/>
        <w:jc w:val="both"/>
        <w:rPr>
          <w:rFonts w:ascii="Arial" w:hAnsi="Arial" w:cs="Arial"/>
        </w:rPr>
      </w:pPr>
      <w:r w:rsidRPr="00682742">
        <w:rPr>
          <w:rFonts w:ascii="Arial" w:hAnsi="Arial" w:cs="Arial"/>
        </w:rPr>
        <w:t>The SWOT analysis also identifies operational and cyber risks as continuing external threats facing the organisation (</w:t>
      </w:r>
      <w:proofErr w:type="spellStart"/>
      <w:r w:rsidRPr="00682742">
        <w:rPr>
          <w:rFonts w:ascii="Arial" w:hAnsi="Arial" w:cs="Arial"/>
        </w:rPr>
        <w:t>GlobalData</w:t>
      </w:r>
      <w:proofErr w:type="spellEnd"/>
      <w:r w:rsidRPr="00682742">
        <w:rPr>
          <w:rFonts w:ascii="Arial" w:hAnsi="Arial" w:cs="Arial"/>
        </w:rPr>
        <w:t>, 2026). From an HR perspective, these risks increase the need for highly specialised employees in areas such as cybersecurity, compliance and risk analysis, while also placing greater emphasis on employee awareness, responsibility and resilience in managing potential threats (Schuler, Jackson and Tarique, 2016). As competition for these skills remains intense in global labour markets, HR effectiveness depends not only on recruitment but also on anticipating future skill requirements, developing attractive reward systems and supporting the continuous reskilling of existing employees (Noe, 2020). If these challenges are not addressed, organisations may face talent shortages alongside increased operational and reputational risks (</w:t>
      </w:r>
      <w:proofErr w:type="spellStart"/>
      <w:r w:rsidRPr="00682742">
        <w:rPr>
          <w:rFonts w:ascii="Arial" w:hAnsi="Arial" w:cs="Arial"/>
        </w:rPr>
        <w:t>GlobalData</w:t>
      </w:r>
      <w:proofErr w:type="spellEnd"/>
      <w:r w:rsidRPr="00682742">
        <w:rPr>
          <w:rFonts w:ascii="Arial" w:hAnsi="Arial" w:cs="Arial"/>
        </w:rPr>
        <w:t xml:space="preserve">, 2026). In addition, the regulatory environment represents a major external constraint, as JPMorgan’s Annual Report highlights the wide range of legal, market and conduct </w:t>
      </w:r>
      <w:proofErr w:type="gramStart"/>
      <w:r w:rsidRPr="00682742">
        <w:rPr>
          <w:rFonts w:ascii="Arial" w:hAnsi="Arial" w:cs="Arial"/>
        </w:rPr>
        <w:t>risks</w:t>
      </w:r>
      <w:proofErr w:type="gramEnd"/>
      <w:r w:rsidRPr="00682742">
        <w:rPr>
          <w:rFonts w:ascii="Arial" w:hAnsi="Arial" w:cs="Arial"/>
        </w:rPr>
        <w:t xml:space="preserve"> it must manage across different jurisdictions (</w:t>
      </w:r>
      <w:proofErr w:type="spellStart"/>
      <w:r w:rsidRPr="00682742">
        <w:rPr>
          <w:rFonts w:ascii="Arial" w:hAnsi="Arial" w:cs="Arial"/>
        </w:rPr>
        <w:t>BusinessWire</w:t>
      </w:r>
      <w:proofErr w:type="spellEnd"/>
      <w:r w:rsidRPr="00682742">
        <w:rPr>
          <w:rFonts w:ascii="Arial" w:hAnsi="Arial" w:cs="Arial"/>
        </w:rPr>
        <w:t xml:space="preserve">, 2026). This level of regulation can increase administrative demands and limit managerial flexibility, encouraging HR to </w:t>
      </w:r>
      <w:r w:rsidRPr="00682742">
        <w:rPr>
          <w:rFonts w:ascii="Arial" w:hAnsi="Arial" w:cs="Arial"/>
        </w:rPr>
        <w:lastRenderedPageBreak/>
        <w:t>focus more on compliance, formal procedures and policy enforcement, while also increasing the consequences of failures in recruitment, training and employee conduct (Marchington et al., 2021).</w:t>
      </w:r>
    </w:p>
    <w:p w14:paraId="0E1B25FB" w14:textId="26FABD74" w:rsidR="006408D8" w:rsidRPr="00682742" w:rsidRDefault="006408D8" w:rsidP="00682742">
      <w:pPr>
        <w:pStyle w:val="Heading2"/>
        <w:spacing w:line="360" w:lineRule="auto"/>
        <w:jc w:val="both"/>
        <w:rPr>
          <w:rFonts w:ascii="Arial" w:hAnsi="Arial" w:cs="Arial"/>
        </w:rPr>
      </w:pPr>
      <w:bookmarkStart w:id="7" w:name="_Toc229013099"/>
      <w:r w:rsidRPr="00682742">
        <w:rPr>
          <w:rFonts w:ascii="Arial" w:hAnsi="Arial" w:cs="Arial"/>
        </w:rPr>
        <w:t xml:space="preserve">External </w:t>
      </w:r>
      <w:r w:rsidRPr="00682742">
        <w:rPr>
          <w:rFonts w:ascii="Arial" w:hAnsi="Arial" w:cs="Arial"/>
        </w:rPr>
        <w:t xml:space="preserve">– </w:t>
      </w:r>
      <w:r w:rsidRPr="00682742">
        <w:rPr>
          <w:rFonts w:ascii="Arial" w:hAnsi="Arial" w:cs="Arial"/>
        </w:rPr>
        <w:t>Opportunities</w:t>
      </w:r>
      <w:bookmarkEnd w:id="7"/>
    </w:p>
    <w:p w14:paraId="660829B5" w14:textId="5A12C771" w:rsidR="006408D8" w:rsidRPr="00682742" w:rsidRDefault="00DD1405" w:rsidP="00682742">
      <w:pPr>
        <w:spacing w:after="240" w:line="360" w:lineRule="auto"/>
        <w:jc w:val="both"/>
        <w:rPr>
          <w:rFonts w:ascii="Arial" w:hAnsi="Arial" w:cs="Arial"/>
        </w:rPr>
      </w:pPr>
      <w:r w:rsidRPr="00682742">
        <w:rPr>
          <w:rFonts w:ascii="Arial" w:hAnsi="Arial" w:cs="Arial"/>
        </w:rPr>
        <w:t xml:space="preserve">External opportunities present a more complex picture for the organisation. </w:t>
      </w:r>
      <w:proofErr w:type="spellStart"/>
      <w:r w:rsidRPr="00682742">
        <w:rPr>
          <w:rFonts w:ascii="Arial" w:hAnsi="Arial" w:cs="Arial"/>
        </w:rPr>
        <w:t>GlobalData</w:t>
      </w:r>
      <w:proofErr w:type="spellEnd"/>
      <w:r w:rsidRPr="00682742">
        <w:rPr>
          <w:rFonts w:ascii="Arial" w:hAnsi="Arial" w:cs="Arial"/>
        </w:rPr>
        <w:t xml:space="preserve"> (2026) reports that JPMorgan Chase is expanding its global presence through new facilities in Hyderabad, a branch in Pune and a planned tower in London, which increases access to diverse talent pools and supports growth in major financial and technology centres (Reiche, Tenzer and </w:t>
      </w:r>
      <w:proofErr w:type="spellStart"/>
      <w:r w:rsidRPr="00682742">
        <w:rPr>
          <w:rFonts w:ascii="Arial" w:hAnsi="Arial" w:cs="Arial"/>
        </w:rPr>
        <w:t>Harzing</w:t>
      </w:r>
      <w:proofErr w:type="spellEnd"/>
      <w:r w:rsidRPr="00682742">
        <w:rPr>
          <w:rFonts w:ascii="Arial" w:hAnsi="Arial" w:cs="Arial"/>
        </w:rPr>
        <w:t>, 2022). For HR managers, such expansion creates opportunities to recruit from new labour markets, encourage internal mobility and develop shared service centres for HR activities (Tarique, Briscoe and Schuler, 2022). At the same time, expansion increases organisational complexity, as HR must coordinate cross border staffing, maintain consistent policies and culture, and adapt practices to local conditions (Paauwe and Farndale, 2017). Technological change also creates both opportunities and challenges, as increasing digital activity highlights the need for strong digital and analytical skills across the workforce (</w:t>
      </w:r>
      <w:proofErr w:type="spellStart"/>
      <w:r w:rsidRPr="00682742">
        <w:rPr>
          <w:rFonts w:ascii="Arial" w:hAnsi="Arial" w:cs="Arial"/>
        </w:rPr>
        <w:t>GlobalData</w:t>
      </w:r>
      <w:proofErr w:type="spellEnd"/>
      <w:r w:rsidRPr="00682742">
        <w:rPr>
          <w:rFonts w:ascii="Arial" w:hAnsi="Arial" w:cs="Arial"/>
        </w:rPr>
        <w:t>, 2026</w:t>
      </w:r>
      <w:r w:rsidR="00CA0881" w:rsidRPr="00682742">
        <w:rPr>
          <w:rFonts w:ascii="Arial" w:hAnsi="Arial" w:cs="Arial"/>
        </w:rPr>
        <w:t>)</w:t>
      </w:r>
      <w:r w:rsidRPr="00682742">
        <w:rPr>
          <w:rFonts w:ascii="Arial" w:hAnsi="Arial" w:cs="Arial"/>
        </w:rPr>
        <w:t>. This requires continuous learning systems and ongoing reskilling, with HR playing a key role in aligning recruitment, training and performance management with evolving work demands (Armstrong and Taylor, 2023).</w:t>
      </w:r>
    </w:p>
    <w:p w14:paraId="3A1B41AA" w14:textId="77777777" w:rsidR="006408D8" w:rsidRPr="00682742" w:rsidRDefault="002102C0" w:rsidP="00682742">
      <w:pPr>
        <w:autoSpaceDE w:val="0"/>
        <w:autoSpaceDN w:val="0"/>
        <w:adjustRightInd w:val="0"/>
        <w:spacing w:before="240" w:line="360" w:lineRule="auto"/>
        <w:jc w:val="both"/>
        <w:rPr>
          <w:rFonts w:ascii="Arial" w:hAnsi="Arial" w:cs="Arial"/>
          <w:kern w:val="0"/>
          <w:sz w:val="26"/>
          <w:szCs w:val="26"/>
        </w:rPr>
      </w:pPr>
      <w:bookmarkStart w:id="8" w:name="_Toc229013100"/>
      <w:r w:rsidRPr="00682742">
        <w:rPr>
          <w:rStyle w:val="Heading2Char"/>
          <w:rFonts w:ascii="Arial" w:hAnsi="Arial" w:cs="Arial"/>
        </w:rPr>
        <w:t>Country Differences</w:t>
      </w:r>
      <w:bookmarkEnd w:id="8"/>
    </w:p>
    <w:p w14:paraId="461EDB2C" w14:textId="435FE995" w:rsidR="002102C0" w:rsidRPr="007C6869" w:rsidRDefault="00CA0881" w:rsidP="00682742">
      <w:pPr>
        <w:autoSpaceDE w:val="0"/>
        <w:autoSpaceDN w:val="0"/>
        <w:adjustRightInd w:val="0"/>
        <w:spacing w:line="360" w:lineRule="auto"/>
        <w:jc w:val="both"/>
        <w:rPr>
          <w:rFonts w:ascii="Arial" w:hAnsi="Arial" w:cs="Arial"/>
          <w:kern w:val="0"/>
        </w:rPr>
      </w:pPr>
      <w:r w:rsidRPr="007C6869">
        <w:rPr>
          <w:rFonts w:ascii="Arial" w:hAnsi="Arial" w:cs="Arial"/>
          <w:kern w:val="0"/>
        </w:rPr>
        <w:t>D</w:t>
      </w:r>
      <w:r w:rsidRPr="007C6869">
        <w:rPr>
          <w:rFonts w:ascii="Arial" w:hAnsi="Arial" w:cs="Arial"/>
          <w:kern w:val="0"/>
        </w:rPr>
        <w:t xml:space="preserve">ifferences between countries mean that environmental factors do not affect HR managers in the same way across locations. In the United States, where a large share of JPMorgan’s workforce is employed, relatively flexible labour laws exist alongside strong protections against discrimination and strict sector regulation, which allows greater use of </w:t>
      </w:r>
      <w:r w:rsidRPr="007C6869">
        <w:rPr>
          <w:rFonts w:ascii="Arial" w:hAnsi="Arial" w:cs="Arial"/>
          <w:kern w:val="0"/>
        </w:rPr>
        <w:t>performance-based</w:t>
      </w:r>
      <w:r w:rsidRPr="007C6869">
        <w:rPr>
          <w:rFonts w:ascii="Arial" w:hAnsi="Arial" w:cs="Arial"/>
          <w:kern w:val="0"/>
        </w:rPr>
        <w:t xml:space="preserve"> systems but requires careful management of equal opportunity and reporting mechanisms (Reiche, Tenzer and </w:t>
      </w:r>
      <w:proofErr w:type="spellStart"/>
      <w:r w:rsidRPr="007C6869">
        <w:rPr>
          <w:rFonts w:ascii="Arial" w:hAnsi="Arial" w:cs="Arial"/>
          <w:kern w:val="0"/>
        </w:rPr>
        <w:t>Harzing</w:t>
      </w:r>
      <w:proofErr w:type="spellEnd"/>
      <w:r w:rsidRPr="007C6869">
        <w:rPr>
          <w:rFonts w:ascii="Arial" w:hAnsi="Arial" w:cs="Arial"/>
          <w:kern w:val="0"/>
        </w:rPr>
        <w:t>, 2022). In the United Kingdom and across parts of Europe, stricter employment protection and data privacy requirements such as the General Data Protection Regulation increase the need for formal and well documented HR procedures in areas including recruitment, monitoring and discipline (Rees and Smith, 2021). In Germany, the BaFin case shows how regulatory expectations can turn internal control weaknesses into major governance issues with reputational impact (</w:t>
      </w:r>
      <w:proofErr w:type="spellStart"/>
      <w:r w:rsidRPr="007C6869">
        <w:rPr>
          <w:rFonts w:ascii="Arial" w:hAnsi="Arial" w:cs="Arial"/>
          <w:kern w:val="0"/>
        </w:rPr>
        <w:t>GlobalData</w:t>
      </w:r>
      <w:proofErr w:type="spellEnd"/>
      <w:r w:rsidRPr="007C6869">
        <w:rPr>
          <w:rFonts w:ascii="Arial" w:hAnsi="Arial" w:cs="Arial"/>
          <w:kern w:val="0"/>
        </w:rPr>
        <w:t xml:space="preserve">, 2026). In India, expansion </w:t>
      </w:r>
      <w:r w:rsidRPr="007C6869">
        <w:rPr>
          <w:rFonts w:ascii="Arial" w:hAnsi="Arial" w:cs="Arial"/>
          <w:kern w:val="0"/>
        </w:rPr>
        <w:lastRenderedPageBreak/>
        <w:t>provides access to a large and skilled workforce, although HR practices must be adapted to local labour conditions and cultural expectations (Tarique, Briscoe and Schuler, 2022)</w:t>
      </w:r>
      <w:r w:rsidRPr="007C6869">
        <w:rPr>
          <w:rFonts w:ascii="Arial" w:hAnsi="Arial" w:cs="Arial"/>
          <w:kern w:val="0"/>
        </w:rPr>
        <w:t>.</w:t>
      </w:r>
    </w:p>
    <w:p w14:paraId="190BF0C4" w14:textId="77777777" w:rsidR="002102C0" w:rsidRPr="00682742" w:rsidRDefault="002102C0" w:rsidP="00682742">
      <w:pPr>
        <w:pStyle w:val="Heading1"/>
        <w:spacing w:line="360" w:lineRule="auto"/>
        <w:jc w:val="both"/>
        <w:rPr>
          <w:rFonts w:ascii="Arial" w:hAnsi="Arial" w:cs="Arial"/>
        </w:rPr>
      </w:pPr>
      <w:bookmarkStart w:id="9" w:name="_Toc229013101"/>
      <w:r w:rsidRPr="00682742">
        <w:rPr>
          <w:rFonts w:ascii="Arial" w:hAnsi="Arial" w:cs="Arial"/>
        </w:rPr>
        <w:t>Conclusion</w:t>
      </w:r>
      <w:bookmarkEnd w:id="9"/>
    </w:p>
    <w:p w14:paraId="00301326" w14:textId="0AE5EB53" w:rsidR="003100AD" w:rsidRPr="00682742" w:rsidRDefault="007C6869" w:rsidP="00682742">
      <w:pPr>
        <w:spacing w:line="360" w:lineRule="auto"/>
        <w:jc w:val="both"/>
        <w:rPr>
          <w:rFonts w:ascii="Arial" w:eastAsiaTheme="majorEastAsia" w:hAnsi="Arial" w:cs="Arial"/>
          <w:color w:val="0F4761" w:themeColor="accent1" w:themeShade="BF"/>
          <w:sz w:val="40"/>
          <w:szCs w:val="40"/>
        </w:rPr>
      </w:pPr>
      <w:r w:rsidRPr="007C6869">
        <w:rPr>
          <w:rFonts w:ascii="Arial" w:hAnsi="Arial" w:cs="Arial"/>
        </w:rPr>
        <w:t>This report shows that the effectiveness of HR managers is shaped by both internal and external environmental factors, while SWOT provides a useful but limited framework for analysing these influences. Key HR functions such as recruitment, training and development, performance management and employee relations remain essential because they support organisational capability, employee commitment and operational control. When applied critically, SWOT demonstrates that HR effectiveness depends on how well internal strengths, including financial resources, employer reputation and employee development capacity, are used to respond to opportunities and challenges, while internal weaknesses such as governance issues are properly addressed. The case of JPMorgan Chase highlights how its scale, financial strength and global reputation, combined with investment in people and technology, create strong conditions for HR effectiveness. At the same time, regulatory pressures, cyber and operational risks, competition for skilled employees and rapid technological change increase complexity and require continuous adjustment in HR practices. These challenges vary across regions, as differences in legal systems, labour markets and cultural expectations influence HR outcomes. Looking ahead, HR managers must combine workforce planning with ethical judgement, digital skills and awareness of institutional contexts to ensure effective and responsible people management.</w:t>
      </w:r>
      <w:r w:rsidR="003100AD" w:rsidRPr="00682742">
        <w:rPr>
          <w:rFonts w:ascii="Arial" w:hAnsi="Arial" w:cs="Arial"/>
        </w:rPr>
        <w:br w:type="page"/>
      </w:r>
    </w:p>
    <w:p w14:paraId="18A7AB5B" w14:textId="73DCFF03" w:rsidR="003100AD" w:rsidRPr="00682742" w:rsidRDefault="003100AD" w:rsidP="00682742">
      <w:pPr>
        <w:pStyle w:val="Heading1"/>
        <w:spacing w:line="360" w:lineRule="auto"/>
        <w:jc w:val="both"/>
        <w:rPr>
          <w:rFonts w:ascii="Arial" w:hAnsi="Arial" w:cs="Arial"/>
        </w:rPr>
      </w:pPr>
      <w:bookmarkStart w:id="10" w:name="_Toc229013102"/>
      <w:r w:rsidRPr="00682742">
        <w:rPr>
          <w:rFonts w:ascii="Arial" w:hAnsi="Arial" w:cs="Arial"/>
        </w:rPr>
        <w:lastRenderedPageBreak/>
        <w:t>References</w:t>
      </w:r>
      <w:bookmarkEnd w:id="10"/>
    </w:p>
    <w:p w14:paraId="0A4E6248"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r w:rsidRPr="00682742">
        <w:rPr>
          <w:rFonts w:ascii="Arial" w:hAnsi="Arial" w:cs="Arial"/>
          <w:kern w:val="0"/>
        </w:rPr>
        <w:t xml:space="preserve">Armstrong, M. and Taylor, S. (2023) </w:t>
      </w:r>
      <w:r w:rsidRPr="00682742">
        <w:rPr>
          <w:rFonts w:ascii="Arial" w:hAnsi="Arial" w:cs="Arial"/>
          <w:i/>
          <w:iCs/>
          <w:kern w:val="0"/>
        </w:rPr>
        <w:t>Armstrong’s Handbook of Human Resource Management Practice</w:t>
      </w:r>
      <w:r w:rsidRPr="00682742">
        <w:rPr>
          <w:rFonts w:ascii="Arial" w:hAnsi="Arial" w:cs="Arial"/>
          <w:kern w:val="0"/>
        </w:rPr>
        <w:t xml:space="preserve">. 16th </w:t>
      </w:r>
      <w:proofErr w:type="spellStart"/>
      <w:r w:rsidRPr="00682742">
        <w:rPr>
          <w:rFonts w:ascii="Arial" w:hAnsi="Arial" w:cs="Arial"/>
          <w:kern w:val="0"/>
        </w:rPr>
        <w:t>edn</w:t>
      </w:r>
      <w:proofErr w:type="spellEnd"/>
      <w:r w:rsidRPr="00682742">
        <w:rPr>
          <w:rFonts w:ascii="Arial" w:hAnsi="Arial" w:cs="Arial"/>
          <w:kern w:val="0"/>
        </w:rPr>
        <w:t xml:space="preserve">. Kogan Page. Available at: https://www.perlego.com/book/3804727 (Accessed: </w:t>
      </w:r>
      <w:r w:rsidRPr="00682742">
        <w:rPr>
          <w:rFonts w:ascii="Arial" w:hAnsi="Arial" w:cs="Arial"/>
          <w:kern w:val="0"/>
        </w:rPr>
        <w:t>1</w:t>
      </w:r>
      <w:r w:rsidRPr="00682742">
        <w:rPr>
          <w:rFonts w:ascii="Arial" w:hAnsi="Arial" w:cs="Arial"/>
          <w:kern w:val="0"/>
        </w:rPr>
        <w:t xml:space="preserve"> May 2026).</w:t>
      </w:r>
    </w:p>
    <w:p w14:paraId="7C1D2125"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r w:rsidRPr="00682742">
        <w:rPr>
          <w:rFonts w:ascii="Arial" w:hAnsi="Arial" w:cs="Arial"/>
          <w:kern w:val="0"/>
        </w:rPr>
        <w:t xml:space="preserve">Boxall, P. and Purcell, J. (2022) </w:t>
      </w:r>
      <w:r w:rsidRPr="00682742">
        <w:rPr>
          <w:rFonts w:ascii="Arial" w:hAnsi="Arial" w:cs="Arial"/>
          <w:i/>
          <w:iCs/>
          <w:kern w:val="0"/>
        </w:rPr>
        <w:t>Strategy and Human Resource Management</w:t>
      </w:r>
      <w:r w:rsidRPr="00682742">
        <w:rPr>
          <w:rFonts w:ascii="Arial" w:hAnsi="Arial" w:cs="Arial"/>
          <w:kern w:val="0"/>
        </w:rPr>
        <w:t xml:space="preserve">. 5th </w:t>
      </w:r>
      <w:proofErr w:type="spellStart"/>
      <w:r w:rsidRPr="00682742">
        <w:rPr>
          <w:rFonts w:ascii="Arial" w:hAnsi="Arial" w:cs="Arial"/>
          <w:kern w:val="0"/>
        </w:rPr>
        <w:t>edn</w:t>
      </w:r>
      <w:proofErr w:type="spellEnd"/>
      <w:r w:rsidRPr="00682742">
        <w:rPr>
          <w:rFonts w:ascii="Arial" w:hAnsi="Arial" w:cs="Arial"/>
          <w:kern w:val="0"/>
        </w:rPr>
        <w:t xml:space="preserve">. Bloomsbury Academic. Available at: https://www.perlego.com/book/3895000 (Accessed: </w:t>
      </w:r>
      <w:r w:rsidRPr="00682742">
        <w:rPr>
          <w:rFonts w:ascii="Arial" w:hAnsi="Arial" w:cs="Arial"/>
          <w:kern w:val="0"/>
        </w:rPr>
        <w:t>1</w:t>
      </w:r>
      <w:r w:rsidRPr="00682742">
        <w:rPr>
          <w:rFonts w:ascii="Arial" w:hAnsi="Arial" w:cs="Arial"/>
          <w:kern w:val="0"/>
        </w:rPr>
        <w:t xml:space="preserve"> May 2026).</w:t>
      </w:r>
    </w:p>
    <w:p w14:paraId="048D831A"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r w:rsidRPr="00682742">
        <w:rPr>
          <w:rFonts w:ascii="Arial" w:hAnsi="Arial" w:cs="Arial"/>
          <w:kern w:val="0"/>
        </w:rPr>
        <w:t xml:space="preserve">Bright Network (2025) </w:t>
      </w:r>
      <w:r w:rsidRPr="00682742">
        <w:rPr>
          <w:rFonts w:ascii="Arial" w:hAnsi="Arial" w:cs="Arial"/>
          <w:i/>
          <w:iCs/>
          <w:kern w:val="0"/>
        </w:rPr>
        <w:t>Corporate Functions (Human Resources Analyst Development Programme) Full-Time Analyst Programme 2026</w:t>
      </w:r>
      <w:r w:rsidRPr="00682742">
        <w:rPr>
          <w:rFonts w:ascii="Arial" w:hAnsi="Arial" w:cs="Arial"/>
          <w:kern w:val="0"/>
        </w:rPr>
        <w:t xml:space="preserve">. Available at: </w:t>
      </w:r>
      <w:hyperlink r:id="rId7" w:history="1">
        <w:r w:rsidRPr="00682742">
          <w:rPr>
            <w:rFonts w:ascii="Arial" w:hAnsi="Arial" w:cs="Arial"/>
            <w:kern w:val="0"/>
          </w:rPr>
          <w:t>https://www.brightnetwork.co.uk/graduate-jobs/jp-morgan/corporate-functions-human-resources-analyst-development-programme-ft-analyst-programme-london-2026</w:t>
        </w:r>
      </w:hyperlink>
      <w:r w:rsidRPr="00682742">
        <w:rPr>
          <w:rFonts w:ascii="Arial" w:hAnsi="Arial" w:cs="Arial"/>
          <w:kern w:val="0"/>
        </w:rPr>
        <w:t xml:space="preserve"> </w:t>
      </w:r>
      <w:r w:rsidRPr="00682742">
        <w:rPr>
          <w:rFonts w:ascii="Arial" w:hAnsi="Arial" w:cs="Arial"/>
          <w:kern w:val="0"/>
        </w:rPr>
        <w:t>(Accessed: 1 May 2026).</w:t>
      </w:r>
    </w:p>
    <w:p w14:paraId="43EB3D42"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proofErr w:type="spellStart"/>
      <w:r w:rsidRPr="00682742">
        <w:rPr>
          <w:rFonts w:ascii="Arial" w:hAnsi="Arial" w:cs="Arial"/>
          <w:kern w:val="0"/>
        </w:rPr>
        <w:t>BusinessWire</w:t>
      </w:r>
      <w:proofErr w:type="spellEnd"/>
      <w:r w:rsidRPr="00682742">
        <w:rPr>
          <w:rFonts w:ascii="Arial" w:hAnsi="Arial" w:cs="Arial"/>
          <w:kern w:val="0"/>
        </w:rPr>
        <w:t xml:space="preserve"> (2026) </w:t>
      </w:r>
      <w:proofErr w:type="spellStart"/>
      <w:r w:rsidRPr="00682742">
        <w:rPr>
          <w:rFonts w:ascii="Arial" w:hAnsi="Arial" w:cs="Arial"/>
          <w:i/>
          <w:iCs/>
          <w:kern w:val="0"/>
        </w:rPr>
        <w:t>JPMorganChase</w:t>
      </w:r>
      <w:proofErr w:type="spellEnd"/>
      <w:r w:rsidRPr="00682742">
        <w:rPr>
          <w:rFonts w:ascii="Arial" w:hAnsi="Arial" w:cs="Arial"/>
          <w:i/>
          <w:iCs/>
          <w:kern w:val="0"/>
        </w:rPr>
        <w:t xml:space="preserve"> publishes 2025 Annual Report, including Chairman &amp; CEO Letter to Shareholders</w:t>
      </w:r>
      <w:r w:rsidRPr="00682742">
        <w:rPr>
          <w:rFonts w:ascii="Arial" w:hAnsi="Arial" w:cs="Arial"/>
          <w:kern w:val="0"/>
        </w:rPr>
        <w:t>. Available at: https://www.businesswire.com/news/home/20260405270223/en/JPMorganChase-Publishes-2025-Annual-Report-Including-Chairman-CEO-Letter-to-Shareholders (Accessed: 1 May 2026).</w:t>
      </w:r>
    </w:p>
    <w:p w14:paraId="3299EB63" w14:textId="7323660E" w:rsidR="00682742" w:rsidRPr="00682742" w:rsidRDefault="00682742" w:rsidP="00682742">
      <w:pPr>
        <w:pStyle w:val="ListParagraph"/>
        <w:numPr>
          <w:ilvl w:val="0"/>
          <w:numId w:val="2"/>
        </w:numPr>
        <w:spacing w:before="240" w:after="240" w:line="360" w:lineRule="auto"/>
        <w:jc w:val="both"/>
        <w:rPr>
          <w:rFonts w:ascii="Arial" w:hAnsi="Arial" w:cs="Arial"/>
        </w:rPr>
      </w:pPr>
      <w:proofErr w:type="spellStart"/>
      <w:r w:rsidRPr="00682742">
        <w:rPr>
          <w:rFonts w:ascii="Arial" w:hAnsi="Arial" w:cs="Arial"/>
        </w:rPr>
        <w:t>GlobalData</w:t>
      </w:r>
      <w:proofErr w:type="spellEnd"/>
      <w:r w:rsidRPr="00682742">
        <w:rPr>
          <w:rFonts w:ascii="Arial" w:hAnsi="Arial" w:cs="Arial"/>
        </w:rPr>
        <w:t xml:space="preserve"> (2026) </w:t>
      </w:r>
      <w:r w:rsidRPr="00682742">
        <w:rPr>
          <w:rFonts w:ascii="Arial" w:hAnsi="Arial" w:cs="Arial"/>
          <w:i/>
          <w:iCs/>
        </w:rPr>
        <w:t>JPMorgan Chase &amp; Co SWOT</w:t>
      </w:r>
      <w:r w:rsidRPr="00682742">
        <w:rPr>
          <w:rFonts w:ascii="Arial" w:hAnsi="Arial" w:cs="Arial"/>
        </w:rPr>
        <w:t xml:space="preserve">. Available at: </w:t>
      </w:r>
      <w:hyperlink r:id="rId8" w:history="1">
        <w:r w:rsidRPr="00670357">
          <w:rPr>
            <w:rStyle w:val="Hyperlink"/>
            <w:rFonts w:ascii="Arial" w:hAnsi="Arial" w:cs="Arial"/>
          </w:rPr>
          <w:t>https://explorer-globaldata-com.uwtsd.idm.oclc.org/Company/Swot/jpmorgan-chase-co?swot</w:t>
        </w:r>
      </w:hyperlink>
      <w:r>
        <w:rPr>
          <w:rFonts w:ascii="Arial" w:hAnsi="Arial" w:cs="Arial"/>
        </w:rPr>
        <w:t xml:space="preserve">. </w:t>
      </w:r>
      <w:r w:rsidRPr="00682742">
        <w:rPr>
          <w:rFonts w:ascii="Arial" w:hAnsi="Arial" w:cs="Arial"/>
        </w:rPr>
        <w:t xml:space="preserve">(Accessed: </w:t>
      </w:r>
      <w:r w:rsidRPr="00682742">
        <w:rPr>
          <w:rFonts w:ascii="Arial" w:hAnsi="Arial" w:cs="Arial"/>
        </w:rPr>
        <w:t>1</w:t>
      </w:r>
      <w:r w:rsidRPr="00682742">
        <w:rPr>
          <w:rFonts w:ascii="Arial" w:hAnsi="Arial" w:cs="Arial"/>
        </w:rPr>
        <w:t xml:space="preserve"> May 2026).</w:t>
      </w:r>
    </w:p>
    <w:p w14:paraId="55E809B5"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r w:rsidRPr="00682742">
        <w:rPr>
          <w:rFonts w:ascii="Arial" w:hAnsi="Arial" w:cs="Arial"/>
          <w:kern w:val="0"/>
        </w:rPr>
        <w:t xml:space="preserve">JPMorgan Chase &amp; Co. (2023) </w:t>
      </w:r>
      <w:r w:rsidRPr="00682742">
        <w:rPr>
          <w:rFonts w:ascii="Arial" w:hAnsi="Arial" w:cs="Arial"/>
          <w:i/>
          <w:iCs/>
          <w:kern w:val="0"/>
        </w:rPr>
        <w:t>2023 Human Capital and Diversity, Equity and Inclusion Report</w:t>
      </w:r>
      <w:r w:rsidRPr="00682742">
        <w:rPr>
          <w:rFonts w:ascii="Arial" w:hAnsi="Arial" w:cs="Arial"/>
          <w:kern w:val="0"/>
        </w:rPr>
        <w:t xml:space="preserve">. Available at: </w:t>
      </w:r>
      <w:hyperlink r:id="rId9" w:history="1">
        <w:r w:rsidRPr="00682742">
          <w:rPr>
            <w:rFonts w:ascii="Arial" w:hAnsi="Arial" w:cs="Arial"/>
            <w:kern w:val="0"/>
            <w:u w:val="single"/>
          </w:rPr>
          <w:t>https://www.jpmorgan.com/content/dam/jpmc/jpmorgan-chase-and-co/documents/jpmc-esg-report-2023-dei-human-capital-feature.pdf</w:t>
        </w:r>
      </w:hyperlink>
      <w:r w:rsidRPr="00682742">
        <w:rPr>
          <w:rFonts w:ascii="Arial" w:hAnsi="Arial" w:cs="Arial"/>
          <w:kern w:val="0"/>
          <w:u w:val="single"/>
        </w:rPr>
        <w:t xml:space="preserve"> </w:t>
      </w:r>
      <w:r w:rsidRPr="00682742">
        <w:rPr>
          <w:rFonts w:ascii="Arial" w:hAnsi="Arial" w:cs="Arial"/>
          <w:kern w:val="0"/>
        </w:rPr>
        <w:t>(Accessed: 1 May 2026).</w:t>
      </w:r>
    </w:p>
    <w:p w14:paraId="41C94F4D"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r w:rsidRPr="00682742">
        <w:rPr>
          <w:rFonts w:ascii="Arial" w:hAnsi="Arial" w:cs="Arial"/>
          <w:kern w:val="0"/>
        </w:rPr>
        <w:t xml:space="preserve">JPMorgan Chase &amp; Co. (2026a) </w:t>
      </w:r>
      <w:r w:rsidRPr="00682742">
        <w:rPr>
          <w:rFonts w:ascii="Arial" w:hAnsi="Arial" w:cs="Arial"/>
          <w:i/>
          <w:iCs/>
          <w:kern w:val="0"/>
        </w:rPr>
        <w:t>Annual Report 2025</w:t>
      </w:r>
      <w:r w:rsidRPr="00682742">
        <w:rPr>
          <w:rFonts w:ascii="Arial" w:hAnsi="Arial" w:cs="Arial"/>
          <w:kern w:val="0"/>
        </w:rPr>
        <w:t xml:space="preserve">. Available at: </w:t>
      </w:r>
      <w:hyperlink r:id="rId10" w:history="1">
        <w:r w:rsidRPr="00682742">
          <w:rPr>
            <w:rFonts w:ascii="Arial" w:hAnsi="Arial" w:cs="Arial"/>
            <w:kern w:val="0"/>
            <w:u w:val="single"/>
          </w:rPr>
          <w:t>https://www.jpmorganchase.com/content/dam/jpmc/jpmorgan-chase-and-co/investor-relations/documents/annualreport-2025.pdf</w:t>
        </w:r>
      </w:hyperlink>
      <w:r w:rsidRPr="00682742">
        <w:rPr>
          <w:rFonts w:ascii="Arial" w:hAnsi="Arial" w:cs="Arial"/>
          <w:kern w:val="0"/>
        </w:rPr>
        <w:t xml:space="preserve"> (Accessed: 1 May 2026).</w:t>
      </w:r>
    </w:p>
    <w:p w14:paraId="62F4220D"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r w:rsidRPr="00682742">
        <w:rPr>
          <w:rFonts w:ascii="Arial" w:hAnsi="Arial" w:cs="Arial"/>
          <w:kern w:val="0"/>
        </w:rPr>
        <w:t xml:space="preserve">JPMorgan Chase &amp; Co. (2026b) </w:t>
      </w:r>
      <w:r w:rsidRPr="00682742">
        <w:rPr>
          <w:rFonts w:ascii="Arial" w:hAnsi="Arial" w:cs="Arial"/>
          <w:i/>
          <w:iCs/>
          <w:kern w:val="0"/>
        </w:rPr>
        <w:t>Careers and Skills</w:t>
      </w:r>
      <w:r w:rsidRPr="00682742">
        <w:rPr>
          <w:rFonts w:ascii="Arial" w:hAnsi="Arial" w:cs="Arial"/>
          <w:kern w:val="0"/>
        </w:rPr>
        <w:t xml:space="preserve">. Available at: </w:t>
      </w:r>
      <w:hyperlink r:id="rId11" w:history="1">
        <w:r w:rsidRPr="00682742">
          <w:rPr>
            <w:rFonts w:ascii="Arial" w:hAnsi="Arial" w:cs="Arial"/>
            <w:kern w:val="0"/>
            <w:u w:val="single"/>
          </w:rPr>
          <w:t>https://www.jpmorganchase.com/impact/careers-and-skills</w:t>
        </w:r>
      </w:hyperlink>
      <w:r w:rsidRPr="00682742">
        <w:rPr>
          <w:rFonts w:ascii="Arial" w:hAnsi="Arial" w:cs="Arial"/>
          <w:kern w:val="0"/>
        </w:rPr>
        <w:t xml:space="preserve"> (Accessed: 1 May 2026).</w:t>
      </w:r>
    </w:p>
    <w:p w14:paraId="4ACB27D6" w14:textId="77777777" w:rsidR="00682742" w:rsidRPr="00682742" w:rsidRDefault="00682742" w:rsidP="00682742">
      <w:pPr>
        <w:pStyle w:val="ListParagraph"/>
        <w:numPr>
          <w:ilvl w:val="0"/>
          <w:numId w:val="2"/>
        </w:numPr>
        <w:autoSpaceDE w:val="0"/>
        <w:autoSpaceDN w:val="0"/>
        <w:adjustRightInd w:val="0"/>
        <w:spacing w:before="240" w:after="240" w:line="360" w:lineRule="auto"/>
        <w:jc w:val="both"/>
        <w:rPr>
          <w:rFonts w:ascii="Arial" w:hAnsi="Arial" w:cs="Arial"/>
          <w:kern w:val="0"/>
        </w:rPr>
      </w:pPr>
      <w:r w:rsidRPr="00682742">
        <w:rPr>
          <w:rFonts w:ascii="Arial" w:hAnsi="Arial" w:cs="Arial"/>
          <w:kern w:val="0"/>
        </w:rPr>
        <w:lastRenderedPageBreak/>
        <w:t xml:space="preserve">JPMorgan Chase &amp; Co. (2026c) </w:t>
      </w:r>
      <w:r w:rsidRPr="00682742">
        <w:rPr>
          <w:rFonts w:ascii="Arial" w:hAnsi="Arial" w:cs="Arial"/>
          <w:i/>
          <w:iCs/>
          <w:kern w:val="0"/>
        </w:rPr>
        <w:t>Jamie Dimon’s Letter to Shareholders, Annual Report 2025</w:t>
      </w:r>
      <w:r w:rsidRPr="00682742">
        <w:rPr>
          <w:rFonts w:ascii="Arial" w:hAnsi="Arial" w:cs="Arial"/>
          <w:kern w:val="0"/>
        </w:rPr>
        <w:t xml:space="preserve">. Available at: </w:t>
      </w:r>
      <w:hyperlink r:id="rId12" w:history="1">
        <w:r w:rsidRPr="00682742">
          <w:rPr>
            <w:rFonts w:ascii="Arial" w:hAnsi="Arial" w:cs="Arial"/>
            <w:kern w:val="0"/>
          </w:rPr>
          <w:t>https://www.jpmorganchase.com/ir/annual-report/2025/ar-ceo-letters</w:t>
        </w:r>
      </w:hyperlink>
      <w:r w:rsidRPr="00682742">
        <w:rPr>
          <w:rFonts w:ascii="Arial" w:hAnsi="Arial" w:cs="Arial"/>
          <w:kern w:val="0"/>
        </w:rPr>
        <w:t xml:space="preserve"> (Accessed: 1 May 2026).</w:t>
      </w:r>
    </w:p>
    <w:p w14:paraId="6EC411C9" w14:textId="77777777" w:rsidR="00682742" w:rsidRPr="00682742" w:rsidRDefault="00682742" w:rsidP="00682742">
      <w:pPr>
        <w:pStyle w:val="ListParagraph"/>
        <w:numPr>
          <w:ilvl w:val="0"/>
          <w:numId w:val="2"/>
        </w:numPr>
        <w:spacing w:before="240" w:after="240" w:line="360" w:lineRule="auto"/>
        <w:jc w:val="both"/>
        <w:rPr>
          <w:rFonts w:ascii="Arial" w:hAnsi="Arial" w:cs="Arial"/>
          <w:kern w:val="0"/>
        </w:rPr>
      </w:pPr>
      <w:r w:rsidRPr="00682742">
        <w:rPr>
          <w:rFonts w:ascii="Arial" w:hAnsi="Arial" w:cs="Arial"/>
          <w:kern w:val="0"/>
        </w:rPr>
        <w:t xml:space="preserve">LinkedIn (2025) </w:t>
      </w:r>
      <w:r w:rsidRPr="00682742">
        <w:rPr>
          <w:rFonts w:ascii="Arial" w:hAnsi="Arial" w:cs="Arial"/>
          <w:i/>
          <w:iCs/>
          <w:kern w:val="0"/>
        </w:rPr>
        <w:t>2026 Human Resources Analyst Development Program</w:t>
      </w:r>
      <w:r w:rsidRPr="00682742">
        <w:rPr>
          <w:rFonts w:ascii="Arial" w:hAnsi="Arial" w:cs="Arial"/>
          <w:kern w:val="0"/>
        </w:rPr>
        <w:t xml:space="preserve">. Available at: </w:t>
      </w:r>
      <w:hyperlink r:id="rId13" w:history="1">
        <w:r w:rsidRPr="00682742">
          <w:rPr>
            <w:rFonts w:ascii="Arial" w:hAnsi="Arial" w:cs="Arial"/>
            <w:kern w:val="0"/>
          </w:rPr>
          <w:t xml:space="preserve"> </w:t>
        </w:r>
      </w:hyperlink>
      <w:hyperlink r:id="rId14" w:history="1">
        <w:r w:rsidRPr="00682742">
          <w:rPr>
            <w:rFonts w:ascii="Arial" w:hAnsi="Arial" w:cs="Arial"/>
            <w:kern w:val="0"/>
          </w:rPr>
          <w:t>https://www.linkedin.com/jobs/view/2026-human-resources-analyst-development-program-full-time-analyst-at-jpmorganchase-4297597806/</w:t>
        </w:r>
      </w:hyperlink>
      <w:r w:rsidRPr="00682742">
        <w:rPr>
          <w:rFonts w:ascii="Arial" w:hAnsi="Arial" w:cs="Arial"/>
          <w:kern w:val="0"/>
        </w:rPr>
        <w:t xml:space="preserve">. </w:t>
      </w:r>
      <w:r w:rsidRPr="00682742">
        <w:rPr>
          <w:rFonts w:ascii="Arial" w:hAnsi="Arial" w:cs="Arial"/>
          <w:kern w:val="0"/>
        </w:rPr>
        <w:t>(Accessed: 1 May 2026).</w:t>
      </w:r>
    </w:p>
    <w:p w14:paraId="72EB2C13" w14:textId="77777777"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 xml:space="preserve">Marchington, M. et al. (2025) </w:t>
      </w:r>
      <w:r w:rsidRPr="00682742">
        <w:rPr>
          <w:rFonts w:ascii="Arial" w:hAnsi="Arial" w:cs="Arial"/>
          <w:i/>
          <w:iCs/>
        </w:rPr>
        <w:t>Human Resource Management at Work</w:t>
      </w:r>
      <w:r w:rsidRPr="00682742">
        <w:rPr>
          <w:rFonts w:ascii="Arial" w:hAnsi="Arial" w:cs="Arial"/>
        </w:rPr>
        <w:t xml:space="preserve">. 8th </w:t>
      </w:r>
      <w:proofErr w:type="spellStart"/>
      <w:r w:rsidRPr="00682742">
        <w:rPr>
          <w:rFonts w:ascii="Arial" w:hAnsi="Arial" w:cs="Arial"/>
        </w:rPr>
        <w:t>edn</w:t>
      </w:r>
      <w:proofErr w:type="spellEnd"/>
      <w:r w:rsidRPr="00682742">
        <w:rPr>
          <w:rFonts w:ascii="Arial" w:hAnsi="Arial" w:cs="Arial"/>
        </w:rPr>
        <w:t xml:space="preserve">. CIPD - Kogan Page. Available at: https://www.perlego.com/book/4903675 (Accessed: </w:t>
      </w:r>
      <w:r w:rsidRPr="00682742">
        <w:rPr>
          <w:rFonts w:ascii="Arial" w:hAnsi="Arial" w:cs="Arial"/>
        </w:rPr>
        <w:t>1</w:t>
      </w:r>
      <w:r w:rsidRPr="00682742">
        <w:rPr>
          <w:rFonts w:ascii="Arial" w:hAnsi="Arial" w:cs="Arial"/>
        </w:rPr>
        <w:t xml:space="preserve"> May 2026).</w:t>
      </w:r>
    </w:p>
    <w:p w14:paraId="4306CFDC" w14:textId="77777777"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 xml:space="preserve">Noe, R.A. (2020) </w:t>
      </w:r>
      <w:r w:rsidRPr="00682742">
        <w:rPr>
          <w:rFonts w:ascii="Arial" w:hAnsi="Arial" w:cs="Arial"/>
          <w:i/>
          <w:iCs/>
        </w:rPr>
        <w:t>Employee Training and Development.</w:t>
      </w:r>
      <w:r w:rsidRPr="00682742">
        <w:rPr>
          <w:rFonts w:ascii="Arial" w:hAnsi="Arial" w:cs="Arial"/>
        </w:rPr>
        <w:t xml:space="preserve"> 8th </w:t>
      </w:r>
      <w:proofErr w:type="spellStart"/>
      <w:r w:rsidRPr="00682742">
        <w:rPr>
          <w:rFonts w:ascii="Arial" w:hAnsi="Arial" w:cs="Arial"/>
        </w:rPr>
        <w:t>edn</w:t>
      </w:r>
      <w:proofErr w:type="spellEnd"/>
      <w:r w:rsidRPr="00682742">
        <w:rPr>
          <w:rFonts w:ascii="Arial" w:hAnsi="Arial" w:cs="Arial"/>
        </w:rPr>
        <w:t>. New York: McGraw-Hill.</w:t>
      </w:r>
    </w:p>
    <w:p w14:paraId="7761079B" w14:textId="77777777"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 xml:space="preserve">Paauwe, J. and Farndale, E. (2017) </w:t>
      </w:r>
      <w:r w:rsidRPr="00682742">
        <w:rPr>
          <w:rFonts w:ascii="Arial" w:hAnsi="Arial" w:cs="Arial"/>
          <w:i/>
          <w:iCs/>
        </w:rPr>
        <w:t>Strategy, HRM and Performance: A Contextual Approach.</w:t>
      </w:r>
      <w:r w:rsidRPr="00682742">
        <w:rPr>
          <w:rFonts w:ascii="Arial" w:hAnsi="Arial" w:cs="Arial"/>
        </w:rPr>
        <w:t xml:space="preserve"> 2nd </w:t>
      </w:r>
      <w:proofErr w:type="spellStart"/>
      <w:r w:rsidRPr="00682742">
        <w:rPr>
          <w:rFonts w:ascii="Arial" w:hAnsi="Arial" w:cs="Arial"/>
        </w:rPr>
        <w:t>edn</w:t>
      </w:r>
      <w:proofErr w:type="spellEnd"/>
      <w:r w:rsidRPr="00682742">
        <w:rPr>
          <w:rFonts w:ascii="Arial" w:hAnsi="Arial" w:cs="Arial"/>
        </w:rPr>
        <w:t>. Oxford: Oxford University Press.</w:t>
      </w:r>
    </w:p>
    <w:p w14:paraId="606DB998" w14:textId="77777777"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 xml:space="preserve">  Perkins, G. and Robinson, S. (2025) </w:t>
      </w:r>
      <w:r w:rsidRPr="00682742">
        <w:rPr>
          <w:rFonts w:ascii="Arial" w:hAnsi="Arial" w:cs="Arial"/>
          <w:i/>
          <w:iCs/>
        </w:rPr>
        <w:t>Strategic Learning and Development</w:t>
      </w:r>
      <w:r w:rsidRPr="00682742">
        <w:rPr>
          <w:rFonts w:ascii="Arial" w:hAnsi="Arial" w:cs="Arial"/>
        </w:rPr>
        <w:t xml:space="preserve"> Practice. 1st </w:t>
      </w:r>
      <w:proofErr w:type="spellStart"/>
      <w:r w:rsidRPr="00682742">
        <w:rPr>
          <w:rFonts w:ascii="Arial" w:hAnsi="Arial" w:cs="Arial"/>
        </w:rPr>
        <w:t>edn</w:t>
      </w:r>
      <w:proofErr w:type="spellEnd"/>
      <w:r w:rsidRPr="00682742">
        <w:rPr>
          <w:rFonts w:ascii="Arial" w:hAnsi="Arial" w:cs="Arial"/>
        </w:rPr>
        <w:t xml:space="preserve">. CIPD - Kogan Page. Available at: https://www.perlego.com/book/4765824 (Accessed: </w:t>
      </w:r>
      <w:r w:rsidRPr="00682742">
        <w:rPr>
          <w:rFonts w:ascii="Arial" w:hAnsi="Arial" w:cs="Arial"/>
        </w:rPr>
        <w:t>1</w:t>
      </w:r>
      <w:r w:rsidRPr="00682742">
        <w:rPr>
          <w:rFonts w:ascii="Arial" w:hAnsi="Arial" w:cs="Arial"/>
        </w:rPr>
        <w:t xml:space="preserve"> May 2026).</w:t>
      </w:r>
    </w:p>
    <w:p w14:paraId="6C75F8D2" w14:textId="77777777"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 xml:space="preserve">Rees, G. and Smith, P. (2021) </w:t>
      </w:r>
      <w:r w:rsidRPr="00682742">
        <w:rPr>
          <w:rFonts w:ascii="Arial" w:hAnsi="Arial" w:cs="Arial"/>
          <w:i/>
          <w:iCs/>
        </w:rPr>
        <w:t>Strategic Human Resource Management: An International Perspective</w:t>
      </w:r>
      <w:r w:rsidRPr="00682742">
        <w:rPr>
          <w:rFonts w:ascii="Arial" w:hAnsi="Arial" w:cs="Arial"/>
        </w:rPr>
        <w:t xml:space="preserve">. 3rd </w:t>
      </w:r>
      <w:proofErr w:type="spellStart"/>
      <w:r w:rsidRPr="00682742">
        <w:rPr>
          <w:rFonts w:ascii="Arial" w:hAnsi="Arial" w:cs="Arial"/>
        </w:rPr>
        <w:t>edn</w:t>
      </w:r>
      <w:proofErr w:type="spellEnd"/>
      <w:r w:rsidRPr="00682742">
        <w:rPr>
          <w:rFonts w:ascii="Arial" w:hAnsi="Arial" w:cs="Arial"/>
        </w:rPr>
        <w:t>. London: Sage. Available at: https://www.perlego.com/book/3013464 (Accessed: 1 May 2026).</w:t>
      </w:r>
    </w:p>
    <w:p w14:paraId="04D7931E" w14:textId="77777777"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Reiche, S., Tenzer, H.</w:t>
      </w:r>
      <w:r w:rsidRPr="00682742">
        <w:rPr>
          <w:rFonts w:ascii="Arial" w:hAnsi="Arial" w:cs="Arial"/>
        </w:rPr>
        <w:t xml:space="preserve"> and </w:t>
      </w:r>
      <w:proofErr w:type="spellStart"/>
      <w:r w:rsidRPr="00682742">
        <w:rPr>
          <w:rFonts w:ascii="Arial" w:hAnsi="Arial" w:cs="Arial"/>
        </w:rPr>
        <w:t>Harzing</w:t>
      </w:r>
      <w:proofErr w:type="spellEnd"/>
      <w:r w:rsidRPr="00682742">
        <w:rPr>
          <w:rFonts w:ascii="Arial" w:hAnsi="Arial" w:cs="Arial"/>
        </w:rPr>
        <w:t>, A.-W.</w:t>
      </w:r>
      <w:r w:rsidRPr="00682742">
        <w:rPr>
          <w:rFonts w:ascii="Arial" w:hAnsi="Arial" w:cs="Arial"/>
        </w:rPr>
        <w:t xml:space="preserve"> </w:t>
      </w:r>
      <w:r w:rsidRPr="00682742">
        <w:rPr>
          <w:rFonts w:ascii="Arial" w:hAnsi="Arial" w:cs="Arial"/>
        </w:rPr>
        <w:t xml:space="preserve">(2022) </w:t>
      </w:r>
      <w:r w:rsidRPr="00682742">
        <w:rPr>
          <w:rFonts w:ascii="Arial" w:hAnsi="Arial" w:cs="Arial"/>
          <w:i/>
          <w:iCs/>
        </w:rPr>
        <w:t>International Human Resource Management</w:t>
      </w:r>
      <w:r w:rsidRPr="00682742">
        <w:rPr>
          <w:rFonts w:ascii="Arial" w:hAnsi="Arial" w:cs="Arial"/>
        </w:rPr>
        <w:t xml:space="preserve"> (6th ed.). SAGE Publications Ltd. Retrieved 7 May 2026 from https://www.perlego.com/book/3814307 (Original work published 29 October 2022)</w:t>
      </w:r>
    </w:p>
    <w:p w14:paraId="5D339EEB" w14:textId="659D2BA1"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 xml:space="preserve">Schuler, R.S., Jackson, S.E. and Tarique, I. (2016) ‘Managing global talent challenges with global talent management initiatives’, in Reiche, S., Stahl, G., Mendenhall, M. and </w:t>
      </w:r>
      <w:proofErr w:type="spellStart"/>
      <w:r w:rsidRPr="00682742">
        <w:rPr>
          <w:rFonts w:ascii="Arial" w:hAnsi="Arial" w:cs="Arial"/>
        </w:rPr>
        <w:t>Oddou</w:t>
      </w:r>
      <w:proofErr w:type="spellEnd"/>
      <w:r w:rsidRPr="00682742">
        <w:rPr>
          <w:rFonts w:ascii="Arial" w:hAnsi="Arial" w:cs="Arial"/>
        </w:rPr>
        <w:t xml:space="preserve">, G. (eds.) </w:t>
      </w:r>
      <w:r w:rsidRPr="00682742">
        <w:rPr>
          <w:rFonts w:ascii="Arial" w:hAnsi="Arial" w:cs="Arial"/>
          <w:i/>
          <w:iCs/>
        </w:rPr>
        <w:t>Readings and Cases in International Human Resource Management.</w:t>
      </w:r>
      <w:r w:rsidRPr="00682742">
        <w:rPr>
          <w:rFonts w:ascii="Arial" w:hAnsi="Arial" w:cs="Arial"/>
        </w:rPr>
        <w:t xml:space="preserve"> 6th </w:t>
      </w:r>
      <w:proofErr w:type="spellStart"/>
      <w:r w:rsidRPr="00682742">
        <w:rPr>
          <w:rFonts w:ascii="Arial" w:hAnsi="Arial" w:cs="Arial"/>
        </w:rPr>
        <w:t>edn</w:t>
      </w:r>
      <w:proofErr w:type="spellEnd"/>
      <w:r w:rsidRPr="00682742">
        <w:rPr>
          <w:rFonts w:ascii="Arial" w:hAnsi="Arial" w:cs="Arial"/>
        </w:rPr>
        <w:t xml:space="preserve">. Abingdon: Taylor and Francis, pp. 24–43. Available at: https://www.perlego.com/book/1560829 (Accessed: </w:t>
      </w:r>
      <w:r>
        <w:rPr>
          <w:rFonts w:ascii="Arial" w:hAnsi="Arial" w:cs="Arial"/>
        </w:rPr>
        <w:t>1</w:t>
      </w:r>
      <w:r w:rsidRPr="00682742">
        <w:rPr>
          <w:rFonts w:ascii="Arial" w:hAnsi="Arial" w:cs="Arial"/>
        </w:rPr>
        <w:t xml:space="preserve"> May 2026).</w:t>
      </w:r>
    </w:p>
    <w:p w14:paraId="20647FFB" w14:textId="77777777" w:rsidR="00682742" w:rsidRPr="00682742" w:rsidRDefault="00682742" w:rsidP="00682742">
      <w:pPr>
        <w:pStyle w:val="ListParagraph"/>
        <w:numPr>
          <w:ilvl w:val="0"/>
          <w:numId w:val="2"/>
        </w:numPr>
        <w:spacing w:before="240" w:after="240" w:line="360" w:lineRule="auto"/>
        <w:jc w:val="both"/>
        <w:rPr>
          <w:rFonts w:ascii="Arial" w:hAnsi="Arial" w:cs="Arial"/>
        </w:rPr>
      </w:pPr>
      <w:r w:rsidRPr="00682742">
        <w:rPr>
          <w:rFonts w:ascii="Arial" w:hAnsi="Arial" w:cs="Arial"/>
        </w:rPr>
        <w:t xml:space="preserve">Tarique, I., Briscoe, D. and Schuler, R. (2022) </w:t>
      </w:r>
      <w:r w:rsidRPr="00682742">
        <w:rPr>
          <w:rFonts w:ascii="Arial" w:hAnsi="Arial" w:cs="Arial"/>
          <w:i/>
          <w:iCs/>
        </w:rPr>
        <w:t>International Human Resource Management</w:t>
      </w:r>
      <w:r w:rsidRPr="00682742">
        <w:rPr>
          <w:rFonts w:ascii="Arial" w:hAnsi="Arial" w:cs="Arial"/>
        </w:rPr>
        <w:t xml:space="preserve">. Routledge. Available at: https://www.perlego.com/book/3146834 (Accessed: </w:t>
      </w:r>
      <w:r w:rsidRPr="00682742">
        <w:rPr>
          <w:rFonts w:ascii="Arial" w:hAnsi="Arial" w:cs="Arial"/>
        </w:rPr>
        <w:t>1</w:t>
      </w:r>
      <w:r w:rsidRPr="00682742">
        <w:rPr>
          <w:rFonts w:ascii="Arial" w:hAnsi="Arial" w:cs="Arial"/>
        </w:rPr>
        <w:t xml:space="preserve"> May 2026).</w:t>
      </w:r>
    </w:p>
    <w:p w14:paraId="37718161" w14:textId="77777777" w:rsidR="00C825A6" w:rsidRPr="00682742" w:rsidRDefault="00C825A6" w:rsidP="00682742">
      <w:pPr>
        <w:spacing w:after="240" w:line="360" w:lineRule="auto"/>
        <w:jc w:val="both"/>
        <w:rPr>
          <w:rFonts w:ascii="Arial" w:hAnsi="Arial" w:cs="Arial"/>
          <w:sz w:val="22"/>
          <w:szCs w:val="22"/>
        </w:rPr>
      </w:pPr>
    </w:p>
    <w:sectPr w:rsidR="00C825A6" w:rsidRPr="00682742" w:rsidSect="002102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96AB4"/>
    <w:multiLevelType w:val="hybridMultilevel"/>
    <w:tmpl w:val="6CFA3A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52BCB"/>
    <w:multiLevelType w:val="hybridMultilevel"/>
    <w:tmpl w:val="9364C6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9717713">
    <w:abstractNumId w:val="1"/>
  </w:num>
  <w:num w:numId="2" w16cid:durableId="937715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2C0"/>
    <w:rsid w:val="000E0FD7"/>
    <w:rsid w:val="00187CE5"/>
    <w:rsid w:val="001B014B"/>
    <w:rsid w:val="001B0D0C"/>
    <w:rsid w:val="001D6F67"/>
    <w:rsid w:val="002102C0"/>
    <w:rsid w:val="003100AD"/>
    <w:rsid w:val="00336AFD"/>
    <w:rsid w:val="00386F8E"/>
    <w:rsid w:val="0050637E"/>
    <w:rsid w:val="00562759"/>
    <w:rsid w:val="00590FE9"/>
    <w:rsid w:val="005A6935"/>
    <w:rsid w:val="006408D8"/>
    <w:rsid w:val="00682742"/>
    <w:rsid w:val="00683F9B"/>
    <w:rsid w:val="006A511E"/>
    <w:rsid w:val="007B10D2"/>
    <w:rsid w:val="007C6869"/>
    <w:rsid w:val="00827208"/>
    <w:rsid w:val="008609F5"/>
    <w:rsid w:val="00966805"/>
    <w:rsid w:val="009A0DF1"/>
    <w:rsid w:val="00A33DA3"/>
    <w:rsid w:val="00AE7115"/>
    <w:rsid w:val="00C825A6"/>
    <w:rsid w:val="00CA0881"/>
    <w:rsid w:val="00D166A6"/>
    <w:rsid w:val="00D768F3"/>
    <w:rsid w:val="00DD1405"/>
    <w:rsid w:val="00E03F8B"/>
    <w:rsid w:val="00F005A3"/>
    <w:rsid w:val="00F90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E13A7"/>
  <w15:chartTrackingRefBased/>
  <w15:docId w15:val="{6FD8A0F8-1048-4445-A1E4-63855804D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2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02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2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2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2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2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2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2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2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2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02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2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2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2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2C0"/>
    <w:rPr>
      <w:rFonts w:eastAsiaTheme="majorEastAsia" w:cstheme="majorBidi"/>
      <w:color w:val="272727" w:themeColor="text1" w:themeTint="D8"/>
    </w:rPr>
  </w:style>
  <w:style w:type="paragraph" w:styleId="Title">
    <w:name w:val="Title"/>
    <w:basedOn w:val="Normal"/>
    <w:next w:val="Normal"/>
    <w:link w:val="TitleChar"/>
    <w:uiPriority w:val="10"/>
    <w:qFormat/>
    <w:rsid w:val="002102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2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2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02C0"/>
    <w:rPr>
      <w:i/>
      <w:iCs/>
      <w:color w:val="404040" w:themeColor="text1" w:themeTint="BF"/>
    </w:rPr>
  </w:style>
  <w:style w:type="paragraph" w:styleId="ListParagraph">
    <w:name w:val="List Paragraph"/>
    <w:basedOn w:val="Normal"/>
    <w:uiPriority w:val="34"/>
    <w:qFormat/>
    <w:rsid w:val="002102C0"/>
    <w:pPr>
      <w:ind w:left="720"/>
      <w:contextualSpacing/>
    </w:pPr>
  </w:style>
  <w:style w:type="character" w:styleId="IntenseEmphasis">
    <w:name w:val="Intense Emphasis"/>
    <w:basedOn w:val="DefaultParagraphFont"/>
    <w:uiPriority w:val="21"/>
    <w:qFormat/>
    <w:rsid w:val="002102C0"/>
    <w:rPr>
      <w:i/>
      <w:iCs/>
      <w:color w:val="0F4761" w:themeColor="accent1" w:themeShade="BF"/>
    </w:rPr>
  </w:style>
  <w:style w:type="paragraph" w:styleId="IntenseQuote">
    <w:name w:val="Intense Quote"/>
    <w:basedOn w:val="Normal"/>
    <w:next w:val="Normal"/>
    <w:link w:val="IntenseQuoteChar"/>
    <w:uiPriority w:val="30"/>
    <w:qFormat/>
    <w:rsid w:val="002102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2C0"/>
    <w:rPr>
      <w:i/>
      <w:iCs/>
      <w:color w:val="0F4761" w:themeColor="accent1" w:themeShade="BF"/>
    </w:rPr>
  </w:style>
  <w:style w:type="character" w:styleId="IntenseReference">
    <w:name w:val="Intense Reference"/>
    <w:basedOn w:val="DefaultParagraphFont"/>
    <w:uiPriority w:val="32"/>
    <w:qFormat/>
    <w:rsid w:val="002102C0"/>
    <w:rPr>
      <w:b/>
      <w:bCs/>
      <w:smallCaps/>
      <w:color w:val="0F4761" w:themeColor="accent1" w:themeShade="BF"/>
      <w:spacing w:val="5"/>
    </w:rPr>
  </w:style>
  <w:style w:type="paragraph" w:styleId="NoSpacing">
    <w:name w:val="No Spacing"/>
    <w:link w:val="NoSpacingChar"/>
    <w:uiPriority w:val="1"/>
    <w:qFormat/>
    <w:rsid w:val="002102C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102C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102C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102C0"/>
    <w:pPr>
      <w:spacing w:before="120"/>
    </w:pPr>
    <w:rPr>
      <w:b/>
      <w:bCs/>
      <w:i/>
      <w:iCs/>
    </w:rPr>
  </w:style>
  <w:style w:type="paragraph" w:styleId="TOC2">
    <w:name w:val="toc 2"/>
    <w:basedOn w:val="Normal"/>
    <w:next w:val="Normal"/>
    <w:autoRedefine/>
    <w:uiPriority w:val="39"/>
    <w:unhideWhenUsed/>
    <w:rsid w:val="002102C0"/>
    <w:pPr>
      <w:spacing w:before="120"/>
      <w:ind w:left="240"/>
    </w:pPr>
    <w:rPr>
      <w:b/>
      <w:bCs/>
      <w:sz w:val="22"/>
      <w:szCs w:val="22"/>
    </w:rPr>
  </w:style>
  <w:style w:type="paragraph" w:styleId="TOC3">
    <w:name w:val="toc 3"/>
    <w:basedOn w:val="Normal"/>
    <w:next w:val="Normal"/>
    <w:autoRedefine/>
    <w:uiPriority w:val="39"/>
    <w:semiHidden/>
    <w:unhideWhenUsed/>
    <w:rsid w:val="002102C0"/>
    <w:pPr>
      <w:ind w:left="480"/>
    </w:pPr>
    <w:rPr>
      <w:sz w:val="20"/>
      <w:szCs w:val="20"/>
    </w:rPr>
  </w:style>
  <w:style w:type="paragraph" w:styleId="TOC4">
    <w:name w:val="toc 4"/>
    <w:basedOn w:val="Normal"/>
    <w:next w:val="Normal"/>
    <w:autoRedefine/>
    <w:uiPriority w:val="39"/>
    <w:semiHidden/>
    <w:unhideWhenUsed/>
    <w:rsid w:val="002102C0"/>
    <w:pPr>
      <w:ind w:left="720"/>
    </w:pPr>
    <w:rPr>
      <w:sz w:val="20"/>
      <w:szCs w:val="20"/>
    </w:rPr>
  </w:style>
  <w:style w:type="paragraph" w:styleId="TOC5">
    <w:name w:val="toc 5"/>
    <w:basedOn w:val="Normal"/>
    <w:next w:val="Normal"/>
    <w:autoRedefine/>
    <w:uiPriority w:val="39"/>
    <w:semiHidden/>
    <w:unhideWhenUsed/>
    <w:rsid w:val="002102C0"/>
    <w:pPr>
      <w:ind w:left="960"/>
    </w:pPr>
    <w:rPr>
      <w:sz w:val="20"/>
      <w:szCs w:val="20"/>
    </w:rPr>
  </w:style>
  <w:style w:type="paragraph" w:styleId="TOC6">
    <w:name w:val="toc 6"/>
    <w:basedOn w:val="Normal"/>
    <w:next w:val="Normal"/>
    <w:autoRedefine/>
    <w:uiPriority w:val="39"/>
    <w:semiHidden/>
    <w:unhideWhenUsed/>
    <w:rsid w:val="002102C0"/>
    <w:pPr>
      <w:ind w:left="1200"/>
    </w:pPr>
    <w:rPr>
      <w:sz w:val="20"/>
      <w:szCs w:val="20"/>
    </w:rPr>
  </w:style>
  <w:style w:type="paragraph" w:styleId="TOC7">
    <w:name w:val="toc 7"/>
    <w:basedOn w:val="Normal"/>
    <w:next w:val="Normal"/>
    <w:autoRedefine/>
    <w:uiPriority w:val="39"/>
    <w:semiHidden/>
    <w:unhideWhenUsed/>
    <w:rsid w:val="002102C0"/>
    <w:pPr>
      <w:ind w:left="1440"/>
    </w:pPr>
    <w:rPr>
      <w:sz w:val="20"/>
      <w:szCs w:val="20"/>
    </w:rPr>
  </w:style>
  <w:style w:type="paragraph" w:styleId="TOC8">
    <w:name w:val="toc 8"/>
    <w:basedOn w:val="Normal"/>
    <w:next w:val="Normal"/>
    <w:autoRedefine/>
    <w:uiPriority w:val="39"/>
    <w:semiHidden/>
    <w:unhideWhenUsed/>
    <w:rsid w:val="002102C0"/>
    <w:pPr>
      <w:ind w:left="1680"/>
    </w:pPr>
    <w:rPr>
      <w:sz w:val="20"/>
      <w:szCs w:val="20"/>
    </w:rPr>
  </w:style>
  <w:style w:type="paragraph" w:styleId="TOC9">
    <w:name w:val="toc 9"/>
    <w:basedOn w:val="Normal"/>
    <w:next w:val="Normal"/>
    <w:autoRedefine/>
    <w:uiPriority w:val="39"/>
    <w:semiHidden/>
    <w:unhideWhenUsed/>
    <w:rsid w:val="002102C0"/>
    <w:pPr>
      <w:ind w:left="1920"/>
    </w:pPr>
    <w:rPr>
      <w:sz w:val="20"/>
      <w:szCs w:val="20"/>
    </w:rPr>
  </w:style>
  <w:style w:type="character" w:styleId="Hyperlink">
    <w:name w:val="Hyperlink"/>
    <w:basedOn w:val="DefaultParagraphFont"/>
    <w:uiPriority w:val="99"/>
    <w:unhideWhenUsed/>
    <w:rsid w:val="002102C0"/>
    <w:rPr>
      <w:color w:val="467886" w:themeColor="hyperlink"/>
      <w:u w:val="single"/>
    </w:rPr>
  </w:style>
  <w:style w:type="character" w:styleId="UnresolvedMention">
    <w:name w:val="Unresolved Mention"/>
    <w:basedOn w:val="DefaultParagraphFont"/>
    <w:uiPriority w:val="99"/>
    <w:semiHidden/>
    <w:unhideWhenUsed/>
    <w:rsid w:val="00682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r-globaldata-com.uwtsd.idm.oclc.org/Company/Swot/jpmorgan-chase-co?swot" TargetMode="External"/><Relationship Id="rId13" Type="http://schemas.openxmlformats.org/officeDocument/2006/relationships/hyperlink" Target="https://www.linkedin.com/jobs/view/2026-human-resources-analyst-development-program-full-time-analyst-at-jpmorganchase-4297597806/" TargetMode="External"/><Relationship Id="rId3" Type="http://schemas.openxmlformats.org/officeDocument/2006/relationships/styles" Target="styles.xml"/><Relationship Id="rId7" Type="http://schemas.openxmlformats.org/officeDocument/2006/relationships/hyperlink" Target="https://www.brightnetwork.co.uk/graduate-jobs/jp-morgan/corporate-functions-human-resources-analyst-development-programme-ft-analyst-programme-london-2026" TargetMode="External"/><Relationship Id="rId12" Type="http://schemas.openxmlformats.org/officeDocument/2006/relationships/hyperlink" Target="https://www.jpmorganchase.com/ir/annual-report/2025/ar-ceo-lette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jpmorganchase.com/impact/careers-and-skil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jpmorganchase.com/content/dam/jpmc/jpmorgan-chase-and-co/investor-relations/documents/annualreport-2025.pdf" TargetMode="External"/><Relationship Id="rId4" Type="http://schemas.openxmlformats.org/officeDocument/2006/relationships/settings" Target="settings.xml"/><Relationship Id="rId9" Type="http://schemas.openxmlformats.org/officeDocument/2006/relationships/hyperlink" Target="https://www.jpmorgan.com/content/dam/jpmc/jpmorgan-chase-and-co/documents/jpmc-esg-report-2023-dei-human-capital-feature.pdf" TargetMode="External"/><Relationship Id="rId14" Type="http://schemas.openxmlformats.org/officeDocument/2006/relationships/hyperlink" Target="https://www.linkedin.com/jobs/view/2026-human-resources-analyst-development-program-full-time-analyst-at-jpmorganchase-42975978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65B73-1068-1942-A5F9-116DB9DF6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12</Pages>
  <Words>3283</Words>
  <Characters>18717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 Individual Report</dc:title>
  <dc:subject>PRINCIPLES OF HUMAN RESOURCE MANAGEMENT (LCBB5012)</dc:subject>
  <dc:creator>Adelina Gabriela Stanciu (2245080)</dc:creator>
  <cp:keywords/>
  <dc:description/>
  <cp:lastModifiedBy>Adelina Gabriela Stanciu (2245080)</cp:lastModifiedBy>
  <cp:revision>4</cp:revision>
  <dcterms:created xsi:type="dcterms:W3CDTF">2026-05-04T22:31:00Z</dcterms:created>
  <dcterms:modified xsi:type="dcterms:W3CDTF">2026-05-07T01:41:00Z</dcterms:modified>
</cp:coreProperties>
</file>