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rPr>
          <w:rFonts w:ascii="Times New Roman" w:hAnsi="Times New Roman"/>
          <w:sz w:val="24"/>
          <w:szCs w:val="24"/>
          <w:lang w:val="en-US"/>
        </w:rPr>
      </w:pPr>
    </w:p>
    <w:p>
      <w:pPr>
        <w:pStyle w:val="Body"/>
        <w:spacing w:line="360" w:lineRule="auto"/>
        <w:jc w:val="both"/>
        <w:rPr>
          <w:rFonts w:ascii="Times New Roman" w:hAnsi="Times New Roman"/>
          <w:sz w:val="24"/>
          <w:szCs w:val="24"/>
          <w:lang w:val="en-US"/>
        </w:rPr>
      </w:pPr>
    </w:p>
    <w:p>
      <w:pPr>
        <w:pStyle w:val="Body"/>
        <w:spacing w:line="360" w:lineRule="auto"/>
        <w:jc w:val="both"/>
        <w:rPr>
          <w:rFonts w:ascii="Times New Roman" w:hAnsi="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r>
        <w:rPr>
          <w:rFonts w:ascii="Times New Roman" w:hAnsi="Times New Roman"/>
          <w:rtl w:val="0"/>
          <w:lang w:val="en-US"/>
        </w:rPr>
        <w:t xml:space="preserve">                            </w:t>
      </w:r>
      <w:r>
        <w:rPr>
          <w:rFonts w:ascii="Times New Roman" w:hAnsi="Times New Roman"/>
          <w:sz w:val="24"/>
          <w:szCs w:val="24"/>
          <w:rtl w:val="0"/>
          <w:lang w:val="en-US"/>
        </w:rPr>
        <w:t>CHILDREN, YOUNG PEOPLE AND F</w:t>
      </w:r>
      <w:r>
        <w:rPr>
          <w:rFonts w:ascii="Times New Roman" w:hAnsi="Times New Roman"/>
          <w:sz w:val="24"/>
          <w:szCs w:val="24"/>
          <w:rtl w:val="0"/>
          <w:lang w:val="en-US"/>
        </w:rPr>
        <w:t>AMILY</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rPr>
      </w:pPr>
      <w:r>
        <w:rPr>
          <w:rFonts w:ascii="Times New Roman" w:hAnsi="Times New Roman"/>
          <w:rtl w:val="0"/>
          <w:lang w:val="en-US"/>
        </w:rPr>
        <w:t>Name: Ileana Ioana Chis</w:t>
      </w:r>
    </w:p>
    <w:p>
      <w:pPr>
        <w:pStyle w:val="Body"/>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Student ID: 1818454</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Module Name: </w:t>
      </w:r>
      <w:r>
        <w:rPr>
          <w:rFonts w:ascii="Times New Roman" w:hAnsi="Times New Roman"/>
          <w:sz w:val="24"/>
          <w:szCs w:val="24"/>
          <w:rtl w:val="0"/>
          <w:lang w:val="en-US"/>
        </w:rPr>
        <w:t>CHILDREN, YOUNG PEOPLE AND FAMILY</w:t>
      </w:r>
    </w:p>
    <w:p>
      <w:pPr>
        <w:pStyle w:val="Body"/>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Module Code: (BMHP5004_LON)</w:t>
      </w:r>
    </w:p>
    <w:p>
      <w:pPr>
        <w:pStyle w:val="Body"/>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Name: Bianca Sanfilippo</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TOC 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TOC Heading"/>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Contents</w:t>
      </w:r>
    </w:p>
    <w:p>
      <w:pPr>
        <w:pStyle w:val="Body"/>
        <w:spacing w:line="360" w:lineRule="auto"/>
        <w:jc w:val="both"/>
      </w:pPr>
      <w:r>
        <w:rPr>
          <w:rFonts w:ascii="Times New Roman" w:cs="Times New Roman" w:hAnsi="Times New Roman" w:eastAsia="Times New Roman"/>
          <w:sz w:val="24"/>
          <w:szCs w:val="24"/>
        </w:rPr>
        <w:fldChar w:fldCharType="begin" w:fldLock="0"/>
      </w:r>
      <w:r>
        <w:rPr>
          <w:rFonts w:ascii="Times New Roman" w:cs="Times New Roman" w:hAnsi="Times New Roman" w:eastAsia="Times New Roman"/>
          <w:sz w:val="24"/>
          <w:szCs w:val="24"/>
        </w:rPr>
        <w:instrText xml:space="preserve"> TOC \o 1-1 </w:instrText>
      </w:r>
      <w:r>
        <w:rPr>
          <w:rFonts w:ascii="Times New Roman" w:cs="Times New Roman" w:hAnsi="Times New Roman" w:eastAsia="Times New Roman"/>
          <w:sz w:val="24"/>
          <w:szCs w:val="24"/>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Case study</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Analysis</w:t>
        <w:tab/>
      </w:r>
      <w:r>
        <w:rPr/>
        <w:fldChar w:fldCharType="begin" w:fldLock="0"/>
      </w:r>
      <w:r>
        <w:instrText xml:space="preserve"> PAGEREF _Toc2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Critical evaluation</w:t>
        <w:tab/>
      </w:r>
      <w:r>
        <w:rPr/>
        <w:fldChar w:fldCharType="begin" w:fldLock="0"/>
      </w:r>
      <w:r>
        <w:instrText xml:space="preserve"> PAGEREF _Toc3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References</w:t>
        <w:tab/>
      </w:r>
      <w:r>
        <w:rPr/>
        <w:fldChar w:fldCharType="begin" w:fldLock="0"/>
      </w:r>
      <w:r>
        <w:instrText xml:space="preserve"> PAGEREF _Toc4 \h </w:instrText>
      </w:r>
      <w:r>
        <w:rPr/>
        <w:fldChar w:fldCharType="separate" w:fldLock="0"/>
      </w:r>
      <w:r>
        <w:rPr>
          <w:rFonts w:cs="Arial Unicode MS" w:eastAsia="Arial Unicode MS"/>
          <w:rtl w:val="0"/>
        </w:rPr>
        <w:t>10</w:t>
      </w:r>
      <w:r>
        <w:rPr/>
        <w:fldChar w:fldCharType="end" w:fldLock="0"/>
      </w:r>
    </w:p>
    <w:p>
      <w:pPr>
        <w:spacing w:line="360" w:lineRule="auto"/>
        <w:jc w:val="both"/>
        <w:rPr>
          <w:rFonts w:ascii="Times New Roman" w:cs="Times New Roman" w:hAnsi="Times New Roman" w:eastAsia="Times New Roman"/>
          <w:b w:val="1"/>
          <w:bCs w:val="1"/>
          <w:sz w:val="24"/>
          <w:szCs w:val="24"/>
        </w:rPr>
      </w:pPr>
      <w:r>
        <w:rPr>
          <w:rFonts w:ascii="Times New Roman" w:cs="Times New Roman" w:hAnsi="Times New Roman" w:eastAsia="Times New Roman"/>
          <w:sz w:val="24"/>
          <w:szCs w:val="24"/>
        </w:rPr>
        <w:fldChar w:fldCharType="end" w:fldLock="0"/>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Arial Unicode MS" w:cs="Arial Unicode MS" w:hAnsi="Arial Unicode MS" w:eastAsia="Arial Unicode MS"/>
          <w:b w:val="0"/>
          <w:bCs w:val="0"/>
          <w:i w:val="0"/>
          <w:iCs w:val="0"/>
          <w:sz w:val="24"/>
          <w:szCs w:val="24"/>
          <w:lang w:val="en-US"/>
        </w:rPr>
        <w:br w:type="page"/>
      </w:r>
    </w:p>
    <w:p>
      <w:pPr>
        <w:pStyle w:val="Heading"/>
        <w:spacing w:line="360" w:lineRule="auto"/>
        <w:jc w:val="both"/>
        <w:rPr>
          <w:rFonts w:ascii="Times New Roman" w:cs="Times New Roman" w:hAnsi="Times New Roman" w:eastAsia="Times New Roman"/>
          <w:sz w:val="24"/>
          <w:szCs w:val="24"/>
        </w:rPr>
      </w:pPr>
      <w:bookmarkStart w:name="_Toc" w:id="0"/>
      <w:r>
        <w:rPr>
          <w:rFonts w:ascii="Times New Roman" w:hAnsi="Times New Roman"/>
          <w:sz w:val="24"/>
          <w:szCs w:val="24"/>
          <w:rtl w:val="0"/>
          <w:lang w:val="en-US"/>
        </w:rPr>
        <w:t>Introduction</w:t>
      </w:r>
      <w:bookmarkEnd w:id="0"/>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this study, family adversity is explained as something which consists of the components that subsidize a negative environment in the family which includes antipathy between parents, troubled family, implementation of wrong correctional or disciplining. Thus, the characteristics and behaviours of the parents play a huge role in the adversity of families. Adversity in families generates problems that cause disruptions inabilities of the parents in parenting, high levels of frustrations and stress which in turn causes vulnerability in children (Hiller et al.,2020). Thus, there is a need to evaluate the parent</w:t>
      </w:r>
      <w:r>
        <w:rPr>
          <w:rFonts w:ascii="Times New Roman" w:hAnsi="Times New Roman" w:hint="default"/>
          <w:sz w:val="24"/>
          <w:szCs w:val="24"/>
          <w:rtl w:val="0"/>
          <w:lang w:val="en-US"/>
        </w:rPr>
        <w:t>’</w:t>
      </w:r>
      <w:r>
        <w:rPr>
          <w:rFonts w:ascii="Times New Roman" w:hAnsi="Times New Roman"/>
          <w:sz w:val="24"/>
          <w:szCs w:val="24"/>
          <w:rtl w:val="0"/>
          <w:lang w:val="en-US"/>
        </w:rPr>
        <w:t xml:space="preserve">s psychosocial components who are undergoing adverse circumstances in life and it is also necessary to evaluate how these components subsidize the parenting of children. Children who are exposed to contentious, increased stress and adverse early family problems are at much higher risk of developing problems in adjustment (Graf et al., 2017). Multiple components of the experiences that the children undergo causes problems in behaviour developments of children which includes disadvantage economically, family with the increased conflict between parents and increased violence.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this case study, case analysis and critical evaluation have been handed about one family which includes a 37-year-old single mother of 3 children where multiple factors are noticed which in turn will cause vulnerability in children. The single mother Holly had a long history of witnessing domestic violence, had an alcohol addiction and was dealing with panic attacks and anxiety. Children were also undergoing bullying and skipping school because of the environment at home, thus children were getting vulnerable. Therefore, this case needed to be addressed and evaluated, and the family unit had taken steps to resolve these issues.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pPr>
      <w:r>
        <w:rPr>
          <w:rFonts w:ascii="Arial Unicode MS" w:cs="Arial Unicode MS" w:hAnsi="Arial Unicode MS" w:eastAsia="Arial Unicode MS"/>
          <w:b w:val="0"/>
          <w:bCs w:val="0"/>
          <w:i w:val="0"/>
          <w:iCs w:val="0"/>
          <w:sz w:val="24"/>
          <w:szCs w:val="24"/>
          <w:lang w:val="en-US"/>
        </w:rPr>
        <w:br w:type="page"/>
      </w:r>
    </w:p>
    <w:p>
      <w:pPr>
        <w:pStyle w:val="Heading"/>
        <w:spacing w:line="360" w:lineRule="auto"/>
        <w:jc w:val="both"/>
        <w:rPr>
          <w:rFonts w:ascii="Times New Roman" w:cs="Times New Roman" w:hAnsi="Times New Roman" w:eastAsia="Times New Roman"/>
          <w:sz w:val="24"/>
          <w:szCs w:val="24"/>
        </w:rPr>
      </w:pPr>
      <w:bookmarkStart w:name="_Toc1" w:id="1"/>
      <w:r>
        <w:rPr>
          <w:rFonts w:ascii="Times New Roman" w:hAnsi="Times New Roman"/>
          <w:sz w:val="24"/>
          <w:szCs w:val="24"/>
          <w:rtl w:val="0"/>
          <w:lang w:val="en-US"/>
        </w:rPr>
        <w:t>Case study</w:t>
      </w:r>
      <w:bookmarkEnd w:id="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Children emotional neglect is parents or carers failure to acknowledge the emotional needs of the children and it can have a hard impact on their behaviour and development (Wark et al., 2003). Emotional abuse in children can lead to depression, stress, anxiety and in turn makes them vulnerable. Vulnerability is the result of the environment the children dwell in and the individuals they live with. Other than this, lack of proper diet, poor housing, no activities, parental neglect, the negative behaviour of parents, bullying are the risk factors for making children vulnerable (Graf et al.,2017). In the cased documentation, a discourse is mentioned about a family including a single mother Holly and her 3 children named Sarah 13-year-old, Mark 9-year-old and Kylie 2-year-old. There are various components in the case discussion that proves the vulnerability of children and the adversity of the family. Foremost the habits and behaviour of the mother who has an alcohol addiction and also had episodes of panic attacks and anxiety. She had no parenting as well problem-solving skills. Children of the parents addicted to alcohol have concerning impacts. Effects of Living with alcoholic parents are intense and last lifelong, affecting their view on themselves, interaction with others, how they turn up as adults (Rossow et al.,2016). These children are unable to authorize normalcy, have trust issues, judge themselves and always are doubtful which is due to lack of confidence. There is little evidence stating how parents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anxiety and panic attacks can affect children mood disorders, their makeup, addiction and many other disorders like attention deficit hyperactivity disorder (Stallard et al.,2004).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other reason that was causing adversity in the family was domestic violence (Walby et al., 2004). Children living in the home where one parent abuses the other go through anxiety and fear which in turn causes them to show their reaction in various ways regarding their age, infants and younger children start habits like thumb sucking, wetting beds, crying and whining is increased, sleeplessness and have separation anxiety. The school-aged children show guilty as they are responsible for the act. Domestic abuse and violence break the self-esteem of children. They stop going to school and have signs of stomach and headaches, whereas teens witnessing abuse act negatively, fights with family, have negative behaviour changes, indulge in alcohol and drugs (Stiles et al.,2002). And in this case, Holly had children of the above-mentioned ages. Domestic violence not only affects the children but also causes vast changes in the victimized parent as in this case Holly was the victim and it caused her behaviour changes, panic attacks and anxiety.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It also caused her difficulty to set respective boundaries for her children. The deprivation of boundaries, rules and repercussion is neglect. Children without boundaries and rules for behaviour can make them awkward in their social life and due to this, children don</w:t>
      </w:r>
      <w:r>
        <w:rPr>
          <w:rFonts w:ascii="Times New Roman" w:hAnsi="Times New Roman" w:hint="default"/>
          <w:sz w:val="24"/>
          <w:szCs w:val="24"/>
          <w:rtl w:val="0"/>
          <w:lang w:val="en-US"/>
        </w:rPr>
        <w:t>’</w:t>
      </w:r>
      <w:r>
        <w:rPr>
          <w:rFonts w:ascii="Times New Roman" w:hAnsi="Times New Roman"/>
          <w:sz w:val="24"/>
          <w:szCs w:val="24"/>
          <w:rtl w:val="0"/>
          <w:lang w:val="en-US"/>
        </w:rPr>
        <w:t>t understand how to control their emotions, anger and how to communicate with parents and others, also places them at high risk of getting bullied which is visible in the case of Holly and her children. As a result of this behaviour, the development of children's brains also disrupts and thus increasing the chances of emotional, attentional, cognitive and behavioural and mental disorders like psychoses, bipolar disorder, post-traumatic stress disorder and many others.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Children Act 1989 (section 17) appointed local authorities for safeguarding the "children in need" in their area and promoting the welfare of the families and children. For this duty given under the act, local authorities are provided with the power to supporting the children which includes accommodation, financial support to the families of the "children in need" and this support is for the family as a whole and the development of the children not beyond the family unit (Ward et al., 2012).</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According to the Children Act, 1989 the definition of 'in need" children is vast but to explain it is described as "children in need" are who cannot maintain or accomplish health standards and development, and also if the child is handicapped. Children in need according to section 17(10) is whose needs cannot be provided until support from social services is achieved (Mount et al., 2018). Also, when the family of children is not able to provide them with their necessary living needs are under "in need" children. It is evaluated that children's development and health is significantly impacted if these services are not provided. In the given case study, it is evaluated that the local authority referred the family to Family Unit and the children were taken under the children protection plan. According to Child Protection Plan, decisions are taken regarding the protection of the child and the family is provided with a child protection plan which includes what parents are expected to do, what children help services will provide and consequences if the family doesn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follow the plan (Manby et al., 2012).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this case, as seen above, the prime reason for the adversity of the family was the mother's engagement with alcohol addiction which is parental substance misuse (drug misuse). Substance misuse is the usage of alcohol, illegal drugs, using medications or over-the-counter medications more than the prescribed amount. The long-term effects of substance misuse are perilous ways to handle stress, anxiety and panic attacks (Victor et al., 2018). Parental substance misuse can be defined as abiding misuse of alcohol/drugs by parent and caregiver which includes the parents and caregivers who employ hazardous levels of alcohol, are addicted to alcohol or dependent on it, regularly drug and have a dependency on drugs (Victor et al.,2018). Parental substance misuse is the most significant issue in public health and rights of the children. Hazardous drinking can cause other problems like depression, physical disorders and accidents plus the rate of mental and physical health problems are increased in them (Velleman et al., 2016). Also has a worse impact on children as mentioned above in the case study. As in this case, Holly was addicted to alcohol which caused her various adversities. According to a study, parental alcohol misuse was the prime reason in 50% of the cases of child protection. In the UK, the most common type of substance misuse was alcohol addiction and approximately 586,780 are alcohol dependent out of which only 18% are undergoing treatments. According to the National Health Survey, substance misuse by parents resulted in significant damage in children. Children life and future are destroyed when parents are dependent on substance misuse.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Heading"/>
        <w:spacing w:line="360" w:lineRule="auto"/>
        <w:jc w:val="both"/>
        <w:rPr>
          <w:rFonts w:ascii="Times New Roman" w:cs="Times New Roman" w:hAnsi="Times New Roman" w:eastAsia="Times New Roman"/>
          <w:sz w:val="24"/>
          <w:szCs w:val="24"/>
        </w:rPr>
      </w:pPr>
      <w:bookmarkStart w:name="_Toc2" w:id="2"/>
      <w:r>
        <w:rPr>
          <w:rFonts w:ascii="Times New Roman" w:hAnsi="Times New Roman"/>
          <w:sz w:val="24"/>
          <w:szCs w:val="24"/>
          <w:rtl w:val="0"/>
          <w:lang w:val="en-US"/>
        </w:rPr>
        <w:t>Analysis</w:t>
      </w:r>
      <w:bookmarkEnd w:id="2"/>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prime reason for the family for being the subject of assessment by health and social care agencies was due to the neglect of children in the case study and the vulnerability of the children. According to Children's Act 1989, care of children is best done inside their family atmosphere and the act makes efforts to support that. It also highlights that the welfare of children and the needs of the child is most important while making decisions about their life and the main aim of the act is to safeguard children in the UK. This act also had given duties to the local authorities for safeguarding the children in need in their area of work, which happened, in this case, the local authority assessed the family and make protection plans for the children. According to The Children Act 2004 which is a modification of the 1989 Act. It augmented that every individual and the organizations working for children welfare have the accountability in safeguarding children and promoting their welfare (Keeling et al.,2020). The Equality Act 2010 protects children, young adults from any type of harassment, discrimination and victimization regarding education, accommodation and services. According to the United Nations Convention on the Rights of the Child (UNCRC) article 19, children and young individuals have the fundamental right to their dignity which is that the children have the rights to be safeguarded from violence (Lyle et al., 2014). In this study, the mother was getting abused and was gone through domestic violence which was affecting on a major level to the children. Children were getting neglected and emotionally abused due to the adversities of this family. Thus, the Child Protection Act becomes functional and the local authorities intruded and safeguarded the children and made protection plans for the children.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Local authorities acted according to Children Act 2004 and legal guidelines of working together to safeguard children 2018 in which the local authorities work in the interagency organization. These organizations involve children's services, healthcare providers, police, rehabilitation services and others (Davies et al., 2012). For instance, in the mentioned case study, there was multi-agency work and professionals according to their relation to the case were involved. Families' unit worked with the family for 11 months. Holly was supported by the family's unit to leave the violent relationship, she was also supported by a local alcoholic cessation program and also completed a parenting program which led her to set boundaries for the children. She was also sent to a local psychiatrist for her anxiety and panic attacks. Due to this, the attendance of Sarah at school improved by 95%. She also joined dance classes and Mark adopted a drama course. All these interventions helped both of the kids in improving their self-esteem. The family was also supported to get a nursery school for the youngest child Kylie. Thus, it can be stated that the interventions had higher levels of beneficial impact on the family which made the children less vulnerable and more confident. Positive changes in the parent resulted in positive changes in the children and their overall well-being improved (Horsley et al., 2015).</w:t>
      </w:r>
    </w:p>
    <w:p>
      <w:pPr>
        <w:pStyle w:val="Body"/>
        <w:spacing w:line="360" w:lineRule="auto"/>
        <w:jc w:val="both"/>
        <w:rPr>
          <w:rFonts w:ascii="Times New Roman" w:cs="Times New Roman" w:hAnsi="Times New Roman" w:eastAsia="Times New Roman"/>
          <w:sz w:val="24"/>
          <w:szCs w:val="24"/>
          <w:lang w:val="en-US"/>
        </w:rPr>
      </w:pPr>
    </w:p>
    <w:p>
      <w:pPr>
        <w:pStyle w:val="Heading"/>
        <w:spacing w:line="360" w:lineRule="auto"/>
        <w:jc w:val="both"/>
        <w:rPr>
          <w:rFonts w:ascii="Times New Roman" w:cs="Times New Roman" w:hAnsi="Times New Roman" w:eastAsia="Times New Roman"/>
          <w:sz w:val="24"/>
          <w:szCs w:val="24"/>
        </w:rPr>
      </w:pPr>
      <w:bookmarkStart w:name="_Toc3" w:id="3"/>
      <w:r>
        <w:rPr>
          <w:rFonts w:ascii="Times New Roman" w:hAnsi="Times New Roman"/>
          <w:sz w:val="24"/>
          <w:szCs w:val="24"/>
          <w:rtl w:val="0"/>
          <w:lang w:val="en-US"/>
        </w:rPr>
        <w:t>Critical evaluation</w:t>
      </w:r>
      <w:bookmarkEnd w:id="3"/>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To evaluate this case study, it can be said that the interventions led by the local authorities, Families unit, the multi-agency teams and social care services improved the life and well-being of the family. The interventions made to improve the behaviour and alcohol addiction of Holly was significantly improved. She completed all types of improvement interventions because she was completely supported by the local services and authorities. The aim was to improve her parenting skills and her relationship with the children.  According to Bronfenbrenner's ecological system theory, children behaviour and development is based strongly on the context of the environment and the quality of the environment in which the child lives (Soyer 2019). As in this case, when the family environment changed and holly's behaviour changed, it also changed the children and their behaviour.  The interventions made in this case study were following Maslow's hierarchy of needs theory (Addams et al.,2016), the intervention was orderly provided to the family depending on their needs like firstly supporting the mother to leave the negative relationship and bettering her relation to the children, which improved the family's self-esteem and confidence and at last they had full potential themselves to take care of their own and no longer needed children protection plan. To conclude this evaluation is can be stated that it is important to provide a better life and regular needed services for children and their families undergoing adversity. Thus, it is crucial to provide adequate support for the children </w:t>
      </w:r>
      <w:r>
        <w:rPr>
          <w:rFonts w:ascii="Times New Roman" w:hAnsi="Times New Roman" w:hint="default"/>
          <w:sz w:val="24"/>
          <w:szCs w:val="24"/>
          <w:rtl w:val="0"/>
          <w:lang w:val="en-US"/>
        </w:rPr>
        <w:t>“</w:t>
      </w:r>
      <w:r>
        <w:rPr>
          <w:rFonts w:ascii="Times New Roman" w:hAnsi="Times New Roman"/>
          <w:sz w:val="24"/>
          <w:szCs w:val="24"/>
          <w:rtl w:val="0"/>
          <w:lang w:val="en-US"/>
        </w:rPr>
        <w:t>in need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their better future and overall well-being (Rizzo et al.,2013).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Heading"/>
        <w:spacing w:line="360" w:lineRule="auto"/>
        <w:jc w:val="both"/>
        <w:rPr>
          <w:rFonts w:ascii="Times New Roman" w:cs="Times New Roman" w:hAnsi="Times New Roman" w:eastAsia="Times New Roman"/>
          <w:sz w:val="24"/>
          <w:szCs w:val="24"/>
        </w:rPr>
      </w:pPr>
      <w:bookmarkStart w:name="_Toc4" w:id="4"/>
      <w:r>
        <w:rPr>
          <w:rFonts w:ascii="Times New Roman" w:hAnsi="Times New Roman"/>
          <w:sz w:val="24"/>
          <w:szCs w:val="24"/>
          <w:rtl w:val="0"/>
          <w:lang w:val="en-US"/>
        </w:rPr>
        <w:t>References</w:t>
      </w:r>
      <w:bookmarkEnd w:id="4"/>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Davies, C., &amp; Ward, H. (2012). Safeguarding children across services: Messages from research. Jessica Kingsley Publishers.</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Einstein, A., Addams, J., &amp; Roosevelt, E. (2016). Maslow's hierarchy of needs. Search in.</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Ghaffar, W., Manby, M., &amp; Race, T. (2012). Exploring the experiences of parents and carers whose children have been subject to child protection plans. British Journal of Social Work, 42(5), 887-905.</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Horsley, S., &amp; Oliver, C. (2015). Positive impact and its relationship to well-being in parents of children with intellectual disability: a literature review. International Journal of Developmental Disabilities, 61(1), 1-19.</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Keeling, J., &amp; Oakley, L. (2020). THE LAW AND SAFEGUARDING CHILDREN AND YOUNG PEOPLE IN THE UK. Safeguarding Across the Life Span, 39.</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Little, M., &amp; Mount, K. (2018). Prevention and early intervention with children in need. Routledge.</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Lyle, S. (2014). Embracing the UNCRC in Wales (UK): Policy, pedagogy and prejudices. Educational Studies, 40(2), 215-232.</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Rizzo, K. M., Schiffrin, H. H., &amp; Liss, M. (2013). Insight into the parenthood paradox: Mental health outcomes of intensive mothering. Journal of Child and Family Studies, 22(5), 614-620.</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Rossow, I., Felix, L., Keating, P., &amp; McCambridge, J. (2016). Parental drinking and adverse outcomes in children: A scoping review of cohort studies. Drug and alcohol review, 35(4), 397-405.</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Schweiger, G., &amp; Graf, G. (2017). Ethics and the dynamic vulnerability of children. In Les ateliers de l'</w:t>
      </w:r>
      <w:r>
        <w:rPr>
          <w:rFonts w:ascii="Times New Roman" w:hAnsi="Times New Roman" w:hint="default"/>
          <w:sz w:val="24"/>
          <w:szCs w:val="24"/>
          <w:rtl w:val="0"/>
          <w:lang w:val="en-US"/>
        </w:rPr>
        <w:t>é</w:t>
      </w:r>
      <w:r>
        <w:rPr>
          <w:rFonts w:ascii="Times New Roman" w:hAnsi="Times New Roman"/>
          <w:sz w:val="24"/>
          <w:szCs w:val="24"/>
          <w:rtl w:val="0"/>
          <w:lang w:val="en-US"/>
        </w:rPr>
        <w:t xml:space="preserve">thique/The Ethics Forum (Vol. 12, No. 2-3, pp. 243-261). Centre de recherche en </w:t>
      </w:r>
      <w:r>
        <w:rPr>
          <w:rFonts w:ascii="Times New Roman" w:hAnsi="Times New Roman" w:hint="default"/>
          <w:sz w:val="24"/>
          <w:szCs w:val="24"/>
          <w:rtl w:val="0"/>
          <w:lang w:val="en-US"/>
        </w:rPr>
        <w:t>é</w:t>
      </w:r>
      <w:r>
        <w:rPr>
          <w:rFonts w:ascii="Times New Roman" w:hAnsi="Times New Roman"/>
          <w:sz w:val="24"/>
          <w:szCs w:val="24"/>
          <w:rtl w:val="0"/>
          <w:lang w:val="en-US"/>
        </w:rPr>
        <w:t>thique de l</w:t>
      </w:r>
      <w:r>
        <w:rPr>
          <w:rFonts w:ascii="Times New Roman" w:hAnsi="Times New Roman" w:hint="default"/>
          <w:sz w:val="24"/>
          <w:szCs w:val="24"/>
          <w:rtl w:val="0"/>
          <w:lang w:val="en-US"/>
        </w:rPr>
        <w:t>’</w:t>
      </w:r>
      <w:r>
        <w:rPr>
          <w:rFonts w:ascii="Times New Roman" w:hAnsi="Times New Roman"/>
          <w:sz w:val="24"/>
          <w:szCs w:val="24"/>
          <w:rtl w:val="0"/>
          <w:lang w:val="en-US"/>
        </w:rPr>
        <w:t>Universit</w:t>
      </w:r>
      <w:r>
        <w:rPr>
          <w:rFonts w:ascii="Times New Roman" w:hAnsi="Times New Roman" w:hint="default"/>
          <w:sz w:val="24"/>
          <w:szCs w:val="24"/>
          <w:rtl w:val="0"/>
          <w:lang w:val="en-US"/>
        </w:rPr>
        <w:t xml:space="preserve">é </w:t>
      </w:r>
      <w:r>
        <w:rPr>
          <w:rFonts w:ascii="Times New Roman" w:hAnsi="Times New Roman"/>
          <w:sz w:val="24"/>
          <w:szCs w:val="24"/>
          <w:rtl w:val="0"/>
          <w:lang w:val="en-US"/>
        </w:rPr>
        <w:t>de Montr</w:t>
      </w:r>
      <w:r>
        <w:rPr>
          <w:rFonts w:ascii="Times New Roman" w:hAnsi="Times New Roman" w:hint="default"/>
          <w:sz w:val="24"/>
          <w:szCs w:val="24"/>
          <w:rtl w:val="0"/>
          <w:lang w:val="en-US"/>
        </w:rPr>
        <w:t>é</w:t>
      </w:r>
      <w:r>
        <w:rPr>
          <w:rFonts w:ascii="Times New Roman" w:hAnsi="Times New Roman"/>
          <w:sz w:val="24"/>
          <w:szCs w:val="24"/>
          <w:rtl w:val="0"/>
          <w:lang w:val="en-US"/>
        </w:rPr>
        <w:t>al.</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Soyer, G. F. (2019). Urie Bronfenbrenner: the ecology of human development book review. Journal of Culture and Values in Education, 2(2), 77-80.</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Stallard, P., Norman, P., Huline-Dickens, S., Salter, E., &amp; Cribb, J. (2004). The effects of parental mental illness upon children: A descriptive study of the views of parents and children. Clinical Child Psychology and Psychiatry, 9(1), 39-52.</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Stiles, M. (2002). Witnessing domestic violence: The effect on children. American Family Physician, 66(11), 2052.</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Velleman, R., &amp; Templeton, L. J. (2016). Impact of parents' substance misuse on children: An update. BJPsych Advances, 22(2), 108-117.</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Victor, B. G., Grogan-Kaylor, A., Ryan, J. P., Perron, B. E., &amp; Gilbert, T. T. (2018). Domestic violence, parental substance misuse and the decision to substantiate child maltreatment. Child abuse &amp; neglect, 79, 31-41.</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Wadman, R., Hiller, R. M., &amp; St Clair, M. C. (2020). The influence of early familial adversity on adolescent risk behaviors and mental health: Stability and transition in family adversity profiles in a cohort sample. Development and psychopathology, 32(2), 437-454.</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Walby, S. (2004). The cost of domestic violence.</w:t>
      </w:r>
    </w:p>
    <w:p>
      <w:pPr>
        <w:pStyle w:val="Body"/>
        <w:spacing w:before="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Ward, H., Brown, R., &amp; Westlake, D. (2012). Safeguarding babies and very young children from abuse and neglect. Jessica Kingsley Publishers.</w:t>
      </w:r>
    </w:p>
    <w:p>
      <w:pPr>
        <w:pStyle w:val="Body"/>
        <w:spacing w:before="240" w:line="360" w:lineRule="auto"/>
        <w:jc w:val="both"/>
      </w:pPr>
      <w:r>
        <w:rPr>
          <w:rFonts w:ascii="Times New Roman" w:hAnsi="Times New Roman"/>
          <w:sz w:val="24"/>
          <w:szCs w:val="24"/>
          <w:rtl w:val="0"/>
          <w:lang w:val="en-US"/>
        </w:rPr>
        <w:t>Wark, M. J., Kruczek, T., &amp; Boley, A. (2003). Emotional neglect and family structure: impact on student functioning. Child abuse &amp; neglect, 27(9), 1033-1043.</w:t>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14:textOutline>
        <w14:noFill/>
      </w14:textOutline>
      <w14:textFill>
        <w14:solidFill>
          <w14:srgbClr w14:val="2F5496"/>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