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5405" w:rsidRPr="007B7AF1" w:rsidRDefault="00935405" w:rsidP="00935405">
      <w:pPr>
        <w:jc w:val="both"/>
        <w:rPr>
          <w:rFonts w:cs="Arial"/>
          <w:sz w:val="36"/>
          <w:szCs w:val="36"/>
        </w:rPr>
      </w:pPr>
      <w:r w:rsidRPr="007B7AF1">
        <w:rPr>
          <w:rFonts w:cs="Arial"/>
          <w:sz w:val="36"/>
          <w:szCs w:val="36"/>
        </w:rPr>
        <w:t>Qualification: CIPD Diploma in Applied Human Resources</w:t>
      </w:r>
    </w:p>
    <w:p w:rsidR="00935405" w:rsidRPr="007B7AF1" w:rsidRDefault="00935405" w:rsidP="00935405">
      <w:pPr>
        <w:jc w:val="both"/>
        <w:rPr>
          <w:rFonts w:cs="Arial"/>
          <w:sz w:val="36"/>
          <w:szCs w:val="36"/>
        </w:rPr>
      </w:pPr>
    </w:p>
    <w:p w:rsidR="00935405" w:rsidRPr="007B7AF1" w:rsidRDefault="00935405" w:rsidP="00935405">
      <w:pPr>
        <w:tabs>
          <w:tab w:val="left" w:pos="1985"/>
        </w:tabs>
        <w:jc w:val="both"/>
        <w:rPr>
          <w:rFonts w:cs="Arial"/>
          <w:sz w:val="36"/>
          <w:szCs w:val="36"/>
        </w:rPr>
      </w:pPr>
      <w:r>
        <w:rPr>
          <w:rFonts w:cs="Arial"/>
          <w:sz w:val="36"/>
          <w:szCs w:val="36"/>
        </w:rPr>
        <w:t>5KRTP – Understanding Resourcing and Talent Planning</w:t>
      </w: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r>
        <w:rPr>
          <w:rFonts w:cs="Arial"/>
          <w:sz w:val="36"/>
          <w:szCs w:val="36"/>
        </w:rPr>
        <w:t>Word Count: 3,</w:t>
      </w:r>
      <w:r>
        <w:rPr>
          <w:rFonts w:cs="Arial"/>
          <w:sz w:val="36"/>
          <w:szCs w:val="36"/>
        </w:rPr>
        <w:t>315</w:t>
      </w: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r w:rsidRPr="007B7AF1">
        <w:rPr>
          <w:rFonts w:cs="Arial"/>
          <w:sz w:val="36"/>
          <w:szCs w:val="36"/>
        </w:rPr>
        <w:t xml:space="preserve">Student Name: Lowri Ann Davies </w:t>
      </w:r>
    </w:p>
    <w:p w:rsidR="00935405" w:rsidRPr="007B7AF1" w:rsidRDefault="00935405" w:rsidP="00935405">
      <w:pPr>
        <w:jc w:val="both"/>
        <w:rPr>
          <w:rFonts w:cs="Arial"/>
          <w:sz w:val="36"/>
          <w:szCs w:val="36"/>
        </w:rPr>
      </w:pPr>
      <w:r w:rsidRPr="007B7AF1">
        <w:rPr>
          <w:rFonts w:cs="Arial"/>
          <w:sz w:val="36"/>
          <w:szCs w:val="36"/>
        </w:rPr>
        <w:t>Student Number: 1104209</w:t>
      </w:r>
    </w:p>
    <w:p w:rsidR="00935405" w:rsidRPr="007B7AF1" w:rsidRDefault="00935405" w:rsidP="00935405">
      <w:pPr>
        <w:jc w:val="both"/>
        <w:rPr>
          <w:rFonts w:cs="Arial"/>
          <w:sz w:val="36"/>
          <w:szCs w:val="36"/>
        </w:rPr>
      </w:pPr>
      <w:r w:rsidRPr="007B7AF1">
        <w:rPr>
          <w:rFonts w:cs="Arial"/>
          <w:sz w:val="36"/>
          <w:szCs w:val="36"/>
        </w:rPr>
        <w:t>CIPD Membership Number: 49370121</w:t>
      </w: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r w:rsidRPr="007B7AF1">
        <w:rPr>
          <w:rFonts w:cs="Arial"/>
          <w:sz w:val="36"/>
          <w:szCs w:val="36"/>
        </w:rPr>
        <w:t>By signing below, I confirm that the work/evidence presented is my own, unaided work. I understand the regulations pertaining to candidate malpractice and the action that may be taken as a result.</w:t>
      </w:r>
    </w:p>
    <w:p w:rsidR="00935405" w:rsidRPr="007B7AF1" w:rsidRDefault="00935405" w:rsidP="00935405">
      <w:pPr>
        <w:jc w:val="both"/>
        <w:rPr>
          <w:rFonts w:cs="Arial"/>
          <w:sz w:val="36"/>
          <w:szCs w:val="36"/>
        </w:rPr>
      </w:pPr>
    </w:p>
    <w:p w:rsidR="00935405" w:rsidRPr="007B7AF1" w:rsidRDefault="00935405" w:rsidP="00935405">
      <w:pPr>
        <w:jc w:val="both"/>
        <w:rPr>
          <w:rFonts w:cs="Arial"/>
          <w:sz w:val="36"/>
          <w:szCs w:val="36"/>
        </w:rPr>
      </w:pPr>
      <w:r w:rsidRPr="007B7AF1">
        <w:rPr>
          <w:rFonts w:cs="Arial"/>
          <w:sz w:val="36"/>
          <w:szCs w:val="36"/>
        </w:rPr>
        <w:t>Signed: L Davies</w:t>
      </w:r>
    </w:p>
    <w:p w:rsidR="00935405" w:rsidRDefault="00935405" w:rsidP="00935405">
      <w:pPr>
        <w:jc w:val="both"/>
        <w:rPr>
          <w:rFonts w:cs="Arial"/>
          <w:sz w:val="36"/>
          <w:szCs w:val="36"/>
        </w:rPr>
      </w:pPr>
      <w:r>
        <w:rPr>
          <w:rFonts w:cs="Arial"/>
          <w:sz w:val="36"/>
          <w:szCs w:val="36"/>
        </w:rPr>
        <w:t xml:space="preserve">Date: </w:t>
      </w:r>
      <w:r>
        <w:rPr>
          <w:rFonts w:cs="Arial"/>
          <w:sz w:val="36"/>
          <w:szCs w:val="36"/>
        </w:rPr>
        <w:t>13/04/2020</w:t>
      </w:r>
    </w:p>
    <w:p w:rsidR="00935405" w:rsidRDefault="00935405" w:rsidP="00935405">
      <w:pPr>
        <w:jc w:val="both"/>
        <w:rPr>
          <w:rFonts w:cs="Arial"/>
          <w:sz w:val="36"/>
          <w:szCs w:val="36"/>
        </w:rPr>
      </w:pPr>
    </w:p>
    <w:p w:rsidR="00935405" w:rsidRDefault="00935405" w:rsidP="00935405">
      <w:pPr>
        <w:jc w:val="both"/>
        <w:rPr>
          <w:rFonts w:cs="Arial"/>
          <w:sz w:val="36"/>
          <w:szCs w:val="36"/>
        </w:rPr>
      </w:pPr>
    </w:p>
    <w:p w:rsidR="00935405" w:rsidRDefault="00935405" w:rsidP="00935405">
      <w:pPr>
        <w:jc w:val="both"/>
        <w:rPr>
          <w:rFonts w:cs="Arial"/>
          <w:sz w:val="36"/>
          <w:szCs w:val="36"/>
        </w:rPr>
      </w:pPr>
    </w:p>
    <w:p w:rsidR="00935405" w:rsidRDefault="00935405" w:rsidP="00935405">
      <w:pPr>
        <w:jc w:val="both"/>
        <w:rPr>
          <w:rFonts w:cs="Arial"/>
          <w:sz w:val="36"/>
          <w:szCs w:val="36"/>
        </w:rPr>
      </w:pPr>
    </w:p>
    <w:p w:rsidR="00773B8C" w:rsidRPr="006D79C2" w:rsidRDefault="00935405" w:rsidP="006D79C2">
      <w:pPr>
        <w:jc w:val="both"/>
        <w:rPr>
          <w:b/>
          <w:u w:val="single"/>
        </w:rPr>
      </w:pPr>
      <w:r>
        <w:rPr>
          <w:b/>
          <w:u w:val="single"/>
        </w:rPr>
        <w:lastRenderedPageBreak/>
        <w:t xml:space="preserve">Understanding </w:t>
      </w:r>
      <w:bookmarkStart w:id="0" w:name="_GoBack"/>
      <w:bookmarkEnd w:id="0"/>
      <w:r w:rsidR="0096161B" w:rsidRPr="006D79C2">
        <w:rPr>
          <w:b/>
          <w:u w:val="single"/>
        </w:rPr>
        <w:t>Resourcing and Talent Planning</w:t>
      </w:r>
    </w:p>
    <w:p w:rsidR="0096161B" w:rsidRPr="006D79C2" w:rsidRDefault="0096161B" w:rsidP="006D79C2">
      <w:pPr>
        <w:jc w:val="both"/>
      </w:pPr>
      <w:r w:rsidRPr="006D79C2">
        <w:t xml:space="preserve">As suggested by Wilkinson and Taylor, HR professionals are expected to be able to contribute towards creating and developing a workforce which would have the ability to meet personal and organisational goals (2016). </w:t>
      </w:r>
    </w:p>
    <w:p w:rsidR="0096161B" w:rsidRPr="006D79C2" w:rsidRDefault="0096161B" w:rsidP="006D79C2">
      <w:pPr>
        <w:jc w:val="both"/>
      </w:pPr>
      <w:r w:rsidRPr="006D79C2">
        <w:t>This involves numerous HR functions which are either includes as specialist of generalist roles, it is dependent on th</w:t>
      </w:r>
      <w:r w:rsidR="0004637D">
        <w:t>e size of the organisation</w:t>
      </w:r>
      <w:r w:rsidRPr="006D79C2">
        <w:t xml:space="preserve">. </w:t>
      </w:r>
    </w:p>
    <w:p w:rsidR="0096161B" w:rsidRPr="006D79C2" w:rsidRDefault="0096161B" w:rsidP="006D79C2">
      <w:pPr>
        <w:jc w:val="both"/>
        <w:rPr>
          <w:b/>
        </w:rPr>
      </w:pPr>
      <w:r w:rsidRPr="006D79C2">
        <w:rPr>
          <w:b/>
        </w:rPr>
        <w:t xml:space="preserve">1. An employee is emigrating and asks you if the labour market trends of their destination country are the same as in the UK. Describe the key contemporary trends in both the UK labour market and in the labour market of any other country. </w:t>
      </w:r>
    </w:p>
    <w:p w:rsidR="0096161B" w:rsidRPr="006D79C2" w:rsidRDefault="005B4BEC" w:rsidP="006D79C2">
      <w:pPr>
        <w:jc w:val="both"/>
      </w:pPr>
      <w:r w:rsidRPr="006D79C2">
        <w:t xml:space="preserve">When considering the labour market, this is a term that is used to describe prospective employees that are searching for employment and what they would require from their employers (Wilkinson and Taylor 2016). </w:t>
      </w:r>
    </w:p>
    <w:p w:rsidR="006D79C2" w:rsidRPr="006D79C2" w:rsidRDefault="00410E97" w:rsidP="006D79C2">
      <w:pPr>
        <w:jc w:val="both"/>
      </w:pPr>
      <w:r w:rsidRPr="006D79C2">
        <w:t xml:space="preserve">To target candidates for specific roles within the organisation, the HR department would need to consider the skills set required from the role from specific sources of labour. For a lower skilled role, the organisation would look in the local market and national and/or international for more specialist positions. </w:t>
      </w:r>
      <w:r w:rsidR="006D79C2" w:rsidRPr="006D79C2">
        <w:t>An organisation can also look for candidates that are not currently in the workplace, this would include school leavers, graduates or the economically inactive (CIPD</w:t>
      </w:r>
      <w:r w:rsidR="0004637D">
        <w:t xml:space="preserve"> </w:t>
      </w:r>
      <w:r w:rsidR="00084906">
        <w:t>A</w:t>
      </w:r>
      <w:r w:rsidR="006D79C2" w:rsidRPr="006D79C2">
        <w:t>).</w:t>
      </w:r>
    </w:p>
    <w:p w:rsidR="006D79C2" w:rsidRDefault="006D79C2" w:rsidP="006D79C2">
      <w:pPr>
        <w:jc w:val="both"/>
      </w:pPr>
      <w:r>
        <w:t>The ONS published</w:t>
      </w:r>
      <w:r w:rsidR="0090420B">
        <w:t xml:space="preserve"> their</w:t>
      </w:r>
      <w:r>
        <w:t xml:space="preserve"> </w:t>
      </w:r>
      <w:r w:rsidRPr="006D79C2">
        <w:t>statistics for Winter 2019/20 in Febru</w:t>
      </w:r>
      <w:r>
        <w:t xml:space="preserve">ary 2020. At a record high, </w:t>
      </w:r>
      <w:r w:rsidR="0090420B">
        <w:t xml:space="preserve">76.5% of people living in the United Kingdom </w:t>
      </w:r>
      <w:r w:rsidR="00855121">
        <w:t>aged 16-</w:t>
      </w:r>
      <w:r>
        <w:t xml:space="preserve">64 </w:t>
      </w:r>
      <w:r w:rsidR="007152CB">
        <w:t xml:space="preserve">were employed </w:t>
      </w:r>
      <w:r w:rsidR="00855121">
        <w:t xml:space="preserve">with 3.9% currently unemployed. </w:t>
      </w:r>
      <w:r w:rsidR="0004637D">
        <w:t>(ONS 2020</w:t>
      </w:r>
      <w:r w:rsidR="007152CB">
        <w:t xml:space="preserve">). </w:t>
      </w:r>
      <w:r w:rsidR="0090420B">
        <w:t xml:space="preserve">It is possible to suggest that the United Kingdom is currently in a tight labour market by employment levels being at its highest with individuals remaining in their roles and competitors finding it difficult to fill their positions as potential candidates have more opportunity to bargain for a desirable position. To allow organisations to have a supply of candidates with preferred skills sets, HR professionals would need to be inventive and work on their recruitment </w:t>
      </w:r>
      <w:r w:rsidR="000E35DC">
        <w:t xml:space="preserve">approach during this period by </w:t>
      </w:r>
      <w:r w:rsidR="008465B4">
        <w:t>considering the structure of the organisation and potential for secondments, actively promote the organisation or work with local colleges or universities to target a source of labour (Taylor and Wilkinson 2016).</w:t>
      </w:r>
    </w:p>
    <w:p w:rsidR="008465B4" w:rsidRDefault="002C4C7C" w:rsidP="006D79C2">
      <w:pPr>
        <w:jc w:val="both"/>
      </w:pPr>
      <w:r>
        <w:t>In comparison to one of the largest economical countries in the world, Germany’s employment levels have also increased over the years.</w:t>
      </w:r>
      <w:r w:rsidR="00A94ED1">
        <w:t xml:space="preserve"> In July 2019,</w:t>
      </w:r>
      <w:r>
        <w:t xml:space="preserve"> </w:t>
      </w:r>
      <w:r w:rsidR="00A94ED1">
        <w:t>their employment rate was 77%, an increase of 0.5% from the previous calculation at the beginning of the quarter</w:t>
      </w:r>
      <w:r w:rsidR="0004637D">
        <w:t xml:space="preserve"> (Trading Economics 2019)</w:t>
      </w:r>
      <w:r w:rsidR="00A94ED1">
        <w:t xml:space="preserve">. </w:t>
      </w:r>
      <w:r w:rsidR="00855121">
        <w:t>Similarly</w:t>
      </w:r>
      <w:r w:rsidR="00A94ED1">
        <w:t xml:space="preserve"> to the UK, unemployme</w:t>
      </w:r>
      <w:r w:rsidR="00855121">
        <w:t xml:space="preserve">nt levels have continued to fall over the past 5 years with a current rate of 3.2%. </w:t>
      </w:r>
    </w:p>
    <w:p w:rsidR="00855121" w:rsidRDefault="00855121" w:rsidP="006D79C2">
      <w:pPr>
        <w:jc w:val="both"/>
      </w:pPr>
      <w:r>
        <w:t xml:space="preserve">At the end of December 2019, there were 810,000 vacancies available against 8.48 million economically inactive candidates. During the 1960s, there was a large increase in children being born and the time is </w:t>
      </w:r>
      <w:r w:rsidR="003A69AD">
        <w:t>largely</w:t>
      </w:r>
      <w:r>
        <w:t xml:space="preserve"> known as the ‘baby boom’ (Taylor and Wilk</w:t>
      </w:r>
      <w:r w:rsidR="0004637D">
        <w:t>in</w:t>
      </w:r>
      <w:r>
        <w:t xml:space="preserve">son 2016). Since </w:t>
      </w:r>
      <w:r w:rsidR="003A69AD">
        <w:t>then, there has been a decrease in the number of children being born but an increase in individuals reaching retirement age. The Government have attempted to reduce the number of retirees by increasing the retirement age for females to be equal to men</w:t>
      </w:r>
      <w:r w:rsidR="002E3F23">
        <w:t xml:space="preserve"> (</w:t>
      </w:r>
      <w:r w:rsidR="00084906">
        <w:t>CIPD B 2019</w:t>
      </w:r>
      <w:r w:rsidR="003A69AD">
        <w:t xml:space="preserve">). An extraordinary high of 15.61 million woman are working full-time within the United Kingdom which can be considered to be an impact of flexible working initiatives and shared parental leave. </w:t>
      </w:r>
    </w:p>
    <w:p w:rsidR="003A69AD" w:rsidRPr="00084906" w:rsidRDefault="003A69AD" w:rsidP="006D79C2">
      <w:pPr>
        <w:jc w:val="both"/>
      </w:pPr>
      <w:r>
        <w:t xml:space="preserve">The number of economically inactive candidates includes individuals within education. </w:t>
      </w:r>
      <w:r w:rsidR="00D61C3C">
        <w:t xml:space="preserve">A trend affecting this statistics is the increase in young people staying within education for a longer period of time. Germany have taken advantage of this perspective by conducting dual vocation training. </w:t>
      </w:r>
      <w:r w:rsidR="00CF6380">
        <w:t xml:space="preserve">Although Germany has a lower amount of vacancies of 668,063 in January 2020, the training allows </w:t>
      </w:r>
      <w:r w:rsidR="00CF6380">
        <w:lastRenderedPageBreak/>
        <w:t xml:space="preserve">young individuals to be able to spend half their time within the workplace and the remainder of their time in a vocational school </w:t>
      </w:r>
      <w:r w:rsidR="0004637D">
        <w:t>(Facts about Germany n.d.)</w:t>
      </w:r>
      <w:r w:rsidR="00CF6380">
        <w:t xml:space="preserve">. This allows organisations to employee </w:t>
      </w:r>
      <w:r w:rsidR="00CF6380" w:rsidRPr="00084906">
        <w:t>individuals and develop them to have the skills required for the business to grow and prosper.</w:t>
      </w:r>
    </w:p>
    <w:p w:rsidR="002E3F23" w:rsidRDefault="002E3F23" w:rsidP="006D79C2">
      <w:pPr>
        <w:jc w:val="both"/>
      </w:pPr>
      <w:r w:rsidRPr="00084906">
        <w:t>The industry with the highest number of vacancies fall within the Human Health and</w:t>
      </w:r>
      <w:r w:rsidR="00880184" w:rsidRPr="00084906">
        <w:t xml:space="preserve"> Social Care Activities sector</w:t>
      </w:r>
      <w:r w:rsidR="00084906" w:rsidRPr="00084906">
        <w:t xml:space="preserve"> (ONS 2020)</w:t>
      </w:r>
      <w:r w:rsidR="00880184" w:rsidRPr="00084906">
        <w:t>. Germany concurs with this notion and advises that there currently more vacancies within Elderly Care and Health Care than unemployed persons (</w:t>
      </w:r>
      <w:proofErr w:type="spellStart"/>
      <w:r w:rsidR="0004637D" w:rsidRPr="00084906">
        <w:t>Eures</w:t>
      </w:r>
      <w:proofErr w:type="spellEnd"/>
      <w:r w:rsidR="0004637D" w:rsidRPr="00084906">
        <w:t xml:space="preserve"> 2019</w:t>
      </w:r>
      <w:r w:rsidR="00880184" w:rsidRPr="00084906">
        <w:t>). A recent report published by Chirgwin demonstrates that these are low level skilled roles with a lower average salary than most other jobs within</w:t>
      </w:r>
      <w:r w:rsidR="00880184">
        <w:t xml:space="preserve"> the UK (</w:t>
      </w:r>
      <w:r w:rsidR="00880184" w:rsidRPr="001572A1">
        <w:t>2019).</w:t>
      </w:r>
    </w:p>
    <w:p w:rsidR="007152CB" w:rsidRDefault="00880184" w:rsidP="006D79C2">
      <w:pPr>
        <w:jc w:val="both"/>
      </w:pPr>
      <w:r>
        <w:t xml:space="preserve">On 31 January 2020, the United Kingdom left the European Union. Brexit has loomed an uncertainty for HR Professionals and their recruitment </w:t>
      </w:r>
      <w:r w:rsidR="008A6959">
        <w:t>processes with 7% of the workforce from the EU. To overcome the current tight labour market, CIPD have reported some private organisations have increased their salaries to support their recruitment difficulties (2019). Many shared that they have continued to recruit EU nationals within their organisations as they have been the most suitable person for the role. Although, the introduction of a new migration system from 2021 would see organisations having to contemplate and r</w:t>
      </w:r>
      <w:r w:rsidR="0004637D">
        <w:t>eview their workforce planning.</w:t>
      </w:r>
    </w:p>
    <w:p w:rsidR="00880184" w:rsidRDefault="00880184" w:rsidP="006D79C2">
      <w:pPr>
        <w:jc w:val="both"/>
      </w:pPr>
    </w:p>
    <w:p w:rsidR="008A6959" w:rsidRPr="00E202F6" w:rsidRDefault="00E202F6" w:rsidP="00E202F6">
      <w:pPr>
        <w:pStyle w:val="NoSpacing"/>
        <w:rPr>
          <w:b/>
        </w:rPr>
      </w:pPr>
      <w:r w:rsidRPr="00E202F6">
        <w:rPr>
          <w:b/>
        </w:rPr>
        <w:t>2. A new HR Assistant asks you to explain the following aspects workforce planning;</w:t>
      </w:r>
    </w:p>
    <w:p w:rsidR="00E202F6" w:rsidRPr="00E202F6" w:rsidRDefault="00E202F6" w:rsidP="00E202F6">
      <w:pPr>
        <w:pStyle w:val="NoSpacing"/>
        <w:numPr>
          <w:ilvl w:val="0"/>
          <w:numId w:val="2"/>
        </w:numPr>
        <w:rPr>
          <w:b/>
        </w:rPr>
      </w:pPr>
      <w:r w:rsidRPr="00E202F6">
        <w:rPr>
          <w:b/>
        </w:rPr>
        <w:t>Key principles of workforce planning</w:t>
      </w:r>
    </w:p>
    <w:p w:rsidR="00E202F6" w:rsidRPr="00E202F6" w:rsidRDefault="00E202F6" w:rsidP="00E202F6">
      <w:pPr>
        <w:pStyle w:val="NoSpacing"/>
        <w:numPr>
          <w:ilvl w:val="0"/>
          <w:numId w:val="2"/>
        </w:numPr>
        <w:rPr>
          <w:b/>
        </w:rPr>
      </w:pPr>
      <w:r w:rsidRPr="00E202F6">
        <w:rPr>
          <w:b/>
        </w:rPr>
        <w:t>Tools used in workforce planning</w:t>
      </w:r>
    </w:p>
    <w:p w:rsidR="00E202F6" w:rsidRDefault="00E202F6" w:rsidP="00FF4ED1">
      <w:pPr>
        <w:pStyle w:val="NoSpacing"/>
        <w:numPr>
          <w:ilvl w:val="0"/>
          <w:numId w:val="2"/>
        </w:numPr>
        <w:rPr>
          <w:b/>
        </w:rPr>
      </w:pPr>
      <w:r w:rsidRPr="00E202F6">
        <w:rPr>
          <w:b/>
        </w:rPr>
        <w:t>How to develop a basic people plan, including succession planning.</w:t>
      </w:r>
    </w:p>
    <w:p w:rsidR="00FF4ED1" w:rsidRPr="00FF4ED1" w:rsidRDefault="00FF4ED1" w:rsidP="00FF4ED1">
      <w:pPr>
        <w:pStyle w:val="NoSpacing"/>
        <w:ind w:left="720"/>
        <w:rPr>
          <w:b/>
        </w:rPr>
      </w:pPr>
    </w:p>
    <w:p w:rsidR="00084906" w:rsidRDefault="00E202F6" w:rsidP="00880184">
      <w:pPr>
        <w:jc w:val="both"/>
      </w:pPr>
      <w:r>
        <w:t>When considering the future workforce of an organisation, HR professionals would need to be able to create an implement strategies to ensure that</w:t>
      </w:r>
      <w:r w:rsidR="006F7A06">
        <w:t xml:space="preserve"> current and perspective</w:t>
      </w:r>
      <w:r>
        <w:t xml:space="preserve"> employees have the correct skills and talent to be able to meet future demands (Wilkinson and Taylor 2016). It is sometimes referred t</w:t>
      </w:r>
      <w:r w:rsidR="006F7A06">
        <w:t>o as human resource planning and</w:t>
      </w:r>
      <w:r>
        <w:t xml:space="preserve"> the requirements of workforce planning can differ from each department but they are all able to follow the four stages of talent planning;</w:t>
      </w:r>
    </w:p>
    <w:p w:rsidR="00E202F6" w:rsidRDefault="00E202F6" w:rsidP="00880184">
      <w:pPr>
        <w:jc w:val="both"/>
      </w:pPr>
      <w:r>
        <w:t>1. Forecasting demand</w:t>
      </w:r>
    </w:p>
    <w:p w:rsidR="00E202F6" w:rsidRDefault="006F7A06" w:rsidP="00880184">
      <w:pPr>
        <w:jc w:val="both"/>
      </w:pPr>
      <w:r>
        <w:t>For an organisation to project the future demands of the organisation, managerial staff will have a clear input with Senior Management in answering what undertaking would be required from employees, could this be incorporated into current roles and what further development would they need to fulfil their positions.  It will also include reverting back to past trends, reviewing the growth of the organisation and considering budget flexibility in being able to meet the demand (Wilkinson and Taylor 2016). It is an organisation-wide decision which would involve most stakeholders.</w:t>
      </w:r>
    </w:p>
    <w:p w:rsidR="00E202F6" w:rsidRDefault="006F7A06" w:rsidP="00880184">
      <w:pPr>
        <w:jc w:val="both"/>
      </w:pPr>
      <w:r>
        <w:t>2. Forecasting supply</w:t>
      </w:r>
    </w:p>
    <w:p w:rsidR="004F72B9" w:rsidRDefault="007E5F2B" w:rsidP="001504B6">
      <w:pPr>
        <w:tabs>
          <w:tab w:val="num" w:pos="720"/>
        </w:tabs>
        <w:jc w:val="both"/>
      </w:pPr>
      <w:r>
        <w:t xml:space="preserve">Following a review of the needs of the organisation to meet </w:t>
      </w:r>
      <w:r w:rsidR="001504B6">
        <w:t>its</w:t>
      </w:r>
      <w:r>
        <w:t xml:space="preserve"> future demand and growth requirements, it is suggested that and evaluation of the current composition of </w:t>
      </w:r>
      <w:r w:rsidR="001504B6">
        <w:t xml:space="preserve">the </w:t>
      </w:r>
      <w:r>
        <w:t xml:space="preserve">workforce </w:t>
      </w:r>
      <w:r w:rsidR="008D1565">
        <w:t>be completed (Weeks 2019</w:t>
      </w:r>
      <w:r>
        <w:t xml:space="preserve">). </w:t>
      </w:r>
      <w:r w:rsidR="001504B6">
        <w:t xml:space="preserve">The review would take into consideration the number of employees, their roles, costs and the composition of this across each department. This is from the perspective of the organisation but it can also include the thoughts and feelings of employees i.e. their enthusiasm, contribution to the organisation, sickness absences and contentment (Wilkinson and Taylor 2016). </w:t>
      </w:r>
    </w:p>
    <w:p w:rsidR="000F363E" w:rsidRDefault="001504B6" w:rsidP="000F363E">
      <w:pPr>
        <w:tabs>
          <w:tab w:val="num" w:pos="720"/>
        </w:tabs>
        <w:jc w:val="both"/>
      </w:pPr>
      <w:r>
        <w:t xml:space="preserve">Following completion of the review, the final step would be to deliberate </w:t>
      </w:r>
      <w:r w:rsidR="000F363E">
        <w:t xml:space="preserve">the employees that would be required to remain within the organisation in comparison to current numbers. Some anticipations </w:t>
      </w:r>
      <w:r w:rsidR="000F363E">
        <w:lastRenderedPageBreak/>
        <w:t xml:space="preserve">can be contemplated by the number of leavers, starters, retirement age and employees that are in alignment with promotions within succession plans.  </w:t>
      </w:r>
    </w:p>
    <w:p w:rsidR="000F363E" w:rsidRDefault="000F363E" w:rsidP="000F363E">
      <w:pPr>
        <w:tabs>
          <w:tab w:val="num" w:pos="720"/>
        </w:tabs>
        <w:jc w:val="both"/>
      </w:pPr>
      <w:r>
        <w:t>3. Identifying Gaps</w:t>
      </w:r>
    </w:p>
    <w:p w:rsidR="000F363E" w:rsidRDefault="00DB7E14" w:rsidP="000F363E">
      <w:pPr>
        <w:tabs>
          <w:tab w:val="num" w:pos="720"/>
        </w:tabs>
        <w:jc w:val="both"/>
      </w:pPr>
      <w:r>
        <w:t>Once the organisation has d</w:t>
      </w:r>
      <w:r w:rsidR="000F363E">
        <w:t xml:space="preserve">iscovered the requirements of the skills </w:t>
      </w:r>
      <w:r>
        <w:t>that are needed for the future workforce, this would need to be reviewed against current employee roles to determine the degree of difference within their current abilities. Taylor and Wilkinson suggests there are three stages to this review</w:t>
      </w:r>
      <w:r w:rsidR="002D2B15">
        <w:t xml:space="preserve"> (2016)</w:t>
      </w:r>
      <w:r>
        <w:t>;</w:t>
      </w:r>
    </w:p>
    <w:p w:rsidR="00DB7E14" w:rsidRDefault="00DB7E14" w:rsidP="00DB7E14">
      <w:pPr>
        <w:pStyle w:val="ListParagraph"/>
        <w:numPr>
          <w:ilvl w:val="0"/>
          <w:numId w:val="6"/>
        </w:numPr>
        <w:tabs>
          <w:tab w:val="num" w:pos="720"/>
        </w:tabs>
        <w:jc w:val="both"/>
      </w:pPr>
      <w:r>
        <w:t>Develop a list of competencies for each employee role and HR would have a framework of the expected skill level;</w:t>
      </w:r>
    </w:p>
    <w:p w:rsidR="00DB7E14" w:rsidRDefault="00DB7E14" w:rsidP="00DB7E14">
      <w:pPr>
        <w:pStyle w:val="ListParagraph"/>
        <w:numPr>
          <w:ilvl w:val="0"/>
          <w:numId w:val="6"/>
        </w:numPr>
        <w:tabs>
          <w:tab w:val="num" w:pos="720"/>
        </w:tabs>
        <w:jc w:val="both"/>
      </w:pPr>
      <w:r>
        <w:t>A manager to complete an audit form with their employees  to assess their current abilities;</w:t>
      </w:r>
    </w:p>
    <w:p w:rsidR="000F363E" w:rsidRDefault="00DB7E14" w:rsidP="000F363E">
      <w:pPr>
        <w:pStyle w:val="ListParagraph"/>
        <w:numPr>
          <w:ilvl w:val="0"/>
          <w:numId w:val="6"/>
        </w:numPr>
        <w:tabs>
          <w:tab w:val="num" w:pos="720"/>
        </w:tabs>
        <w:jc w:val="both"/>
      </w:pPr>
      <w:r>
        <w:t>Elaborate current skills against future requirements. Current skills within the labour m</w:t>
      </w:r>
      <w:r w:rsidR="000F363E">
        <w:t>arket can also reflect the skills required i.e. developments in technology.</w:t>
      </w:r>
    </w:p>
    <w:p w:rsidR="00DB7E14" w:rsidRDefault="00DB7E14" w:rsidP="00DB7E14">
      <w:pPr>
        <w:tabs>
          <w:tab w:val="num" w:pos="720"/>
        </w:tabs>
        <w:jc w:val="both"/>
      </w:pPr>
      <w:r>
        <w:t>4. Addressing the Gaps</w:t>
      </w:r>
    </w:p>
    <w:p w:rsidR="00DB7E14" w:rsidRDefault="00DB7E14" w:rsidP="00DB7E14">
      <w:pPr>
        <w:tabs>
          <w:tab w:val="num" w:pos="720"/>
        </w:tabs>
        <w:jc w:val="both"/>
      </w:pPr>
      <w:r>
        <w:t xml:space="preserve">Following completion of the above steps, </w:t>
      </w:r>
      <w:r w:rsidR="00FF4ED1">
        <w:t xml:space="preserve">the final piece of the puzzle is to choose if the organisation can develop its current employees through training initiatives, coaching and mentoring, retaining esteemed people and redundancy opportunities. These can be utilised with the support of external sources. HR professionals should be evaluating the current labour market for potential recruits, discuss schemes with graduates or subcontracting specific projects to a more experienced company. </w:t>
      </w:r>
    </w:p>
    <w:p w:rsidR="001504B6" w:rsidRPr="006F7A06" w:rsidRDefault="00FF4ED1" w:rsidP="001504B6">
      <w:pPr>
        <w:tabs>
          <w:tab w:val="num" w:pos="720"/>
        </w:tabs>
        <w:jc w:val="both"/>
      </w:pPr>
      <w:r>
        <w:t>It is more important than ever for HR professionals to plan for the future. With the completion of Brexit on 31 January 2020 leaving the country unsure of immigration procedures and closure of many manufacturing companies within the United Kingdom and automation developing a greater gap there should be a greater urgency to review learning and development require</w:t>
      </w:r>
      <w:r w:rsidR="002D2B15">
        <w:t>ments for the future workforce (Ulrich 2019).</w:t>
      </w:r>
    </w:p>
    <w:p w:rsidR="00571C3A" w:rsidRDefault="00571C3A" w:rsidP="00571C3A">
      <w:pPr>
        <w:jc w:val="both"/>
      </w:pPr>
      <w:r>
        <w:t>A</w:t>
      </w:r>
      <w:r w:rsidR="00A65024">
        <w:t xml:space="preserve"> useful tool to ensure that </w:t>
      </w:r>
      <w:r w:rsidR="00870965">
        <w:t>the above is being implemented correctly by stakeholders and reviewed regularly is an action plan.</w:t>
      </w:r>
      <w:r>
        <w:t xml:space="preserve"> It would include actions accurately set for stakeholders, </w:t>
      </w:r>
      <w:r w:rsidR="00870965">
        <w:t xml:space="preserve">ensure that they are clear </w:t>
      </w:r>
      <w:r>
        <w:t>on what is required from them and guarantee</w:t>
      </w:r>
      <w:r w:rsidR="00870965">
        <w:t xml:space="preserve"> that outcomes are reviewed regularly by incorporating clear evaluation processes during each stage to ensure consistency, fairness and efficiency in meeting the workforce planning </w:t>
      </w:r>
      <w:r w:rsidR="008D1565">
        <w:t>goals (Weeks 2019)</w:t>
      </w:r>
      <w:r>
        <w:t>. HR professionals are required to provide support to the required stakeholders and support them in developing an agile workforce and change-ready culture to allow employees to realise the benefits, prepare for change and p</w:t>
      </w:r>
      <w:r w:rsidR="00870965">
        <w:t xml:space="preserve">utting in place measures to support them during this transition. </w:t>
      </w:r>
    </w:p>
    <w:p w:rsidR="002D2B15" w:rsidRDefault="002D2B15" w:rsidP="00571C3A">
      <w:pPr>
        <w:jc w:val="both"/>
      </w:pPr>
      <w:r>
        <w:t xml:space="preserve">Line managers and HR professionals need to work collaboratively to meet the needs of a more flexible environment with employees having different needs but ensuring that they are meeting their contractual obligations by not following in the footpaths of Ryanair </w:t>
      </w:r>
      <w:r w:rsidR="00F371B0">
        <w:t>in dismissing holiday leave for pilots (</w:t>
      </w:r>
      <w:proofErr w:type="spellStart"/>
      <w:r w:rsidR="00F371B0">
        <w:t>Faragher</w:t>
      </w:r>
      <w:proofErr w:type="spellEnd"/>
      <w:r w:rsidR="00F371B0">
        <w:t xml:space="preserve"> 2017).</w:t>
      </w:r>
    </w:p>
    <w:p w:rsidR="00571C3A" w:rsidRPr="00571C3A" w:rsidRDefault="00571C3A" w:rsidP="008A6959">
      <w:pPr>
        <w:spacing w:after="0" w:line="240" w:lineRule="auto"/>
        <w:jc w:val="both"/>
        <w:rPr>
          <w:b/>
        </w:rPr>
      </w:pPr>
      <w:r w:rsidRPr="00571C3A">
        <w:rPr>
          <w:b/>
        </w:rPr>
        <w:t>Succession Planning</w:t>
      </w:r>
    </w:p>
    <w:p w:rsidR="00807A89" w:rsidRDefault="00807A89" w:rsidP="008A6959">
      <w:pPr>
        <w:spacing w:after="0" w:line="240" w:lineRule="auto"/>
        <w:jc w:val="both"/>
      </w:pPr>
      <w:r>
        <w:t>To maximise internal resources, succ</w:t>
      </w:r>
      <w:r w:rsidR="00123BB1">
        <w:t xml:space="preserve">ession planning is utilised to ensure than organisation has an ample amount of employees with the ability to be put forward into more senior vacant roles (Wilkinson and Taylor 2016). This allows an organisation to be able to internally promote on a temporary or full-time basis, have an efficient change when an employee leaves and lower costs from external recruitment drives. Previously, organisations would specifically choose employees that they wish to develop within the organisation but </w:t>
      </w:r>
      <w:r w:rsidR="002D476E">
        <w:t xml:space="preserve">for fairness, these opportunities are shared with all employees through clear communication avenues and </w:t>
      </w:r>
      <w:r w:rsidR="007B097A">
        <w:t xml:space="preserve">planned </w:t>
      </w:r>
      <w:r w:rsidR="002D476E">
        <w:t xml:space="preserve">appraisal meetings. </w:t>
      </w:r>
      <w:r w:rsidR="007B097A">
        <w:t xml:space="preserve">Although, some </w:t>
      </w:r>
      <w:r w:rsidR="007B097A">
        <w:lastRenderedPageBreak/>
        <w:t xml:space="preserve">positions wouldn’t be suitable for all employees and organisations would need to have a legitimate aim for removing an employee i.e. voluntary redundancy (Secker 2020). </w:t>
      </w:r>
    </w:p>
    <w:p w:rsidR="007B097A" w:rsidRDefault="007B097A" w:rsidP="008A6959">
      <w:pPr>
        <w:spacing w:after="0" w:line="240" w:lineRule="auto"/>
        <w:jc w:val="both"/>
      </w:pPr>
    </w:p>
    <w:p w:rsidR="007B097A" w:rsidRPr="00A34666" w:rsidRDefault="007B097A" w:rsidP="008A6959">
      <w:pPr>
        <w:spacing w:after="0" w:line="240" w:lineRule="auto"/>
        <w:jc w:val="both"/>
        <w:rPr>
          <w:i/>
        </w:rPr>
      </w:pPr>
      <w:r w:rsidRPr="00A34666">
        <w:t xml:space="preserve">Allowing an organisation to offer these opportunities to all staff can develop their talent pools and build many skilled employees through training initiatives, coaching and mentoring, buddying and shadowing. To agree which route is best, these can be agreed by line managers through performance meetings. </w:t>
      </w:r>
      <w:r w:rsidR="00A34666" w:rsidRPr="00A34666">
        <w:t>Weeks contemplated that perspective employees from outside the organisation would be able to provide fresh</w:t>
      </w:r>
      <w:r w:rsidR="00A34666">
        <w:t xml:space="preserve"> insight and best practice suggestions for discussion but their lack of company knowledge and culture may oversee their potential benefit (2020). </w:t>
      </w:r>
    </w:p>
    <w:p w:rsidR="007B097A" w:rsidRDefault="007B097A" w:rsidP="008A6959">
      <w:pPr>
        <w:spacing w:after="0" w:line="240" w:lineRule="auto"/>
        <w:jc w:val="both"/>
      </w:pPr>
    </w:p>
    <w:p w:rsidR="007B097A" w:rsidRDefault="007B097A" w:rsidP="008A6959">
      <w:pPr>
        <w:spacing w:after="0" w:line="240" w:lineRule="auto"/>
        <w:jc w:val="both"/>
      </w:pPr>
      <w:r>
        <w:t>Whilst planning for the future, HR professionals do need to consider the need for succession and if it would be required over the next 12 months or within five years. It can be a costly and exhaustive exercise for staff to undertake and they must ensure that it coincides wi</w:t>
      </w:r>
      <w:r w:rsidR="00A34666">
        <w:t>th organisational planning (Weeks 2020</w:t>
      </w:r>
      <w:r>
        <w:t>).</w:t>
      </w:r>
    </w:p>
    <w:p w:rsidR="00571C3A" w:rsidRDefault="00571C3A" w:rsidP="008A6959">
      <w:pPr>
        <w:spacing w:after="0" w:line="240" w:lineRule="auto"/>
        <w:jc w:val="both"/>
      </w:pPr>
    </w:p>
    <w:p w:rsidR="00571C3A" w:rsidRDefault="003C0854" w:rsidP="008A6959">
      <w:pPr>
        <w:spacing w:after="0" w:line="240" w:lineRule="auto"/>
        <w:jc w:val="both"/>
        <w:rPr>
          <w:b/>
        </w:rPr>
      </w:pPr>
      <w:r>
        <w:rPr>
          <w:b/>
        </w:rPr>
        <w:t>3. 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w:t>
      </w:r>
    </w:p>
    <w:p w:rsidR="003C0854" w:rsidRDefault="003C0854" w:rsidP="008A6959">
      <w:pPr>
        <w:spacing w:after="0" w:line="240" w:lineRule="auto"/>
        <w:jc w:val="both"/>
        <w:rPr>
          <w:b/>
        </w:rPr>
      </w:pPr>
    </w:p>
    <w:p w:rsidR="003C0854" w:rsidRDefault="00FA6BD5" w:rsidP="008A6959">
      <w:pPr>
        <w:spacing w:after="0" w:line="240" w:lineRule="auto"/>
        <w:jc w:val="both"/>
      </w:pPr>
      <w:r>
        <w:t xml:space="preserve">From the development of workplace planning and ensuring that the correct people, with the correct skills are recruited at the correct time, it is important to ensure that prospective employees lean towards the organisation and their skills and abilities are retained (Wilkinson and Taylor 2016). </w:t>
      </w:r>
    </w:p>
    <w:p w:rsidR="00A034A9" w:rsidRDefault="00A034A9" w:rsidP="008A6959">
      <w:pPr>
        <w:spacing w:after="0" w:line="240" w:lineRule="auto"/>
        <w:jc w:val="both"/>
      </w:pPr>
    </w:p>
    <w:p w:rsidR="00A034A9" w:rsidRDefault="00A034A9" w:rsidP="008A6959">
      <w:pPr>
        <w:spacing w:after="0" w:line="240" w:lineRule="auto"/>
        <w:jc w:val="both"/>
      </w:pPr>
      <w:r>
        <w:t>HR professionals are required to develop Retention strategies pulling information from leavers and current employees to attract and retain skilled individuals (</w:t>
      </w:r>
      <w:r w:rsidR="00ED7198">
        <w:t>Thomas and Hatcher 2018</w:t>
      </w:r>
      <w:r>
        <w:t xml:space="preserve">). There are push and pull factors that causes an employee to leave but turnover can be controlled by the contribution of managers, HR functions and workforce planning. </w:t>
      </w:r>
    </w:p>
    <w:p w:rsidR="00FA6BD5" w:rsidRPr="003C0854" w:rsidRDefault="00FA6BD5" w:rsidP="008A6959">
      <w:pPr>
        <w:spacing w:after="0" w:line="240" w:lineRule="auto"/>
        <w:jc w:val="both"/>
      </w:pPr>
    </w:p>
    <w:p w:rsidR="00571C3A" w:rsidRDefault="00FA6BD5" w:rsidP="008A6959">
      <w:pPr>
        <w:spacing w:after="0" w:line="240" w:lineRule="auto"/>
        <w:jc w:val="both"/>
      </w:pPr>
      <w:r>
        <w:t xml:space="preserve">During recruitment drives, it is vital for an organisation to consider its competitors, their positioning within the labour market and the skills level of their roles on offer. By comparing yourselves to organisations with similar skilled level roles, you are able to delve deeper into the monetary and non-monetary benefits that are available to new employees. From this, organisations can consider what they have to offer and prominently advertise these across recruitment platforms to demonstrate that they are the organisation of choice (Wilkinson and Taylor 2016). These benefits would include flexible working, salary, health and wellbeing initiatives, job security, learning and development etc. </w:t>
      </w:r>
      <w:r w:rsidR="00A034A9">
        <w:t>The organisation would be attracting a lot of interest and would have a pool of talent to choose a successful candidate but they would need to continuously review their benefits against many competitors offering low skilled roles.</w:t>
      </w:r>
    </w:p>
    <w:p w:rsidR="00FA6BD5" w:rsidRDefault="00FA6BD5" w:rsidP="008A6959">
      <w:pPr>
        <w:spacing w:after="0" w:line="240" w:lineRule="auto"/>
        <w:jc w:val="both"/>
      </w:pPr>
    </w:p>
    <w:p w:rsidR="00FA6BD5" w:rsidRDefault="00FA6BD5" w:rsidP="008A6959">
      <w:pPr>
        <w:spacing w:after="0" w:line="240" w:lineRule="auto"/>
        <w:jc w:val="both"/>
      </w:pPr>
      <w:r>
        <w:t xml:space="preserve">According to </w:t>
      </w:r>
      <w:r w:rsidR="00ED7198">
        <w:t xml:space="preserve">the </w:t>
      </w:r>
      <w:r>
        <w:t>CIPD</w:t>
      </w:r>
      <w:r w:rsidR="00ED7198">
        <w:t xml:space="preserve"> C</w:t>
      </w:r>
      <w:r>
        <w:t xml:space="preserve"> (</w:t>
      </w:r>
      <w:r w:rsidR="00ED7198">
        <w:t>2017</w:t>
      </w:r>
      <w:r w:rsidR="00A034A9">
        <w:t xml:space="preserve">), </w:t>
      </w:r>
      <w:r>
        <w:t xml:space="preserve">nearly 50% of organisations have concentrated on </w:t>
      </w:r>
      <w:r w:rsidR="00A034A9">
        <w:t xml:space="preserve">retaining their current employees. This would include developing their skills through learning and development platforms discovered through performance meetings. These candidates would have the skills necessary to be able to apply for more skilled roles in other organisations but there is a psychological element from a desire to ‘stay put’. This contract is based on the relationship between employee and employers and demonstrates their behaviours and attitude towards achieving the above benefits that were offered to attract new employees. </w:t>
      </w:r>
      <w:r w:rsidR="002B4A13">
        <w:t>In recent years, it has been difficult to retain the number of benefits on offer within an organisation due to internal and external contributors which can break the psychological relationship but communication is key and it is the line manager’s responsibility to retain the trust (</w:t>
      </w:r>
      <w:r w:rsidR="00ED7198">
        <w:t>Peters 2020</w:t>
      </w:r>
      <w:r w:rsidR="002B4A13">
        <w:t>).</w:t>
      </w:r>
    </w:p>
    <w:p w:rsidR="002B4A13" w:rsidRDefault="002B4A13" w:rsidP="008A6959">
      <w:pPr>
        <w:spacing w:after="0" w:line="240" w:lineRule="auto"/>
        <w:jc w:val="both"/>
      </w:pPr>
      <w:r>
        <w:lastRenderedPageBreak/>
        <w:t xml:space="preserve">The above points leads </w:t>
      </w:r>
      <w:r w:rsidR="009F5A42">
        <w:t>on to the importance of Employer</w:t>
      </w:r>
      <w:r>
        <w:t xml:space="preserve"> Brand. To stand out from competitors, a brand will put themselves out there and share everything</w:t>
      </w:r>
      <w:r w:rsidR="009F5A42">
        <w:t xml:space="preserve"> that they have on offer but this might not reflect their true working styles. This step can attract but might not be able to retain talent if they discover that the internal workings of an organisation does not reflect their advertised values and culture (</w:t>
      </w:r>
      <w:r w:rsidR="00ED7198">
        <w:t>Houghton 2019</w:t>
      </w:r>
      <w:r w:rsidR="009F5A42">
        <w:t xml:space="preserve">). A brand should be the golden thread throughout the organisation and lead through the experience of employees through each people management function i.e. recruitment, induction, performance etc. Employees’ attitudes are at the forefront of an employer brand as they are advocates of what they believe the organisation is and this is developed into a culture and vision that they are able to share with new employees (Wilkinson and Taylor 2016). </w:t>
      </w:r>
    </w:p>
    <w:p w:rsidR="009F5A42" w:rsidRDefault="009F5A42" w:rsidP="008A6959">
      <w:pPr>
        <w:spacing w:after="0" w:line="240" w:lineRule="auto"/>
        <w:jc w:val="both"/>
      </w:pPr>
    </w:p>
    <w:p w:rsidR="009F5A42" w:rsidRDefault="009F5A42" w:rsidP="008A6959">
      <w:pPr>
        <w:spacing w:after="0" w:line="240" w:lineRule="auto"/>
        <w:jc w:val="both"/>
      </w:pPr>
      <w:r>
        <w:t>Once an organisation has achieved their desired position within the labo</w:t>
      </w:r>
      <w:r w:rsidR="00107C5C">
        <w:t>ur market, they can</w:t>
      </w:r>
      <w:r>
        <w:t xml:space="preserve"> achieved a</w:t>
      </w:r>
      <w:r w:rsidR="00107C5C">
        <w:t>n</w:t>
      </w:r>
      <w:r>
        <w:t xml:space="preserve"> Employer of Choice status. </w:t>
      </w:r>
      <w:r w:rsidR="00107C5C">
        <w:t xml:space="preserve">This includes offering all the non-monetary benefits, conducting a seamless recruitment process and remembering to review their retention strategies with updated information. The labour market trends can change with the effect of internal and external PESTLE factors </w:t>
      </w:r>
      <w:r w:rsidR="0048605F">
        <w:t>but these steps will allow an organisation to remain an employer of choice (</w:t>
      </w:r>
      <w:r w:rsidR="00ED7198">
        <w:t>McCartney 2017).</w:t>
      </w:r>
      <w:r w:rsidR="0048605F">
        <w:t xml:space="preserve"> A positive of having this status is attracting talent from all sources of labour to secure high performance employees. The downside is it has become common for most organisations to be able to offer the above incentives and achieve the status. HR professionals and organisations have more responsibility to increase their recruitment drives to </w:t>
      </w:r>
      <w:r w:rsidR="00ED7198">
        <w:t>make the organisation seem so appealing to the correct person that they do not consider another role (Wilkinson and Taylor 2016).</w:t>
      </w:r>
    </w:p>
    <w:p w:rsidR="002B4A13" w:rsidRDefault="002B4A13" w:rsidP="008A6959">
      <w:pPr>
        <w:spacing w:after="0" w:line="240" w:lineRule="auto"/>
        <w:jc w:val="both"/>
      </w:pPr>
    </w:p>
    <w:p w:rsidR="00571C3A" w:rsidRDefault="00571C3A" w:rsidP="008A6959">
      <w:pPr>
        <w:spacing w:after="0" w:line="240" w:lineRule="auto"/>
        <w:jc w:val="both"/>
      </w:pPr>
    </w:p>
    <w:p w:rsidR="00571C3A" w:rsidRDefault="00297FA5" w:rsidP="008A6959">
      <w:pPr>
        <w:spacing w:after="0" w:line="240" w:lineRule="auto"/>
        <w:jc w:val="both"/>
        <w:rPr>
          <w:b/>
        </w:rPr>
      </w:pPr>
      <w:r>
        <w:rPr>
          <w:b/>
        </w:rPr>
        <w:t>4. In preparation for input at a managers meeting, summarise the following</w:t>
      </w:r>
    </w:p>
    <w:p w:rsidR="00297FA5" w:rsidRDefault="00297FA5" w:rsidP="00EF4B73">
      <w:pPr>
        <w:pStyle w:val="ListParagraph"/>
        <w:numPr>
          <w:ilvl w:val="0"/>
          <w:numId w:val="8"/>
        </w:numPr>
        <w:spacing w:after="0" w:line="240" w:lineRule="auto"/>
        <w:jc w:val="both"/>
        <w:rPr>
          <w:b/>
        </w:rPr>
      </w:pPr>
      <w:r>
        <w:rPr>
          <w:b/>
        </w:rPr>
        <w:t>Key aspects of good practice in relation to developing job descriptions, person specifications and competency frameworks</w:t>
      </w:r>
    </w:p>
    <w:p w:rsidR="00297FA5" w:rsidRDefault="00297FA5" w:rsidP="00EF4B73">
      <w:pPr>
        <w:pStyle w:val="ListParagraph"/>
        <w:numPr>
          <w:ilvl w:val="0"/>
          <w:numId w:val="8"/>
        </w:numPr>
        <w:spacing w:after="0" w:line="240" w:lineRule="auto"/>
        <w:jc w:val="both"/>
        <w:rPr>
          <w:b/>
        </w:rPr>
      </w:pPr>
      <w:r>
        <w:rPr>
          <w:b/>
        </w:rPr>
        <w:t>Different methods of recruitment and selection, and the strengths and weaknesses of each</w:t>
      </w:r>
    </w:p>
    <w:p w:rsidR="00297FA5" w:rsidRPr="00297FA5" w:rsidRDefault="00297FA5" w:rsidP="00EF4B73">
      <w:pPr>
        <w:pStyle w:val="ListParagraph"/>
        <w:numPr>
          <w:ilvl w:val="0"/>
          <w:numId w:val="8"/>
        </w:numPr>
        <w:spacing w:after="0" w:line="240" w:lineRule="auto"/>
        <w:jc w:val="both"/>
        <w:rPr>
          <w:b/>
        </w:rPr>
      </w:pPr>
      <w:r>
        <w:rPr>
          <w:b/>
        </w:rPr>
        <w:t>Good practice in relation to dismissal, redundancy and retirement.</w:t>
      </w:r>
    </w:p>
    <w:p w:rsidR="00571C3A" w:rsidRDefault="00571C3A" w:rsidP="008A6959">
      <w:pPr>
        <w:spacing w:after="0" w:line="240" w:lineRule="auto"/>
        <w:jc w:val="both"/>
      </w:pPr>
    </w:p>
    <w:p w:rsidR="00297FA5" w:rsidRDefault="00EF4B73" w:rsidP="008A6959">
      <w:pPr>
        <w:spacing w:after="0" w:line="240" w:lineRule="auto"/>
        <w:jc w:val="both"/>
      </w:pPr>
      <w:r>
        <w:t xml:space="preserve">a) </w:t>
      </w:r>
      <w:r w:rsidR="00297FA5">
        <w:t xml:space="preserve">When an organisation discovers that a vacancy is required within the organisation, they carry out an audit of the skills and capabilities required from the role. It is simpler when it is a current role that is required to fill as they are able to request information from the current post holder, their line manager, performance meetings and other relating stakeholders to complete interviews (Wilkinson and Taylor 2016). </w:t>
      </w:r>
    </w:p>
    <w:p w:rsidR="00297FA5" w:rsidRDefault="00297FA5" w:rsidP="008A6959">
      <w:pPr>
        <w:spacing w:after="0" w:line="240" w:lineRule="auto"/>
        <w:jc w:val="both"/>
      </w:pPr>
    </w:p>
    <w:p w:rsidR="00297FA5" w:rsidRDefault="00297FA5" w:rsidP="008A6959">
      <w:pPr>
        <w:spacing w:after="0" w:line="240" w:lineRule="auto"/>
        <w:jc w:val="both"/>
      </w:pPr>
      <w:r>
        <w:t>Once they have identified the needs of the role and any potential gaps that were being missed, they are able to develop a job description. The basis of a job description is to include all the required tasks that are expected to be undertaken by the prospective employee, their line manager and performance requirements which is normally included as part of the recruitment pack</w:t>
      </w:r>
      <w:r w:rsidR="007340B4">
        <w:t xml:space="preserve">. </w:t>
      </w:r>
    </w:p>
    <w:p w:rsidR="00297FA5" w:rsidRDefault="00297FA5" w:rsidP="008A6959">
      <w:pPr>
        <w:spacing w:after="0" w:line="240" w:lineRule="auto"/>
        <w:jc w:val="both"/>
      </w:pPr>
    </w:p>
    <w:p w:rsidR="007340B4" w:rsidRDefault="007340B4" w:rsidP="008A6959">
      <w:pPr>
        <w:spacing w:after="0" w:line="240" w:lineRule="auto"/>
        <w:jc w:val="both"/>
        <w:rPr>
          <w:noProof/>
          <w:lang w:eastAsia="en-GB"/>
        </w:rPr>
      </w:pPr>
      <w:r>
        <w:t xml:space="preserve">Whilst the job description concentrates on tasks, a person specification will determine the characteristics that are either essentially required or desirable from previous experience, to skills, abilities, knowledge etc. This document is prominently used as the basis for scoring and choosing prospective employees (CIPD). </w:t>
      </w:r>
    </w:p>
    <w:p w:rsidR="00571C3A" w:rsidRDefault="00571C3A" w:rsidP="008A6959">
      <w:pPr>
        <w:spacing w:after="0" w:line="240" w:lineRule="auto"/>
        <w:jc w:val="both"/>
      </w:pPr>
    </w:p>
    <w:p w:rsidR="007340B4" w:rsidRDefault="007340B4" w:rsidP="008A6959">
      <w:pPr>
        <w:spacing w:after="0" w:line="240" w:lineRule="auto"/>
        <w:jc w:val="both"/>
      </w:pPr>
      <w:r>
        <w:t>Once a candidate has been chosen and employed, an organisation can use competency frameworks to monitor the performance of a new employee against their job description and person specification (</w:t>
      </w:r>
      <w:r w:rsidR="00EF4B73">
        <w:t>Weeks 2020).</w:t>
      </w:r>
      <w:r>
        <w:t xml:space="preserve"> It can be used as an individually or organisational performance tool and can discover an employee’s current strengths and weaknesses against their effectiveness, behaviour and </w:t>
      </w:r>
      <w:r w:rsidR="00EF4B73">
        <w:t>required output</w:t>
      </w:r>
      <w:r>
        <w:t xml:space="preserve">. </w:t>
      </w:r>
    </w:p>
    <w:p w:rsidR="00571C3A" w:rsidRDefault="00571C3A" w:rsidP="008A6959">
      <w:pPr>
        <w:spacing w:after="0" w:line="240" w:lineRule="auto"/>
        <w:jc w:val="both"/>
      </w:pPr>
    </w:p>
    <w:p w:rsidR="00EF4B73" w:rsidRDefault="00EF4B73" w:rsidP="008A6959">
      <w:pPr>
        <w:spacing w:after="0" w:line="240" w:lineRule="auto"/>
        <w:jc w:val="both"/>
      </w:pPr>
      <w:r>
        <w:lastRenderedPageBreak/>
        <w:t>b) Before an employee is appointed, an organisation will hold recruitment and selection processes which is dependent on the complexity of the role and si</w:t>
      </w:r>
      <w:r w:rsidR="00A26A86">
        <w:t>ze of the organisation (Green 2020</w:t>
      </w:r>
      <w:r>
        <w:t xml:space="preserve">). After a recruitment pack has been developed and suitable approaches to advertising have been chosen, candidate applications and/or CVs will be examined and shortlisted. </w:t>
      </w:r>
    </w:p>
    <w:p w:rsidR="00EF4B73" w:rsidRDefault="00EF4B73" w:rsidP="008A6959">
      <w:pPr>
        <w:spacing w:after="0" w:line="240" w:lineRule="auto"/>
        <w:jc w:val="both"/>
      </w:pPr>
    </w:p>
    <w:p w:rsidR="00EF4B73" w:rsidRDefault="00EF4B73" w:rsidP="008A6959">
      <w:pPr>
        <w:spacing w:after="0" w:line="240" w:lineRule="auto"/>
        <w:jc w:val="both"/>
      </w:pPr>
      <w:r>
        <w:t xml:space="preserve">One of the most common methods of selection are interviews. These can be held over the phone, in person, as a group or via electronic video-calling devices. Interviews will vary from each organisation and the questions asked will be chosen surrounding the job description and person specification (Wilkinson and Taylor 2016). </w:t>
      </w:r>
      <w:r w:rsidR="006802E7">
        <w:t>This is an opportunity for a candidate to be able to ask any additional questions at the end of the process, set their mind at ease and have a full picture of the organisation that they will potentially be a part of. On the other hand, interviewers will have the ability to set the tone of the interview, being controlled by their own personal preference of the candidate and similarities to their own upbringing (</w:t>
      </w:r>
      <w:r w:rsidR="00A26A86">
        <w:t>Green 2019</w:t>
      </w:r>
      <w:r w:rsidR="006802E7">
        <w:t>).</w:t>
      </w:r>
      <w:r w:rsidR="00A26A86">
        <w:t xml:space="preserve"> An organisation would be expected to make reasonable adjustments for each candidate to attend interview and ensure fairness by using identical questions for each candidate (ACAS 2020). </w:t>
      </w:r>
    </w:p>
    <w:p w:rsidR="006802E7" w:rsidRDefault="006802E7" w:rsidP="008A6959">
      <w:pPr>
        <w:spacing w:after="0" w:line="240" w:lineRule="auto"/>
        <w:jc w:val="both"/>
      </w:pPr>
    </w:p>
    <w:p w:rsidR="006802E7" w:rsidRDefault="006802E7" w:rsidP="008A6959">
      <w:pPr>
        <w:spacing w:after="0" w:line="240" w:lineRule="auto"/>
        <w:jc w:val="both"/>
      </w:pPr>
      <w:r>
        <w:t>Many organisations wil</w:t>
      </w:r>
      <w:r w:rsidR="001E0448">
        <w:t>l expand on using interviews a</w:t>
      </w:r>
      <w:r>
        <w:t xml:space="preserve">nd link in with </w:t>
      </w:r>
      <w:r w:rsidR="001E0448">
        <w:t>requesting candidates to provide working samples from their prospective job role. This can include conducting a power point presentation, tests and/or role-playing etc. These activities are more commonly used in candidate groups and can positively examine an individual’s capability across numerous methods of communication (</w:t>
      </w:r>
      <w:r w:rsidR="00A26A86">
        <w:t>Green 2019</w:t>
      </w:r>
      <w:r w:rsidR="001E0448">
        <w:t xml:space="preserve">). This can be a very time consuming and costly exercise for organisations and would be most suitable for organisations with numerous skilled roles i.e. call centres.  </w:t>
      </w:r>
    </w:p>
    <w:p w:rsidR="001E0448" w:rsidRDefault="001E0448" w:rsidP="008A6959">
      <w:pPr>
        <w:spacing w:after="0" w:line="240" w:lineRule="auto"/>
        <w:jc w:val="both"/>
      </w:pPr>
    </w:p>
    <w:p w:rsidR="00A26A86" w:rsidRDefault="001E0448" w:rsidP="008A6959">
      <w:pPr>
        <w:spacing w:after="0" w:line="240" w:lineRule="auto"/>
        <w:jc w:val="both"/>
      </w:pPr>
      <w:r>
        <w:t xml:space="preserve">The last example of an appropriate selection method is References. This step is most commonly used after a candidate has been </w:t>
      </w:r>
      <w:r w:rsidR="00A26A86">
        <w:t>provisionally</w:t>
      </w:r>
      <w:r>
        <w:t xml:space="preserve"> offered a role and an organisation wish to complete pre-employment checks on their suitability from previous roles or </w:t>
      </w:r>
      <w:r w:rsidR="00A26A86">
        <w:t>an individual they know. It is expected that at least one reference is received from a past employer but it is common practice that they will only provide information on their title, employment dates and leaving reason (Wilkinson and Taylor 2016).</w:t>
      </w:r>
    </w:p>
    <w:p w:rsidR="00571C3A" w:rsidRDefault="00571C3A" w:rsidP="008A6959">
      <w:pPr>
        <w:spacing w:after="0" w:line="240" w:lineRule="auto"/>
        <w:jc w:val="both"/>
      </w:pPr>
    </w:p>
    <w:p w:rsidR="00571C3A" w:rsidRDefault="00A26A86" w:rsidP="008A6959">
      <w:pPr>
        <w:spacing w:after="0" w:line="240" w:lineRule="auto"/>
        <w:jc w:val="both"/>
      </w:pPr>
      <w:r>
        <w:t>c)</w:t>
      </w:r>
      <w:r w:rsidR="00636368">
        <w:t xml:space="preserve"> We have previously discussed employees leaving an organisation to join other organisations but we there are other factors that can affect employee turnover. </w:t>
      </w:r>
    </w:p>
    <w:p w:rsidR="00636368" w:rsidRDefault="00636368" w:rsidP="008A6959">
      <w:pPr>
        <w:spacing w:after="0" w:line="240" w:lineRule="auto"/>
        <w:jc w:val="both"/>
      </w:pPr>
    </w:p>
    <w:p w:rsidR="00A26A86" w:rsidRPr="00636368" w:rsidRDefault="00A26A86" w:rsidP="008A6959">
      <w:pPr>
        <w:spacing w:after="0" w:line="240" w:lineRule="auto"/>
        <w:jc w:val="both"/>
        <w:rPr>
          <w:b/>
        </w:rPr>
      </w:pPr>
      <w:r w:rsidRPr="00636368">
        <w:rPr>
          <w:b/>
        </w:rPr>
        <w:t>Retirement</w:t>
      </w:r>
    </w:p>
    <w:p w:rsidR="00636368" w:rsidRDefault="00636368" w:rsidP="008A6959">
      <w:pPr>
        <w:spacing w:after="0" w:line="240" w:lineRule="auto"/>
        <w:jc w:val="both"/>
      </w:pPr>
      <w:r>
        <w:t>It has been legally introduced that an organisation is not allowed to ask an employee to leave an organisation once they have reached their statutory state pension age. Organisations are expected to conduct regular discussions with employees closel</w:t>
      </w:r>
      <w:r w:rsidR="002B0D86">
        <w:t>y reaching their retirement age</w:t>
      </w:r>
      <w:r>
        <w:t xml:space="preserve"> and can propose a range of flexible working conditions to lessen their concerns of leaving the workforce. </w:t>
      </w:r>
      <w:r w:rsidR="002B0D86">
        <w:t xml:space="preserve">For all employees that aren’t reaching their required performance standards, these can be achieved through capability meetings (Taylor and Wilkinson 2016). </w:t>
      </w:r>
    </w:p>
    <w:p w:rsidR="002B0D86" w:rsidRDefault="002B0D86" w:rsidP="008A6959">
      <w:pPr>
        <w:spacing w:after="0" w:line="240" w:lineRule="auto"/>
        <w:jc w:val="both"/>
      </w:pPr>
    </w:p>
    <w:p w:rsidR="002B0D86" w:rsidRDefault="002B0D86" w:rsidP="008A6959">
      <w:pPr>
        <w:spacing w:after="0" w:line="240" w:lineRule="auto"/>
        <w:jc w:val="both"/>
        <w:rPr>
          <w:b/>
        </w:rPr>
      </w:pPr>
      <w:r>
        <w:rPr>
          <w:b/>
        </w:rPr>
        <w:t>Dismissal</w:t>
      </w:r>
    </w:p>
    <w:p w:rsidR="002B0D86" w:rsidRDefault="002B0D86" w:rsidP="002B0D86">
      <w:pPr>
        <w:spacing w:after="0" w:line="240" w:lineRule="auto"/>
        <w:jc w:val="both"/>
      </w:pPr>
      <w:r>
        <w:t>A dismissal occurs when an employer has a lawful reason to end an employee’s contract of employmen</w:t>
      </w:r>
      <w:r w:rsidR="00AB2D92">
        <w:t xml:space="preserve">t and has </w:t>
      </w:r>
      <w:r>
        <w:t>followed the requirements of the Acas Code of Conduct. Dismissals result from disciplinary surrounding conduct and/or capability which have not been resolved within the workplace (Wilkinson and Taylor 2016).  If an employee believes that they have been dismissed unfairly, they are able to make a claim to the Employee Tribunal and organisations that have not followed the Acas Code of Conduct can be charged an additional 25% fee to an em</w:t>
      </w:r>
      <w:r w:rsidR="00AB2D92">
        <w:t>ployee that has won their case (Acas 2015).</w:t>
      </w:r>
    </w:p>
    <w:p w:rsidR="002B0D86" w:rsidRDefault="002B0D86"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636368" w:rsidRPr="00AB2D92" w:rsidRDefault="00AB2D92" w:rsidP="008A6959">
      <w:pPr>
        <w:spacing w:after="0" w:line="240" w:lineRule="auto"/>
        <w:jc w:val="both"/>
        <w:rPr>
          <w:b/>
        </w:rPr>
      </w:pPr>
      <w:r w:rsidRPr="00AB2D92">
        <w:rPr>
          <w:b/>
        </w:rPr>
        <w:lastRenderedPageBreak/>
        <w:t>Redundancy</w:t>
      </w:r>
    </w:p>
    <w:p w:rsidR="00636368" w:rsidRDefault="00AB2D92" w:rsidP="008A6959">
      <w:pPr>
        <w:spacing w:after="0" w:line="240" w:lineRule="auto"/>
        <w:jc w:val="both"/>
      </w:pPr>
      <w:r>
        <w:t xml:space="preserve">Redundancies can occur when ‘the job role that the individual performs is no longer viable’ Taylor and </w:t>
      </w:r>
      <w:proofErr w:type="spellStart"/>
      <w:r>
        <w:t>Wikinson</w:t>
      </w:r>
      <w:proofErr w:type="spellEnd"/>
      <w:r>
        <w:t xml:space="preserve"> (2016). Prior to this step, it is appropriate for organisations to consider alternative methods to compulsory redundancy in conjunction with employee representatives and trade unions. This can include offering a change in working hours, voluntary redundancy, reduced salary etc. When it has been discovered that compulsory redundancy is required, an organisation must follow their redundancy plan</w:t>
      </w:r>
      <w:r w:rsidR="00F47228">
        <w:t>, consult</w:t>
      </w:r>
      <w:r>
        <w:t xml:space="preserve"> and regularly communicate</w:t>
      </w:r>
      <w:r w:rsidR="00F47228">
        <w:t xml:space="preserve"> updates to all their employees (Acas B 2020).</w:t>
      </w:r>
    </w:p>
    <w:p w:rsidR="00AB2D92" w:rsidRDefault="00AB2D92"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571C3A" w:rsidRDefault="00571C3A"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F47228" w:rsidRDefault="00F47228" w:rsidP="008A6959">
      <w:pPr>
        <w:spacing w:after="0" w:line="240" w:lineRule="auto"/>
        <w:jc w:val="both"/>
      </w:pPr>
    </w:p>
    <w:p w:rsidR="00571C3A" w:rsidRPr="00F47228" w:rsidRDefault="00F47228" w:rsidP="008A6959">
      <w:pPr>
        <w:spacing w:after="0" w:line="240" w:lineRule="auto"/>
        <w:jc w:val="both"/>
        <w:rPr>
          <w:b/>
          <w:u w:val="single"/>
        </w:rPr>
      </w:pPr>
      <w:r w:rsidRPr="00F47228">
        <w:rPr>
          <w:b/>
          <w:u w:val="single"/>
        </w:rPr>
        <w:lastRenderedPageBreak/>
        <w:t>Bibliography and Referencing</w:t>
      </w:r>
    </w:p>
    <w:p w:rsidR="00571C3A" w:rsidRDefault="00571C3A" w:rsidP="008A6959">
      <w:pPr>
        <w:spacing w:after="0" w:line="240" w:lineRule="auto"/>
        <w:jc w:val="both"/>
      </w:pPr>
    </w:p>
    <w:p w:rsidR="00571C3A" w:rsidRDefault="00AB2D92" w:rsidP="008A6959">
      <w:pPr>
        <w:spacing w:after="0" w:line="240" w:lineRule="auto"/>
        <w:jc w:val="both"/>
      </w:pPr>
      <w:r>
        <w:t xml:space="preserve">Acas (2015) </w:t>
      </w:r>
      <w:r>
        <w:rPr>
          <w:i/>
        </w:rPr>
        <w:t xml:space="preserve">Code of Practice on Disciplinary and Grievance procedures. </w:t>
      </w:r>
      <w:r>
        <w:t xml:space="preserve">Available at: </w:t>
      </w:r>
      <w:hyperlink r:id="rId5" w:history="1">
        <w:r>
          <w:rPr>
            <w:rStyle w:val="Hyperlink"/>
          </w:rPr>
          <w:t>https://www.acas.org.uk/acas-code-of-practice-for-disciplinary-and-grievance-procedures/html</w:t>
        </w:r>
      </w:hyperlink>
      <w:r>
        <w:t>. (Accessed: 13 April 2020).</w:t>
      </w:r>
    </w:p>
    <w:p w:rsidR="00571C3A" w:rsidRDefault="00571C3A" w:rsidP="008A6959">
      <w:pPr>
        <w:spacing w:after="0" w:line="240" w:lineRule="auto"/>
        <w:jc w:val="both"/>
      </w:pPr>
    </w:p>
    <w:p w:rsidR="00571C3A" w:rsidRDefault="00AB2D92" w:rsidP="008A6959">
      <w:pPr>
        <w:spacing w:after="0" w:line="240" w:lineRule="auto"/>
        <w:jc w:val="both"/>
      </w:pPr>
      <w:r>
        <w:t>Acas</w:t>
      </w:r>
      <w:r w:rsidR="00F47228">
        <w:t xml:space="preserve"> A</w:t>
      </w:r>
      <w:r w:rsidR="00A26A86">
        <w:t xml:space="preserve"> (2020) </w:t>
      </w:r>
      <w:r w:rsidR="00A26A86">
        <w:rPr>
          <w:i/>
        </w:rPr>
        <w:t xml:space="preserve">Hiring someone. </w:t>
      </w:r>
      <w:r w:rsidR="00A26A86">
        <w:t xml:space="preserve">Available at: </w:t>
      </w:r>
      <w:hyperlink r:id="rId6" w:history="1">
        <w:r w:rsidR="00A26A86">
          <w:rPr>
            <w:rStyle w:val="Hyperlink"/>
          </w:rPr>
          <w:t>https://www.acas.org.uk/hiring-someone</w:t>
        </w:r>
      </w:hyperlink>
      <w:r w:rsidR="00A26A86">
        <w:t>. (Accessed: 13 April 2020).</w:t>
      </w:r>
    </w:p>
    <w:p w:rsidR="00F47228" w:rsidRDefault="00F47228" w:rsidP="008A6959">
      <w:pPr>
        <w:spacing w:after="0" w:line="240" w:lineRule="auto"/>
        <w:jc w:val="both"/>
      </w:pPr>
    </w:p>
    <w:p w:rsidR="00F47228" w:rsidRPr="00F47228" w:rsidRDefault="00F47228" w:rsidP="008A6959">
      <w:pPr>
        <w:spacing w:after="0" w:line="240" w:lineRule="auto"/>
        <w:jc w:val="both"/>
      </w:pPr>
      <w:r>
        <w:t xml:space="preserve">Acas B (2020) </w:t>
      </w:r>
      <w:r>
        <w:rPr>
          <w:i/>
        </w:rPr>
        <w:t xml:space="preserve">Managing Staff Redundancies. </w:t>
      </w:r>
      <w:r>
        <w:t xml:space="preserve">Available at: </w:t>
      </w:r>
      <w:hyperlink r:id="rId7" w:history="1">
        <w:r>
          <w:rPr>
            <w:rStyle w:val="Hyperlink"/>
          </w:rPr>
          <w:t>https://www.acas.org.uk/manage-staff-redundancies</w:t>
        </w:r>
      </w:hyperlink>
      <w:r>
        <w:t xml:space="preserve"> (Accessed: 13 April 2020).</w:t>
      </w:r>
    </w:p>
    <w:p w:rsidR="00571C3A" w:rsidRDefault="00571C3A" w:rsidP="008A6959">
      <w:pPr>
        <w:spacing w:after="0" w:line="240" w:lineRule="auto"/>
        <w:jc w:val="both"/>
      </w:pPr>
    </w:p>
    <w:p w:rsidR="008A6959" w:rsidRDefault="00571C3A" w:rsidP="008A6959">
      <w:pPr>
        <w:spacing w:after="0" w:line="240" w:lineRule="auto"/>
        <w:jc w:val="both"/>
        <w:rPr>
          <w:rStyle w:val="Hyperlink"/>
        </w:rPr>
      </w:pPr>
      <w:r>
        <w:t>C</w:t>
      </w:r>
      <w:r w:rsidR="008A6959" w:rsidRPr="00793581">
        <w:t xml:space="preserve">hirgwin, M. (2019) </w:t>
      </w:r>
      <w:r w:rsidR="008A6959" w:rsidRPr="00793581">
        <w:rPr>
          <w:i/>
        </w:rPr>
        <w:t xml:space="preserve">Staff Turnover in Social Care Cited as Highest of any Sector in UK. </w:t>
      </w:r>
      <w:r w:rsidR="008A6959" w:rsidRPr="00793581">
        <w:t xml:space="preserve">Available at: </w:t>
      </w:r>
      <w:hyperlink r:id="rId8" w:history="1">
        <w:r w:rsidR="008A6959" w:rsidRPr="00793581">
          <w:rPr>
            <w:rStyle w:val="Hyperlink"/>
          </w:rPr>
          <w:t>https://www.homecare.co.uk/news/article.cfm/id/1607171/staff-turnover-in-socal-care-cited-as-the-highest-of-any-sector-in-the-uk</w:t>
        </w:r>
      </w:hyperlink>
      <w:r w:rsidR="008A6959" w:rsidRPr="00793581">
        <w:rPr>
          <w:rStyle w:val="Hyperlink"/>
        </w:rPr>
        <w:t xml:space="preserve"> </w:t>
      </w:r>
      <w:r w:rsidR="008A6959" w:rsidRPr="0004637D">
        <w:rPr>
          <w:rStyle w:val="Hyperlink"/>
          <w:color w:val="auto"/>
          <w:u w:val="none"/>
        </w:rPr>
        <w:t>(Accessed: 20 February 2020).</w:t>
      </w:r>
      <w:r w:rsidR="008A6959" w:rsidRPr="0004637D">
        <w:rPr>
          <w:rStyle w:val="Hyperlink"/>
          <w:color w:val="auto"/>
        </w:rPr>
        <w:t xml:space="preserve"> </w:t>
      </w:r>
    </w:p>
    <w:p w:rsidR="0004637D" w:rsidRDefault="0004637D" w:rsidP="008A6959">
      <w:pPr>
        <w:spacing w:after="0" w:line="240" w:lineRule="auto"/>
        <w:jc w:val="both"/>
        <w:rPr>
          <w:rStyle w:val="Hyperlink"/>
        </w:rPr>
      </w:pPr>
    </w:p>
    <w:p w:rsidR="008A6959" w:rsidRDefault="0004637D" w:rsidP="0004637D">
      <w:pPr>
        <w:spacing w:after="0" w:line="240" w:lineRule="auto"/>
        <w:jc w:val="both"/>
      </w:pPr>
      <w:r w:rsidRPr="0004637D">
        <w:rPr>
          <w:rStyle w:val="Hyperlink"/>
          <w:color w:val="auto"/>
          <w:u w:val="none"/>
        </w:rPr>
        <w:t>CIPD</w:t>
      </w:r>
      <w:r w:rsidR="00084906">
        <w:rPr>
          <w:rStyle w:val="Hyperlink"/>
          <w:color w:val="auto"/>
          <w:u w:val="none"/>
        </w:rPr>
        <w:t xml:space="preserve"> A</w:t>
      </w:r>
      <w:r>
        <w:rPr>
          <w:rStyle w:val="Hyperlink"/>
          <w:color w:val="auto"/>
          <w:u w:val="none"/>
        </w:rPr>
        <w:t xml:space="preserve"> (2019) </w:t>
      </w:r>
      <w:r>
        <w:rPr>
          <w:rStyle w:val="Hyperlink"/>
          <w:i/>
          <w:color w:val="auto"/>
          <w:u w:val="none"/>
        </w:rPr>
        <w:t xml:space="preserve">Brexit Impact on Workforce Trends. </w:t>
      </w:r>
      <w:r>
        <w:rPr>
          <w:rStyle w:val="Hyperlink"/>
          <w:color w:val="auto"/>
          <w:u w:val="none"/>
        </w:rPr>
        <w:t xml:space="preserve">Available at: </w:t>
      </w:r>
      <w:hyperlink r:id="rId9" w:anchor="52112" w:history="1">
        <w:r>
          <w:rPr>
            <w:rStyle w:val="Hyperlink"/>
          </w:rPr>
          <w:t>https://www.cipd.co.uk/news-views/brexit-hub/workforce-trends#52112</w:t>
        </w:r>
      </w:hyperlink>
      <w:r>
        <w:t xml:space="preserve">. (Accessed: 31 March 2020). </w:t>
      </w:r>
    </w:p>
    <w:p w:rsidR="00084906" w:rsidRDefault="00084906" w:rsidP="0004637D">
      <w:pPr>
        <w:spacing w:after="0" w:line="240" w:lineRule="auto"/>
        <w:jc w:val="both"/>
      </w:pPr>
    </w:p>
    <w:p w:rsidR="00084906" w:rsidRDefault="00084906" w:rsidP="0004637D">
      <w:pPr>
        <w:spacing w:after="0" w:line="240" w:lineRule="auto"/>
        <w:jc w:val="both"/>
      </w:pPr>
      <w:r>
        <w:t xml:space="preserve">CIPD B (2019) </w:t>
      </w:r>
      <w:r>
        <w:rPr>
          <w:i/>
        </w:rPr>
        <w:t xml:space="preserve">Megatrends – ageing gracefully the </w:t>
      </w:r>
      <w:r w:rsidR="00ED7198">
        <w:rPr>
          <w:i/>
        </w:rPr>
        <w:t>opportunities</w:t>
      </w:r>
      <w:r>
        <w:rPr>
          <w:i/>
        </w:rPr>
        <w:t xml:space="preserve"> of an older workforce. </w:t>
      </w:r>
      <w:r>
        <w:t xml:space="preserve">Available at </w:t>
      </w:r>
      <w:hyperlink r:id="rId10" w:history="1">
        <w:r w:rsidRPr="004F5BD1">
          <w:rPr>
            <w:rStyle w:val="Hyperlink"/>
          </w:rPr>
          <w:t>https://www.cipd.co.uk/knowledge/work/trends/megatrends/ageing-gracefully-workforce</w:t>
        </w:r>
      </w:hyperlink>
      <w:r>
        <w:t xml:space="preserve">. (Accessed: 31 March 2020). </w:t>
      </w:r>
    </w:p>
    <w:p w:rsidR="00ED7198" w:rsidRDefault="00ED7198" w:rsidP="0004637D">
      <w:pPr>
        <w:spacing w:after="0" w:line="240" w:lineRule="auto"/>
        <w:jc w:val="both"/>
      </w:pPr>
    </w:p>
    <w:p w:rsidR="00ED7198" w:rsidRPr="00ED7198" w:rsidRDefault="00ED7198" w:rsidP="0004637D">
      <w:pPr>
        <w:spacing w:after="0" w:line="240" w:lineRule="auto"/>
        <w:jc w:val="both"/>
        <w:rPr>
          <w:b/>
        </w:rPr>
      </w:pPr>
      <w:r>
        <w:t xml:space="preserve">CIPD C (2017) </w:t>
      </w:r>
      <w:r>
        <w:rPr>
          <w:i/>
        </w:rPr>
        <w:t xml:space="preserve">Resourcing and Talent Planning 2017. </w:t>
      </w:r>
      <w:r>
        <w:t xml:space="preserve">Available at: </w:t>
      </w:r>
      <w:hyperlink r:id="rId11" w:history="1">
        <w:r>
          <w:rPr>
            <w:rStyle w:val="Hyperlink"/>
          </w:rPr>
          <w:t>https://www.cipd.co.uk/Images/resourcing-talent-planning_2017_tcm18-23747.pdf</w:t>
        </w:r>
      </w:hyperlink>
      <w:r>
        <w:t xml:space="preserve"> (Accessed: 11 April 2020).</w:t>
      </w:r>
    </w:p>
    <w:p w:rsidR="0004637D" w:rsidRDefault="0004637D" w:rsidP="0004637D">
      <w:pPr>
        <w:spacing w:after="0" w:line="240" w:lineRule="auto"/>
        <w:jc w:val="both"/>
      </w:pPr>
    </w:p>
    <w:p w:rsidR="0004637D" w:rsidRDefault="0004637D" w:rsidP="0004637D">
      <w:pPr>
        <w:spacing w:after="0" w:line="240" w:lineRule="auto"/>
        <w:jc w:val="both"/>
      </w:pPr>
      <w:proofErr w:type="spellStart"/>
      <w:r>
        <w:t>Eures</w:t>
      </w:r>
      <w:proofErr w:type="spellEnd"/>
      <w:r>
        <w:t xml:space="preserve"> (2019) </w:t>
      </w:r>
      <w:r>
        <w:rPr>
          <w:i/>
        </w:rPr>
        <w:t xml:space="preserve">Labour Market Information. </w:t>
      </w:r>
      <w:r>
        <w:t xml:space="preserve">Available at: </w:t>
      </w:r>
      <w:hyperlink r:id="rId12" w:history="1">
        <w:r>
          <w:rPr>
            <w:rStyle w:val="Hyperlink"/>
          </w:rPr>
          <w:t>https://ec.europa.eu/eures/main.jsp?catId=2641&amp;lmi=Y&amp;acro=lmi&amp;lang=en&amp;recordLang=en&amp;parentId=&amp;countryId=DE&amp;regionId=DE0&amp;nuts2Code=null&amp;nuts3Code=null&amp;mode=text&amp;regionName=National%20Level</w:t>
        </w:r>
      </w:hyperlink>
      <w:r>
        <w:t xml:space="preserve"> (Accessed: 31 March 2020).</w:t>
      </w:r>
    </w:p>
    <w:p w:rsidR="00084906" w:rsidRDefault="00084906" w:rsidP="0004637D">
      <w:pPr>
        <w:spacing w:after="0" w:line="240" w:lineRule="auto"/>
        <w:jc w:val="both"/>
      </w:pPr>
    </w:p>
    <w:p w:rsidR="00084906" w:rsidRDefault="00084906" w:rsidP="0004637D">
      <w:pPr>
        <w:spacing w:after="0" w:line="240" w:lineRule="auto"/>
        <w:jc w:val="both"/>
      </w:pPr>
      <w:r>
        <w:t xml:space="preserve">Facts about Germany (n.d.) </w:t>
      </w:r>
      <w:r>
        <w:rPr>
          <w:i/>
        </w:rPr>
        <w:t xml:space="preserve">Attractive Labour Market. </w:t>
      </w:r>
      <w:r>
        <w:t xml:space="preserve">Available at: </w:t>
      </w:r>
      <w:hyperlink r:id="rId13" w:history="1">
        <w:r>
          <w:rPr>
            <w:rStyle w:val="Hyperlink"/>
          </w:rPr>
          <w:t>https://www.tatsachen-ueber-deutschland.de/en/chapter/business-innovation/attractive-labour-market</w:t>
        </w:r>
      </w:hyperlink>
      <w:r>
        <w:t>. (Accessed: 31 March 2020).</w:t>
      </w:r>
    </w:p>
    <w:p w:rsidR="00A34666" w:rsidRDefault="00A34666" w:rsidP="0004637D">
      <w:pPr>
        <w:spacing w:after="0" w:line="240" w:lineRule="auto"/>
        <w:jc w:val="both"/>
      </w:pPr>
    </w:p>
    <w:p w:rsidR="00A34666" w:rsidRDefault="00A34666" w:rsidP="00A34666">
      <w:pPr>
        <w:jc w:val="both"/>
        <w:rPr>
          <w:rFonts w:ascii="Calibri" w:hAnsi="Calibri"/>
        </w:rPr>
      </w:pPr>
      <w:proofErr w:type="spellStart"/>
      <w:r>
        <w:t>Faragher</w:t>
      </w:r>
      <w:proofErr w:type="spellEnd"/>
      <w:r>
        <w:t xml:space="preserve">, J. (2017) </w:t>
      </w:r>
      <w:r>
        <w:rPr>
          <w:i/>
        </w:rPr>
        <w:t xml:space="preserve">How to solve workforce planning – before you become the next Ryanair) </w:t>
      </w:r>
      <w:r>
        <w:t xml:space="preserve">Available at: </w:t>
      </w:r>
      <w:hyperlink r:id="rId14" w:history="1">
        <w:r w:rsidRPr="009E42E1">
          <w:rPr>
            <w:rStyle w:val="Hyperlink"/>
          </w:rPr>
          <w:t>https://www.peoplemanagement.co.uk/long-reads/articles/ryanair-workforce-planning</w:t>
        </w:r>
      </w:hyperlink>
      <w:r>
        <w:rPr>
          <w:rFonts w:ascii="Calibri" w:hAnsi="Calibri"/>
        </w:rPr>
        <w:t xml:space="preserve"> (Accessed: 6 April 2020).</w:t>
      </w:r>
    </w:p>
    <w:p w:rsidR="00A26A86" w:rsidRPr="00A26A86" w:rsidRDefault="00A26A86" w:rsidP="00A34666">
      <w:pPr>
        <w:jc w:val="both"/>
        <w:rPr>
          <w:rFonts w:ascii="Calibri" w:hAnsi="Calibri"/>
        </w:rPr>
      </w:pPr>
      <w:r>
        <w:rPr>
          <w:rFonts w:ascii="Calibri" w:hAnsi="Calibri"/>
        </w:rPr>
        <w:t xml:space="preserve">Green, M. (2019). </w:t>
      </w:r>
      <w:r>
        <w:rPr>
          <w:rFonts w:ascii="Calibri" w:hAnsi="Calibri"/>
          <w:i/>
        </w:rPr>
        <w:t xml:space="preserve">Selection Methods. </w:t>
      </w:r>
      <w:r>
        <w:rPr>
          <w:rFonts w:ascii="Calibri" w:hAnsi="Calibri"/>
        </w:rPr>
        <w:t xml:space="preserve">Available at: </w:t>
      </w:r>
      <w:hyperlink r:id="rId15" w:history="1">
        <w:r>
          <w:rPr>
            <w:rStyle w:val="Hyperlink"/>
          </w:rPr>
          <w:t>https://www.cipd.co.uk/knowledge/fundamentals/people/recruitment/selection-factsheet</w:t>
        </w:r>
      </w:hyperlink>
      <w:r>
        <w:t>. (Accessed: 13 April 2020.</w:t>
      </w:r>
    </w:p>
    <w:p w:rsidR="00A26A86" w:rsidRPr="00A26A86" w:rsidRDefault="00A26A86" w:rsidP="00A34666">
      <w:pPr>
        <w:jc w:val="both"/>
        <w:rPr>
          <w:rFonts w:ascii="Calibri" w:hAnsi="Calibri"/>
        </w:rPr>
      </w:pPr>
      <w:r>
        <w:rPr>
          <w:rFonts w:ascii="Calibri" w:hAnsi="Calibri"/>
        </w:rPr>
        <w:t xml:space="preserve">Green, M. (2020) </w:t>
      </w:r>
      <w:r>
        <w:rPr>
          <w:rFonts w:ascii="Calibri" w:hAnsi="Calibri"/>
          <w:i/>
        </w:rPr>
        <w:t xml:space="preserve">Recruitment: An Introduction. </w:t>
      </w:r>
      <w:r>
        <w:rPr>
          <w:rFonts w:ascii="Calibri" w:hAnsi="Calibri"/>
        </w:rPr>
        <w:t xml:space="preserve">Available at: </w:t>
      </w:r>
      <w:hyperlink r:id="rId16" w:history="1">
        <w:r>
          <w:rPr>
            <w:rStyle w:val="Hyperlink"/>
          </w:rPr>
          <w:t>https://www.cipd.co.uk/knowledge/fundamentals/people/recruitment/factsheet</w:t>
        </w:r>
      </w:hyperlink>
      <w:r>
        <w:t>. (Accessed: 13 April 2020).</w:t>
      </w:r>
    </w:p>
    <w:p w:rsidR="00ED7198" w:rsidRPr="00ED7198" w:rsidRDefault="00ED7198" w:rsidP="00A34666">
      <w:pPr>
        <w:jc w:val="both"/>
        <w:rPr>
          <w:rFonts w:ascii="Calibri" w:hAnsi="Calibri"/>
        </w:rPr>
      </w:pPr>
      <w:r>
        <w:rPr>
          <w:rFonts w:ascii="Calibri" w:hAnsi="Calibri"/>
        </w:rPr>
        <w:t xml:space="preserve">Houghton, E. (2019) </w:t>
      </w:r>
      <w:r>
        <w:rPr>
          <w:rFonts w:ascii="Calibri" w:hAnsi="Calibri"/>
          <w:i/>
        </w:rPr>
        <w:t xml:space="preserve">Employer Brand. </w:t>
      </w:r>
      <w:r>
        <w:rPr>
          <w:rFonts w:ascii="Calibri" w:hAnsi="Calibri"/>
        </w:rPr>
        <w:t xml:space="preserve">Available at: </w:t>
      </w:r>
      <w:hyperlink r:id="rId17" w:history="1">
        <w:r>
          <w:rPr>
            <w:rStyle w:val="Hyperlink"/>
          </w:rPr>
          <w:t>https://www.cipd.co.uk/knowledge/fundamentals/people/recruitment/brand-factsheet</w:t>
        </w:r>
      </w:hyperlink>
      <w:r>
        <w:t>. (Accessed: 11 April 2020).</w:t>
      </w:r>
    </w:p>
    <w:p w:rsidR="00ED7198" w:rsidRPr="00ED7198" w:rsidRDefault="00ED7198" w:rsidP="00A34666">
      <w:pPr>
        <w:jc w:val="both"/>
        <w:rPr>
          <w:rFonts w:ascii="Calibri" w:hAnsi="Calibri"/>
        </w:rPr>
      </w:pPr>
      <w:r>
        <w:rPr>
          <w:rFonts w:ascii="Calibri" w:hAnsi="Calibri"/>
        </w:rPr>
        <w:lastRenderedPageBreak/>
        <w:t xml:space="preserve">McCartney, C. (2017) </w:t>
      </w:r>
      <w:r>
        <w:rPr>
          <w:rFonts w:ascii="Calibri" w:hAnsi="Calibri"/>
          <w:i/>
        </w:rPr>
        <w:t xml:space="preserve">How to be an employer of choice in an increasingly competitive jobs market. </w:t>
      </w:r>
      <w:r>
        <w:rPr>
          <w:rFonts w:ascii="Calibri" w:hAnsi="Calibri"/>
        </w:rPr>
        <w:t xml:space="preserve">Available at </w:t>
      </w:r>
      <w:hyperlink r:id="rId18" w:history="1">
        <w:r>
          <w:rPr>
            <w:rStyle w:val="Hyperlink"/>
          </w:rPr>
          <w:t>https://www.personneltoday.com/hr/employer-choice-increasingly-competitive-jobs-market/</w:t>
        </w:r>
      </w:hyperlink>
      <w:r>
        <w:t>. (Accessed: 11 April 2020).</w:t>
      </w:r>
    </w:p>
    <w:p w:rsidR="00084906" w:rsidRDefault="00084906" w:rsidP="0004637D">
      <w:pPr>
        <w:spacing w:after="0" w:line="240" w:lineRule="auto"/>
        <w:jc w:val="both"/>
      </w:pPr>
    </w:p>
    <w:p w:rsidR="00084906" w:rsidRDefault="00084906" w:rsidP="00084906">
      <w:pPr>
        <w:jc w:val="both"/>
      </w:pPr>
      <w:r>
        <w:t xml:space="preserve">ONS (2020) </w:t>
      </w:r>
      <w:r>
        <w:rPr>
          <w:i/>
        </w:rPr>
        <w:t xml:space="preserve">Labour Market Overview, UK: February 2020. </w:t>
      </w:r>
      <w:r>
        <w:t xml:space="preserve">Available at: </w:t>
      </w:r>
      <w:hyperlink r:id="rId19" w:history="1">
        <w:r>
          <w:rPr>
            <w:rStyle w:val="Hyperlink"/>
          </w:rPr>
          <w:t>https://www.ons.gov.uk/employmentandlabourmarket/peopleinwork/employmentandemployeetypes/bulletins/uklabourmarket/february2020</w:t>
        </w:r>
      </w:hyperlink>
      <w:r>
        <w:t xml:space="preserve">. (Accessed: 31 March 2020). </w:t>
      </w:r>
    </w:p>
    <w:p w:rsidR="00ED7198" w:rsidRPr="00ED7198" w:rsidRDefault="00ED7198" w:rsidP="00084906">
      <w:pPr>
        <w:jc w:val="both"/>
      </w:pPr>
      <w:r>
        <w:t xml:space="preserve">Peters, R. (2020) </w:t>
      </w:r>
      <w:r>
        <w:rPr>
          <w:i/>
        </w:rPr>
        <w:t xml:space="preserve">The psychological contract: </w:t>
      </w:r>
      <w:r>
        <w:t xml:space="preserve">Available at: </w:t>
      </w:r>
      <w:hyperlink r:id="rId20" w:history="1">
        <w:r>
          <w:rPr>
            <w:rStyle w:val="Hyperlink"/>
          </w:rPr>
          <w:t>https://www.cipd.co.uk/knowledge/fundamentals/relations/employees/psychological-factsheet</w:t>
        </w:r>
      </w:hyperlink>
      <w:r>
        <w:t xml:space="preserve"> (Accessed: 11 April 2020).</w:t>
      </w:r>
    </w:p>
    <w:p w:rsidR="007B097A" w:rsidRDefault="007B097A" w:rsidP="0004637D">
      <w:pPr>
        <w:jc w:val="both"/>
      </w:pPr>
      <w:r>
        <w:t xml:space="preserve">Secker, Al. (2020) </w:t>
      </w:r>
      <w:r w:rsidRPr="007B097A">
        <w:rPr>
          <w:i/>
        </w:rPr>
        <w:t>The legal risks of succession planning</w:t>
      </w:r>
      <w:r>
        <w:t xml:space="preserve">. Available at: </w:t>
      </w:r>
      <w:hyperlink r:id="rId21" w:history="1">
        <w:r>
          <w:rPr>
            <w:rStyle w:val="Hyperlink"/>
          </w:rPr>
          <w:t>https://www.peoplemanagement.co.uk/experts/legal/legal-risks-of-succession-planning</w:t>
        </w:r>
      </w:hyperlink>
      <w:r>
        <w:t>. (Accessed: 6 April 2020).</w:t>
      </w:r>
      <w:r w:rsidRPr="007B097A">
        <w:t xml:space="preserve"> </w:t>
      </w:r>
    </w:p>
    <w:p w:rsidR="00ED7198" w:rsidRPr="00ED7198" w:rsidRDefault="00ED7198" w:rsidP="0004637D">
      <w:pPr>
        <w:jc w:val="both"/>
      </w:pPr>
      <w:r>
        <w:t xml:space="preserve">Thomas, J. and Hatcher, C. (2018) </w:t>
      </w:r>
      <w:r>
        <w:rPr>
          <w:i/>
        </w:rPr>
        <w:t xml:space="preserve">The Key to Retaining Talent. </w:t>
      </w:r>
      <w:r>
        <w:t xml:space="preserve">Available at: </w:t>
      </w:r>
      <w:hyperlink r:id="rId22" w:history="1">
        <w:r>
          <w:rPr>
            <w:rStyle w:val="Hyperlink"/>
          </w:rPr>
          <w:t>https://www.roffeypark.com/wp-content/uploads2/The-Key-to-Retaining-Talent.pdf</w:t>
        </w:r>
      </w:hyperlink>
      <w:r>
        <w:t xml:space="preserve"> (Accessed: 11 April 2020).</w:t>
      </w:r>
    </w:p>
    <w:p w:rsidR="00084906" w:rsidRDefault="00084906" w:rsidP="0004637D">
      <w:pPr>
        <w:jc w:val="both"/>
      </w:pPr>
      <w:r>
        <w:t xml:space="preserve">Trading </w:t>
      </w:r>
      <w:r w:rsidR="00ED7198">
        <w:t>Economics</w:t>
      </w:r>
      <w:r>
        <w:t xml:space="preserve"> (2019) </w:t>
      </w:r>
      <w:r>
        <w:rPr>
          <w:i/>
        </w:rPr>
        <w:t>Germany Employed Persons</w:t>
      </w:r>
      <w:r>
        <w:t xml:space="preserve">. Available at: </w:t>
      </w:r>
      <w:hyperlink r:id="rId23" w:history="1">
        <w:r>
          <w:rPr>
            <w:rStyle w:val="Hyperlink"/>
          </w:rPr>
          <w:t>https://tradingeconomics.com/germany/employed-persons</w:t>
        </w:r>
      </w:hyperlink>
      <w:r>
        <w:t>. (Accessed: 31 March 2020).</w:t>
      </w:r>
    </w:p>
    <w:p w:rsidR="00A34666" w:rsidRDefault="00A34666" w:rsidP="0004637D">
      <w:pPr>
        <w:jc w:val="both"/>
      </w:pPr>
      <w:r>
        <w:rPr>
          <w:rFonts w:ascii="Calibri" w:hAnsi="Calibri"/>
        </w:rPr>
        <w:t xml:space="preserve">Ulrich, D. (2019) </w:t>
      </w:r>
      <w:r>
        <w:rPr>
          <w:rFonts w:ascii="Calibri" w:hAnsi="Calibri"/>
          <w:i/>
        </w:rPr>
        <w:t xml:space="preserve">From Workforce to </w:t>
      </w:r>
      <w:proofErr w:type="spellStart"/>
      <w:r>
        <w:rPr>
          <w:rFonts w:ascii="Calibri" w:hAnsi="Calibri"/>
          <w:i/>
        </w:rPr>
        <w:t>Worktask</w:t>
      </w:r>
      <w:proofErr w:type="spellEnd"/>
      <w:r>
        <w:rPr>
          <w:rFonts w:ascii="Calibri" w:hAnsi="Calibri"/>
          <w:i/>
        </w:rPr>
        <w:t xml:space="preserve"> Planning</w:t>
      </w:r>
      <w:r>
        <w:rPr>
          <w:rFonts w:ascii="Calibri" w:hAnsi="Calibri"/>
        </w:rPr>
        <w:t xml:space="preserve">. Available at: </w:t>
      </w:r>
      <w:hyperlink r:id="rId24" w:history="1">
        <w:r>
          <w:rPr>
            <w:rStyle w:val="Hyperlink"/>
          </w:rPr>
          <w:t>https://www.linkedin.com/pulse/from-workforce-worktask-planning-dave-ulrich/</w:t>
        </w:r>
      </w:hyperlink>
      <w:r>
        <w:t xml:space="preserve"> (Accessed: 6 April 2020). </w:t>
      </w:r>
    </w:p>
    <w:p w:rsidR="008D1565" w:rsidRDefault="008D1565" w:rsidP="0004637D">
      <w:pPr>
        <w:jc w:val="both"/>
      </w:pPr>
      <w:r>
        <w:t xml:space="preserve">Weeks, A. (2019) </w:t>
      </w:r>
      <w:r>
        <w:rPr>
          <w:i/>
        </w:rPr>
        <w:t xml:space="preserve">Workforce planning. </w:t>
      </w:r>
      <w:r>
        <w:t xml:space="preserve">Available at: </w:t>
      </w:r>
      <w:hyperlink r:id="rId25" w:history="1">
        <w:r>
          <w:rPr>
            <w:rStyle w:val="Hyperlink"/>
          </w:rPr>
          <w:t>https://www.cipd.co.uk/knowledge/strategy/organisational-development/workforce-planning-factsheet</w:t>
        </w:r>
      </w:hyperlink>
      <w:r>
        <w:t>. (Accessed: 6 April 2020).</w:t>
      </w:r>
    </w:p>
    <w:p w:rsidR="00A34666" w:rsidRDefault="00A34666" w:rsidP="0004637D">
      <w:pPr>
        <w:jc w:val="both"/>
      </w:pPr>
      <w:r>
        <w:t xml:space="preserve">Weeks, A. (2020) </w:t>
      </w:r>
      <w:r>
        <w:rPr>
          <w:i/>
        </w:rPr>
        <w:t xml:space="preserve">Succession Planning. </w:t>
      </w:r>
      <w:r>
        <w:t xml:space="preserve">Available at: </w:t>
      </w:r>
      <w:hyperlink r:id="rId26" w:history="1">
        <w:r>
          <w:rPr>
            <w:rStyle w:val="Hyperlink"/>
          </w:rPr>
          <w:t>https://www.cipd.co.uk/knowledge/strategy/resourcing/succession-planning-factsheet</w:t>
        </w:r>
      </w:hyperlink>
      <w:r>
        <w:t>. (Accessed: 6 April 2020).</w:t>
      </w:r>
    </w:p>
    <w:p w:rsidR="00EF4B73" w:rsidRPr="00EF4B73" w:rsidRDefault="00EF4B73" w:rsidP="0004637D">
      <w:pPr>
        <w:jc w:val="both"/>
      </w:pPr>
      <w:r>
        <w:t xml:space="preserve">Weeks, A. (2020) </w:t>
      </w:r>
      <w:r>
        <w:rPr>
          <w:i/>
        </w:rPr>
        <w:t xml:space="preserve">Competence and Competency Framework. </w:t>
      </w:r>
      <w:r>
        <w:t xml:space="preserve">Available at: </w:t>
      </w:r>
      <w:hyperlink r:id="rId27" w:history="1">
        <w:r>
          <w:rPr>
            <w:rStyle w:val="Hyperlink"/>
          </w:rPr>
          <w:t>https://www.cipd.co.uk/knowledge/fundamentals/people/performance/competency-factsheet</w:t>
        </w:r>
      </w:hyperlink>
      <w:r>
        <w:t xml:space="preserve">. (Accessed: 13 April 2020). </w:t>
      </w:r>
    </w:p>
    <w:p w:rsidR="002D2B15" w:rsidRDefault="008A6959" w:rsidP="0004637D">
      <w:pPr>
        <w:jc w:val="both"/>
        <w:rPr>
          <w:rFonts w:ascii="Calibri" w:hAnsi="Calibri"/>
        </w:rPr>
      </w:pPr>
      <w:r w:rsidRPr="00342D67">
        <w:rPr>
          <w:rFonts w:ascii="Calibri" w:hAnsi="Calibri"/>
        </w:rPr>
        <w:t>Wilkinson, K. and Taylor, S. (2016) ‘</w:t>
      </w:r>
      <w:r>
        <w:rPr>
          <w:rFonts w:ascii="Calibri" w:hAnsi="Calibri"/>
        </w:rPr>
        <w:t>Resourcing and Talent Planning’</w:t>
      </w:r>
      <w:r w:rsidRPr="00342D67">
        <w:rPr>
          <w:rFonts w:ascii="Calibri" w:hAnsi="Calibri"/>
        </w:rPr>
        <w:t xml:space="preserve"> in Taylor, S. and Woodhams, C. (ed.) </w:t>
      </w:r>
      <w:r>
        <w:rPr>
          <w:rFonts w:ascii="Calibri" w:hAnsi="Calibri"/>
          <w:i/>
        </w:rPr>
        <w:t>Human Resource Management: People and Organisations.</w:t>
      </w:r>
      <w:r w:rsidRPr="00342D67">
        <w:rPr>
          <w:rFonts w:ascii="Calibri" w:hAnsi="Calibri"/>
          <w:i/>
        </w:rPr>
        <w:t xml:space="preserve">. </w:t>
      </w:r>
      <w:r w:rsidRPr="00342D67">
        <w:rPr>
          <w:rFonts w:ascii="Calibri" w:hAnsi="Calibri"/>
        </w:rPr>
        <w:t>London: CIPD</w:t>
      </w:r>
      <w:r w:rsidR="0004637D">
        <w:rPr>
          <w:rFonts w:ascii="Calibri" w:hAnsi="Calibri"/>
        </w:rPr>
        <w:t>.</w:t>
      </w:r>
    </w:p>
    <w:p w:rsidR="00F371B0" w:rsidRDefault="00F371B0" w:rsidP="0004637D">
      <w:pPr>
        <w:jc w:val="both"/>
        <w:rPr>
          <w:rFonts w:ascii="Calibri" w:hAnsi="Calibri"/>
        </w:rPr>
      </w:pPr>
    </w:p>
    <w:p w:rsidR="00F371B0" w:rsidRPr="00F371B0" w:rsidRDefault="00F371B0" w:rsidP="0004637D">
      <w:pPr>
        <w:jc w:val="both"/>
        <w:rPr>
          <w:rFonts w:ascii="Calibri" w:hAnsi="Calibri"/>
        </w:rPr>
      </w:pPr>
    </w:p>
    <w:sectPr w:rsidR="00F371B0" w:rsidRPr="00F37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40573"/>
    <w:multiLevelType w:val="hybridMultilevel"/>
    <w:tmpl w:val="6EB230A0"/>
    <w:lvl w:ilvl="0" w:tplc="C46CD476">
      <w:start w:val="1"/>
      <w:numFmt w:val="bullet"/>
      <w:lvlText w:val="•"/>
      <w:lvlJc w:val="left"/>
      <w:pPr>
        <w:tabs>
          <w:tab w:val="num" w:pos="720"/>
        </w:tabs>
        <w:ind w:left="720" w:hanging="360"/>
      </w:pPr>
      <w:rPr>
        <w:rFonts w:ascii="Times New Roman" w:hAnsi="Times New Roman" w:hint="default"/>
      </w:rPr>
    </w:lvl>
    <w:lvl w:ilvl="1" w:tplc="489638D2" w:tentative="1">
      <w:start w:val="1"/>
      <w:numFmt w:val="bullet"/>
      <w:lvlText w:val="•"/>
      <w:lvlJc w:val="left"/>
      <w:pPr>
        <w:tabs>
          <w:tab w:val="num" w:pos="1440"/>
        </w:tabs>
        <w:ind w:left="1440" w:hanging="360"/>
      </w:pPr>
      <w:rPr>
        <w:rFonts w:ascii="Times New Roman" w:hAnsi="Times New Roman" w:hint="default"/>
      </w:rPr>
    </w:lvl>
    <w:lvl w:ilvl="2" w:tplc="18EA4AD0" w:tentative="1">
      <w:start w:val="1"/>
      <w:numFmt w:val="bullet"/>
      <w:lvlText w:val="•"/>
      <w:lvlJc w:val="left"/>
      <w:pPr>
        <w:tabs>
          <w:tab w:val="num" w:pos="2160"/>
        </w:tabs>
        <w:ind w:left="2160" w:hanging="360"/>
      </w:pPr>
      <w:rPr>
        <w:rFonts w:ascii="Times New Roman" w:hAnsi="Times New Roman" w:hint="default"/>
      </w:rPr>
    </w:lvl>
    <w:lvl w:ilvl="3" w:tplc="6FC44FF4" w:tentative="1">
      <w:start w:val="1"/>
      <w:numFmt w:val="bullet"/>
      <w:lvlText w:val="•"/>
      <w:lvlJc w:val="left"/>
      <w:pPr>
        <w:tabs>
          <w:tab w:val="num" w:pos="2880"/>
        </w:tabs>
        <w:ind w:left="2880" w:hanging="360"/>
      </w:pPr>
      <w:rPr>
        <w:rFonts w:ascii="Times New Roman" w:hAnsi="Times New Roman" w:hint="default"/>
      </w:rPr>
    </w:lvl>
    <w:lvl w:ilvl="4" w:tplc="B62AE076" w:tentative="1">
      <w:start w:val="1"/>
      <w:numFmt w:val="bullet"/>
      <w:lvlText w:val="•"/>
      <w:lvlJc w:val="left"/>
      <w:pPr>
        <w:tabs>
          <w:tab w:val="num" w:pos="3600"/>
        </w:tabs>
        <w:ind w:left="3600" w:hanging="360"/>
      </w:pPr>
      <w:rPr>
        <w:rFonts w:ascii="Times New Roman" w:hAnsi="Times New Roman" w:hint="default"/>
      </w:rPr>
    </w:lvl>
    <w:lvl w:ilvl="5" w:tplc="CF1847C2" w:tentative="1">
      <w:start w:val="1"/>
      <w:numFmt w:val="bullet"/>
      <w:lvlText w:val="•"/>
      <w:lvlJc w:val="left"/>
      <w:pPr>
        <w:tabs>
          <w:tab w:val="num" w:pos="4320"/>
        </w:tabs>
        <w:ind w:left="4320" w:hanging="360"/>
      </w:pPr>
      <w:rPr>
        <w:rFonts w:ascii="Times New Roman" w:hAnsi="Times New Roman" w:hint="default"/>
      </w:rPr>
    </w:lvl>
    <w:lvl w:ilvl="6" w:tplc="48B6F556" w:tentative="1">
      <w:start w:val="1"/>
      <w:numFmt w:val="bullet"/>
      <w:lvlText w:val="•"/>
      <w:lvlJc w:val="left"/>
      <w:pPr>
        <w:tabs>
          <w:tab w:val="num" w:pos="5040"/>
        </w:tabs>
        <w:ind w:left="5040" w:hanging="360"/>
      </w:pPr>
      <w:rPr>
        <w:rFonts w:ascii="Times New Roman" w:hAnsi="Times New Roman" w:hint="default"/>
      </w:rPr>
    </w:lvl>
    <w:lvl w:ilvl="7" w:tplc="9A5E9C1C" w:tentative="1">
      <w:start w:val="1"/>
      <w:numFmt w:val="bullet"/>
      <w:lvlText w:val="•"/>
      <w:lvlJc w:val="left"/>
      <w:pPr>
        <w:tabs>
          <w:tab w:val="num" w:pos="5760"/>
        </w:tabs>
        <w:ind w:left="5760" w:hanging="360"/>
      </w:pPr>
      <w:rPr>
        <w:rFonts w:ascii="Times New Roman" w:hAnsi="Times New Roman" w:hint="default"/>
      </w:rPr>
    </w:lvl>
    <w:lvl w:ilvl="8" w:tplc="4D2C251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576ED2"/>
    <w:multiLevelType w:val="hybridMultilevel"/>
    <w:tmpl w:val="A080BF66"/>
    <w:lvl w:ilvl="0" w:tplc="32843880">
      <w:start w:val="1"/>
      <w:numFmt w:val="bullet"/>
      <w:lvlText w:val="•"/>
      <w:lvlJc w:val="left"/>
      <w:pPr>
        <w:tabs>
          <w:tab w:val="num" w:pos="720"/>
        </w:tabs>
        <w:ind w:left="720" w:hanging="360"/>
      </w:pPr>
      <w:rPr>
        <w:rFonts w:ascii="Times New Roman" w:hAnsi="Times New Roman" w:hint="default"/>
      </w:rPr>
    </w:lvl>
    <w:lvl w:ilvl="1" w:tplc="E542BC76" w:tentative="1">
      <w:start w:val="1"/>
      <w:numFmt w:val="bullet"/>
      <w:lvlText w:val="•"/>
      <w:lvlJc w:val="left"/>
      <w:pPr>
        <w:tabs>
          <w:tab w:val="num" w:pos="1440"/>
        </w:tabs>
        <w:ind w:left="1440" w:hanging="360"/>
      </w:pPr>
      <w:rPr>
        <w:rFonts w:ascii="Times New Roman" w:hAnsi="Times New Roman" w:hint="default"/>
      </w:rPr>
    </w:lvl>
    <w:lvl w:ilvl="2" w:tplc="AC4A267E" w:tentative="1">
      <w:start w:val="1"/>
      <w:numFmt w:val="bullet"/>
      <w:lvlText w:val="•"/>
      <w:lvlJc w:val="left"/>
      <w:pPr>
        <w:tabs>
          <w:tab w:val="num" w:pos="2160"/>
        </w:tabs>
        <w:ind w:left="2160" w:hanging="360"/>
      </w:pPr>
      <w:rPr>
        <w:rFonts w:ascii="Times New Roman" w:hAnsi="Times New Roman" w:hint="default"/>
      </w:rPr>
    </w:lvl>
    <w:lvl w:ilvl="3" w:tplc="2CB44E84" w:tentative="1">
      <w:start w:val="1"/>
      <w:numFmt w:val="bullet"/>
      <w:lvlText w:val="•"/>
      <w:lvlJc w:val="left"/>
      <w:pPr>
        <w:tabs>
          <w:tab w:val="num" w:pos="2880"/>
        </w:tabs>
        <w:ind w:left="2880" w:hanging="360"/>
      </w:pPr>
      <w:rPr>
        <w:rFonts w:ascii="Times New Roman" w:hAnsi="Times New Roman" w:hint="default"/>
      </w:rPr>
    </w:lvl>
    <w:lvl w:ilvl="4" w:tplc="9D0A084E" w:tentative="1">
      <w:start w:val="1"/>
      <w:numFmt w:val="bullet"/>
      <w:lvlText w:val="•"/>
      <w:lvlJc w:val="left"/>
      <w:pPr>
        <w:tabs>
          <w:tab w:val="num" w:pos="3600"/>
        </w:tabs>
        <w:ind w:left="3600" w:hanging="360"/>
      </w:pPr>
      <w:rPr>
        <w:rFonts w:ascii="Times New Roman" w:hAnsi="Times New Roman" w:hint="default"/>
      </w:rPr>
    </w:lvl>
    <w:lvl w:ilvl="5" w:tplc="F1B095E0" w:tentative="1">
      <w:start w:val="1"/>
      <w:numFmt w:val="bullet"/>
      <w:lvlText w:val="•"/>
      <w:lvlJc w:val="left"/>
      <w:pPr>
        <w:tabs>
          <w:tab w:val="num" w:pos="4320"/>
        </w:tabs>
        <w:ind w:left="4320" w:hanging="360"/>
      </w:pPr>
      <w:rPr>
        <w:rFonts w:ascii="Times New Roman" w:hAnsi="Times New Roman" w:hint="default"/>
      </w:rPr>
    </w:lvl>
    <w:lvl w:ilvl="6" w:tplc="28D02DA2" w:tentative="1">
      <w:start w:val="1"/>
      <w:numFmt w:val="bullet"/>
      <w:lvlText w:val="•"/>
      <w:lvlJc w:val="left"/>
      <w:pPr>
        <w:tabs>
          <w:tab w:val="num" w:pos="5040"/>
        </w:tabs>
        <w:ind w:left="5040" w:hanging="360"/>
      </w:pPr>
      <w:rPr>
        <w:rFonts w:ascii="Times New Roman" w:hAnsi="Times New Roman" w:hint="default"/>
      </w:rPr>
    </w:lvl>
    <w:lvl w:ilvl="7" w:tplc="FD425EB4" w:tentative="1">
      <w:start w:val="1"/>
      <w:numFmt w:val="bullet"/>
      <w:lvlText w:val="•"/>
      <w:lvlJc w:val="left"/>
      <w:pPr>
        <w:tabs>
          <w:tab w:val="num" w:pos="5760"/>
        </w:tabs>
        <w:ind w:left="5760" w:hanging="360"/>
      </w:pPr>
      <w:rPr>
        <w:rFonts w:ascii="Times New Roman" w:hAnsi="Times New Roman" w:hint="default"/>
      </w:rPr>
    </w:lvl>
    <w:lvl w:ilvl="8" w:tplc="945631D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6894238"/>
    <w:multiLevelType w:val="hybridMultilevel"/>
    <w:tmpl w:val="4C907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A37237"/>
    <w:multiLevelType w:val="hybridMultilevel"/>
    <w:tmpl w:val="FAAE98FA"/>
    <w:lvl w:ilvl="0" w:tplc="566A9D98">
      <w:start w:val="1"/>
      <w:numFmt w:val="bullet"/>
      <w:lvlText w:val="•"/>
      <w:lvlJc w:val="left"/>
      <w:pPr>
        <w:tabs>
          <w:tab w:val="num" w:pos="720"/>
        </w:tabs>
        <w:ind w:left="720" w:hanging="360"/>
      </w:pPr>
      <w:rPr>
        <w:rFonts w:ascii="Times New Roman" w:hAnsi="Times New Roman" w:hint="default"/>
      </w:rPr>
    </w:lvl>
    <w:lvl w:ilvl="1" w:tplc="78027D8C" w:tentative="1">
      <w:start w:val="1"/>
      <w:numFmt w:val="bullet"/>
      <w:lvlText w:val="•"/>
      <w:lvlJc w:val="left"/>
      <w:pPr>
        <w:tabs>
          <w:tab w:val="num" w:pos="1440"/>
        </w:tabs>
        <w:ind w:left="1440" w:hanging="360"/>
      </w:pPr>
      <w:rPr>
        <w:rFonts w:ascii="Times New Roman" w:hAnsi="Times New Roman" w:hint="default"/>
      </w:rPr>
    </w:lvl>
    <w:lvl w:ilvl="2" w:tplc="09D47D10" w:tentative="1">
      <w:start w:val="1"/>
      <w:numFmt w:val="bullet"/>
      <w:lvlText w:val="•"/>
      <w:lvlJc w:val="left"/>
      <w:pPr>
        <w:tabs>
          <w:tab w:val="num" w:pos="2160"/>
        </w:tabs>
        <w:ind w:left="2160" w:hanging="360"/>
      </w:pPr>
      <w:rPr>
        <w:rFonts w:ascii="Times New Roman" w:hAnsi="Times New Roman" w:hint="default"/>
      </w:rPr>
    </w:lvl>
    <w:lvl w:ilvl="3" w:tplc="621C5AA4" w:tentative="1">
      <w:start w:val="1"/>
      <w:numFmt w:val="bullet"/>
      <w:lvlText w:val="•"/>
      <w:lvlJc w:val="left"/>
      <w:pPr>
        <w:tabs>
          <w:tab w:val="num" w:pos="2880"/>
        </w:tabs>
        <w:ind w:left="2880" w:hanging="360"/>
      </w:pPr>
      <w:rPr>
        <w:rFonts w:ascii="Times New Roman" w:hAnsi="Times New Roman" w:hint="default"/>
      </w:rPr>
    </w:lvl>
    <w:lvl w:ilvl="4" w:tplc="A0428192" w:tentative="1">
      <w:start w:val="1"/>
      <w:numFmt w:val="bullet"/>
      <w:lvlText w:val="•"/>
      <w:lvlJc w:val="left"/>
      <w:pPr>
        <w:tabs>
          <w:tab w:val="num" w:pos="3600"/>
        </w:tabs>
        <w:ind w:left="3600" w:hanging="360"/>
      </w:pPr>
      <w:rPr>
        <w:rFonts w:ascii="Times New Roman" w:hAnsi="Times New Roman" w:hint="default"/>
      </w:rPr>
    </w:lvl>
    <w:lvl w:ilvl="5" w:tplc="38C2F5D0" w:tentative="1">
      <w:start w:val="1"/>
      <w:numFmt w:val="bullet"/>
      <w:lvlText w:val="•"/>
      <w:lvlJc w:val="left"/>
      <w:pPr>
        <w:tabs>
          <w:tab w:val="num" w:pos="4320"/>
        </w:tabs>
        <w:ind w:left="4320" w:hanging="360"/>
      </w:pPr>
      <w:rPr>
        <w:rFonts w:ascii="Times New Roman" w:hAnsi="Times New Roman" w:hint="default"/>
      </w:rPr>
    </w:lvl>
    <w:lvl w:ilvl="6" w:tplc="B1909276" w:tentative="1">
      <w:start w:val="1"/>
      <w:numFmt w:val="bullet"/>
      <w:lvlText w:val="•"/>
      <w:lvlJc w:val="left"/>
      <w:pPr>
        <w:tabs>
          <w:tab w:val="num" w:pos="5040"/>
        </w:tabs>
        <w:ind w:left="5040" w:hanging="360"/>
      </w:pPr>
      <w:rPr>
        <w:rFonts w:ascii="Times New Roman" w:hAnsi="Times New Roman" w:hint="default"/>
      </w:rPr>
    </w:lvl>
    <w:lvl w:ilvl="7" w:tplc="6374BAAC" w:tentative="1">
      <w:start w:val="1"/>
      <w:numFmt w:val="bullet"/>
      <w:lvlText w:val="•"/>
      <w:lvlJc w:val="left"/>
      <w:pPr>
        <w:tabs>
          <w:tab w:val="num" w:pos="5760"/>
        </w:tabs>
        <w:ind w:left="5760" w:hanging="360"/>
      </w:pPr>
      <w:rPr>
        <w:rFonts w:ascii="Times New Roman" w:hAnsi="Times New Roman" w:hint="default"/>
      </w:rPr>
    </w:lvl>
    <w:lvl w:ilvl="8" w:tplc="0EC045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FA0BBB"/>
    <w:multiLevelType w:val="hybridMultilevel"/>
    <w:tmpl w:val="7AB0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E79C6"/>
    <w:multiLevelType w:val="hybridMultilevel"/>
    <w:tmpl w:val="0096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4E1C89"/>
    <w:multiLevelType w:val="hybridMultilevel"/>
    <w:tmpl w:val="C150C00C"/>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302E8A"/>
    <w:multiLevelType w:val="hybridMultilevel"/>
    <w:tmpl w:val="41C0C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1"/>
  </w:num>
  <w:num w:numId="5">
    <w:abstractNumId w:val="3"/>
  </w:num>
  <w:num w:numId="6">
    <w:abstractNumId w:val="2"/>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61B"/>
    <w:rsid w:val="00007E65"/>
    <w:rsid w:val="0004637D"/>
    <w:rsid w:val="000840FB"/>
    <w:rsid w:val="00084906"/>
    <w:rsid w:val="000E35DC"/>
    <w:rsid w:val="000F363E"/>
    <w:rsid w:val="00107C5C"/>
    <w:rsid w:val="00123BB1"/>
    <w:rsid w:val="001504B6"/>
    <w:rsid w:val="00163AB1"/>
    <w:rsid w:val="001E0448"/>
    <w:rsid w:val="00297FA5"/>
    <w:rsid w:val="002B0D86"/>
    <w:rsid w:val="002B4A13"/>
    <w:rsid w:val="002C4C7C"/>
    <w:rsid w:val="002D2B15"/>
    <w:rsid w:val="002D476E"/>
    <w:rsid w:val="002E3F23"/>
    <w:rsid w:val="003A69AD"/>
    <w:rsid w:val="003C0854"/>
    <w:rsid w:val="00410E97"/>
    <w:rsid w:val="0048605F"/>
    <w:rsid w:val="004F72B9"/>
    <w:rsid w:val="00571C3A"/>
    <w:rsid w:val="005B4BEC"/>
    <w:rsid w:val="00636368"/>
    <w:rsid w:val="006802E7"/>
    <w:rsid w:val="006D79C2"/>
    <w:rsid w:val="006F7A06"/>
    <w:rsid w:val="007152CB"/>
    <w:rsid w:val="007340B4"/>
    <w:rsid w:val="00773B8C"/>
    <w:rsid w:val="007B097A"/>
    <w:rsid w:val="007E5F2B"/>
    <w:rsid w:val="00807A89"/>
    <w:rsid w:val="008465B4"/>
    <w:rsid w:val="00855121"/>
    <w:rsid w:val="00870965"/>
    <w:rsid w:val="00880184"/>
    <w:rsid w:val="008A6959"/>
    <w:rsid w:val="008D1565"/>
    <w:rsid w:val="0090420B"/>
    <w:rsid w:val="00935405"/>
    <w:rsid w:val="0096161B"/>
    <w:rsid w:val="009F0785"/>
    <w:rsid w:val="009F5A42"/>
    <w:rsid w:val="00A034A9"/>
    <w:rsid w:val="00A26A86"/>
    <w:rsid w:val="00A34666"/>
    <w:rsid w:val="00A65024"/>
    <w:rsid w:val="00A94ED1"/>
    <w:rsid w:val="00AB2D92"/>
    <w:rsid w:val="00CF6380"/>
    <w:rsid w:val="00D61C3C"/>
    <w:rsid w:val="00DB7E14"/>
    <w:rsid w:val="00E202F6"/>
    <w:rsid w:val="00ED7198"/>
    <w:rsid w:val="00EF4B73"/>
    <w:rsid w:val="00F21EB3"/>
    <w:rsid w:val="00F371B0"/>
    <w:rsid w:val="00F47228"/>
    <w:rsid w:val="00FA6BD5"/>
    <w:rsid w:val="00FF4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EDFB88-C8B1-4B16-9A39-DC3EA291C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6380"/>
    <w:rPr>
      <w:color w:val="0000FF"/>
      <w:u w:val="single"/>
    </w:rPr>
  </w:style>
  <w:style w:type="character" w:styleId="FollowedHyperlink">
    <w:name w:val="FollowedHyperlink"/>
    <w:basedOn w:val="DefaultParagraphFont"/>
    <w:uiPriority w:val="99"/>
    <w:semiHidden/>
    <w:unhideWhenUsed/>
    <w:rsid w:val="0004637D"/>
    <w:rPr>
      <w:color w:val="954F72" w:themeColor="followedHyperlink"/>
      <w:u w:val="single"/>
    </w:rPr>
  </w:style>
  <w:style w:type="paragraph" w:styleId="ListParagraph">
    <w:name w:val="List Paragraph"/>
    <w:basedOn w:val="Normal"/>
    <w:uiPriority w:val="34"/>
    <w:qFormat/>
    <w:rsid w:val="00E202F6"/>
    <w:pPr>
      <w:ind w:left="720"/>
      <w:contextualSpacing/>
    </w:pPr>
  </w:style>
  <w:style w:type="paragraph" w:styleId="NoSpacing">
    <w:name w:val="No Spacing"/>
    <w:uiPriority w:val="1"/>
    <w:qFormat/>
    <w:rsid w:val="00E202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022440">
      <w:bodyDiv w:val="1"/>
      <w:marLeft w:val="0"/>
      <w:marRight w:val="0"/>
      <w:marTop w:val="0"/>
      <w:marBottom w:val="0"/>
      <w:divBdr>
        <w:top w:val="none" w:sz="0" w:space="0" w:color="auto"/>
        <w:left w:val="none" w:sz="0" w:space="0" w:color="auto"/>
        <w:bottom w:val="none" w:sz="0" w:space="0" w:color="auto"/>
        <w:right w:val="none" w:sz="0" w:space="0" w:color="auto"/>
      </w:divBdr>
      <w:divsChild>
        <w:div w:id="1573351174">
          <w:marLeft w:val="547"/>
          <w:marRight w:val="0"/>
          <w:marTop w:val="0"/>
          <w:marBottom w:val="0"/>
          <w:divBdr>
            <w:top w:val="none" w:sz="0" w:space="0" w:color="auto"/>
            <w:left w:val="none" w:sz="0" w:space="0" w:color="auto"/>
            <w:bottom w:val="none" w:sz="0" w:space="0" w:color="auto"/>
            <w:right w:val="none" w:sz="0" w:space="0" w:color="auto"/>
          </w:divBdr>
        </w:div>
        <w:div w:id="1104107514">
          <w:marLeft w:val="547"/>
          <w:marRight w:val="0"/>
          <w:marTop w:val="0"/>
          <w:marBottom w:val="0"/>
          <w:divBdr>
            <w:top w:val="none" w:sz="0" w:space="0" w:color="auto"/>
            <w:left w:val="none" w:sz="0" w:space="0" w:color="auto"/>
            <w:bottom w:val="none" w:sz="0" w:space="0" w:color="auto"/>
            <w:right w:val="none" w:sz="0" w:space="0" w:color="auto"/>
          </w:divBdr>
        </w:div>
        <w:div w:id="57482549">
          <w:marLeft w:val="547"/>
          <w:marRight w:val="0"/>
          <w:marTop w:val="0"/>
          <w:marBottom w:val="0"/>
          <w:divBdr>
            <w:top w:val="none" w:sz="0" w:space="0" w:color="auto"/>
            <w:left w:val="none" w:sz="0" w:space="0" w:color="auto"/>
            <w:bottom w:val="none" w:sz="0" w:space="0" w:color="auto"/>
            <w:right w:val="none" w:sz="0" w:space="0" w:color="auto"/>
          </w:divBdr>
        </w:div>
      </w:divsChild>
    </w:div>
    <w:div w:id="1882205943">
      <w:bodyDiv w:val="1"/>
      <w:marLeft w:val="0"/>
      <w:marRight w:val="0"/>
      <w:marTop w:val="0"/>
      <w:marBottom w:val="0"/>
      <w:divBdr>
        <w:top w:val="none" w:sz="0" w:space="0" w:color="auto"/>
        <w:left w:val="none" w:sz="0" w:space="0" w:color="auto"/>
        <w:bottom w:val="none" w:sz="0" w:space="0" w:color="auto"/>
        <w:right w:val="none" w:sz="0" w:space="0" w:color="auto"/>
      </w:divBdr>
      <w:divsChild>
        <w:div w:id="1153595150">
          <w:marLeft w:val="547"/>
          <w:marRight w:val="0"/>
          <w:marTop w:val="0"/>
          <w:marBottom w:val="0"/>
          <w:divBdr>
            <w:top w:val="none" w:sz="0" w:space="0" w:color="auto"/>
            <w:left w:val="none" w:sz="0" w:space="0" w:color="auto"/>
            <w:bottom w:val="none" w:sz="0" w:space="0" w:color="auto"/>
            <w:right w:val="none" w:sz="0" w:space="0" w:color="auto"/>
          </w:divBdr>
        </w:div>
        <w:div w:id="1254437415">
          <w:marLeft w:val="547"/>
          <w:marRight w:val="0"/>
          <w:marTop w:val="0"/>
          <w:marBottom w:val="0"/>
          <w:divBdr>
            <w:top w:val="none" w:sz="0" w:space="0" w:color="auto"/>
            <w:left w:val="none" w:sz="0" w:space="0" w:color="auto"/>
            <w:bottom w:val="none" w:sz="0" w:space="0" w:color="auto"/>
            <w:right w:val="none" w:sz="0" w:space="0" w:color="auto"/>
          </w:divBdr>
        </w:div>
        <w:div w:id="654145314">
          <w:marLeft w:val="547"/>
          <w:marRight w:val="0"/>
          <w:marTop w:val="0"/>
          <w:marBottom w:val="0"/>
          <w:divBdr>
            <w:top w:val="none" w:sz="0" w:space="0" w:color="auto"/>
            <w:left w:val="none" w:sz="0" w:space="0" w:color="auto"/>
            <w:bottom w:val="none" w:sz="0" w:space="0" w:color="auto"/>
            <w:right w:val="none" w:sz="0" w:space="0" w:color="auto"/>
          </w:divBdr>
        </w:div>
      </w:divsChild>
    </w:div>
    <w:div w:id="1945845373">
      <w:bodyDiv w:val="1"/>
      <w:marLeft w:val="0"/>
      <w:marRight w:val="0"/>
      <w:marTop w:val="0"/>
      <w:marBottom w:val="0"/>
      <w:divBdr>
        <w:top w:val="none" w:sz="0" w:space="0" w:color="auto"/>
        <w:left w:val="none" w:sz="0" w:space="0" w:color="auto"/>
        <w:bottom w:val="none" w:sz="0" w:space="0" w:color="auto"/>
        <w:right w:val="none" w:sz="0" w:space="0" w:color="auto"/>
      </w:divBdr>
    </w:div>
    <w:div w:id="1946813523">
      <w:bodyDiv w:val="1"/>
      <w:marLeft w:val="0"/>
      <w:marRight w:val="0"/>
      <w:marTop w:val="0"/>
      <w:marBottom w:val="0"/>
      <w:divBdr>
        <w:top w:val="none" w:sz="0" w:space="0" w:color="auto"/>
        <w:left w:val="none" w:sz="0" w:space="0" w:color="auto"/>
        <w:bottom w:val="none" w:sz="0" w:space="0" w:color="auto"/>
        <w:right w:val="none" w:sz="0" w:space="0" w:color="auto"/>
      </w:divBdr>
      <w:divsChild>
        <w:div w:id="165830113">
          <w:marLeft w:val="547"/>
          <w:marRight w:val="0"/>
          <w:marTop w:val="0"/>
          <w:marBottom w:val="0"/>
          <w:divBdr>
            <w:top w:val="none" w:sz="0" w:space="0" w:color="auto"/>
            <w:left w:val="none" w:sz="0" w:space="0" w:color="auto"/>
            <w:bottom w:val="none" w:sz="0" w:space="0" w:color="auto"/>
            <w:right w:val="none" w:sz="0" w:space="0" w:color="auto"/>
          </w:divBdr>
        </w:div>
        <w:div w:id="136277658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mecare.co.uk/news/article.cfm/id/1607171/staff-turnover-in-socal-care-cited-as-the-highest-of-any-sector-in-the-uk" TargetMode="External"/><Relationship Id="rId13" Type="http://schemas.openxmlformats.org/officeDocument/2006/relationships/hyperlink" Target="https://www.tatsachen-ueber-deutschland.de/en/chapter/business-innovation/attractive-labour-market" TargetMode="External"/><Relationship Id="rId18" Type="http://schemas.openxmlformats.org/officeDocument/2006/relationships/hyperlink" Target="https://www.personneltoday.com/hr/employer-choice-increasingly-competitive-jobs-market/" TargetMode="External"/><Relationship Id="rId26" Type="http://schemas.openxmlformats.org/officeDocument/2006/relationships/hyperlink" Target="https://www.cipd.co.uk/knowledge/strategy/resourcing/succession-planning-factsheet" TargetMode="External"/><Relationship Id="rId3" Type="http://schemas.openxmlformats.org/officeDocument/2006/relationships/settings" Target="settings.xml"/><Relationship Id="rId21" Type="http://schemas.openxmlformats.org/officeDocument/2006/relationships/hyperlink" Target="https://www.peoplemanagement.co.uk/experts/legal/legal-risks-of-succession-planning" TargetMode="External"/><Relationship Id="rId7" Type="http://schemas.openxmlformats.org/officeDocument/2006/relationships/hyperlink" Target="https://www.acas.org.uk/manage-staff-redundancies" TargetMode="External"/><Relationship Id="rId12" Type="http://schemas.openxmlformats.org/officeDocument/2006/relationships/hyperlink" Target="https://ec.europa.eu/eures/main.jsp?catId=2641&amp;lmi=Y&amp;acro=lmi&amp;lang=en&amp;recordLang=en&amp;parentId=&amp;countryId=DE&amp;regionId=DE0&amp;nuts2Code=null&amp;nuts3Code=null&amp;mode=text&amp;regionName=National%20Level" TargetMode="External"/><Relationship Id="rId17" Type="http://schemas.openxmlformats.org/officeDocument/2006/relationships/hyperlink" Target="https://www.cipd.co.uk/knowledge/fundamentals/people/recruitment/brand-factsheet" TargetMode="External"/><Relationship Id="rId25" Type="http://schemas.openxmlformats.org/officeDocument/2006/relationships/hyperlink" Target="https://www.cipd.co.uk/knowledge/strategy/organisational-development/workforce-planning-factsheet" TargetMode="External"/><Relationship Id="rId2" Type="http://schemas.openxmlformats.org/officeDocument/2006/relationships/styles" Target="styles.xml"/><Relationship Id="rId16" Type="http://schemas.openxmlformats.org/officeDocument/2006/relationships/hyperlink" Target="https://www.cipd.co.uk/knowledge/fundamentals/people/recruitment/factsheet" TargetMode="External"/><Relationship Id="rId20" Type="http://schemas.openxmlformats.org/officeDocument/2006/relationships/hyperlink" Target="https://www.cipd.co.uk/knowledge/fundamentals/relations/employees/psychological-fact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hiring-someone" TargetMode="External"/><Relationship Id="rId11" Type="http://schemas.openxmlformats.org/officeDocument/2006/relationships/hyperlink" Target="https://www.cipd.co.uk/Images/resourcing-talent-planning_2017_tcm18-23747.pdf" TargetMode="External"/><Relationship Id="rId24" Type="http://schemas.openxmlformats.org/officeDocument/2006/relationships/hyperlink" Target="https://www.linkedin.com/pulse/from-workforce-worktask-planning-dave-ulrich/" TargetMode="External"/><Relationship Id="rId5" Type="http://schemas.openxmlformats.org/officeDocument/2006/relationships/hyperlink" Target="https://www.acas.org.uk/acas-code-of-practice-for-disciplinary-and-grievance-procedures/html" TargetMode="External"/><Relationship Id="rId15" Type="http://schemas.openxmlformats.org/officeDocument/2006/relationships/hyperlink" Target="https://www.cipd.co.uk/knowledge/fundamentals/people/recruitment/selection-factsheet" TargetMode="External"/><Relationship Id="rId23" Type="http://schemas.openxmlformats.org/officeDocument/2006/relationships/hyperlink" Target="https://tradingeconomics.com/germany/employed-persons" TargetMode="External"/><Relationship Id="rId28" Type="http://schemas.openxmlformats.org/officeDocument/2006/relationships/fontTable" Target="fontTable.xml"/><Relationship Id="rId10" Type="http://schemas.openxmlformats.org/officeDocument/2006/relationships/hyperlink" Target="https://www.cipd.co.uk/knowledge/work/trends/megatrends/ageing-gracefully-workforce" TargetMode="External"/><Relationship Id="rId19" Type="http://schemas.openxmlformats.org/officeDocument/2006/relationships/hyperlink" Target="https://www.ons.gov.uk/employmentandlabourmarket/peopleinwork/employmentandemployeetypes/bulletins/uklabourmarket/february2020" TargetMode="External"/><Relationship Id="rId4" Type="http://schemas.openxmlformats.org/officeDocument/2006/relationships/webSettings" Target="webSettings.xml"/><Relationship Id="rId9" Type="http://schemas.openxmlformats.org/officeDocument/2006/relationships/hyperlink" Target="https://www.cipd.co.uk/news-views/brexit-hub/workforce-trends" TargetMode="External"/><Relationship Id="rId14" Type="http://schemas.openxmlformats.org/officeDocument/2006/relationships/hyperlink" Target="https://www.peoplemanagement.co.uk/long-reads/articles/ryanair-workforce-planning" TargetMode="External"/><Relationship Id="rId22" Type="http://schemas.openxmlformats.org/officeDocument/2006/relationships/hyperlink" Target="https://www.roffeypark.com/wp-content/uploads2/The-Key-to-Retaining-Talent.pdf" TargetMode="External"/><Relationship Id="rId27" Type="http://schemas.openxmlformats.org/officeDocument/2006/relationships/hyperlink" Target="https://www.cipd.co.uk/knowledge/fundamentals/people/performance/competency-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728</TotalTime>
  <Pages>10</Pages>
  <Words>4490</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10</cp:revision>
  <dcterms:created xsi:type="dcterms:W3CDTF">2020-03-30T09:32:00Z</dcterms:created>
  <dcterms:modified xsi:type="dcterms:W3CDTF">2020-04-13T16:04:00Z</dcterms:modified>
</cp:coreProperties>
</file>