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0D2F1" w14:textId="77777777" w:rsidR="00D471CE" w:rsidRDefault="00D471CE" w:rsidP="00D471CE">
      <w:pPr>
        <w:rPr>
          <w:b/>
          <w:bCs/>
        </w:rPr>
      </w:pPr>
      <w:r w:rsidRPr="00D471CE">
        <w:rPr>
          <w:b/>
          <w:bCs/>
        </w:rPr>
        <w:t xml:space="preserve">Analyse the primary characteristics of Athanasius’s Christology. To what extent, if at all, is it dependent on faith in the Triune God? </w:t>
      </w:r>
    </w:p>
    <w:p w14:paraId="2FFFACB4" w14:textId="77777777" w:rsidR="00D471CE" w:rsidRDefault="00D471CE" w:rsidP="00D471CE">
      <w:pPr>
        <w:rPr>
          <w:b/>
          <w:bCs/>
        </w:rPr>
      </w:pPr>
    </w:p>
    <w:p w14:paraId="331CBD30" w14:textId="66975516" w:rsidR="00D471CE" w:rsidRDefault="00D471CE" w:rsidP="00D471CE">
      <w:r>
        <w:t xml:space="preserve">Athanasius’ </w:t>
      </w:r>
      <w:r>
        <w:rPr>
          <w:i/>
          <w:iCs/>
        </w:rPr>
        <w:t xml:space="preserve">De </w:t>
      </w:r>
      <w:proofErr w:type="spellStart"/>
      <w:r>
        <w:rPr>
          <w:i/>
          <w:iCs/>
        </w:rPr>
        <w:t>Incarnatione</w:t>
      </w:r>
      <w:proofErr w:type="spellEnd"/>
      <w:r>
        <w:rPr>
          <w:i/>
          <w:iCs/>
        </w:rPr>
        <w:t xml:space="preserve"> </w:t>
      </w:r>
      <w:proofErr w:type="spellStart"/>
      <w:r>
        <w:rPr>
          <w:i/>
          <w:iCs/>
        </w:rPr>
        <w:t>Verbi</w:t>
      </w:r>
      <w:proofErr w:type="spellEnd"/>
      <w:r>
        <w:rPr>
          <w:i/>
          <w:iCs/>
        </w:rPr>
        <w:t xml:space="preserve"> Dei </w:t>
      </w:r>
      <w:r>
        <w:t>is a</w:t>
      </w:r>
      <w:r w:rsidR="0032698B">
        <w:t xml:space="preserve">n argument for the salvific effect of the Word of God. It </w:t>
      </w:r>
      <w:r w:rsidR="00860B00">
        <w:t xml:space="preserve">attempts to prove that in coming to us in human form, the Word’s purpose was the salvation of humankind: </w:t>
      </w:r>
      <w:r w:rsidR="00866AFE">
        <w:t>Athanasius’</w:t>
      </w:r>
      <w:r w:rsidR="00860B00">
        <w:t xml:space="preserve"> </w:t>
      </w:r>
      <w:r w:rsidR="00957E5C">
        <w:t xml:space="preserve">avowed </w:t>
      </w:r>
      <w:r w:rsidR="00860B00">
        <w:t>intention</w:t>
      </w:r>
      <w:r w:rsidR="00866AFE">
        <w:t xml:space="preserve"> in this work</w:t>
      </w:r>
      <w:r w:rsidR="00860B00">
        <w:t xml:space="preserve"> is </w:t>
      </w:r>
      <w:r w:rsidR="0032698B">
        <w:t xml:space="preserve">to </w:t>
      </w:r>
      <w:r w:rsidR="00860B00">
        <w:t>increase the</w:t>
      </w:r>
      <w:r w:rsidR="0032698B">
        <w:t xml:space="preserve"> devotion </w:t>
      </w:r>
      <w:r w:rsidR="00860B00">
        <w:t>of readers through an appreciation of the humiliation of the Word incarnate on the cross</w:t>
      </w:r>
      <w:r w:rsidR="00860B00">
        <w:rPr>
          <w:rStyle w:val="FootnoteReference"/>
        </w:rPr>
        <w:footnoteReference w:id="1"/>
      </w:r>
      <w:r w:rsidR="00860B00">
        <w:t xml:space="preserve">. </w:t>
      </w:r>
      <w:r w:rsidR="00866AFE">
        <w:t xml:space="preserve">The notion of redemption is a theme that runs through the work, and this indicates a Christological perspective that </w:t>
      </w:r>
      <w:r w:rsidR="00F170D0">
        <w:t xml:space="preserve">Colin </w:t>
      </w:r>
      <w:r w:rsidR="00866AFE">
        <w:t>Greene would describe as ‘therapeutic’</w:t>
      </w:r>
      <w:r w:rsidR="00866AFE">
        <w:rPr>
          <w:rStyle w:val="FootnoteReference"/>
        </w:rPr>
        <w:footnoteReference w:id="2"/>
      </w:r>
      <w:r w:rsidR="00866AFE">
        <w:t xml:space="preserve">: examples of Athanasius’ insistence on the </w:t>
      </w:r>
      <w:r w:rsidR="00843D5A">
        <w:t>redemptive purpose of the incarnation abound (see, for example, in sections 7,13, 20, 37), but, following Greene’s schema, it is equally valid to construe Athanasius’ Christology as ‘theoretical’, in that what he offers here is a</w:t>
      </w:r>
      <w:r w:rsidR="001B3E94">
        <w:t>n</w:t>
      </w:r>
      <w:r w:rsidR="00843D5A">
        <w:t xml:space="preserve"> </w:t>
      </w:r>
      <w:r w:rsidR="00D17F01">
        <w:t xml:space="preserve">apologia </w:t>
      </w:r>
      <w:r w:rsidR="00843D5A">
        <w:t xml:space="preserve">of the Christian faith. </w:t>
      </w:r>
      <w:r w:rsidR="003B4FD5">
        <w:t>T</w:t>
      </w:r>
      <w:r w:rsidR="00957E5C">
        <w:t xml:space="preserve">he Christology </w:t>
      </w:r>
      <w:r w:rsidR="003B4FD5">
        <w:t>‘</w:t>
      </w:r>
      <w:r w:rsidR="00957E5C">
        <w:t>schema</w:t>
      </w:r>
      <w:r w:rsidR="003B4FD5">
        <w:t>’</w:t>
      </w:r>
      <w:r w:rsidR="00957E5C">
        <w:t xml:space="preserve"> </w:t>
      </w:r>
      <w:r w:rsidR="003B4FD5">
        <w:t xml:space="preserve">may be divided further </w:t>
      </w:r>
      <w:r w:rsidR="00957E5C">
        <w:t>into three broad types, the cosmological, the political and the anthropological</w:t>
      </w:r>
      <w:r w:rsidR="00957E5C">
        <w:rPr>
          <w:rStyle w:val="FootnoteReference"/>
        </w:rPr>
        <w:footnoteReference w:id="3"/>
      </w:r>
      <w:r w:rsidR="00957E5C">
        <w:t>. There is a danger here of attempting to shoe-horn Athanasius’ thinking into one or other of the given patterns: it will be found in fact that the Bishop of Alexandria’s argument indicates a catholicity of thinking about the Christ</w:t>
      </w:r>
      <w:r w:rsidR="00F170D0">
        <w:t xml:space="preserve">, suggestive of a Christology </w:t>
      </w:r>
      <w:r w:rsidR="003B4FD5">
        <w:t>not fully formed</w:t>
      </w:r>
      <w:r w:rsidR="00957E5C">
        <w:t xml:space="preserve">. </w:t>
      </w:r>
    </w:p>
    <w:p w14:paraId="2022119A" w14:textId="77777777" w:rsidR="00957E5C" w:rsidRDefault="00957E5C" w:rsidP="00D471CE"/>
    <w:p w14:paraId="59A765BD" w14:textId="1D005057" w:rsidR="00957E5C" w:rsidRDefault="00523216" w:rsidP="00D471CE">
      <w:r>
        <w:t xml:space="preserve">He begins with the cosmological perspective, clearing the philosophical ‘undergrowth’ with </w:t>
      </w:r>
      <w:proofErr w:type="spellStart"/>
      <w:r>
        <w:t>disproofs</w:t>
      </w:r>
      <w:proofErr w:type="spellEnd"/>
      <w:r>
        <w:t xml:space="preserve"> of the Epicurean theory of the random creation of the universe, and of the Platonic view of what would be a diminished God, as mere craftsman in a pre-created universe</w:t>
      </w:r>
      <w:r>
        <w:rPr>
          <w:rStyle w:val="FootnoteReference"/>
        </w:rPr>
        <w:footnoteReference w:id="4"/>
      </w:r>
      <w:r>
        <w:t>. He quotes John (</w:t>
      </w:r>
      <w:r>
        <w:rPr>
          <w:i/>
          <w:iCs/>
        </w:rPr>
        <w:t>‘All things were made by him and without him was nothing made’</w:t>
      </w:r>
      <w:r>
        <w:rPr>
          <w:rStyle w:val="FootnoteReference"/>
          <w:i/>
          <w:iCs/>
        </w:rPr>
        <w:footnoteReference w:id="5"/>
      </w:r>
      <w:r>
        <w:t>)</w:t>
      </w:r>
      <w:r w:rsidR="00C32C18">
        <w:t>, and in section 3 asserts the role of the Word (‘our Lord Jesus Christ’) in God’s creation of everything out of nothing, a role of the Christ that follows Origen’s eternally begotten Word of God, as attested to in the first words of John’s Gospel</w:t>
      </w:r>
      <w:r w:rsidR="00C32C18">
        <w:rPr>
          <w:rStyle w:val="FootnoteReference"/>
        </w:rPr>
        <w:footnoteReference w:id="6"/>
      </w:r>
      <w:r w:rsidR="00C32C18">
        <w:t xml:space="preserve">. </w:t>
      </w:r>
      <w:r w:rsidR="00163A30">
        <w:t xml:space="preserve">This puts Jesus Christ at the heart of the creation story – the cosmological perspective </w:t>
      </w:r>
      <w:r w:rsidR="001B3E94">
        <w:t>– as well as the ‘re-creation’ story (through his incarnation)</w:t>
      </w:r>
      <w:r w:rsidR="003B4FD5">
        <w:t>,</w:t>
      </w:r>
      <w:r w:rsidR="001B3E94">
        <w:t xml:space="preserve"> </w:t>
      </w:r>
      <w:r w:rsidR="003B4FD5">
        <w:t>in other words, by</w:t>
      </w:r>
      <w:r w:rsidR="001B3E94">
        <w:t xml:space="preserve"> being worthy to suffer on behalf of all and plead on behalf of all before the Father</w:t>
      </w:r>
      <w:r w:rsidR="001B3E94">
        <w:rPr>
          <w:rStyle w:val="FootnoteReference"/>
        </w:rPr>
        <w:footnoteReference w:id="7"/>
      </w:r>
      <w:r w:rsidR="001B3E94">
        <w:t xml:space="preserve">. </w:t>
      </w:r>
    </w:p>
    <w:p w14:paraId="20726BD0" w14:textId="77777777" w:rsidR="00163A30" w:rsidRDefault="00163A30" w:rsidP="00D471CE"/>
    <w:p w14:paraId="456BD19D" w14:textId="36B39EE0" w:rsidR="00163A30" w:rsidRDefault="00163A30" w:rsidP="00D471CE">
      <w:r>
        <w:t xml:space="preserve">The other aspect of the creation is that of mankind itself, and in section 3, Athanasius </w:t>
      </w:r>
      <w:r w:rsidR="008B30AC">
        <w:t>reflects on humanity’s pre-</w:t>
      </w:r>
      <w:proofErr w:type="spellStart"/>
      <w:r w:rsidR="008B30AC">
        <w:t>lapsarian</w:t>
      </w:r>
      <w:proofErr w:type="spellEnd"/>
      <w:r w:rsidR="008B30AC">
        <w:t xml:space="preserve"> nature, on its being made in the image of God, on its being partakers of a share of the Word (being made rational), and on prospective ‘true life in paradise’. This is an important piece in the theological jigsaw because, first it establishes the likeness of human being</w:t>
      </w:r>
      <w:r w:rsidR="00625753">
        <w:t>s</w:t>
      </w:r>
      <w:r w:rsidR="008B30AC">
        <w:t xml:space="preserve"> to the Logos (Jesus Christ), and secondly it makes sense of both the coming of the Christ and the ‘restoration’ of humanity to its pristine state: again, the salvation of the race. </w:t>
      </w:r>
      <w:r w:rsidR="001D286E">
        <w:t xml:space="preserve">In section 4 this is pictured as the Word showing compassion to mortals – as our calling forth his mercy – so that we could be saved from death which </w:t>
      </w:r>
      <w:r w:rsidR="00625753">
        <w:t xml:space="preserve">till his coming had </w:t>
      </w:r>
      <w:r w:rsidR="001D286E">
        <w:t>ruled over us</w:t>
      </w:r>
      <w:r w:rsidR="001D286E">
        <w:rPr>
          <w:rStyle w:val="FootnoteReference"/>
        </w:rPr>
        <w:footnoteReference w:id="8"/>
      </w:r>
      <w:r w:rsidR="001D286E">
        <w:t xml:space="preserve">. </w:t>
      </w:r>
      <w:r w:rsidR="00E57DBD">
        <w:t xml:space="preserve">The coherence of this </w:t>
      </w:r>
      <w:r w:rsidR="00E57DBD">
        <w:lastRenderedPageBreak/>
        <w:t>cosmology is demonstrated in</w:t>
      </w:r>
      <w:r w:rsidR="001D286E">
        <w:t xml:space="preserve"> section</w:t>
      </w:r>
      <w:r w:rsidR="00E57DBD">
        <w:t>s</w:t>
      </w:r>
      <w:r w:rsidR="001D286E">
        <w:t xml:space="preserve"> 10</w:t>
      </w:r>
      <w:r w:rsidR="00E57DBD">
        <w:t xml:space="preserve"> and 11 where it is argued that there was no other power that could save humanity from its corrupted state than God the Word, and for two reasons: first it was God the Word that had created humanity; and secondly, humanity bore God’s likeness</w:t>
      </w:r>
      <w:r w:rsidR="00E57DBD">
        <w:rPr>
          <w:rStyle w:val="FootnoteReference"/>
        </w:rPr>
        <w:footnoteReference w:id="9"/>
      </w:r>
      <w:r w:rsidR="00E57DBD">
        <w:t>.</w:t>
      </w:r>
      <w:r w:rsidR="00625753">
        <w:t xml:space="preserve"> The coherence is borrowed from Paul in a quote from 1 Corinthians 15 ‘Since by man came death, also by man came the resurrection of the dead: for as in Adam all die, so also in Christ all will be made alive.’</w:t>
      </w:r>
      <w:r w:rsidR="00625753">
        <w:rPr>
          <w:rStyle w:val="FootnoteReference"/>
        </w:rPr>
        <w:footnoteReference w:id="10"/>
      </w:r>
    </w:p>
    <w:p w14:paraId="40C8DB61" w14:textId="77777777" w:rsidR="00487E48" w:rsidRDefault="00487E48" w:rsidP="00D471CE"/>
    <w:p w14:paraId="12C9C76A" w14:textId="46C4D9AD" w:rsidR="00487E48" w:rsidRDefault="00487E48" w:rsidP="00D471CE">
      <w:r>
        <w:t xml:space="preserve">In addition to the cosmological and soteriological aspects of the Christ, Athanasius draws attention to what is held to be </w:t>
      </w:r>
      <w:r w:rsidR="00FB3060">
        <w:t>a ‘political’ Christology</w:t>
      </w:r>
      <w:r w:rsidR="00FB3060">
        <w:rPr>
          <w:rStyle w:val="FootnoteReference"/>
        </w:rPr>
        <w:footnoteReference w:id="11"/>
      </w:r>
      <w:r w:rsidR="00FB3060">
        <w:t xml:space="preserve">, in which Jesus, through his incarnation and resurrection, is seen as Lord of all. This Lordship, he notes, is confirmed </w:t>
      </w:r>
      <w:r w:rsidR="00AE364A">
        <w:t xml:space="preserve">by </w:t>
      </w:r>
      <w:r w:rsidR="00FB3060">
        <w:t>Gospel accounts</w:t>
      </w:r>
      <w:r w:rsidR="00AE364A">
        <w:t xml:space="preserve"> of </w:t>
      </w:r>
      <w:r w:rsidR="00FB3060">
        <w:t>his divine power over demons</w:t>
      </w:r>
      <w:r w:rsidR="00FB3060">
        <w:rPr>
          <w:rStyle w:val="FootnoteReference"/>
        </w:rPr>
        <w:footnoteReference w:id="12"/>
      </w:r>
      <w:r w:rsidR="00AE364A">
        <w:t>; and, after the resurrection, t</w:t>
      </w:r>
      <w:r w:rsidR="00B87903">
        <w:t xml:space="preserve">hrough the devotion of his followers </w:t>
      </w:r>
      <w:r w:rsidR="00AE364A">
        <w:t>in discounting death itself</w:t>
      </w:r>
      <w:r w:rsidR="00AE364A">
        <w:rPr>
          <w:rStyle w:val="FootnoteReference"/>
        </w:rPr>
        <w:footnoteReference w:id="13"/>
      </w:r>
      <w:r w:rsidR="00AE364A">
        <w:t xml:space="preserve">, </w:t>
      </w:r>
      <w:r w:rsidR="00B87903">
        <w:t>through the power of the cross (</w:t>
      </w:r>
      <w:r w:rsidR="00AE364A">
        <w:t>‘</w:t>
      </w:r>
      <w:r w:rsidR="00B87903">
        <w:t>that makes all raise their eyes from earth to heaven’</w:t>
      </w:r>
      <w:r w:rsidR="00B87903">
        <w:rPr>
          <w:rStyle w:val="FootnoteReference"/>
        </w:rPr>
        <w:footnoteReference w:id="14"/>
      </w:r>
      <w:r w:rsidR="00AE364A">
        <w:t>), through the universal abandonment of idols</w:t>
      </w:r>
      <w:r w:rsidR="00AE364A">
        <w:rPr>
          <w:rStyle w:val="FootnoteReference"/>
        </w:rPr>
        <w:footnoteReference w:id="15"/>
      </w:r>
      <w:r w:rsidR="00AE364A">
        <w:t>, and the spread of peace amongst barbarians</w:t>
      </w:r>
      <w:r w:rsidR="00AE364A">
        <w:rPr>
          <w:rStyle w:val="FootnoteReference"/>
        </w:rPr>
        <w:footnoteReference w:id="16"/>
      </w:r>
      <w:r w:rsidR="00AE364A">
        <w:t xml:space="preserve">. </w:t>
      </w:r>
      <w:r w:rsidR="009838D7">
        <w:t xml:space="preserve">The difficulty of the political Christ (the King of Kings) must have been felt acutely by Athanasius growing up at the time of Emperor Constantine’s Milan Protocol of AD </w:t>
      </w:r>
      <w:proofErr w:type="gramStart"/>
      <w:r w:rsidR="009838D7">
        <w:t>313, and</w:t>
      </w:r>
      <w:proofErr w:type="gramEnd"/>
      <w:r w:rsidR="009838D7">
        <w:t xml:space="preserve"> being thrust into the Episcopate so soon after Nicaea</w:t>
      </w:r>
      <w:r w:rsidR="007E6C4C">
        <w:rPr>
          <w:rStyle w:val="FootnoteReference"/>
        </w:rPr>
        <w:footnoteReference w:id="17"/>
      </w:r>
      <w:r w:rsidR="007E6C4C">
        <w:t>.</w:t>
      </w:r>
      <w:r w:rsidR="00FC3CAE">
        <w:t xml:space="preserve"> </w:t>
      </w:r>
      <w:r w:rsidR="00E47014">
        <w:t>That he is clear-eyed about the potential dangers of the ‘political’ version of the Christ is evidenced in his quotation of Paul in Colossians 2</w:t>
      </w:r>
      <w:r w:rsidR="00A323A8">
        <w:rPr>
          <w:rStyle w:val="FootnoteReference"/>
        </w:rPr>
        <w:footnoteReference w:id="18"/>
      </w:r>
      <w:r w:rsidR="00E47014">
        <w:t xml:space="preserve">: </w:t>
      </w:r>
      <w:r w:rsidR="00E47014" w:rsidRPr="00A323A8">
        <w:rPr>
          <w:i/>
          <w:iCs/>
        </w:rPr>
        <w:t>‘He despoiled</w:t>
      </w:r>
      <w:r w:rsidR="00A323A8" w:rsidRPr="00A323A8">
        <w:rPr>
          <w:i/>
          <w:iCs/>
        </w:rPr>
        <w:t xml:space="preserve"> the principalities and powers and has triumphed on the cross’</w:t>
      </w:r>
      <w:r w:rsidR="00A323A8">
        <w:t>.</w:t>
      </w:r>
      <w:r w:rsidR="00E47014">
        <w:t xml:space="preserve"> </w:t>
      </w:r>
      <w:r w:rsidR="00FC3CAE">
        <w:t>Furthermore, in following Irenaeus’s explication of the image of Christ on the cross</w:t>
      </w:r>
      <w:r w:rsidR="00FC3CAE">
        <w:rPr>
          <w:rStyle w:val="FootnoteReference"/>
        </w:rPr>
        <w:footnoteReference w:id="19"/>
      </w:r>
      <w:r w:rsidR="00420526">
        <w:t xml:space="preserve">, Athanasius envisions the two outstretched arms of Jesus on the cross as drawing together the ‘ancient people’ (of Israel) and the Gentiles: and joining them in himself. </w:t>
      </w:r>
      <w:r w:rsidR="00A323A8">
        <w:t xml:space="preserve">Christ here is the bringer of peace. </w:t>
      </w:r>
    </w:p>
    <w:p w14:paraId="3C5333A1" w14:textId="77777777" w:rsidR="007E6C4C" w:rsidRDefault="007E6C4C" w:rsidP="00D471CE"/>
    <w:p w14:paraId="49D259E1" w14:textId="0D5C0C95" w:rsidR="007E6C4C" w:rsidRDefault="00A323A8" w:rsidP="00D471CE">
      <w:r>
        <w:t>We may briefly instantiate Athanasius’</w:t>
      </w:r>
      <w:r w:rsidR="007E6C4C">
        <w:t xml:space="preserve"> so-called anthropological Christology</w:t>
      </w:r>
      <w:r w:rsidR="00FC3CAE">
        <w:t xml:space="preserve">, and not only in the </w:t>
      </w:r>
      <w:r w:rsidR="00420526">
        <w:t>image</w:t>
      </w:r>
      <w:r w:rsidR="00FC3CAE">
        <w:t xml:space="preserve"> of Christ as the new Adam. </w:t>
      </w:r>
      <w:r w:rsidR="00420526">
        <w:t>In section</w:t>
      </w:r>
      <w:r w:rsidR="005F35CC">
        <w:t xml:space="preserve"> </w:t>
      </w:r>
      <w:r w:rsidR="00420526">
        <w:t xml:space="preserve">43, </w:t>
      </w:r>
      <w:r w:rsidR="00A84636">
        <w:t>he</w:t>
      </w:r>
      <w:r w:rsidR="00420526">
        <w:t xml:space="preserve"> adds to the vision of the healing Word - specifically</w:t>
      </w:r>
      <w:r w:rsidR="00420526">
        <w:rPr>
          <w:rStyle w:val="FootnoteReference"/>
        </w:rPr>
        <w:footnoteReference w:id="20"/>
      </w:r>
      <w:r w:rsidR="00420526">
        <w:t xml:space="preserve"> in the case of the blind man being given sight </w:t>
      </w:r>
      <w:r w:rsidR="005F35CC">
        <w:t>–</w:t>
      </w:r>
      <w:r w:rsidR="00420526">
        <w:t xml:space="preserve"> </w:t>
      </w:r>
      <w:r w:rsidR="005F35CC">
        <w:t xml:space="preserve">by referring to the teaching power of the Word. The Word was made flesh not only to save mankind, but also to instruct, helping humanity know </w:t>
      </w:r>
      <w:r w:rsidR="00A84636">
        <w:t>the</w:t>
      </w:r>
      <w:r w:rsidR="005F35CC">
        <w:t xml:space="preserve"> </w:t>
      </w:r>
      <w:r w:rsidR="00A84636">
        <w:t>‘</w:t>
      </w:r>
      <w:r w:rsidR="005F35CC">
        <w:t>Father more quickly and more closely’</w:t>
      </w:r>
      <w:r w:rsidR="005F35CC">
        <w:rPr>
          <w:rStyle w:val="FootnoteReference"/>
        </w:rPr>
        <w:footnoteReference w:id="21"/>
      </w:r>
      <w:r w:rsidR="005F35CC">
        <w:t>, in recognition that his works were not human, but the wor</w:t>
      </w:r>
      <w:r>
        <w:t>k</w:t>
      </w:r>
      <w:r w:rsidR="005F35CC">
        <w:t xml:space="preserve">s of God. </w:t>
      </w:r>
    </w:p>
    <w:p w14:paraId="10148277" w14:textId="77777777" w:rsidR="00500712" w:rsidRDefault="00500712" w:rsidP="00D471CE"/>
    <w:p w14:paraId="7CF96770" w14:textId="42EF1AC4" w:rsidR="00F054EA" w:rsidRDefault="00500712" w:rsidP="00F054EA">
      <w:r>
        <w:t xml:space="preserve">There are thus two </w:t>
      </w:r>
      <w:proofErr w:type="gramStart"/>
      <w:r>
        <w:t>principal</w:t>
      </w:r>
      <w:proofErr w:type="gramEnd"/>
      <w:r>
        <w:t xml:space="preserve"> ‘characters’ in the story of the incarnation of the Word: Jesus the man, and Jesus the son of God. Athanasius is aware of this, </w:t>
      </w:r>
      <w:r w:rsidR="00281E9A">
        <w:t>asking the question directly: ‘Who then and what sort of person is this Christ…?’</w:t>
      </w:r>
      <w:r w:rsidR="00281E9A">
        <w:rPr>
          <w:rStyle w:val="FootnoteReference"/>
        </w:rPr>
        <w:footnoteReference w:id="22"/>
      </w:r>
      <w:r w:rsidR="00281E9A">
        <w:t xml:space="preserve"> He refutes the </w:t>
      </w:r>
      <w:r w:rsidR="00281E9A">
        <w:lastRenderedPageBreak/>
        <w:t>(Greek) claim that he is just a man, and asserts that he is ‘truly the Son of God, being the Word and Wisdom and Power o</w:t>
      </w:r>
      <w:r w:rsidR="002C1F00">
        <w:t>f</w:t>
      </w:r>
      <w:r w:rsidR="00281E9A">
        <w:t xml:space="preserve"> the Father.’</w:t>
      </w:r>
      <w:r w:rsidR="00281E9A">
        <w:rPr>
          <w:rStyle w:val="FootnoteReference"/>
        </w:rPr>
        <w:footnoteReference w:id="23"/>
      </w:r>
      <w:r w:rsidR="002C1F00">
        <w:t xml:space="preserve"> The assertion follows something of a logical struggle (particularly in sections 41 and 42)</w:t>
      </w:r>
      <w:r w:rsidR="00CD649C">
        <w:t xml:space="preserve"> in</w:t>
      </w:r>
      <w:r w:rsidR="002C1F00">
        <w:t xml:space="preserve"> Athanasius’ attempt to validate the incarnation in terms of the Word’s ubiquity in the universe</w:t>
      </w:r>
      <w:r w:rsidR="00CD649C">
        <w:rPr>
          <w:rStyle w:val="FootnoteReference"/>
        </w:rPr>
        <w:footnoteReference w:id="24"/>
      </w:r>
      <w:r w:rsidR="00CD649C">
        <w:t>, but it shows how the writer is concerned with the boundaries of the two ‘characters’. We see this again</w:t>
      </w:r>
      <w:r w:rsidR="00CB620A">
        <w:t xml:space="preserve"> in sections 17 and 18 where he wrestles with how the Word and the man were in the same body at the same time.</w:t>
      </w:r>
      <w:r w:rsidR="00CB620A">
        <w:rPr>
          <w:rStyle w:val="FootnoteReference"/>
        </w:rPr>
        <w:footnoteReference w:id="25"/>
      </w:r>
      <w:r w:rsidR="00CB620A">
        <w:t xml:space="preserve"> </w:t>
      </w:r>
      <w:r w:rsidR="00F054EA">
        <w:t>He concludes this with</w:t>
      </w:r>
      <w:r w:rsidR="00F054EA" w:rsidRPr="00F054EA">
        <w:t xml:space="preserve">: </w:t>
      </w:r>
      <w:r w:rsidR="00F054EA" w:rsidRPr="00F054EA">
        <w:rPr>
          <w:i/>
          <w:iCs/>
        </w:rPr>
        <w:t>‘And the most amazing thing is this, that he both lived as a man, and as the Word gave life to everything, and as the Son was with the Father.’</w:t>
      </w:r>
    </w:p>
    <w:p w14:paraId="45999716" w14:textId="77777777" w:rsidR="00F054EA" w:rsidRDefault="00F054EA" w:rsidP="00F054EA"/>
    <w:p w14:paraId="0A7227D8" w14:textId="4E08907F" w:rsidR="00F054EA" w:rsidRDefault="00F054EA" w:rsidP="00F054EA">
      <w:r>
        <w:t>This brings up the question of the Trinitarian content of his arguments. The absence (other than in the valedictory blessing) of mention of the Spirit is not relevant</w:t>
      </w:r>
      <w:r w:rsidR="00610AA1">
        <w:t xml:space="preserve"> here</w:t>
      </w:r>
      <w:r>
        <w:t xml:space="preserve">: the question is predominantly how the Jesus figure ’who walked among us’ (and who Christologically speaking is hardly mentioned) is one and the same </w:t>
      </w:r>
      <w:r w:rsidR="00841C86">
        <w:t xml:space="preserve">being </w:t>
      </w:r>
      <w:r>
        <w:t xml:space="preserve">as the Christ figure, who here dominates, whether as miracle-worker, teacher, begotten Son of God, or Saviour of humanity and recreator of the universe. </w:t>
      </w:r>
      <w:r w:rsidR="009B151F">
        <w:t xml:space="preserve">We have already noted some of </w:t>
      </w:r>
      <w:r>
        <w:t>Athanasius’ logical difficulty</w:t>
      </w:r>
      <w:r w:rsidR="009B151F">
        <w:t xml:space="preserve"> here</w:t>
      </w:r>
      <w:r>
        <w:t xml:space="preserve">, but there are further problems, such as the relationship with the Father. </w:t>
      </w:r>
    </w:p>
    <w:p w14:paraId="4D0F79FA" w14:textId="307BD84C" w:rsidR="009B151F" w:rsidRDefault="009B151F" w:rsidP="00F054EA"/>
    <w:p w14:paraId="2C3D8E3C" w14:textId="2FBBD02E" w:rsidR="009B151F" w:rsidRDefault="00232F7C" w:rsidP="00F054EA">
      <w:r>
        <w:t>Athanasius consistently uses</w:t>
      </w:r>
      <w:r w:rsidR="009B151F">
        <w:t xml:space="preserve"> ‘Word’ </w:t>
      </w:r>
      <w:r>
        <w:t>for the incarnate Son of God.</w:t>
      </w:r>
      <w:r w:rsidR="009B151F">
        <w:t xml:space="preserve"> </w:t>
      </w:r>
      <w:r>
        <w:t>T</w:t>
      </w:r>
      <w:r w:rsidR="009B151F">
        <w:t>his gives the general argument a Johannine authenticity</w:t>
      </w:r>
      <w:r w:rsidR="009B151F">
        <w:rPr>
          <w:rStyle w:val="FootnoteReference"/>
        </w:rPr>
        <w:footnoteReference w:id="26"/>
      </w:r>
      <w:r w:rsidR="009B151F">
        <w:t xml:space="preserve">, </w:t>
      </w:r>
      <w:r>
        <w:t>but its use, for example,</w:t>
      </w:r>
      <w:r w:rsidR="009B151F">
        <w:t xml:space="preserve"> in section 7, </w:t>
      </w:r>
      <w:r>
        <w:t xml:space="preserve">as </w:t>
      </w:r>
      <w:r w:rsidR="009B151F">
        <w:t>the Word of the Father</w:t>
      </w:r>
      <w:r>
        <w:t xml:space="preserve"> (</w:t>
      </w:r>
      <w:r w:rsidR="009B151F">
        <w:t>having suffered for all</w:t>
      </w:r>
      <w:r>
        <w:t>)</w:t>
      </w:r>
      <w:r w:rsidR="009B151F">
        <w:t xml:space="preserve"> advocat</w:t>
      </w:r>
      <w:r>
        <w:t>ing</w:t>
      </w:r>
      <w:r w:rsidR="009B151F">
        <w:t xml:space="preserve"> on behalf of all </w:t>
      </w:r>
      <w:r w:rsidR="009B151F" w:rsidRPr="00232F7C">
        <w:rPr>
          <w:i/>
          <w:iCs/>
        </w:rPr>
        <w:t xml:space="preserve">before </w:t>
      </w:r>
      <w:r w:rsidR="009B151F">
        <w:t>the Father</w:t>
      </w:r>
      <w:r>
        <w:t xml:space="preserve">, puts a strain on the hypostatic union. In section 13 Athanasius argues that the Word of God came to us, as the image of his Father: is this a gap </w:t>
      </w:r>
      <w:proofErr w:type="gramStart"/>
      <w:r>
        <w:t>opening up</w:t>
      </w:r>
      <w:proofErr w:type="gramEnd"/>
      <w:r>
        <w:t xml:space="preserve"> between ‘</w:t>
      </w:r>
      <w:proofErr w:type="spellStart"/>
      <w:r>
        <w:t>hom</w:t>
      </w:r>
      <w:r w:rsidRPr="00232F7C">
        <w:rPr>
          <w:i/>
          <w:iCs/>
        </w:rPr>
        <w:t>o</w:t>
      </w:r>
      <w:r>
        <w:t>ousios</w:t>
      </w:r>
      <w:proofErr w:type="spellEnd"/>
      <w:r>
        <w:t>’ and ‘</w:t>
      </w:r>
      <w:proofErr w:type="spellStart"/>
      <w:r>
        <w:t>hom</w:t>
      </w:r>
      <w:r w:rsidRPr="00232F7C">
        <w:rPr>
          <w:i/>
          <w:iCs/>
        </w:rPr>
        <w:t>oi</w:t>
      </w:r>
      <w:r>
        <w:t>ousios</w:t>
      </w:r>
      <w:proofErr w:type="spellEnd"/>
      <w:r>
        <w:t xml:space="preserve">’, which latter in other contexts the writer denied? And in section 11, </w:t>
      </w:r>
      <w:r w:rsidR="003B4FD5">
        <w:t xml:space="preserve">when he talks of God’s plan for men, there is a suggestion of modalism in the idea of the Word acting as intermediary between the Father and humanity. </w:t>
      </w:r>
    </w:p>
    <w:p w14:paraId="6287CD09" w14:textId="77777777" w:rsidR="008A6A4D" w:rsidRDefault="008A6A4D" w:rsidP="00F054EA"/>
    <w:p w14:paraId="21030EF6" w14:textId="19C84BFB" w:rsidR="008A6A4D" w:rsidRPr="00F054EA" w:rsidRDefault="008A6A4D" w:rsidP="00F054EA">
      <w:r>
        <w:t xml:space="preserve">This is not to </w:t>
      </w:r>
      <w:r w:rsidR="00841C86">
        <w:t xml:space="preserve">infer </w:t>
      </w:r>
      <w:r>
        <w:t xml:space="preserve">that Athanasius is here significantly inconsistent with his faith in the Triune God. But throwing himself into this apologia for the Incarnation of the Word of God, he has, perhaps unwittingly, eclipsed the Father and his oneness with and apartness from the second person of the Trinity. </w:t>
      </w:r>
    </w:p>
    <w:p w14:paraId="42B98670" w14:textId="0702352B" w:rsidR="00500712" w:rsidRPr="00F054EA" w:rsidRDefault="00500712" w:rsidP="00D471CE">
      <w:pPr>
        <w:rPr>
          <w:i/>
          <w:iCs/>
        </w:rPr>
      </w:pPr>
    </w:p>
    <w:p w14:paraId="3E5B956D" w14:textId="4E823B7A" w:rsidR="00A84636" w:rsidRDefault="002C0502" w:rsidP="002C0502">
      <w:pPr>
        <w:jc w:val="right"/>
      </w:pPr>
      <w:r>
        <w:t>(1678 words)</w:t>
      </w:r>
    </w:p>
    <w:p w14:paraId="0530A62B" w14:textId="77777777" w:rsidR="00A84636" w:rsidRDefault="00A84636" w:rsidP="00D471CE"/>
    <w:p w14:paraId="378FC905" w14:textId="77777777" w:rsidR="007E6C4C" w:rsidRDefault="007E6C4C" w:rsidP="00D471CE"/>
    <w:p w14:paraId="303EF9EA" w14:textId="77777777" w:rsidR="007E6C4C" w:rsidRDefault="007E6C4C" w:rsidP="00D471CE"/>
    <w:p w14:paraId="6FFA0137" w14:textId="77777777" w:rsidR="00487E48" w:rsidRDefault="00487E48" w:rsidP="00D471CE"/>
    <w:p w14:paraId="53862896" w14:textId="77777777" w:rsidR="00487E48" w:rsidRDefault="00487E48" w:rsidP="00D471CE"/>
    <w:p w14:paraId="71A94468" w14:textId="77777777" w:rsidR="00625753" w:rsidRDefault="00625753" w:rsidP="00D471CE"/>
    <w:p w14:paraId="23AD7BA5" w14:textId="77777777" w:rsidR="00625753" w:rsidRDefault="00625753" w:rsidP="00D471CE"/>
    <w:p w14:paraId="0AEBF12A" w14:textId="77777777" w:rsidR="00625753" w:rsidRDefault="00625753" w:rsidP="00D471CE"/>
    <w:p w14:paraId="57914A37" w14:textId="77777777" w:rsidR="00625753" w:rsidRDefault="00625753" w:rsidP="00D471CE"/>
    <w:p w14:paraId="6F47063A" w14:textId="77777777" w:rsidR="00BE17D5" w:rsidRDefault="00BE17D5" w:rsidP="00D471CE"/>
    <w:p w14:paraId="6EDE3B4D" w14:textId="77777777" w:rsidR="00BE17D5" w:rsidRDefault="00BE17D5" w:rsidP="00D471CE"/>
    <w:p w14:paraId="1086255C" w14:textId="77777777" w:rsidR="001D286E" w:rsidRDefault="001D286E" w:rsidP="00D471CE"/>
    <w:p w14:paraId="0197EE2F" w14:textId="77777777" w:rsidR="001D286E" w:rsidRDefault="001D286E" w:rsidP="00D471CE"/>
    <w:p w14:paraId="7F96F794" w14:textId="77777777" w:rsidR="00163A30" w:rsidRDefault="00163A30" w:rsidP="00D471CE"/>
    <w:p w14:paraId="18681C6A" w14:textId="77777777" w:rsidR="00163A30" w:rsidRPr="00523216" w:rsidRDefault="00163A30" w:rsidP="00D471CE"/>
    <w:p w14:paraId="0A44581A" w14:textId="77777777" w:rsidR="009B6668" w:rsidRDefault="009B6668" w:rsidP="00D471CE"/>
    <w:p w14:paraId="71617181" w14:textId="77777777" w:rsidR="00866AFE" w:rsidRDefault="00866AFE"/>
    <w:p w14:paraId="068F931F" w14:textId="77777777" w:rsidR="00C32C18" w:rsidRDefault="00C32C18"/>
    <w:p w14:paraId="5637CDCC" w14:textId="77777777" w:rsidR="00C32C18" w:rsidRDefault="00C32C18"/>
    <w:p w14:paraId="4512F827" w14:textId="77777777" w:rsidR="00C32C18" w:rsidRDefault="00C32C18"/>
    <w:p w14:paraId="7D8831A7" w14:textId="77777777" w:rsidR="00C32C18" w:rsidRDefault="00C32C18"/>
    <w:p w14:paraId="468274D4" w14:textId="77777777" w:rsidR="00C32C18" w:rsidRDefault="00C32C18"/>
    <w:p w14:paraId="53ED85F3" w14:textId="77777777" w:rsidR="00C32C18" w:rsidRDefault="00C32C18"/>
    <w:p w14:paraId="4B7D8660" w14:textId="77777777" w:rsidR="00C32C18" w:rsidRDefault="00C32C18"/>
    <w:p w14:paraId="6B1238E8" w14:textId="77777777" w:rsidR="00C32C18" w:rsidRDefault="00C32C18"/>
    <w:p w14:paraId="5F0F549A" w14:textId="77777777" w:rsidR="00C32C18" w:rsidRDefault="00C32C18"/>
    <w:p w14:paraId="7052B112" w14:textId="77777777" w:rsidR="00C32C18" w:rsidRDefault="00C32C18"/>
    <w:p w14:paraId="1078927C" w14:textId="77777777" w:rsidR="00C32C18" w:rsidRDefault="00C32C18"/>
    <w:p w14:paraId="7A6C12CE" w14:textId="77777777" w:rsidR="00C32C18" w:rsidRDefault="00C32C18"/>
    <w:p w14:paraId="0780562C" w14:textId="77777777" w:rsidR="00866AFE" w:rsidRDefault="00866AFE"/>
    <w:p w14:paraId="192B8092" w14:textId="77777777" w:rsidR="00866AFE" w:rsidRDefault="00866AFE"/>
    <w:p w14:paraId="7BD6A086" w14:textId="77777777" w:rsidR="00866AFE" w:rsidRDefault="00866AFE"/>
    <w:p w14:paraId="6DC33FCC" w14:textId="58B41983" w:rsidR="00866AFE" w:rsidRDefault="00866AFE"/>
    <w:sectPr w:rsidR="00866A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B9282" w14:textId="77777777" w:rsidR="00DF21A8" w:rsidRDefault="00DF21A8" w:rsidP="001872CD">
      <w:r>
        <w:separator/>
      </w:r>
    </w:p>
  </w:endnote>
  <w:endnote w:type="continuationSeparator" w:id="0">
    <w:p w14:paraId="4C53B777" w14:textId="77777777" w:rsidR="00DF21A8" w:rsidRDefault="00DF21A8" w:rsidP="001872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01B1BD" w14:textId="77777777" w:rsidR="00DF21A8" w:rsidRDefault="00DF21A8" w:rsidP="001872CD">
      <w:r>
        <w:separator/>
      </w:r>
    </w:p>
  </w:footnote>
  <w:footnote w:type="continuationSeparator" w:id="0">
    <w:p w14:paraId="37CE7BF4" w14:textId="77777777" w:rsidR="00DF21A8" w:rsidRDefault="00DF21A8" w:rsidP="001872CD">
      <w:r>
        <w:continuationSeparator/>
      </w:r>
    </w:p>
  </w:footnote>
  <w:footnote w:id="1">
    <w:p w14:paraId="509BFE38" w14:textId="77777777" w:rsidR="00860B00" w:rsidRDefault="00860B00" w:rsidP="00860B00">
      <w:pPr>
        <w:pStyle w:val="FootnoteText"/>
      </w:pPr>
      <w:r>
        <w:rPr>
          <w:rStyle w:val="FootnoteReference"/>
        </w:rPr>
        <w:footnoteRef/>
      </w:r>
      <w:r>
        <w:t xml:space="preserve"> De </w:t>
      </w:r>
      <w:proofErr w:type="spellStart"/>
      <w:r>
        <w:t>Incarnatione</w:t>
      </w:r>
      <w:proofErr w:type="spellEnd"/>
      <w:r>
        <w:t xml:space="preserve"> </w:t>
      </w:r>
      <w:proofErr w:type="spellStart"/>
      <w:r>
        <w:t>Verbi</w:t>
      </w:r>
      <w:proofErr w:type="spellEnd"/>
      <w:r>
        <w:t xml:space="preserve"> Dei, 1,11-15, 29.</w:t>
      </w:r>
    </w:p>
  </w:footnote>
  <w:footnote w:id="2">
    <w:p w14:paraId="23B2AF91" w14:textId="1993096B" w:rsidR="00866AFE" w:rsidRDefault="00866AFE">
      <w:pPr>
        <w:pStyle w:val="FootnoteText"/>
      </w:pPr>
      <w:r>
        <w:rPr>
          <w:rStyle w:val="FootnoteReference"/>
        </w:rPr>
        <w:footnoteRef/>
      </w:r>
      <w:r>
        <w:t xml:space="preserve"> Colin Greene, </w:t>
      </w:r>
      <w:r>
        <w:rPr>
          <w:i/>
          <w:iCs/>
        </w:rPr>
        <w:t xml:space="preserve">Christology in Cultural Perspective </w:t>
      </w:r>
      <w:r>
        <w:t>(Carlisle: Paternoster Press, 2003), p20.</w:t>
      </w:r>
    </w:p>
  </w:footnote>
  <w:footnote w:id="3">
    <w:p w14:paraId="3755E79D" w14:textId="77777777" w:rsidR="00957E5C" w:rsidRDefault="00957E5C" w:rsidP="00957E5C">
      <w:pPr>
        <w:pStyle w:val="FootnoteText"/>
      </w:pPr>
      <w:r>
        <w:rPr>
          <w:rStyle w:val="FootnoteReference"/>
        </w:rPr>
        <w:footnoteRef/>
      </w:r>
      <w:r>
        <w:t xml:space="preserve"> Ibid., Chapter 2.</w:t>
      </w:r>
    </w:p>
  </w:footnote>
  <w:footnote w:id="4">
    <w:p w14:paraId="551789B8" w14:textId="5A0FD632" w:rsidR="00523216" w:rsidRDefault="00523216">
      <w:pPr>
        <w:pStyle w:val="FootnoteText"/>
      </w:pPr>
      <w:r>
        <w:rPr>
          <w:rStyle w:val="FootnoteReference"/>
        </w:rPr>
        <w:footnoteRef/>
      </w:r>
      <w:r>
        <w:t xml:space="preserve"> De </w:t>
      </w:r>
      <w:proofErr w:type="spellStart"/>
      <w:r>
        <w:t>Incarnatione</w:t>
      </w:r>
      <w:proofErr w:type="spellEnd"/>
      <w:r>
        <w:t xml:space="preserve"> </w:t>
      </w:r>
      <w:proofErr w:type="spellStart"/>
      <w:r>
        <w:t>Verbi</w:t>
      </w:r>
      <w:proofErr w:type="spellEnd"/>
      <w:r>
        <w:t xml:space="preserve"> Dei, 2.</w:t>
      </w:r>
    </w:p>
  </w:footnote>
  <w:footnote w:id="5">
    <w:p w14:paraId="27F5B412" w14:textId="7563D260" w:rsidR="00523216" w:rsidRDefault="00523216">
      <w:pPr>
        <w:pStyle w:val="FootnoteText"/>
      </w:pPr>
      <w:r>
        <w:rPr>
          <w:rStyle w:val="FootnoteReference"/>
        </w:rPr>
        <w:footnoteRef/>
      </w:r>
      <w:r>
        <w:t xml:space="preserve"> John 1,3</w:t>
      </w:r>
      <w:r w:rsidR="001D286E">
        <w:t>.</w:t>
      </w:r>
    </w:p>
  </w:footnote>
  <w:footnote w:id="6">
    <w:p w14:paraId="438BF09C" w14:textId="474820CD" w:rsidR="00C32C18" w:rsidRDefault="00C32C18">
      <w:pPr>
        <w:pStyle w:val="FootnoteText"/>
      </w:pPr>
      <w:r>
        <w:rPr>
          <w:rStyle w:val="FootnoteReference"/>
        </w:rPr>
        <w:footnoteRef/>
      </w:r>
      <w:r>
        <w:t xml:space="preserve"> John, 1,1: ‘In the beginning was the Word, and the Word was with God, and the Word was God.’</w:t>
      </w:r>
    </w:p>
  </w:footnote>
  <w:footnote w:id="7">
    <w:p w14:paraId="6E86EA2A" w14:textId="2D7F5D1D" w:rsidR="001B3E94" w:rsidRDefault="001B3E94">
      <w:pPr>
        <w:pStyle w:val="FootnoteText"/>
      </w:pPr>
      <w:r>
        <w:rPr>
          <w:rStyle w:val="FootnoteReference"/>
        </w:rPr>
        <w:footnoteRef/>
      </w:r>
      <w:r>
        <w:t xml:space="preserve"> De </w:t>
      </w:r>
      <w:proofErr w:type="spellStart"/>
      <w:r>
        <w:t>Incarnatione</w:t>
      </w:r>
      <w:proofErr w:type="spellEnd"/>
      <w:r>
        <w:t xml:space="preserve"> </w:t>
      </w:r>
      <w:proofErr w:type="spellStart"/>
      <w:r>
        <w:t>Verbi</w:t>
      </w:r>
      <w:proofErr w:type="spellEnd"/>
      <w:r>
        <w:t xml:space="preserve"> Dei, 7, 20-24.</w:t>
      </w:r>
    </w:p>
  </w:footnote>
  <w:footnote w:id="8">
    <w:p w14:paraId="6F53B2F1" w14:textId="23D6756E" w:rsidR="001D286E" w:rsidRDefault="001D286E">
      <w:pPr>
        <w:pStyle w:val="FootnoteText"/>
      </w:pPr>
      <w:r>
        <w:rPr>
          <w:rStyle w:val="FootnoteReference"/>
        </w:rPr>
        <w:footnoteRef/>
      </w:r>
      <w:r>
        <w:t xml:space="preserve"> De </w:t>
      </w:r>
      <w:proofErr w:type="spellStart"/>
      <w:r>
        <w:t>Incarnatione</w:t>
      </w:r>
      <w:proofErr w:type="spellEnd"/>
      <w:r>
        <w:t xml:space="preserve"> </w:t>
      </w:r>
      <w:proofErr w:type="spellStart"/>
      <w:r>
        <w:t>Verbi</w:t>
      </w:r>
      <w:proofErr w:type="spellEnd"/>
      <w:r>
        <w:t xml:space="preserve"> Dei, 4, 4-16.</w:t>
      </w:r>
    </w:p>
  </w:footnote>
  <w:footnote w:id="9">
    <w:p w14:paraId="14B11A24" w14:textId="2B45464C" w:rsidR="00E57DBD" w:rsidRDefault="00E57DBD">
      <w:pPr>
        <w:pStyle w:val="FootnoteText"/>
      </w:pPr>
      <w:r>
        <w:rPr>
          <w:rStyle w:val="FootnoteReference"/>
        </w:rPr>
        <w:footnoteRef/>
      </w:r>
      <w:r>
        <w:t xml:space="preserve"> Ibid., 10,7; 11,16-17</w:t>
      </w:r>
      <w:r w:rsidR="00625753">
        <w:t>.</w:t>
      </w:r>
    </w:p>
  </w:footnote>
  <w:footnote w:id="10">
    <w:p w14:paraId="23E2D09E" w14:textId="1BA69E43" w:rsidR="00625753" w:rsidRDefault="00625753">
      <w:pPr>
        <w:pStyle w:val="FootnoteText"/>
      </w:pPr>
      <w:r>
        <w:rPr>
          <w:rStyle w:val="FootnoteReference"/>
        </w:rPr>
        <w:footnoteRef/>
      </w:r>
      <w:r>
        <w:t xml:space="preserve"> 1 Cor. 15, 21-22.</w:t>
      </w:r>
    </w:p>
  </w:footnote>
  <w:footnote w:id="11">
    <w:p w14:paraId="66D0559B" w14:textId="4E9EF3B3" w:rsidR="00FB3060" w:rsidRDefault="00FB3060">
      <w:pPr>
        <w:pStyle w:val="FootnoteText"/>
      </w:pPr>
      <w:r>
        <w:rPr>
          <w:rStyle w:val="FootnoteReference"/>
        </w:rPr>
        <w:footnoteRef/>
      </w:r>
      <w:r>
        <w:t xml:space="preserve"> Cf. Greene, op. cit., pp43-51</w:t>
      </w:r>
    </w:p>
  </w:footnote>
  <w:footnote w:id="12">
    <w:p w14:paraId="379BAB36" w14:textId="5D112F41" w:rsidR="00FB3060" w:rsidRDefault="00FB3060">
      <w:pPr>
        <w:pStyle w:val="FootnoteText"/>
      </w:pPr>
      <w:r>
        <w:rPr>
          <w:rStyle w:val="FootnoteReference"/>
        </w:rPr>
        <w:footnoteRef/>
      </w:r>
      <w:r>
        <w:t xml:space="preserve"> De </w:t>
      </w:r>
      <w:proofErr w:type="spellStart"/>
      <w:r>
        <w:t>Incarnatione</w:t>
      </w:r>
      <w:proofErr w:type="spellEnd"/>
      <w:r>
        <w:t xml:space="preserve"> </w:t>
      </w:r>
      <w:proofErr w:type="spellStart"/>
      <w:r>
        <w:t>Verbi</w:t>
      </w:r>
      <w:proofErr w:type="spellEnd"/>
      <w:r>
        <w:t xml:space="preserve"> Dei, </w:t>
      </w:r>
      <w:r w:rsidR="00AE364A">
        <w:t>18-</w:t>
      </w:r>
      <w:r w:rsidR="00B87903">
        <w:t>19.</w:t>
      </w:r>
    </w:p>
  </w:footnote>
  <w:footnote w:id="13">
    <w:p w14:paraId="21CBBA2F" w14:textId="75E8C2A9" w:rsidR="00AE364A" w:rsidRDefault="00AE364A">
      <w:pPr>
        <w:pStyle w:val="FootnoteText"/>
      </w:pPr>
      <w:r>
        <w:rPr>
          <w:rStyle w:val="FootnoteReference"/>
        </w:rPr>
        <w:footnoteRef/>
      </w:r>
      <w:r>
        <w:t xml:space="preserve"> Ibid., 27-29.</w:t>
      </w:r>
    </w:p>
  </w:footnote>
  <w:footnote w:id="14">
    <w:p w14:paraId="1FCB897E" w14:textId="08C8DB21" w:rsidR="00B87903" w:rsidRDefault="00B87903">
      <w:pPr>
        <w:pStyle w:val="FootnoteText"/>
      </w:pPr>
      <w:r>
        <w:rPr>
          <w:rStyle w:val="FootnoteReference"/>
        </w:rPr>
        <w:footnoteRef/>
      </w:r>
      <w:r>
        <w:t xml:space="preserve"> Ibid., 31.</w:t>
      </w:r>
    </w:p>
  </w:footnote>
  <w:footnote w:id="15">
    <w:p w14:paraId="7BD3953A" w14:textId="55670271" w:rsidR="00AE364A" w:rsidRDefault="00AE364A">
      <w:pPr>
        <w:pStyle w:val="FootnoteText"/>
      </w:pPr>
      <w:r>
        <w:rPr>
          <w:rStyle w:val="FootnoteReference"/>
        </w:rPr>
        <w:footnoteRef/>
      </w:r>
      <w:r>
        <w:t xml:space="preserve"> Ibid., 46.</w:t>
      </w:r>
    </w:p>
  </w:footnote>
  <w:footnote w:id="16">
    <w:p w14:paraId="4DD22346" w14:textId="02F31A3B" w:rsidR="00AE364A" w:rsidRDefault="00AE364A">
      <w:pPr>
        <w:pStyle w:val="FootnoteText"/>
      </w:pPr>
      <w:r>
        <w:rPr>
          <w:rStyle w:val="FootnoteReference"/>
        </w:rPr>
        <w:footnoteRef/>
      </w:r>
      <w:r>
        <w:t xml:space="preserve"> Ibid., 50.</w:t>
      </w:r>
    </w:p>
  </w:footnote>
  <w:footnote w:id="17">
    <w:p w14:paraId="0A17106D" w14:textId="312DFC86" w:rsidR="007E6C4C" w:rsidRDefault="007E6C4C">
      <w:pPr>
        <w:pStyle w:val="FootnoteText"/>
      </w:pPr>
      <w:r>
        <w:rPr>
          <w:rStyle w:val="FootnoteReference"/>
        </w:rPr>
        <w:footnoteRef/>
      </w:r>
      <w:r>
        <w:t xml:space="preserve"> </w:t>
      </w:r>
      <w:r w:rsidR="00FC3CAE">
        <w:t xml:space="preserve">Note </w:t>
      </w:r>
      <w:r>
        <w:t>the epithet ‘Athanasius contra mundum’</w:t>
      </w:r>
      <w:r w:rsidR="00FC3CAE">
        <w:t>.</w:t>
      </w:r>
    </w:p>
  </w:footnote>
  <w:footnote w:id="18">
    <w:p w14:paraId="2CB0392E" w14:textId="7F5761C3" w:rsidR="00A323A8" w:rsidRDefault="00A323A8">
      <w:pPr>
        <w:pStyle w:val="FootnoteText"/>
      </w:pPr>
      <w:r>
        <w:rPr>
          <w:rStyle w:val="FootnoteReference"/>
        </w:rPr>
        <w:footnoteRef/>
      </w:r>
      <w:r>
        <w:t xml:space="preserve"> Col., 2,15.</w:t>
      </w:r>
    </w:p>
  </w:footnote>
  <w:footnote w:id="19">
    <w:p w14:paraId="731F0F8B" w14:textId="2FAEBAA5" w:rsidR="00FC3CAE" w:rsidRDefault="00FC3CAE">
      <w:pPr>
        <w:pStyle w:val="FootnoteText"/>
      </w:pPr>
      <w:r>
        <w:rPr>
          <w:rStyle w:val="FootnoteReference"/>
        </w:rPr>
        <w:footnoteRef/>
      </w:r>
      <w:r>
        <w:t xml:space="preserve"> Irenaeus, adv. </w:t>
      </w:r>
      <w:proofErr w:type="spellStart"/>
      <w:r>
        <w:t>Haer</w:t>
      </w:r>
      <w:proofErr w:type="spellEnd"/>
      <w:r>
        <w:t xml:space="preserve">., v,17,4, as quoted in </w:t>
      </w:r>
      <w:r w:rsidR="00420526">
        <w:t xml:space="preserve">Robert W. Thomson (ed.), </w:t>
      </w:r>
      <w:r w:rsidRPr="00FC3CAE">
        <w:rPr>
          <w:i/>
          <w:iCs/>
        </w:rPr>
        <w:t xml:space="preserve">Contra Gentes and De </w:t>
      </w:r>
      <w:proofErr w:type="spellStart"/>
      <w:r w:rsidRPr="00FC3CAE">
        <w:rPr>
          <w:i/>
          <w:iCs/>
        </w:rPr>
        <w:t>Incarnatione</w:t>
      </w:r>
      <w:proofErr w:type="spellEnd"/>
      <w:r w:rsidRPr="00FC3CAE">
        <w:rPr>
          <w:i/>
          <w:iCs/>
        </w:rPr>
        <w:t xml:space="preserve"> </w:t>
      </w:r>
      <w:r>
        <w:t xml:space="preserve">(Oxford, OUP 1971) p </w:t>
      </w:r>
      <w:r w:rsidR="00420526">
        <w:t>195-197</w:t>
      </w:r>
      <w:r>
        <w:t>.</w:t>
      </w:r>
    </w:p>
  </w:footnote>
  <w:footnote w:id="20">
    <w:p w14:paraId="082C1D99" w14:textId="1608D835" w:rsidR="00420526" w:rsidRDefault="00420526">
      <w:pPr>
        <w:pStyle w:val="FootnoteText"/>
      </w:pPr>
      <w:r>
        <w:rPr>
          <w:rStyle w:val="FootnoteReference"/>
        </w:rPr>
        <w:footnoteRef/>
      </w:r>
      <w:r>
        <w:t xml:space="preserve"> De </w:t>
      </w:r>
      <w:proofErr w:type="spellStart"/>
      <w:r>
        <w:t>Incarnatione</w:t>
      </w:r>
      <w:proofErr w:type="spellEnd"/>
      <w:r>
        <w:t xml:space="preserve"> </w:t>
      </w:r>
      <w:proofErr w:type="spellStart"/>
      <w:r>
        <w:t>Verbi</w:t>
      </w:r>
      <w:proofErr w:type="spellEnd"/>
      <w:r>
        <w:t xml:space="preserve"> Dei, 49</w:t>
      </w:r>
    </w:p>
  </w:footnote>
  <w:footnote w:id="21">
    <w:p w14:paraId="23E6C5D2" w14:textId="44BD6DF6" w:rsidR="005F35CC" w:rsidRDefault="005F35CC">
      <w:pPr>
        <w:pStyle w:val="FootnoteText"/>
      </w:pPr>
      <w:r>
        <w:rPr>
          <w:rStyle w:val="FootnoteReference"/>
        </w:rPr>
        <w:footnoteRef/>
      </w:r>
      <w:r>
        <w:t xml:space="preserve"> </w:t>
      </w:r>
      <w:r w:rsidR="00281E9A">
        <w:t>Ibid.</w:t>
      </w:r>
      <w:r>
        <w:t>, 43, 25-28.</w:t>
      </w:r>
    </w:p>
  </w:footnote>
  <w:footnote w:id="22">
    <w:p w14:paraId="796F5EFD" w14:textId="60823922" w:rsidR="00281E9A" w:rsidRDefault="00281E9A">
      <w:pPr>
        <w:pStyle w:val="FootnoteText"/>
      </w:pPr>
      <w:r>
        <w:rPr>
          <w:rStyle w:val="FootnoteReference"/>
        </w:rPr>
        <w:footnoteRef/>
      </w:r>
      <w:r>
        <w:t xml:space="preserve"> Ibid., 48, 11-12</w:t>
      </w:r>
    </w:p>
  </w:footnote>
  <w:footnote w:id="23">
    <w:p w14:paraId="73F9A0AF" w14:textId="6C9E08E9" w:rsidR="00281E9A" w:rsidRDefault="00281E9A">
      <w:pPr>
        <w:pStyle w:val="FootnoteText"/>
      </w:pPr>
      <w:r>
        <w:rPr>
          <w:rStyle w:val="FootnoteReference"/>
        </w:rPr>
        <w:footnoteRef/>
      </w:r>
      <w:r>
        <w:t xml:space="preserve"> Ibid., </w:t>
      </w:r>
      <w:r w:rsidR="002C1F00">
        <w:t>48,40-41.</w:t>
      </w:r>
    </w:p>
  </w:footnote>
  <w:footnote w:id="24">
    <w:p w14:paraId="759DD316" w14:textId="606AC3CD" w:rsidR="00CD649C" w:rsidRPr="00CB620A" w:rsidRDefault="00CD649C" w:rsidP="00CB620A">
      <w:pPr>
        <w:rPr>
          <w:sz w:val="20"/>
          <w:szCs w:val="20"/>
        </w:rPr>
      </w:pPr>
      <w:r>
        <w:rPr>
          <w:rStyle w:val="FootnoteReference"/>
        </w:rPr>
        <w:footnoteRef/>
      </w:r>
      <w:r>
        <w:t xml:space="preserve"> </w:t>
      </w:r>
      <w:r w:rsidRPr="00CD649C">
        <w:rPr>
          <w:sz w:val="20"/>
          <w:szCs w:val="20"/>
        </w:rPr>
        <w:t xml:space="preserve">Ibid., 41: </w:t>
      </w:r>
      <w:r w:rsidRPr="00CD649C">
        <w:rPr>
          <w:i/>
          <w:iCs/>
          <w:sz w:val="20"/>
          <w:szCs w:val="20"/>
        </w:rPr>
        <w:t>‘If then the Word of God is in the world, which is a body, and he has passed into it all and into every part of it, what is wonderful or what is unfitting in our saying that he came in a man? If it is completely unfitting that he should be in a body, it would be unfitting that he should come into the whole and illuminate and move the universe by his providence, for the universe also is a body.’</w:t>
      </w:r>
    </w:p>
  </w:footnote>
  <w:footnote w:id="25">
    <w:p w14:paraId="237AA314" w14:textId="5CE32CE4" w:rsidR="00CB620A" w:rsidRDefault="00CB620A" w:rsidP="00CB620A">
      <w:pPr>
        <w:pStyle w:val="FootnoteText"/>
        <w:rPr>
          <w:i/>
          <w:iCs/>
        </w:rPr>
      </w:pPr>
      <w:r>
        <w:rPr>
          <w:rStyle w:val="FootnoteReference"/>
        </w:rPr>
        <w:footnoteRef/>
      </w:r>
      <w:r>
        <w:t xml:space="preserve"> Ibid., 17,1: </w:t>
      </w:r>
      <w:r w:rsidRPr="00CB620A">
        <w:rPr>
          <w:i/>
          <w:iCs/>
        </w:rPr>
        <w:t>‘He was not enclosed in the body, nor was he in the body but nowhere</w:t>
      </w:r>
      <w:r>
        <w:rPr>
          <w:i/>
          <w:iCs/>
        </w:rPr>
        <w:t xml:space="preserve"> </w:t>
      </w:r>
      <w:r w:rsidRPr="00CB620A">
        <w:rPr>
          <w:i/>
          <w:iCs/>
        </w:rPr>
        <w:t>else.</w:t>
      </w:r>
      <w:r w:rsidRPr="00CB620A">
        <w:t xml:space="preserve"> </w:t>
      </w:r>
      <w:r w:rsidRPr="00CB620A">
        <w:rPr>
          <w:i/>
          <w:iCs/>
        </w:rPr>
        <w:t>Nor did he move the latter while the universe was deprived of his action and providence.</w:t>
      </w:r>
      <w:r>
        <w:rPr>
          <w:i/>
          <w:iCs/>
        </w:rPr>
        <w:t>’</w:t>
      </w:r>
    </w:p>
    <w:p w14:paraId="566206F6" w14:textId="5C68ABAE" w:rsidR="00CB620A" w:rsidRPr="009B151F" w:rsidRDefault="00CB620A" w:rsidP="009B151F">
      <w:pPr>
        <w:rPr>
          <w:i/>
          <w:iCs/>
          <w:sz w:val="20"/>
          <w:szCs w:val="20"/>
        </w:rPr>
      </w:pPr>
      <w:r w:rsidRPr="00CB620A">
        <w:rPr>
          <w:sz w:val="20"/>
          <w:szCs w:val="20"/>
        </w:rPr>
        <w:t>And Ibid., 18,1</w:t>
      </w:r>
      <w:r>
        <w:t xml:space="preserve"> </w:t>
      </w:r>
      <w:r>
        <w:rPr>
          <w:i/>
          <w:iCs/>
        </w:rPr>
        <w:t>‘</w:t>
      </w:r>
      <w:r w:rsidRPr="00B56720">
        <w:rPr>
          <w:i/>
          <w:iCs/>
          <w:sz w:val="20"/>
          <w:szCs w:val="20"/>
        </w:rPr>
        <w:t>When therefore the theologians who speak of him say that he ate and drank and was born, know that the body was born as a body and was nourished on suitable food ;'.but God the Word, who was with the body yet orders the universe, also made known through his actions in the body that he himself was not a man but God the Word.</w:t>
      </w:r>
      <w:r>
        <w:rPr>
          <w:i/>
          <w:iCs/>
          <w:sz w:val="20"/>
          <w:szCs w:val="20"/>
        </w:rPr>
        <w:t>’</w:t>
      </w:r>
    </w:p>
  </w:footnote>
  <w:footnote w:id="26">
    <w:p w14:paraId="048D89E2" w14:textId="3D163F51" w:rsidR="009B151F" w:rsidRDefault="009B151F">
      <w:pPr>
        <w:pStyle w:val="FootnoteText"/>
      </w:pPr>
      <w:r>
        <w:rPr>
          <w:rStyle w:val="FootnoteReference"/>
        </w:rPr>
        <w:footnoteRef/>
      </w:r>
      <w:r>
        <w:t xml:space="preserve"> Helping, for example, to affirm Christ’s pre-creation existence.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A40"/>
    <w:rsid w:val="00133522"/>
    <w:rsid w:val="00163A30"/>
    <w:rsid w:val="001872CD"/>
    <w:rsid w:val="001B3E94"/>
    <w:rsid w:val="001D286E"/>
    <w:rsid w:val="00232F7C"/>
    <w:rsid w:val="00281E9A"/>
    <w:rsid w:val="002C0502"/>
    <w:rsid w:val="002C1F00"/>
    <w:rsid w:val="0032698B"/>
    <w:rsid w:val="003B4FD5"/>
    <w:rsid w:val="00420526"/>
    <w:rsid w:val="00477A1D"/>
    <w:rsid w:val="00487E48"/>
    <w:rsid w:val="004B42AC"/>
    <w:rsid w:val="00500712"/>
    <w:rsid w:val="00523216"/>
    <w:rsid w:val="005A5C59"/>
    <w:rsid w:val="005F35CC"/>
    <w:rsid w:val="00610AA1"/>
    <w:rsid w:val="00625753"/>
    <w:rsid w:val="006C2A05"/>
    <w:rsid w:val="007E6C4C"/>
    <w:rsid w:val="00841C86"/>
    <w:rsid w:val="00843D5A"/>
    <w:rsid w:val="00847329"/>
    <w:rsid w:val="00860B00"/>
    <w:rsid w:val="00866AFE"/>
    <w:rsid w:val="00872873"/>
    <w:rsid w:val="008A6A4D"/>
    <w:rsid w:val="008B30AC"/>
    <w:rsid w:val="00957E5C"/>
    <w:rsid w:val="009838D7"/>
    <w:rsid w:val="009B151F"/>
    <w:rsid w:val="009B6668"/>
    <w:rsid w:val="00A323A8"/>
    <w:rsid w:val="00A84636"/>
    <w:rsid w:val="00AE364A"/>
    <w:rsid w:val="00AF3440"/>
    <w:rsid w:val="00AF53C0"/>
    <w:rsid w:val="00B87903"/>
    <w:rsid w:val="00BC5A40"/>
    <w:rsid w:val="00BE17D5"/>
    <w:rsid w:val="00C32C18"/>
    <w:rsid w:val="00CB620A"/>
    <w:rsid w:val="00CD649C"/>
    <w:rsid w:val="00D17F01"/>
    <w:rsid w:val="00D22320"/>
    <w:rsid w:val="00D471CE"/>
    <w:rsid w:val="00DF21A8"/>
    <w:rsid w:val="00E104ED"/>
    <w:rsid w:val="00E174EF"/>
    <w:rsid w:val="00E47014"/>
    <w:rsid w:val="00E57DBD"/>
    <w:rsid w:val="00F054EA"/>
    <w:rsid w:val="00F170D0"/>
    <w:rsid w:val="00FB3060"/>
    <w:rsid w:val="00FC3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36B96"/>
  <w15:chartTrackingRefBased/>
  <w15:docId w15:val="{48AECEDB-3A8A-F146-AF2E-19ABA0A17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A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5A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5A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5A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5A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5A4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5A4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5A4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5A4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A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5A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5A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5A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5A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5A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5A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5A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5A40"/>
    <w:rPr>
      <w:rFonts w:eastAsiaTheme="majorEastAsia" w:cstheme="majorBidi"/>
      <w:color w:val="272727" w:themeColor="text1" w:themeTint="D8"/>
    </w:rPr>
  </w:style>
  <w:style w:type="paragraph" w:styleId="Title">
    <w:name w:val="Title"/>
    <w:basedOn w:val="Normal"/>
    <w:next w:val="Normal"/>
    <w:link w:val="TitleChar"/>
    <w:uiPriority w:val="10"/>
    <w:qFormat/>
    <w:rsid w:val="00BC5A4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5A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5A4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5A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5A4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C5A40"/>
    <w:rPr>
      <w:i/>
      <w:iCs/>
      <w:color w:val="404040" w:themeColor="text1" w:themeTint="BF"/>
    </w:rPr>
  </w:style>
  <w:style w:type="paragraph" w:styleId="ListParagraph">
    <w:name w:val="List Paragraph"/>
    <w:basedOn w:val="Normal"/>
    <w:uiPriority w:val="34"/>
    <w:qFormat/>
    <w:rsid w:val="00BC5A40"/>
    <w:pPr>
      <w:ind w:left="720"/>
      <w:contextualSpacing/>
    </w:pPr>
  </w:style>
  <w:style w:type="character" w:styleId="IntenseEmphasis">
    <w:name w:val="Intense Emphasis"/>
    <w:basedOn w:val="DefaultParagraphFont"/>
    <w:uiPriority w:val="21"/>
    <w:qFormat/>
    <w:rsid w:val="00BC5A40"/>
    <w:rPr>
      <w:i/>
      <w:iCs/>
      <w:color w:val="0F4761" w:themeColor="accent1" w:themeShade="BF"/>
    </w:rPr>
  </w:style>
  <w:style w:type="paragraph" w:styleId="IntenseQuote">
    <w:name w:val="Intense Quote"/>
    <w:basedOn w:val="Normal"/>
    <w:next w:val="Normal"/>
    <w:link w:val="IntenseQuoteChar"/>
    <w:uiPriority w:val="30"/>
    <w:qFormat/>
    <w:rsid w:val="00BC5A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5A40"/>
    <w:rPr>
      <w:i/>
      <w:iCs/>
      <w:color w:val="0F4761" w:themeColor="accent1" w:themeShade="BF"/>
    </w:rPr>
  </w:style>
  <w:style w:type="character" w:styleId="IntenseReference">
    <w:name w:val="Intense Reference"/>
    <w:basedOn w:val="DefaultParagraphFont"/>
    <w:uiPriority w:val="32"/>
    <w:qFormat/>
    <w:rsid w:val="00BC5A40"/>
    <w:rPr>
      <w:b/>
      <w:bCs/>
      <w:smallCaps/>
      <w:color w:val="0F4761" w:themeColor="accent1" w:themeShade="BF"/>
      <w:spacing w:val="5"/>
    </w:rPr>
  </w:style>
  <w:style w:type="paragraph" w:styleId="FootnoteText">
    <w:name w:val="footnote text"/>
    <w:basedOn w:val="Normal"/>
    <w:link w:val="FootnoteTextChar"/>
    <w:uiPriority w:val="99"/>
    <w:semiHidden/>
    <w:unhideWhenUsed/>
    <w:rsid w:val="001872CD"/>
    <w:rPr>
      <w:sz w:val="20"/>
      <w:szCs w:val="20"/>
    </w:rPr>
  </w:style>
  <w:style w:type="character" w:customStyle="1" w:styleId="FootnoteTextChar">
    <w:name w:val="Footnote Text Char"/>
    <w:basedOn w:val="DefaultParagraphFont"/>
    <w:link w:val="FootnoteText"/>
    <w:uiPriority w:val="99"/>
    <w:semiHidden/>
    <w:rsid w:val="001872CD"/>
    <w:rPr>
      <w:sz w:val="20"/>
      <w:szCs w:val="20"/>
    </w:rPr>
  </w:style>
  <w:style w:type="character" w:styleId="FootnoteReference">
    <w:name w:val="footnote reference"/>
    <w:basedOn w:val="DefaultParagraphFont"/>
    <w:uiPriority w:val="99"/>
    <w:semiHidden/>
    <w:unhideWhenUsed/>
    <w:rsid w:val="001872C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AF0499-B495-DF48-9D7B-BC3162318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434</TotalTime>
  <Pages>4</Pages>
  <Words>1197</Words>
  <Characters>6828</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Young</dc:creator>
  <cp:keywords/>
  <dc:description/>
  <cp:lastModifiedBy>Patrick Young</cp:lastModifiedBy>
  <cp:revision>9</cp:revision>
  <dcterms:created xsi:type="dcterms:W3CDTF">2025-07-22T21:14:00Z</dcterms:created>
  <dcterms:modified xsi:type="dcterms:W3CDTF">2025-07-24T09:41:00Z</dcterms:modified>
</cp:coreProperties>
</file>