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193092" w14:textId="77777777" w:rsidR="004B418E" w:rsidRPr="001431D1" w:rsidRDefault="00EF3483" w:rsidP="00A778A4">
      <w:pPr>
        <w:jc w:val="center"/>
        <w:rPr>
          <w:b/>
          <w:bCs/>
          <w:sz w:val="32"/>
          <w:szCs w:val="32"/>
        </w:rPr>
      </w:pPr>
      <w:r w:rsidRPr="001431D1">
        <w:rPr>
          <w:b/>
          <w:bCs/>
          <w:sz w:val="32"/>
          <w:szCs w:val="32"/>
        </w:rPr>
        <w:t xml:space="preserve">University of Wales Trinity </w:t>
      </w:r>
      <w:r w:rsidR="00E9231F" w:rsidRPr="001431D1">
        <w:rPr>
          <w:b/>
          <w:bCs/>
          <w:sz w:val="32"/>
          <w:szCs w:val="32"/>
        </w:rPr>
        <w:t>Saint David</w:t>
      </w:r>
    </w:p>
    <w:p w14:paraId="5C692482" w14:textId="77777777" w:rsidR="00E9231F" w:rsidRDefault="00E9231F" w:rsidP="00A778A4">
      <w:pPr>
        <w:jc w:val="center"/>
      </w:pPr>
    </w:p>
    <w:p w14:paraId="48AA7667" w14:textId="77777777" w:rsidR="00E9231F" w:rsidRDefault="00E9231F" w:rsidP="00A778A4">
      <w:pPr>
        <w:jc w:val="center"/>
        <w:rPr>
          <w:b/>
          <w:bCs/>
          <w:sz w:val="24"/>
          <w:szCs w:val="24"/>
        </w:rPr>
      </w:pPr>
      <w:r w:rsidRPr="00E9231F">
        <w:rPr>
          <w:b/>
          <w:bCs/>
          <w:sz w:val="24"/>
          <w:szCs w:val="24"/>
        </w:rPr>
        <w:t>Wales Institute of Science and Art</w:t>
      </w:r>
    </w:p>
    <w:p w14:paraId="4E8D2BD4" w14:textId="77777777" w:rsidR="00F60C7E" w:rsidRPr="00E95D1B" w:rsidRDefault="00E95D1B" w:rsidP="00956C6E">
      <w:pPr>
        <w:pStyle w:val="Heading1"/>
        <w:ind w:left="720"/>
        <w:rPr>
          <w:color w:val="FFFFFF" w:themeColor="background1"/>
          <w:sz w:val="10"/>
          <w:szCs w:val="10"/>
        </w:rPr>
      </w:pPr>
      <w:bookmarkStart w:id="0" w:name="_Toc215159492"/>
      <w:r w:rsidRPr="00E95D1B">
        <w:rPr>
          <w:color w:val="FFFFFF" w:themeColor="background1"/>
          <w:sz w:val="10"/>
          <w:szCs w:val="10"/>
        </w:rPr>
        <w:t>Title Page</w:t>
      </w:r>
      <w:bookmarkEnd w:id="0"/>
    </w:p>
    <w:p w14:paraId="18D738C3" w14:textId="77777777" w:rsidR="00F60C7E" w:rsidRDefault="00F60C7E" w:rsidP="00A778A4">
      <w:pPr>
        <w:jc w:val="center"/>
        <w:rPr>
          <w:b/>
          <w:bCs/>
          <w:sz w:val="24"/>
          <w:szCs w:val="24"/>
        </w:rPr>
      </w:pPr>
    </w:p>
    <w:p w14:paraId="13A95507" w14:textId="77777777" w:rsidR="00F60C7E" w:rsidRDefault="001431D1" w:rsidP="00A778A4">
      <w:pPr>
        <w:jc w:val="center"/>
        <w:rPr>
          <w:b/>
          <w:bCs/>
          <w:sz w:val="24"/>
          <w:szCs w:val="24"/>
        </w:rPr>
      </w:pPr>
      <w:r>
        <w:rPr>
          <w:b/>
          <w:bCs/>
          <w:noProof/>
          <w:sz w:val="24"/>
          <w:szCs w:val="24"/>
        </w:rPr>
        <w:drawing>
          <wp:anchor distT="0" distB="0" distL="114300" distR="114300" simplePos="0" relativeHeight="251659776" behindDoc="1" locked="0" layoutInCell="1" allowOverlap="1" wp14:anchorId="4C7F0C37" wp14:editId="4104868D">
            <wp:simplePos x="0" y="0"/>
            <wp:positionH relativeFrom="margin">
              <wp:align>center</wp:align>
            </wp:positionH>
            <wp:positionV relativeFrom="paragraph">
              <wp:posOffset>228600</wp:posOffset>
            </wp:positionV>
            <wp:extent cx="5143500" cy="2292350"/>
            <wp:effectExtent l="0" t="0" r="0" b="0"/>
            <wp:wrapTight wrapText="bothSides">
              <wp:wrapPolygon edited="0">
                <wp:start x="0" y="0"/>
                <wp:lineTo x="0" y="21361"/>
                <wp:lineTo x="21520" y="21361"/>
                <wp:lineTo x="21520"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143500" cy="2292350"/>
                    </a:xfrm>
                    <a:prstGeom prst="rect">
                      <a:avLst/>
                    </a:prstGeom>
                    <a:noFill/>
                  </pic:spPr>
                </pic:pic>
              </a:graphicData>
            </a:graphic>
            <wp14:sizeRelH relativeFrom="page">
              <wp14:pctWidth>0</wp14:pctWidth>
            </wp14:sizeRelH>
            <wp14:sizeRelV relativeFrom="page">
              <wp14:pctHeight>0</wp14:pctHeight>
            </wp14:sizeRelV>
          </wp:anchor>
        </w:drawing>
      </w:r>
    </w:p>
    <w:p w14:paraId="622FAC42" w14:textId="77777777" w:rsidR="00F60C7E" w:rsidRDefault="00F60C7E" w:rsidP="00A778A4">
      <w:pPr>
        <w:jc w:val="center"/>
        <w:rPr>
          <w:b/>
          <w:bCs/>
          <w:sz w:val="24"/>
          <w:szCs w:val="24"/>
        </w:rPr>
      </w:pPr>
    </w:p>
    <w:p w14:paraId="59F03B17" w14:textId="77777777" w:rsidR="00265CC6" w:rsidRDefault="00265CC6" w:rsidP="00A778A4">
      <w:pPr>
        <w:jc w:val="center"/>
        <w:rPr>
          <w:b/>
          <w:bCs/>
          <w:sz w:val="24"/>
          <w:szCs w:val="24"/>
        </w:rPr>
      </w:pPr>
    </w:p>
    <w:p w14:paraId="7017B665" w14:textId="77777777" w:rsidR="0050160B" w:rsidRDefault="0050160B" w:rsidP="00A778A4">
      <w:pPr>
        <w:spacing w:line="360" w:lineRule="auto"/>
        <w:jc w:val="center"/>
        <w:rPr>
          <w:b/>
          <w:bCs/>
          <w:sz w:val="40"/>
          <w:szCs w:val="40"/>
        </w:rPr>
      </w:pPr>
    </w:p>
    <w:p w14:paraId="58BD471D" w14:textId="30929DAA" w:rsidR="00265CC6" w:rsidRDefault="009C346F" w:rsidP="00A778A4">
      <w:pPr>
        <w:spacing w:line="360" w:lineRule="auto"/>
        <w:jc w:val="center"/>
        <w:rPr>
          <w:b/>
          <w:bCs/>
          <w:sz w:val="40"/>
          <w:szCs w:val="40"/>
        </w:rPr>
      </w:pPr>
      <w:r>
        <w:rPr>
          <w:b/>
          <w:bCs/>
          <w:sz w:val="40"/>
          <w:szCs w:val="40"/>
        </w:rPr>
        <w:t>Kinetic Energy Recovery</w:t>
      </w:r>
    </w:p>
    <w:p w14:paraId="705DF847" w14:textId="77777777" w:rsidR="00206B14" w:rsidRDefault="00206B14" w:rsidP="00A778A4">
      <w:pPr>
        <w:jc w:val="center"/>
        <w:rPr>
          <w:b/>
          <w:bCs/>
          <w:sz w:val="40"/>
          <w:szCs w:val="40"/>
        </w:rPr>
      </w:pPr>
    </w:p>
    <w:p w14:paraId="600AA657" w14:textId="1B210732" w:rsidR="00206B14" w:rsidRDefault="009C346F" w:rsidP="00A778A4">
      <w:pPr>
        <w:jc w:val="center"/>
        <w:rPr>
          <w:b/>
          <w:bCs/>
          <w:sz w:val="36"/>
          <w:szCs w:val="36"/>
        </w:rPr>
      </w:pPr>
      <w:r>
        <w:rPr>
          <w:b/>
          <w:bCs/>
          <w:sz w:val="36"/>
          <w:szCs w:val="36"/>
        </w:rPr>
        <w:t>Alternate Propulsion Systems</w:t>
      </w:r>
      <w:r w:rsidR="0050160B">
        <w:rPr>
          <w:b/>
          <w:bCs/>
          <w:sz w:val="36"/>
          <w:szCs w:val="36"/>
        </w:rPr>
        <w:t xml:space="preserve"> (</w:t>
      </w:r>
      <w:r w:rsidR="002C6DDE">
        <w:rPr>
          <w:b/>
          <w:bCs/>
          <w:sz w:val="36"/>
          <w:szCs w:val="36"/>
        </w:rPr>
        <w:t>ACHA501</w:t>
      </w:r>
      <w:r>
        <w:rPr>
          <w:b/>
          <w:bCs/>
          <w:sz w:val="36"/>
          <w:szCs w:val="36"/>
        </w:rPr>
        <w:t>0</w:t>
      </w:r>
      <w:r w:rsidR="0050160B">
        <w:rPr>
          <w:b/>
          <w:bCs/>
          <w:sz w:val="36"/>
          <w:szCs w:val="36"/>
        </w:rPr>
        <w:t>)</w:t>
      </w:r>
    </w:p>
    <w:p w14:paraId="139C3CD6" w14:textId="77777777" w:rsidR="00552541" w:rsidRDefault="00552541" w:rsidP="00A778A4">
      <w:pPr>
        <w:jc w:val="center"/>
        <w:rPr>
          <w:b/>
          <w:bCs/>
          <w:sz w:val="36"/>
          <w:szCs w:val="36"/>
        </w:rPr>
      </w:pPr>
    </w:p>
    <w:p w14:paraId="6BD6A06D" w14:textId="77777777" w:rsidR="00552541" w:rsidRPr="001431D1" w:rsidRDefault="00552541" w:rsidP="0050160B">
      <w:pPr>
        <w:jc w:val="center"/>
        <w:rPr>
          <w:sz w:val="24"/>
          <w:szCs w:val="24"/>
        </w:rPr>
      </w:pPr>
      <w:r w:rsidRPr="001431D1">
        <w:rPr>
          <w:sz w:val="24"/>
          <w:szCs w:val="24"/>
        </w:rPr>
        <w:t>Oska Robertson</w:t>
      </w:r>
    </w:p>
    <w:p w14:paraId="23D568C4" w14:textId="77777777" w:rsidR="00552541" w:rsidRPr="001431D1" w:rsidRDefault="00552541" w:rsidP="00A778A4">
      <w:pPr>
        <w:jc w:val="center"/>
        <w:rPr>
          <w:sz w:val="24"/>
          <w:szCs w:val="24"/>
        </w:rPr>
      </w:pPr>
      <w:r w:rsidRPr="001431D1">
        <w:rPr>
          <w:sz w:val="24"/>
          <w:szCs w:val="24"/>
        </w:rPr>
        <w:t>2301207</w:t>
      </w:r>
    </w:p>
    <w:p w14:paraId="4D20E1B9" w14:textId="0A6B9AC0" w:rsidR="00B900D7" w:rsidRPr="0050160B" w:rsidRDefault="009C346F" w:rsidP="0050160B">
      <w:pPr>
        <w:jc w:val="center"/>
        <w:rPr>
          <w:sz w:val="24"/>
          <w:szCs w:val="24"/>
        </w:rPr>
      </w:pPr>
      <w:r>
        <w:rPr>
          <w:sz w:val="24"/>
          <w:szCs w:val="24"/>
        </w:rPr>
        <w:t>27/11/25</w:t>
      </w:r>
    </w:p>
    <w:sdt>
      <w:sdtPr>
        <w:rPr>
          <w:rFonts w:asciiTheme="minorHAnsi" w:eastAsiaTheme="minorEastAsia" w:hAnsiTheme="minorHAnsi" w:cstheme="minorBidi"/>
          <w:color w:val="auto"/>
          <w:sz w:val="21"/>
          <w:szCs w:val="21"/>
        </w:rPr>
        <w:id w:val="658735113"/>
        <w:docPartObj>
          <w:docPartGallery w:val="Table of Contents"/>
          <w:docPartUnique/>
        </w:docPartObj>
      </w:sdtPr>
      <w:sdtEndPr>
        <w:rPr>
          <w:b/>
          <w:bCs/>
        </w:rPr>
      </w:sdtEndPr>
      <w:sdtContent>
        <w:p w14:paraId="01804ABB" w14:textId="77777777" w:rsidR="0050160B" w:rsidRDefault="0050160B" w:rsidP="00E95D1B">
          <w:pPr>
            <w:pStyle w:val="TOCHeading"/>
          </w:pPr>
          <w:r>
            <w:t>Contents</w:t>
          </w:r>
        </w:p>
        <w:p w14:paraId="1410BC81" w14:textId="462BBB08" w:rsidR="00532A08" w:rsidRDefault="0050160B">
          <w:pPr>
            <w:pStyle w:val="TOC1"/>
            <w:tabs>
              <w:tab w:val="right" w:leader="dot" w:pos="9016"/>
            </w:tabs>
            <w:rPr>
              <w:rFonts w:cstheme="minorBidi"/>
              <w:noProof/>
              <w:kern w:val="2"/>
              <w:sz w:val="24"/>
              <w:szCs w:val="24"/>
              <w14:ligatures w14:val="standardContextual"/>
            </w:rPr>
          </w:pPr>
          <w:r>
            <w:fldChar w:fldCharType="begin"/>
          </w:r>
          <w:r>
            <w:instrText xml:space="preserve"> TOC \o "1-3" \h \z \u </w:instrText>
          </w:r>
          <w:r>
            <w:fldChar w:fldCharType="separate"/>
          </w:r>
          <w:hyperlink w:anchor="_Toc215159492" w:history="1">
            <w:r w:rsidR="00532A08" w:rsidRPr="008856DD">
              <w:rPr>
                <w:rStyle w:val="Hyperlink"/>
                <w:noProof/>
              </w:rPr>
              <w:t>Title Page</w:t>
            </w:r>
            <w:r w:rsidR="00532A08">
              <w:rPr>
                <w:noProof/>
                <w:webHidden/>
              </w:rPr>
              <w:tab/>
            </w:r>
            <w:r w:rsidR="00532A08">
              <w:rPr>
                <w:noProof/>
                <w:webHidden/>
              </w:rPr>
              <w:fldChar w:fldCharType="begin"/>
            </w:r>
            <w:r w:rsidR="00532A08">
              <w:rPr>
                <w:noProof/>
                <w:webHidden/>
              </w:rPr>
              <w:instrText xml:space="preserve"> PAGEREF _Toc215159492 \h </w:instrText>
            </w:r>
            <w:r w:rsidR="00532A08">
              <w:rPr>
                <w:noProof/>
                <w:webHidden/>
              </w:rPr>
            </w:r>
            <w:r w:rsidR="00532A08">
              <w:rPr>
                <w:noProof/>
                <w:webHidden/>
              </w:rPr>
              <w:fldChar w:fldCharType="separate"/>
            </w:r>
            <w:r w:rsidR="00532A08">
              <w:rPr>
                <w:noProof/>
                <w:webHidden/>
              </w:rPr>
              <w:t>1</w:t>
            </w:r>
            <w:r w:rsidR="00532A08">
              <w:rPr>
                <w:noProof/>
                <w:webHidden/>
              </w:rPr>
              <w:fldChar w:fldCharType="end"/>
            </w:r>
          </w:hyperlink>
        </w:p>
        <w:p w14:paraId="611C6A71" w14:textId="6DEEC359" w:rsidR="00532A08" w:rsidRDefault="00532A08">
          <w:pPr>
            <w:pStyle w:val="TOC1"/>
            <w:tabs>
              <w:tab w:val="left" w:pos="440"/>
              <w:tab w:val="right" w:leader="dot" w:pos="9016"/>
            </w:tabs>
            <w:rPr>
              <w:rFonts w:cstheme="minorBidi"/>
              <w:noProof/>
              <w:kern w:val="2"/>
              <w:sz w:val="24"/>
              <w:szCs w:val="24"/>
              <w14:ligatures w14:val="standardContextual"/>
            </w:rPr>
          </w:pPr>
          <w:hyperlink w:anchor="_Toc215159493" w:history="1">
            <w:r w:rsidRPr="008856DD">
              <w:rPr>
                <w:rStyle w:val="Hyperlink"/>
                <w:noProof/>
              </w:rPr>
              <w:t>1.</w:t>
            </w:r>
            <w:r>
              <w:rPr>
                <w:rFonts w:cstheme="minorBidi"/>
                <w:noProof/>
                <w:kern w:val="2"/>
                <w:sz w:val="24"/>
                <w:szCs w:val="24"/>
                <w14:ligatures w14:val="standardContextual"/>
              </w:rPr>
              <w:tab/>
            </w:r>
            <w:r w:rsidRPr="008856DD">
              <w:rPr>
                <w:rStyle w:val="Hyperlink"/>
                <w:noProof/>
              </w:rPr>
              <w:t>Contents</w:t>
            </w:r>
            <w:r>
              <w:rPr>
                <w:noProof/>
                <w:webHidden/>
              </w:rPr>
              <w:tab/>
            </w:r>
            <w:r>
              <w:rPr>
                <w:noProof/>
                <w:webHidden/>
              </w:rPr>
              <w:fldChar w:fldCharType="begin"/>
            </w:r>
            <w:r>
              <w:rPr>
                <w:noProof/>
                <w:webHidden/>
              </w:rPr>
              <w:instrText xml:space="preserve"> PAGEREF _Toc215159493 \h </w:instrText>
            </w:r>
            <w:r>
              <w:rPr>
                <w:noProof/>
                <w:webHidden/>
              </w:rPr>
            </w:r>
            <w:r>
              <w:rPr>
                <w:noProof/>
                <w:webHidden/>
              </w:rPr>
              <w:fldChar w:fldCharType="separate"/>
            </w:r>
            <w:r>
              <w:rPr>
                <w:noProof/>
                <w:webHidden/>
              </w:rPr>
              <w:t>2</w:t>
            </w:r>
            <w:r>
              <w:rPr>
                <w:noProof/>
                <w:webHidden/>
              </w:rPr>
              <w:fldChar w:fldCharType="end"/>
            </w:r>
          </w:hyperlink>
        </w:p>
        <w:p w14:paraId="1A2C5921" w14:textId="6AF3EB6B" w:rsidR="00532A08" w:rsidRDefault="00532A08">
          <w:pPr>
            <w:pStyle w:val="TOC1"/>
            <w:tabs>
              <w:tab w:val="left" w:pos="440"/>
              <w:tab w:val="right" w:leader="dot" w:pos="9016"/>
            </w:tabs>
            <w:rPr>
              <w:rFonts w:cstheme="minorBidi"/>
              <w:noProof/>
              <w:kern w:val="2"/>
              <w:sz w:val="24"/>
              <w:szCs w:val="24"/>
              <w14:ligatures w14:val="standardContextual"/>
            </w:rPr>
          </w:pPr>
          <w:hyperlink w:anchor="_Toc215159494" w:history="1">
            <w:r w:rsidRPr="008856DD">
              <w:rPr>
                <w:rStyle w:val="Hyperlink"/>
                <w:noProof/>
              </w:rPr>
              <w:t>1.</w:t>
            </w:r>
            <w:r>
              <w:rPr>
                <w:rFonts w:cstheme="minorBidi"/>
                <w:noProof/>
                <w:kern w:val="2"/>
                <w:sz w:val="24"/>
                <w:szCs w:val="24"/>
                <w14:ligatures w14:val="standardContextual"/>
              </w:rPr>
              <w:tab/>
            </w:r>
            <w:r w:rsidRPr="008856DD">
              <w:rPr>
                <w:rStyle w:val="Hyperlink"/>
                <w:noProof/>
              </w:rPr>
              <w:t>Introduction</w:t>
            </w:r>
            <w:r>
              <w:rPr>
                <w:noProof/>
                <w:webHidden/>
              </w:rPr>
              <w:tab/>
            </w:r>
            <w:r>
              <w:rPr>
                <w:noProof/>
                <w:webHidden/>
              </w:rPr>
              <w:fldChar w:fldCharType="begin"/>
            </w:r>
            <w:r>
              <w:rPr>
                <w:noProof/>
                <w:webHidden/>
              </w:rPr>
              <w:instrText xml:space="preserve"> PAGEREF _Toc215159494 \h </w:instrText>
            </w:r>
            <w:r>
              <w:rPr>
                <w:noProof/>
                <w:webHidden/>
              </w:rPr>
            </w:r>
            <w:r>
              <w:rPr>
                <w:noProof/>
                <w:webHidden/>
              </w:rPr>
              <w:fldChar w:fldCharType="separate"/>
            </w:r>
            <w:r>
              <w:rPr>
                <w:noProof/>
                <w:webHidden/>
              </w:rPr>
              <w:t>3</w:t>
            </w:r>
            <w:r>
              <w:rPr>
                <w:noProof/>
                <w:webHidden/>
              </w:rPr>
              <w:fldChar w:fldCharType="end"/>
            </w:r>
          </w:hyperlink>
        </w:p>
        <w:p w14:paraId="326405EE" w14:textId="23B897E6" w:rsidR="00532A08" w:rsidRDefault="00532A08">
          <w:pPr>
            <w:pStyle w:val="TOC1"/>
            <w:tabs>
              <w:tab w:val="left" w:pos="440"/>
              <w:tab w:val="right" w:leader="dot" w:pos="9016"/>
            </w:tabs>
            <w:rPr>
              <w:rFonts w:cstheme="minorBidi"/>
              <w:noProof/>
              <w:kern w:val="2"/>
              <w:sz w:val="24"/>
              <w:szCs w:val="24"/>
              <w14:ligatures w14:val="standardContextual"/>
            </w:rPr>
          </w:pPr>
          <w:hyperlink w:anchor="_Toc215159495" w:history="1">
            <w:r w:rsidRPr="008856DD">
              <w:rPr>
                <w:rStyle w:val="Hyperlink"/>
                <w:noProof/>
              </w:rPr>
              <w:t>2.</w:t>
            </w:r>
            <w:r>
              <w:rPr>
                <w:rFonts w:cstheme="minorBidi"/>
                <w:noProof/>
                <w:kern w:val="2"/>
                <w:sz w:val="24"/>
                <w:szCs w:val="24"/>
                <w14:ligatures w14:val="standardContextual"/>
              </w:rPr>
              <w:tab/>
            </w:r>
            <w:r w:rsidRPr="008856DD">
              <w:rPr>
                <w:rStyle w:val="Hyperlink"/>
                <w:noProof/>
              </w:rPr>
              <w:t>Characteristics of vehicle</w:t>
            </w:r>
            <w:r>
              <w:rPr>
                <w:noProof/>
                <w:webHidden/>
              </w:rPr>
              <w:tab/>
            </w:r>
            <w:r>
              <w:rPr>
                <w:noProof/>
                <w:webHidden/>
              </w:rPr>
              <w:fldChar w:fldCharType="begin"/>
            </w:r>
            <w:r>
              <w:rPr>
                <w:noProof/>
                <w:webHidden/>
              </w:rPr>
              <w:instrText xml:space="preserve"> PAGEREF _Toc215159495 \h </w:instrText>
            </w:r>
            <w:r>
              <w:rPr>
                <w:noProof/>
                <w:webHidden/>
              </w:rPr>
            </w:r>
            <w:r>
              <w:rPr>
                <w:noProof/>
                <w:webHidden/>
              </w:rPr>
              <w:fldChar w:fldCharType="separate"/>
            </w:r>
            <w:r>
              <w:rPr>
                <w:noProof/>
                <w:webHidden/>
              </w:rPr>
              <w:t>3</w:t>
            </w:r>
            <w:r>
              <w:rPr>
                <w:noProof/>
                <w:webHidden/>
              </w:rPr>
              <w:fldChar w:fldCharType="end"/>
            </w:r>
          </w:hyperlink>
        </w:p>
        <w:p w14:paraId="4244451E" w14:textId="789A4B76" w:rsidR="00532A08" w:rsidRDefault="00532A08">
          <w:pPr>
            <w:pStyle w:val="TOC1"/>
            <w:tabs>
              <w:tab w:val="right" w:leader="dot" w:pos="9016"/>
            </w:tabs>
            <w:rPr>
              <w:rFonts w:cstheme="minorBidi"/>
              <w:noProof/>
              <w:kern w:val="2"/>
              <w:sz w:val="24"/>
              <w:szCs w:val="24"/>
              <w14:ligatures w14:val="standardContextual"/>
            </w:rPr>
          </w:pPr>
          <w:hyperlink w:anchor="_Toc215159496" w:history="1">
            <w:r w:rsidRPr="008856DD">
              <w:rPr>
                <w:rStyle w:val="Hyperlink"/>
                <w:noProof/>
              </w:rPr>
              <w:t>References</w:t>
            </w:r>
            <w:r>
              <w:rPr>
                <w:noProof/>
                <w:webHidden/>
              </w:rPr>
              <w:tab/>
            </w:r>
            <w:r>
              <w:rPr>
                <w:noProof/>
                <w:webHidden/>
              </w:rPr>
              <w:fldChar w:fldCharType="begin"/>
            </w:r>
            <w:r>
              <w:rPr>
                <w:noProof/>
                <w:webHidden/>
              </w:rPr>
              <w:instrText xml:space="preserve"> PAGEREF _Toc215159496 \h </w:instrText>
            </w:r>
            <w:r>
              <w:rPr>
                <w:noProof/>
                <w:webHidden/>
              </w:rPr>
            </w:r>
            <w:r>
              <w:rPr>
                <w:noProof/>
                <w:webHidden/>
              </w:rPr>
              <w:fldChar w:fldCharType="separate"/>
            </w:r>
            <w:r>
              <w:rPr>
                <w:noProof/>
                <w:webHidden/>
              </w:rPr>
              <w:t>4</w:t>
            </w:r>
            <w:r>
              <w:rPr>
                <w:noProof/>
                <w:webHidden/>
              </w:rPr>
              <w:fldChar w:fldCharType="end"/>
            </w:r>
          </w:hyperlink>
        </w:p>
        <w:p w14:paraId="751F6B1E" w14:textId="501C5894" w:rsidR="0050160B" w:rsidRDefault="0050160B" w:rsidP="0050160B">
          <w:r>
            <w:rPr>
              <w:b/>
              <w:bCs/>
            </w:rPr>
            <w:fldChar w:fldCharType="end"/>
          </w:r>
        </w:p>
      </w:sdtContent>
    </w:sdt>
    <w:p w14:paraId="515D563C" w14:textId="77777777" w:rsidR="00B900D7" w:rsidRDefault="00B900D7"/>
    <w:p w14:paraId="04C20ADA" w14:textId="77777777" w:rsidR="002362B6" w:rsidRPr="00E95D1B" w:rsidRDefault="00E95D1B" w:rsidP="00E95D1B">
      <w:pPr>
        <w:pStyle w:val="Heading1"/>
        <w:numPr>
          <w:ilvl w:val="0"/>
          <w:numId w:val="4"/>
        </w:numPr>
        <w:rPr>
          <w:sz w:val="2"/>
          <w:szCs w:val="2"/>
        </w:rPr>
      </w:pPr>
      <w:bookmarkStart w:id="1" w:name="_Toc215159493"/>
      <w:r w:rsidRPr="00E95D1B">
        <w:rPr>
          <w:color w:val="FFFFFF" w:themeColor="background1"/>
          <w:sz w:val="2"/>
          <w:szCs w:val="2"/>
        </w:rPr>
        <w:t>Contents</w:t>
      </w:r>
      <w:bookmarkEnd w:id="1"/>
      <w:r w:rsidR="002362B6" w:rsidRPr="00E95D1B">
        <w:rPr>
          <w:sz w:val="2"/>
          <w:szCs w:val="2"/>
        </w:rPr>
        <w:br w:type="page"/>
      </w:r>
    </w:p>
    <w:p w14:paraId="1DF7F502" w14:textId="40DAA202" w:rsidR="00DC0758" w:rsidRDefault="009C346F" w:rsidP="009C346F">
      <w:pPr>
        <w:pStyle w:val="Heading1"/>
        <w:numPr>
          <w:ilvl w:val="0"/>
          <w:numId w:val="7"/>
        </w:numPr>
      </w:pPr>
      <w:bookmarkStart w:id="2" w:name="_Toc215159494"/>
      <w:r>
        <w:lastRenderedPageBreak/>
        <w:t>Introduction</w:t>
      </w:r>
      <w:bookmarkEnd w:id="2"/>
    </w:p>
    <w:p w14:paraId="784B74FE" w14:textId="7301E7E8" w:rsidR="00F752F7" w:rsidRDefault="00F752F7" w:rsidP="00F752F7">
      <w:r>
        <w:t xml:space="preserve">The purpose of this paper is to analyse, design, and evaluate a suitable Kinetic Energy Recovery System (KERS) and apply it to a modern vehicle. For this project, I have selected the 2024 Ford Mustang S650, chosen both for its </w:t>
      </w:r>
      <w:r w:rsidR="00F14447">
        <w:t>impressive performance</w:t>
      </w:r>
      <w:r>
        <w:t xml:space="preserve"> characteristics and because it is a personal favourite of mine. Using this vehicle as a case study helps maintain interest in the technical aspects, while also allowing the system to be evaluated within the context of a realistic high-performance road car.</w:t>
      </w:r>
    </w:p>
    <w:p w14:paraId="4455A4FF" w14:textId="77777777" w:rsidR="00F752F7" w:rsidRDefault="00F752F7" w:rsidP="00F752F7">
      <w:r>
        <w:t>A Kinetic Energy Recovery System works by capturing energy that would normally be wasted during braking. Under normal operation, friction brakes convert the vehicle’s kinetic energy into heat, which then dissipates into the atmosphere. KERS offers an alternative approach by using a motor-generator to resist wheel rotation during braking and convert kinetic energy into electrical energy. This electrical energy can then be stored in a battery or supercapacitor and later redeployed to assist vehicle propulsion.</w:t>
      </w:r>
      <w:r w:rsidRPr="00EA5F67">
        <w:rPr>
          <w:vertAlign w:val="superscript"/>
        </w:rPr>
        <w:t>1.1</w:t>
      </w:r>
      <w:r>
        <w:t xml:space="preserve"> This process reduces the demand on the internal combustion engine (ICE), improving fuel efficiency and lowering emissions.</w:t>
      </w:r>
    </w:p>
    <w:p w14:paraId="4E9FE205" w14:textId="77777777" w:rsidR="00F752F7" w:rsidRDefault="00F752F7" w:rsidP="00F752F7">
      <w:r>
        <w:t>Another type of KERS stores braking energy mechanically using a flywheel. In these systems, a high-speed rotating mass absorbs braking energy and releases it during acceleration. Although mechanical systems can be highly efficient, electrical systems tend to be favoured for modern road vehicles because they integrate easily with existing power electronics and allow for flexible energy management.</w:t>
      </w:r>
    </w:p>
    <w:p w14:paraId="58CCF314" w14:textId="77777777" w:rsidR="00F752F7" w:rsidRDefault="00F752F7" w:rsidP="00F752F7">
      <w:r>
        <w:t>The environmental and economic benefits of KERS are widely recognised. Capturing braking energy reduces fuel consumption over a typical drive cycle, lowering both running costs and emissions. Because the system operates automatically, drivers do not need to modify their driving style to benefit. This is why KERS technology, first popularised in motorsport such as Formula 1, has now become an important part of hybrid vehicle development and is increasingly relevant for high-performance cars.</w:t>
      </w:r>
      <w:r w:rsidRPr="00EA5F67">
        <w:rPr>
          <w:vertAlign w:val="superscript"/>
        </w:rPr>
        <w:t>1.1</w:t>
      </w:r>
    </w:p>
    <w:p w14:paraId="3DAD0A3D" w14:textId="22571B15" w:rsidR="00894DB2" w:rsidRPr="00894DB2" w:rsidRDefault="00F752F7" w:rsidP="00F752F7">
      <w:r>
        <w:t>This project uses WLTP (Worldwide Harmonised Light Vehicle Test Procedure) data to determine how much energy is required to propel the vehicle and how much energy can be recovered during braking. WLTP provides a standardised testing method for emissions and energy usage, ensuring that the final system specifications are based on realistic driving conditions.</w:t>
      </w:r>
      <w:r w:rsidRPr="00EA5F67">
        <w:rPr>
          <w:vertAlign w:val="superscript"/>
        </w:rPr>
        <w:t>4.1</w:t>
      </w:r>
      <w:r>
        <w:t xml:space="preserve"> The next sections identify the key characteristics of the Mustang required for this analysis, before developing the spreadsheet and system design.</w:t>
      </w:r>
    </w:p>
    <w:p w14:paraId="141379D4" w14:textId="03F3B3EE" w:rsidR="00894DB2" w:rsidRDefault="00894DB2" w:rsidP="00894DB2">
      <w:pPr>
        <w:pStyle w:val="Heading1"/>
        <w:numPr>
          <w:ilvl w:val="0"/>
          <w:numId w:val="7"/>
        </w:numPr>
      </w:pPr>
      <w:bookmarkStart w:id="3" w:name="_Toc215159495"/>
      <w:r>
        <w:t>Characteristics of vehicle</w:t>
      </w:r>
      <w:bookmarkEnd w:id="3"/>
      <w:r>
        <w:t xml:space="preserve"> </w:t>
      </w:r>
    </w:p>
    <w:p w14:paraId="626E824B" w14:textId="77777777" w:rsidR="00EA5F67" w:rsidRDefault="00EA5F67" w:rsidP="00EA5F67">
      <w:r>
        <w:t>Before the KERS can be designed, the physical characteristics of the vehicle must be established. These values determine the resistive forces acting on the car, the tractive force required to move it, and the total potential for energy recovery.</w:t>
      </w:r>
    </w:p>
    <w:p w14:paraId="19BDC3BE" w14:textId="3C751522" w:rsidR="00EA5F67" w:rsidRDefault="00EA5F67" w:rsidP="00EA5F67">
      <w:r>
        <w:t>The first essential parameter is the test mass. Several definitions exist—unladen mass (UM), kerb mass, gross vehicle weight, and test mass—and it is important to select the right one for WLTP calculations. Test mass is defined as the unladen mass plus optional equipment mass, an additional 100 kg to account for driver and test equipment, and then a further 15% for additional load.</w:t>
      </w:r>
      <w:r w:rsidRPr="00EA5F67">
        <w:rPr>
          <w:vertAlign w:val="superscript"/>
        </w:rPr>
        <w:t>2.1</w:t>
      </w:r>
      <w:r>
        <w:t xml:space="preserve"> For the 2024 Mustang S650, the unladen mass is 1808 kg, with optional mass included in that figure.</w:t>
      </w:r>
      <w:r w:rsidRPr="00EA5F67">
        <w:rPr>
          <w:vertAlign w:val="superscript"/>
        </w:rPr>
        <w:t xml:space="preserve">2.2 </w:t>
      </w:r>
      <w:r>
        <w:t>The WLTP test mass calculation is therefore:</w:t>
      </w:r>
      <w:r>
        <w:t xml:space="preserve">  </w:t>
      </w:r>
      <w:r>
        <w:t>Test Mass=(1808+100)×1.15=2194.2 kg</w:t>
      </w:r>
      <w:r>
        <w:t xml:space="preserve">. </w:t>
      </w:r>
      <w:r>
        <w:t>This mass affects the vehicle’s inertia, braking forces, rolling resistance, and the energy storage required for the KERS.</w:t>
      </w:r>
    </w:p>
    <w:p w14:paraId="6615A32E" w14:textId="2A5E99BB" w:rsidR="00EA5F67" w:rsidRDefault="00EA5F67" w:rsidP="00EA5F67">
      <w:r>
        <w:lastRenderedPageBreak/>
        <w:t>Next, the frontal area must be determined. Aerodynamic drag depends heavily on this value. The Mustang has a width of 2097 mm and a height of 1414 mm.</w:t>
      </w:r>
      <w:r w:rsidRPr="00EA5F67">
        <w:rPr>
          <w:vertAlign w:val="superscript"/>
        </w:rPr>
        <w:t xml:space="preserve">2.2 </w:t>
      </w:r>
      <w:r>
        <w:t>Multiplying these values gives a frontal</w:t>
      </w:r>
      <w:r>
        <w:t xml:space="preserve"> </w:t>
      </w:r>
      <w:r>
        <w:t>area of 2.97 m².</w:t>
      </w:r>
    </w:p>
    <w:p w14:paraId="21763E9D" w14:textId="77777777" w:rsidR="00EA5F67" w:rsidRDefault="00EA5F67" w:rsidP="00EA5F67">
      <w:r>
        <w:t>The rolling resistance coefficient (Cᵣ) describes the energy lost as tyres deform and recover while rolling. For typical road tyres on asphalt, a value of around 0.02 is commonly used.</w:t>
      </w:r>
      <w:r w:rsidRPr="00EA5F67">
        <w:rPr>
          <w:vertAlign w:val="superscript"/>
        </w:rPr>
        <w:t>2.3</w:t>
      </w:r>
      <w:r>
        <w:t xml:space="preserve"> Although rolling resistance plays a smaller role at higher speeds (where aerodynamic drag dominates), it significantly influences low-speed energy consumption.</w:t>
      </w:r>
    </w:p>
    <w:p w14:paraId="2FB542E5" w14:textId="77777777" w:rsidR="00EA5F67" w:rsidRDefault="00EA5F67" w:rsidP="00EA5F67">
      <w:r>
        <w:t>The final input is the aerodynamic drag coefficient (C_d). The Mustang’s drag coefficient is 0.32, a typical value for modern performance coupes.</w:t>
      </w:r>
      <w:r w:rsidRPr="00EA5F67">
        <w:rPr>
          <w:vertAlign w:val="superscript"/>
        </w:rPr>
        <w:t>2.4</w:t>
      </w:r>
      <w:r>
        <w:t xml:space="preserve"> When multiplied by the frontal area and air density, this allows aerodynamic drag to be calculated at any speed.</w:t>
      </w:r>
    </w:p>
    <w:p w14:paraId="058D306E" w14:textId="0A3C584E" w:rsidR="003D0415" w:rsidRDefault="00EA5F67" w:rsidP="009C346F">
      <w:r>
        <w:t>Due to its test mass and performance characteristics, the Mustang is classified under WLTP Class 3, which uses the highest-speed variant of the WLTP test cycle.</w:t>
      </w:r>
      <w:r w:rsidRPr="00EA5F67">
        <w:rPr>
          <w:vertAlign w:val="superscript"/>
        </w:rPr>
        <w:t>4.1</w:t>
      </w:r>
      <w:r>
        <w:t xml:space="preserve"> With these values established, the vehicle can be modelled accurately in the spreadsheet.</w:t>
      </w:r>
    </w:p>
    <w:p w14:paraId="328C16E5" w14:textId="07320B91" w:rsidR="003D0415" w:rsidRDefault="003D0415" w:rsidP="003D0415">
      <w:pPr>
        <w:pStyle w:val="Heading1"/>
        <w:numPr>
          <w:ilvl w:val="0"/>
          <w:numId w:val="7"/>
        </w:numPr>
      </w:pPr>
      <w:r>
        <w:t>Spreadsheet</w:t>
      </w:r>
    </w:p>
    <w:p w14:paraId="3E48BF83" w14:textId="77777777" w:rsidR="00EA5F67" w:rsidRDefault="00EA5F67" w:rsidP="00EA5F67">
      <w:r>
        <w:t>To calculate the braking and tractive energies throughout the WLTP driving cycle, a detailed spreadsheet was constructed. This spreadsheet models the vehicle’s behaviour at each timestep and forms the analytical foundation for the KERS design.</w:t>
      </w:r>
    </w:p>
    <w:p w14:paraId="67525C5A" w14:textId="331E2E96" w:rsidR="00EA5F67" w:rsidRDefault="00EA5F67" w:rsidP="00EA5F67">
      <w:r>
        <w:t>The WLTP cycle consists of a speed-time trace representing realistic driving behaviour across low, medium, high, and extra-</w:t>
      </w:r>
      <w:r w:rsidR="00F14447">
        <w:t>high-speed</w:t>
      </w:r>
      <w:r>
        <w:t xml:space="preserve"> phases. Using this data, acceleration is calculated by taking the change in speed between each timestep. From this, the resistive forces acting on the vehicle can be </w:t>
      </w:r>
      <w:r w:rsidR="00F14447">
        <w:t>found</w:t>
      </w:r>
      <w:r>
        <w:t xml:space="preserve"> rolling resistance, aerodynamic drag, and inertial force due to acceleration.</w:t>
      </w:r>
    </w:p>
    <w:p w14:paraId="71CCE83E" w14:textId="77777777" w:rsidR="00EA5F67" w:rsidRDefault="00EA5F67" w:rsidP="00EA5F67">
      <w:r>
        <w:t>Rolling resistance is calculated using the rolling resistance coefficient, test mass, and gravity. Aerodynamic drag is determined using frontal area, drag coefficient, air density, and the vehicle’s speed. The inertial force is simply mass multiplied by acceleration. Adding these three forces together yields the total tractive force required at that moment in the cycle.</w:t>
      </w:r>
    </w:p>
    <w:p w14:paraId="7B08B412" w14:textId="77777777" w:rsidR="00EA5F67" w:rsidRDefault="00EA5F67" w:rsidP="00EA5F67">
      <w:r>
        <w:t>To find tractive power, the tractive force is multiplied by the speed. When this value is positive, the vehicle requires power to maintain or increase speed. When the value becomes negative, the vehicle is decelerating, and the negative power represents braking power that can potentially be recovered by the KERS.</w:t>
      </w:r>
    </w:p>
    <w:p w14:paraId="17E55EA2" w14:textId="77777777" w:rsidR="00EA5F67" w:rsidRDefault="00EA5F67" w:rsidP="00EA5F67">
      <w:r>
        <w:t>The spreadsheet identifies each braking event by marking periods where tractive power falls below zero. During these events, the magnitude of negative power is recorded and integrated over time to determine braking energy. Only one event at a time is considered for storage, following the project instructions that recovered energy is used before the next braking period begins.</w:t>
      </w:r>
    </w:p>
    <w:p w14:paraId="0E7E3665" w14:textId="2F5AB11D" w:rsidR="00EA5F67" w:rsidRPr="00EA5F67" w:rsidRDefault="00EA5F67" w:rsidP="00EA5F67">
      <w:r>
        <w:t>The spreadsheet also generates cumulative tractive and braking energy graphs, allowing the energy distribution over the entire WLTP cycle to be visualised. From the results, the maximum braking power of 35,661 W was identified. This value sets the minimum power requirement for the KERS motor-generator and power electronics. The largest identified braking event determines the minimum energy storage requirement for the KERS.</w:t>
      </w:r>
    </w:p>
    <w:p w14:paraId="26AB5339" w14:textId="77777777" w:rsidR="00EA5F67" w:rsidRPr="00EA5F67" w:rsidRDefault="00EA5F67" w:rsidP="00EA5F67">
      <w:pPr>
        <w:pStyle w:val="Heading1"/>
        <w:rPr>
          <w:rFonts w:eastAsia="Times New Roman"/>
          <w:lang w:eastAsia="en-GB"/>
        </w:rPr>
      </w:pPr>
      <w:r w:rsidRPr="00EA5F67">
        <w:rPr>
          <w:rFonts w:eastAsia="Times New Roman"/>
          <w:lang w:eastAsia="en-GB"/>
        </w:rPr>
        <w:lastRenderedPageBreak/>
        <w:t>4. System Specifications</w:t>
      </w:r>
    </w:p>
    <w:p w14:paraId="5F3AA8B3" w14:textId="77777777" w:rsidR="00EA5F67" w:rsidRPr="00EA5F67" w:rsidRDefault="00EA5F67" w:rsidP="00EA5F67">
      <w:pPr>
        <w:rPr>
          <w:rFonts w:ascii="Calibri" w:eastAsia="Times New Roman" w:hAnsi="Calibri" w:cs="Calibri"/>
          <w:color w:val="000000"/>
          <w:sz w:val="22"/>
          <w:szCs w:val="22"/>
          <w:lang w:eastAsia="en-GB"/>
        </w:rPr>
      </w:pPr>
      <w:r w:rsidRPr="00EA5F67">
        <w:rPr>
          <w:rFonts w:ascii="Calibri" w:eastAsia="Times New Roman" w:hAnsi="Calibri" w:cs="Calibri"/>
          <w:color w:val="000000"/>
          <w:sz w:val="22"/>
          <w:szCs w:val="22"/>
          <w:lang w:eastAsia="en-GB"/>
        </w:rPr>
        <w:t>Based on the spreadsheet data, the KERS must be able to absorb a peak braking power of 35,661 W. After accounting for system efficiency and design margin, the components must safely handle between 36–40 kW.4.3 Regenerative systems typically operate with an overall efficiency of around 85% due to losses in the motor-generator, inverter, and storage system.4.4 Applying this to the peak braking power gives an electrical input power of around 30.3 kW.</w:t>
      </w:r>
    </w:p>
    <w:p w14:paraId="4BCD256D" w14:textId="77777777" w:rsidR="00EA5F67" w:rsidRPr="00EA5F67" w:rsidRDefault="00EA5F67" w:rsidP="00EA5F67">
      <w:pPr>
        <w:rPr>
          <w:rFonts w:ascii="Calibri" w:eastAsia="Times New Roman" w:hAnsi="Calibri" w:cs="Calibri"/>
          <w:color w:val="000000"/>
          <w:sz w:val="22"/>
          <w:szCs w:val="22"/>
          <w:lang w:eastAsia="en-GB"/>
        </w:rPr>
      </w:pPr>
      <w:r w:rsidRPr="00EA5F67">
        <w:rPr>
          <w:rFonts w:ascii="Calibri" w:eastAsia="Times New Roman" w:hAnsi="Calibri" w:cs="Calibri"/>
          <w:color w:val="000000"/>
          <w:sz w:val="22"/>
          <w:szCs w:val="22"/>
          <w:lang w:eastAsia="en-GB"/>
        </w:rPr>
        <w:t>To ensure reliability, a safety margin of 20% is added, resulting in a recommended KERS power capability of approximately 36–40 kW. This ensures the system can capture the full available braking energy under all WLTP conditions.</w:t>
      </w:r>
    </w:p>
    <w:p w14:paraId="5D6256DE" w14:textId="77777777" w:rsidR="00EA5F67" w:rsidRPr="00EA5F67" w:rsidRDefault="00EA5F67" w:rsidP="00EA5F67">
      <w:pPr>
        <w:rPr>
          <w:rFonts w:ascii="Calibri" w:eastAsia="Times New Roman" w:hAnsi="Calibri" w:cs="Calibri"/>
          <w:color w:val="000000"/>
          <w:sz w:val="22"/>
          <w:szCs w:val="22"/>
          <w:lang w:eastAsia="en-GB"/>
        </w:rPr>
      </w:pPr>
      <w:r w:rsidRPr="00EA5F67">
        <w:rPr>
          <w:rFonts w:ascii="Calibri" w:eastAsia="Times New Roman" w:hAnsi="Calibri" w:cs="Calibri"/>
          <w:color w:val="000000"/>
          <w:sz w:val="22"/>
          <w:szCs w:val="22"/>
          <w:lang w:eastAsia="en-GB"/>
        </w:rPr>
        <w:t>The energy storage requirement is determined by the largest single braking event. Typical braking events on a WLTP Class 3 cycle require between 0.1 and 0.2 kWh of usable storage.4.5 A hybrid storage system is recommended: a supercapacitor bank to absorb high instantaneous power and a small battery (around 1 kWh) to store and redistribute energy between events.4.6 Supercapacitors are ideal for handling peak charging power because they have very high charge acceptance rates, while the battery serves as a longer-term buffer.</w:t>
      </w:r>
    </w:p>
    <w:p w14:paraId="20058010" w14:textId="361B6C7F" w:rsidR="00EA5F67" w:rsidRPr="00EA5F67" w:rsidRDefault="00EA5F67" w:rsidP="00EA5F67">
      <w:pPr>
        <w:rPr>
          <w:rFonts w:ascii="Calibri" w:eastAsia="Times New Roman" w:hAnsi="Calibri" w:cs="Calibri"/>
          <w:color w:val="000000"/>
          <w:sz w:val="22"/>
          <w:szCs w:val="22"/>
          <w:lang w:eastAsia="en-GB"/>
        </w:rPr>
      </w:pPr>
      <w:r w:rsidRPr="00EA5F67">
        <w:rPr>
          <w:rFonts w:ascii="Calibri" w:eastAsia="Times New Roman" w:hAnsi="Calibri" w:cs="Calibri"/>
          <w:color w:val="000000"/>
          <w:sz w:val="22"/>
          <w:szCs w:val="22"/>
          <w:lang w:eastAsia="en-GB"/>
        </w:rPr>
        <w:t>Therefore, the recommended KERS architecture consists of:</w:t>
      </w:r>
      <w:r>
        <w:rPr>
          <w:rFonts w:ascii="Calibri" w:eastAsia="Times New Roman" w:hAnsi="Calibri" w:cs="Calibri"/>
          <w:color w:val="000000"/>
          <w:sz w:val="22"/>
          <w:szCs w:val="22"/>
          <w:lang w:eastAsia="en-GB"/>
        </w:rPr>
        <w:t xml:space="preserve"> </w:t>
      </w:r>
      <w:r w:rsidRPr="00EA5F67">
        <w:rPr>
          <w:rFonts w:ascii="Calibri" w:eastAsia="Times New Roman" w:hAnsi="Calibri" w:cs="Calibri"/>
          <w:color w:val="000000"/>
          <w:sz w:val="22"/>
          <w:szCs w:val="22"/>
          <w:lang w:eastAsia="en-GB"/>
        </w:rPr>
        <w:t>A motor-generator with at least 40 kW peak regenerative power</w:t>
      </w:r>
      <w:r>
        <w:rPr>
          <w:rFonts w:ascii="Calibri" w:eastAsia="Times New Roman" w:hAnsi="Calibri" w:cs="Calibri"/>
          <w:color w:val="000000"/>
          <w:sz w:val="22"/>
          <w:szCs w:val="22"/>
          <w:lang w:eastAsia="en-GB"/>
        </w:rPr>
        <w:t xml:space="preserve">, </w:t>
      </w:r>
      <w:r w:rsidRPr="00EA5F67">
        <w:rPr>
          <w:rFonts w:ascii="Calibri" w:eastAsia="Times New Roman" w:hAnsi="Calibri" w:cs="Calibri"/>
          <w:color w:val="000000"/>
          <w:sz w:val="22"/>
          <w:szCs w:val="22"/>
          <w:lang w:eastAsia="en-GB"/>
        </w:rPr>
        <w:t>A bi-directional inverter rated for 36–40 kW</w:t>
      </w:r>
      <w:r>
        <w:rPr>
          <w:rFonts w:ascii="Calibri" w:eastAsia="Times New Roman" w:hAnsi="Calibri" w:cs="Calibri"/>
          <w:color w:val="000000"/>
          <w:sz w:val="22"/>
          <w:szCs w:val="22"/>
          <w:lang w:eastAsia="en-GB"/>
        </w:rPr>
        <w:t xml:space="preserve">, </w:t>
      </w:r>
      <w:r w:rsidRPr="00EA5F67">
        <w:rPr>
          <w:rFonts w:ascii="Calibri" w:eastAsia="Times New Roman" w:hAnsi="Calibri" w:cs="Calibri"/>
          <w:color w:val="000000"/>
          <w:sz w:val="22"/>
          <w:szCs w:val="22"/>
          <w:lang w:eastAsia="en-GB"/>
        </w:rPr>
        <w:t>A supercapacitor module offering 0.15–0.20 kWh usable storage</w:t>
      </w:r>
      <w:r>
        <w:rPr>
          <w:rFonts w:ascii="Calibri" w:eastAsia="Times New Roman" w:hAnsi="Calibri" w:cs="Calibri"/>
          <w:color w:val="000000"/>
          <w:sz w:val="22"/>
          <w:szCs w:val="22"/>
          <w:lang w:eastAsia="en-GB"/>
        </w:rPr>
        <w:t xml:space="preserve">, </w:t>
      </w:r>
      <w:r w:rsidRPr="00EA5F67">
        <w:rPr>
          <w:rFonts w:ascii="Calibri" w:eastAsia="Times New Roman" w:hAnsi="Calibri" w:cs="Calibri"/>
          <w:color w:val="000000"/>
          <w:sz w:val="22"/>
          <w:szCs w:val="22"/>
          <w:lang w:eastAsia="en-GB"/>
        </w:rPr>
        <w:t>A small auxiliary battery (~1 kWh) for load-levelling</w:t>
      </w:r>
      <w:r>
        <w:rPr>
          <w:rFonts w:ascii="Calibri" w:eastAsia="Times New Roman" w:hAnsi="Calibri" w:cs="Calibri"/>
          <w:color w:val="000000"/>
          <w:sz w:val="22"/>
          <w:szCs w:val="22"/>
          <w:lang w:eastAsia="en-GB"/>
        </w:rPr>
        <w:t xml:space="preserve">, </w:t>
      </w:r>
      <w:r w:rsidRPr="00EA5F67">
        <w:rPr>
          <w:rFonts w:ascii="Calibri" w:eastAsia="Times New Roman" w:hAnsi="Calibri" w:cs="Calibri"/>
          <w:color w:val="000000"/>
          <w:sz w:val="22"/>
          <w:szCs w:val="22"/>
          <w:lang w:eastAsia="en-GB"/>
        </w:rPr>
        <w:t>HV cabling and contactors rated above 150 A</w:t>
      </w:r>
      <w:r>
        <w:rPr>
          <w:rFonts w:ascii="Calibri" w:eastAsia="Times New Roman" w:hAnsi="Calibri" w:cs="Calibri"/>
          <w:color w:val="000000"/>
          <w:sz w:val="22"/>
          <w:szCs w:val="22"/>
          <w:lang w:eastAsia="en-GB"/>
        </w:rPr>
        <w:t xml:space="preserve">, </w:t>
      </w:r>
      <w:r w:rsidRPr="00EA5F67">
        <w:rPr>
          <w:rFonts w:ascii="Calibri" w:eastAsia="Times New Roman" w:hAnsi="Calibri" w:cs="Calibri"/>
          <w:color w:val="000000"/>
          <w:sz w:val="22"/>
          <w:szCs w:val="22"/>
          <w:lang w:eastAsia="en-GB"/>
        </w:rPr>
        <w:t>This combination provides a practical and efficient KERS suitable for the Mustang.</w:t>
      </w:r>
    </w:p>
    <w:p w14:paraId="0E0EB457" w14:textId="77777777" w:rsidR="00EA5F67" w:rsidRPr="00EA5F67" w:rsidRDefault="00EA5F67" w:rsidP="00EA5F67">
      <w:pPr>
        <w:pStyle w:val="Heading1"/>
        <w:rPr>
          <w:rFonts w:eastAsia="Times New Roman"/>
          <w:lang w:eastAsia="en-GB"/>
        </w:rPr>
      </w:pPr>
    </w:p>
    <w:p w14:paraId="65292EDE" w14:textId="77777777" w:rsidR="00EA5F67" w:rsidRPr="00EA5F67" w:rsidRDefault="00EA5F67" w:rsidP="00EA5F67">
      <w:pPr>
        <w:pStyle w:val="Heading1"/>
        <w:rPr>
          <w:rFonts w:eastAsia="Times New Roman"/>
          <w:lang w:eastAsia="en-GB"/>
        </w:rPr>
      </w:pPr>
      <w:r w:rsidRPr="00EA5F67">
        <w:rPr>
          <w:rFonts w:eastAsia="Times New Roman"/>
          <w:lang w:eastAsia="en-GB"/>
        </w:rPr>
        <w:t>5. System Operation and Driver Perception</w:t>
      </w:r>
    </w:p>
    <w:p w14:paraId="7AD3233E" w14:textId="77777777" w:rsidR="00EA5F67" w:rsidRPr="00EA5F67" w:rsidRDefault="00EA5F67" w:rsidP="00EA5F67">
      <w:pPr>
        <w:rPr>
          <w:rFonts w:ascii="Calibri" w:eastAsia="Times New Roman" w:hAnsi="Calibri" w:cs="Calibri"/>
          <w:color w:val="000000"/>
          <w:sz w:val="22"/>
          <w:szCs w:val="22"/>
          <w:lang w:eastAsia="en-GB"/>
        </w:rPr>
      </w:pPr>
      <w:r w:rsidRPr="00EA5F67">
        <w:rPr>
          <w:rFonts w:ascii="Calibri" w:eastAsia="Times New Roman" w:hAnsi="Calibri" w:cs="Calibri"/>
          <w:color w:val="000000"/>
          <w:sz w:val="22"/>
          <w:szCs w:val="22"/>
          <w:lang w:eastAsia="en-GB"/>
        </w:rPr>
        <w:t>The KERS operates by converting braking energy into electrical energy using a motor-generator. When the driver applies the brakes, the motor-generator works in generator mode, resisting wheel rotation and producing electrical power. This power passes through a bi-directional inverter and is stored either in the supercapacitor bank or the battery, depending on the current system state.</w:t>
      </w:r>
      <w:r w:rsidRPr="00EA5F67">
        <w:rPr>
          <w:rFonts w:ascii="Calibri" w:eastAsia="Times New Roman" w:hAnsi="Calibri" w:cs="Calibri"/>
          <w:color w:val="000000"/>
          <w:sz w:val="22"/>
          <w:szCs w:val="22"/>
          <w:vertAlign w:val="superscript"/>
          <w:lang w:eastAsia="en-GB"/>
        </w:rPr>
        <w:t>4.7</w:t>
      </w:r>
      <w:r w:rsidRPr="00EA5F67">
        <w:rPr>
          <w:rFonts w:ascii="Calibri" w:eastAsia="Times New Roman" w:hAnsi="Calibri" w:cs="Calibri"/>
          <w:color w:val="000000"/>
          <w:sz w:val="22"/>
          <w:szCs w:val="22"/>
          <w:lang w:eastAsia="en-GB"/>
        </w:rPr>
        <w:t xml:space="preserve"> When the driver accelerates again, this stored energy is delivered back through the motor to assist the engine, improving efficiency.</w:t>
      </w:r>
    </w:p>
    <w:p w14:paraId="2BF56FAF" w14:textId="77777777" w:rsidR="00EA5F67" w:rsidRPr="00EA5F67" w:rsidRDefault="00EA5F67" w:rsidP="00EA5F67">
      <w:pPr>
        <w:rPr>
          <w:rFonts w:ascii="Calibri" w:eastAsia="Times New Roman" w:hAnsi="Calibri" w:cs="Calibri"/>
          <w:color w:val="000000"/>
          <w:sz w:val="22"/>
          <w:szCs w:val="22"/>
          <w:lang w:eastAsia="en-GB"/>
        </w:rPr>
      </w:pPr>
      <w:r w:rsidRPr="00EA5F67">
        <w:rPr>
          <w:rFonts w:ascii="Calibri" w:eastAsia="Times New Roman" w:hAnsi="Calibri" w:cs="Calibri"/>
          <w:color w:val="000000"/>
          <w:sz w:val="22"/>
          <w:szCs w:val="22"/>
          <w:lang w:eastAsia="en-GB"/>
        </w:rPr>
        <w:t>Several assumptions were made in this analysis. It is assumed that the recovered energy from each braking event is fully used before the next event. The combined electrical efficiency is taken as approximately 85%, which is consistent with modern hybrid systems.</w:t>
      </w:r>
      <w:r w:rsidRPr="00EA5F67">
        <w:rPr>
          <w:rFonts w:ascii="Calibri" w:eastAsia="Times New Roman" w:hAnsi="Calibri" w:cs="Calibri"/>
          <w:color w:val="000000"/>
          <w:sz w:val="22"/>
          <w:szCs w:val="22"/>
          <w:vertAlign w:val="superscript"/>
          <w:lang w:eastAsia="en-GB"/>
        </w:rPr>
        <w:t>4.4</w:t>
      </w:r>
      <w:r w:rsidRPr="00EA5F67">
        <w:rPr>
          <w:rFonts w:ascii="Calibri" w:eastAsia="Times New Roman" w:hAnsi="Calibri" w:cs="Calibri"/>
          <w:color w:val="000000"/>
          <w:sz w:val="22"/>
          <w:szCs w:val="22"/>
          <w:lang w:eastAsia="en-GB"/>
        </w:rPr>
        <w:t xml:space="preserve"> It is also assumed that the braking system automatically blends regenerative and friction braking to maintain predictable brake feel.</w:t>
      </w:r>
    </w:p>
    <w:p w14:paraId="4C1E29CF" w14:textId="77777777" w:rsidR="00EA5F67" w:rsidRPr="00EA5F67" w:rsidRDefault="00EA5F67" w:rsidP="00EA5F67">
      <w:pPr>
        <w:rPr>
          <w:rFonts w:ascii="Calibri" w:eastAsia="Times New Roman" w:hAnsi="Calibri" w:cs="Calibri"/>
          <w:color w:val="000000"/>
          <w:sz w:val="22"/>
          <w:szCs w:val="22"/>
          <w:lang w:eastAsia="en-GB"/>
        </w:rPr>
      </w:pPr>
      <w:r w:rsidRPr="00EA5F67">
        <w:rPr>
          <w:rFonts w:ascii="Calibri" w:eastAsia="Times New Roman" w:hAnsi="Calibri" w:cs="Calibri"/>
          <w:color w:val="000000"/>
          <w:sz w:val="22"/>
          <w:szCs w:val="22"/>
          <w:lang w:eastAsia="en-GB"/>
        </w:rPr>
        <w:t xml:space="preserve">From the driver’s perspective, a vehicle equipped with KERS behaves slightly differently than a traditional ICE vehicle. During braking, the pedal may feel smoother or more progressive because the initial deceleration is provided electrically rather than hydraulically. If the storage system is full, </w:t>
      </w:r>
      <w:r w:rsidRPr="00EA5F67">
        <w:rPr>
          <w:rFonts w:ascii="Calibri" w:eastAsia="Times New Roman" w:hAnsi="Calibri" w:cs="Calibri"/>
          <w:color w:val="000000"/>
          <w:sz w:val="22"/>
          <w:szCs w:val="22"/>
          <w:lang w:eastAsia="en-GB"/>
        </w:rPr>
        <w:lastRenderedPageBreak/>
        <w:t>regenerative braking may reduce and friction braking increases, creating a subtle but noticeable variation in pedal feel.</w:t>
      </w:r>
      <w:r w:rsidRPr="00EA5F67">
        <w:rPr>
          <w:rFonts w:ascii="Calibri" w:eastAsia="Times New Roman" w:hAnsi="Calibri" w:cs="Calibri"/>
          <w:color w:val="000000"/>
          <w:sz w:val="22"/>
          <w:szCs w:val="22"/>
          <w:vertAlign w:val="superscript"/>
          <w:lang w:eastAsia="en-GB"/>
        </w:rPr>
        <w:t>4.8</w:t>
      </w:r>
    </w:p>
    <w:p w14:paraId="1DEBA6B6" w14:textId="6DF31FE2" w:rsidR="00EA5F67" w:rsidRPr="00EA5F67" w:rsidRDefault="00EA5F67" w:rsidP="00EA5F67">
      <w:pPr>
        <w:rPr>
          <w:rFonts w:ascii="Calibri" w:eastAsia="Times New Roman" w:hAnsi="Calibri" w:cs="Calibri"/>
          <w:color w:val="000000"/>
          <w:sz w:val="22"/>
          <w:szCs w:val="22"/>
          <w:lang w:eastAsia="en-GB"/>
        </w:rPr>
      </w:pPr>
      <w:r w:rsidRPr="00EA5F67">
        <w:rPr>
          <w:rFonts w:ascii="Calibri" w:eastAsia="Times New Roman" w:hAnsi="Calibri" w:cs="Calibri"/>
          <w:color w:val="000000"/>
          <w:sz w:val="22"/>
          <w:szCs w:val="22"/>
          <w:lang w:eastAsia="en-GB"/>
        </w:rPr>
        <w:t xml:space="preserve">Acceleration may also feel more responsive, especially at lower speeds where electric torque delivery is strongest. However, these effects are </w:t>
      </w:r>
      <w:r w:rsidR="00F14447" w:rsidRPr="00EA5F67">
        <w:rPr>
          <w:rFonts w:ascii="Calibri" w:eastAsia="Times New Roman" w:hAnsi="Calibri" w:cs="Calibri"/>
          <w:color w:val="000000"/>
          <w:sz w:val="22"/>
          <w:szCs w:val="22"/>
          <w:lang w:eastAsia="en-GB"/>
        </w:rPr>
        <w:t>subtle</w:t>
      </w:r>
      <w:r w:rsidRPr="00EA5F67">
        <w:rPr>
          <w:rFonts w:ascii="Calibri" w:eastAsia="Times New Roman" w:hAnsi="Calibri" w:cs="Calibri"/>
          <w:color w:val="000000"/>
          <w:sz w:val="22"/>
          <w:szCs w:val="22"/>
          <w:lang w:eastAsia="en-GB"/>
        </w:rPr>
        <w:t xml:space="preserve">, and modern control systems </w:t>
      </w:r>
      <w:proofErr w:type="gramStart"/>
      <w:r w:rsidRPr="00EA5F67">
        <w:rPr>
          <w:rFonts w:ascii="Calibri" w:eastAsia="Times New Roman" w:hAnsi="Calibri" w:cs="Calibri"/>
          <w:color w:val="000000"/>
          <w:sz w:val="22"/>
          <w:szCs w:val="22"/>
          <w:lang w:eastAsia="en-GB"/>
        </w:rPr>
        <w:t>are designed</w:t>
      </w:r>
      <w:proofErr w:type="gramEnd"/>
      <w:r w:rsidRPr="00EA5F67">
        <w:rPr>
          <w:rFonts w:ascii="Calibri" w:eastAsia="Times New Roman" w:hAnsi="Calibri" w:cs="Calibri"/>
          <w:color w:val="000000"/>
          <w:sz w:val="22"/>
          <w:szCs w:val="22"/>
          <w:lang w:eastAsia="en-GB"/>
        </w:rPr>
        <w:t xml:space="preserve"> so that most drivers will hardly notice the system operating. Instead, they will simply experience smoother driving and improved fuel economy.</w:t>
      </w:r>
    </w:p>
    <w:p w14:paraId="746766C3" w14:textId="77777777" w:rsidR="00EA5F67" w:rsidRPr="00EA5F67" w:rsidRDefault="00EA5F67" w:rsidP="00EA5F67">
      <w:pPr>
        <w:pStyle w:val="Heading1"/>
        <w:rPr>
          <w:rFonts w:eastAsia="Times New Roman"/>
          <w:lang w:eastAsia="en-GB"/>
        </w:rPr>
      </w:pPr>
    </w:p>
    <w:p w14:paraId="3DDE2E17" w14:textId="77777777" w:rsidR="00EA5F67" w:rsidRPr="00EA5F67" w:rsidRDefault="00EA5F67" w:rsidP="00EA5F67">
      <w:pPr>
        <w:pStyle w:val="Heading1"/>
        <w:rPr>
          <w:rFonts w:eastAsia="Times New Roman"/>
          <w:lang w:eastAsia="en-GB"/>
        </w:rPr>
      </w:pPr>
      <w:r w:rsidRPr="00EA5F67">
        <w:rPr>
          <w:rFonts w:eastAsia="Times New Roman"/>
          <w:lang w:eastAsia="en-GB"/>
        </w:rPr>
        <w:t>6. Final System Design</w:t>
      </w:r>
    </w:p>
    <w:p w14:paraId="6FAF4565" w14:textId="3A012E3A" w:rsidR="00EA5F67" w:rsidRPr="00EA5F67" w:rsidRDefault="00EA5F67" w:rsidP="00EA5F67">
      <w:pPr>
        <w:rPr>
          <w:rFonts w:ascii="Calibri" w:eastAsia="Times New Roman" w:hAnsi="Calibri" w:cs="Calibri"/>
          <w:color w:val="000000"/>
          <w:sz w:val="22"/>
          <w:szCs w:val="22"/>
          <w:lang w:eastAsia="en-GB"/>
        </w:rPr>
      </w:pPr>
      <w:r w:rsidRPr="00EA5F67">
        <w:rPr>
          <w:rFonts w:ascii="Calibri" w:eastAsia="Times New Roman" w:hAnsi="Calibri" w:cs="Calibri"/>
          <w:color w:val="000000"/>
          <w:sz w:val="22"/>
          <w:szCs w:val="22"/>
          <w:lang w:eastAsia="en-GB"/>
        </w:rPr>
        <w:t>Combining the results from the WLTP analysis, component sizing, and operational characteristics, the final proposed KERS for the Mustang is a hybrid electrical system consisting of:</w:t>
      </w:r>
      <w:r>
        <w:rPr>
          <w:rFonts w:ascii="Calibri" w:eastAsia="Times New Roman" w:hAnsi="Calibri" w:cs="Calibri"/>
          <w:color w:val="000000"/>
          <w:sz w:val="22"/>
          <w:szCs w:val="22"/>
          <w:lang w:eastAsia="en-GB"/>
        </w:rPr>
        <w:t xml:space="preserve"> </w:t>
      </w:r>
      <w:r w:rsidRPr="00EA5F67">
        <w:rPr>
          <w:rFonts w:ascii="Calibri" w:eastAsia="Times New Roman" w:hAnsi="Calibri" w:cs="Calibri"/>
          <w:color w:val="000000"/>
          <w:sz w:val="22"/>
          <w:szCs w:val="22"/>
          <w:lang w:eastAsia="en-GB"/>
        </w:rPr>
        <w:t>A 40 kW peak motor-generator</w:t>
      </w:r>
      <w:r>
        <w:rPr>
          <w:rFonts w:ascii="Calibri" w:eastAsia="Times New Roman" w:hAnsi="Calibri" w:cs="Calibri"/>
          <w:color w:val="000000"/>
          <w:sz w:val="22"/>
          <w:szCs w:val="22"/>
          <w:lang w:eastAsia="en-GB"/>
        </w:rPr>
        <w:t xml:space="preserve">, </w:t>
      </w:r>
      <w:r w:rsidRPr="00EA5F67">
        <w:rPr>
          <w:rFonts w:ascii="Calibri" w:eastAsia="Times New Roman" w:hAnsi="Calibri" w:cs="Calibri"/>
          <w:color w:val="000000"/>
          <w:sz w:val="22"/>
          <w:szCs w:val="22"/>
          <w:lang w:eastAsia="en-GB"/>
        </w:rPr>
        <w:t>A 40 kW bi-directional inverter</w:t>
      </w:r>
      <w:r>
        <w:rPr>
          <w:rFonts w:ascii="Calibri" w:eastAsia="Times New Roman" w:hAnsi="Calibri" w:cs="Calibri"/>
          <w:color w:val="000000"/>
          <w:sz w:val="22"/>
          <w:szCs w:val="22"/>
          <w:lang w:eastAsia="en-GB"/>
        </w:rPr>
        <w:t>,</w:t>
      </w:r>
      <w:r w:rsidR="001124E1">
        <w:rPr>
          <w:rFonts w:ascii="Calibri" w:eastAsia="Times New Roman" w:hAnsi="Calibri" w:cs="Calibri"/>
          <w:color w:val="000000"/>
          <w:sz w:val="22"/>
          <w:szCs w:val="22"/>
          <w:lang w:eastAsia="en-GB"/>
        </w:rPr>
        <w:t xml:space="preserve"> </w:t>
      </w:r>
      <w:r w:rsidRPr="00EA5F67">
        <w:rPr>
          <w:rFonts w:ascii="Calibri" w:eastAsia="Times New Roman" w:hAnsi="Calibri" w:cs="Calibri"/>
          <w:color w:val="000000"/>
          <w:sz w:val="22"/>
          <w:szCs w:val="22"/>
          <w:lang w:eastAsia="en-GB"/>
        </w:rPr>
        <w:t>A 0.15–0.20 kWh supercapacitor module</w:t>
      </w:r>
      <w:r w:rsidR="001124E1">
        <w:rPr>
          <w:rFonts w:ascii="Calibri" w:eastAsia="Times New Roman" w:hAnsi="Calibri" w:cs="Calibri"/>
          <w:color w:val="000000"/>
          <w:sz w:val="22"/>
          <w:szCs w:val="22"/>
          <w:lang w:eastAsia="en-GB"/>
        </w:rPr>
        <w:t xml:space="preserve">, </w:t>
      </w:r>
      <w:r w:rsidRPr="00EA5F67">
        <w:rPr>
          <w:rFonts w:ascii="Calibri" w:eastAsia="Times New Roman" w:hAnsi="Calibri" w:cs="Calibri"/>
          <w:color w:val="000000"/>
          <w:sz w:val="22"/>
          <w:szCs w:val="22"/>
          <w:lang w:eastAsia="en-GB"/>
        </w:rPr>
        <w:t>A 1 kWh lithium-ion battery pack</w:t>
      </w:r>
      <w:r w:rsidR="001124E1">
        <w:rPr>
          <w:rFonts w:ascii="Calibri" w:eastAsia="Times New Roman" w:hAnsi="Calibri" w:cs="Calibri"/>
          <w:color w:val="000000"/>
          <w:sz w:val="22"/>
          <w:szCs w:val="22"/>
          <w:lang w:eastAsia="en-GB"/>
        </w:rPr>
        <w:t xml:space="preserve">, </w:t>
      </w:r>
      <w:r w:rsidRPr="00EA5F67">
        <w:rPr>
          <w:rFonts w:ascii="Calibri" w:eastAsia="Times New Roman" w:hAnsi="Calibri" w:cs="Calibri"/>
          <w:color w:val="000000"/>
          <w:sz w:val="22"/>
          <w:szCs w:val="22"/>
          <w:lang w:eastAsia="en-GB"/>
        </w:rPr>
        <w:t>400 V DC bus architecture</w:t>
      </w:r>
      <w:r w:rsidR="001124E1">
        <w:rPr>
          <w:rFonts w:ascii="Calibri" w:eastAsia="Times New Roman" w:hAnsi="Calibri" w:cs="Calibri"/>
          <w:color w:val="000000"/>
          <w:sz w:val="22"/>
          <w:szCs w:val="22"/>
          <w:lang w:eastAsia="en-GB"/>
        </w:rPr>
        <w:t xml:space="preserve">, </w:t>
      </w:r>
      <w:r w:rsidRPr="00EA5F67">
        <w:rPr>
          <w:rFonts w:ascii="Calibri" w:eastAsia="Times New Roman" w:hAnsi="Calibri" w:cs="Calibri"/>
          <w:color w:val="000000"/>
          <w:sz w:val="22"/>
          <w:szCs w:val="22"/>
          <w:lang w:eastAsia="en-GB"/>
        </w:rPr>
        <w:t>High-current cabling rated for 150 A+</w:t>
      </w:r>
      <w:r w:rsidR="001124E1">
        <w:rPr>
          <w:rFonts w:ascii="Calibri" w:eastAsia="Times New Roman" w:hAnsi="Calibri" w:cs="Calibri"/>
          <w:color w:val="000000"/>
          <w:sz w:val="22"/>
          <w:szCs w:val="22"/>
          <w:lang w:eastAsia="en-GB"/>
        </w:rPr>
        <w:t>.</w:t>
      </w:r>
    </w:p>
    <w:p w14:paraId="4B83137B" w14:textId="2F6CB31F" w:rsidR="00D167C7" w:rsidRDefault="00EA5F67" w:rsidP="00EA5F67">
      <w:pPr>
        <w:rPr>
          <w:rFonts w:ascii="Calibri" w:eastAsia="Times New Roman" w:hAnsi="Calibri" w:cs="Calibri"/>
          <w:color w:val="000000"/>
          <w:sz w:val="22"/>
          <w:szCs w:val="22"/>
          <w:lang w:eastAsia="en-GB"/>
        </w:rPr>
      </w:pPr>
      <w:r w:rsidRPr="00EA5F67">
        <w:rPr>
          <w:rFonts w:ascii="Calibri" w:eastAsia="Times New Roman" w:hAnsi="Calibri" w:cs="Calibri"/>
          <w:color w:val="000000"/>
          <w:sz w:val="22"/>
          <w:szCs w:val="22"/>
          <w:lang w:eastAsia="en-GB"/>
        </w:rPr>
        <w:t>This system provides the efficiency benefits of supercapacitors for rapid charge/discharge and the energy-holding capacity of a small battery. The system is suitable for repeated WLTP Class 3 braking events and integrates well with the high-performance nature of the Mustang.</w:t>
      </w:r>
    </w:p>
    <w:p w14:paraId="68A083D1" w14:textId="77777777" w:rsidR="00824ED9" w:rsidRDefault="00824ED9" w:rsidP="009C346F"/>
    <w:p w14:paraId="70607C51" w14:textId="77777777" w:rsidR="00824ED9" w:rsidRDefault="00824ED9" w:rsidP="009C346F"/>
    <w:p w14:paraId="25DDB23E" w14:textId="77777777" w:rsidR="00824ED9" w:rsidRDefault="00824ED9" w:rsidP="009C346F"/>
    <w:p w14:paraId="6E665512" w14:textId="10CB0D9D" w:rsidR="00824ED9" w:rsidRDefault="00824ED9" w:rsidP="00824ED9">
      <w:pPr>
        <w:pStyle w:val="Heading1"/>
      </w:pPr>
      <w:bookmarkStart w:id="4" w:name="_Toc215159496"/>
      <w:r>
        <w:t>References</w:t>
      </w:r>
      <w:bookmarkEnd w:id="4"/>
      <w:r>
        <w:t xml:space="preserve"> </w:t>
      </w:r>
    </w:p>
    <w:p w14:paraId="0F172D23" w14:textId="252200C9" w:rsidR="00BE3741" w:rsidRPr="00BE3741" w:rsidRDefault="00BE3741" w:rsidP="00BE3741">
      <w:pPr>
        <w:pStyle w:val="ListParagraph"/>
        <w:numPr>
          <w:ilvl w:val="1"/>
          <w:numId w:val="4"/>
        </w:numPr>
      </w:pPr>
      <w:r>
        <w:t xml:space="preserve"> </w:t>
      </w:r>
      <w:r w:rsidRPr="00BE3741">
        <w:t>Engineering, R. (2009). </w:t>
      </w:r>
      <w:r w:rsidRPr="00BE3741">
        <w:rPr>
          <w:i/>
          <w:iCs/>
        </w:rPr>
        <w:t>F1 Essentials: How KERS Works</w:t>
      </w:r>
      <w:r w:rsidRPr="00BE3741">
        <w:t>. [online] Racecar Engineering. Available at: https://www.racecar-engineering.com/articles/f1-essentials-how-kers-works/.</w:t>
      </w:r>
    </w:p>
    <w:p w14:paraId="73355CFF" w14:textId="0EF6C1B4" w:rsidR="00824ED9" w:rsidRDefault="00824ED9" w:rsidP="00BE3741">
      <w:pPr>
        <w:pStyle w:val="ListParagraph"/>
        <w:numPr>
          <w:ilvl w:val="1"/>
          <w:numId w:val="7"/>
        </w:numPr>
      </w:pPr>
      <w:r>
        <w:t xml:space="preserve">- </w:t>
      </w:r>
      <w:r w:rsidRPr="00824ED9">
        <w:t>Brussels, W., Francisco, S. and Mock, P. (2011). </w:t>
      </w:r>
      <w:r w:rsidRPr="00BE3741">
        <w:rPr>
          <w:i/>
          <w:iCs/>
        </w:rPr>
        <w:t>Development of a Worldwide Harmonized Light Vehicles Test Procedure (WLTP) ICCT contribution No. 4 (combined solution for vehicle test mass definition and inertia mass step-less approach)</w:t>
      </w:r>
      <w:r w:rsidRPr="00824ED9">
        <w:t xml:space="preserve">. [online] Available at: </w:t>
      </w:r>
      <w:hyperlink r:id="rId12" w:history="1">
        <w:r w:rsidR="00BE3741" w:rsidRPr="00EE5125">
          <w:rPr>
            <w:rStyle w:val="Hyperlink"/>
          </w:rPr>
          <w:t>https://theicct.org/sites/default/files/publications/WLTP4_2011.pdf</w:t>
        </w:r>
      </w:hyperlink>
      <w:r w:rsidRPr="00824ED9">
        <w:t>.</w:t>
      </w:r>
    </w:p>
    <w:p w14:paraId="0A677257" w14:textId="77777777" w:rsidR="00BE3741" w:rsidRPr="00BE3741" w:rsidRDefault="00BE3741" w:rsidP="00BE3741">
      <w:pPr>
        <w:pStyle w:val="ListParagraph"/>
        <w:numPr>
          <w:ilvl w:val="1"/>
          <w:numId w:val="7"/>
        </w:numPr>
      </w:pPr>
      <w:r>
        <w:t xml:space="preserve">- </w:t>
      </w:r>
      <w:r w:rsidRPr="00BE3741">
        <w:t>Parkers.co.uk. (2020). </w:t>
      </w:r>
      <w:r w:rsidRPr="00BE3741">
        <w:rPr>
          <w:i/>
          <w:iCs/>
        </w:rPr>
        <w:t>Ford Mustang Coupe 5.0 V8 GT 2dr specs &amp; dimensions</w:t>
      </w:r>
      <w:r w:rsidRPr="00BE3741">
        <w:t>. [online] Available at: https://www.parkers.co.uk/ford/mustang/coupe-2024/50-v8-gt-2dr/specs/ [Accessed 27 Nov. 2025].</w:t>
      </w:r>
    </w:p>
    <w:p w14:paraId="22D59659" w14:textId="50FFA01B" w:rsidR="00F75143" w:rsidRPr="00F75143" w:rsidRDefault="00BE3741" w:rsidP="00F75143">
      <w:pPr>
        <w:pStyle w:val="ListParagraph"/>
        <w:numPr>
          <w:ilvl w:val="1"/>
          <w:numId w:val="7"/>
        </w:numPr>
      </w:pPr>
      <w:r w:rsidRPr="00BE3741">
        <w:t>‌</w:t>
      </w:r>
      <w:r w:rsidR="00F75143" w:rsidRPr="00F75143">
        <w:rPr>
          <w:rFonts w:ascii="Calibri" w:eastAsia="Times New Roman" w:hAnsi="Calibri" w:cs="Calibri"/>
          <w:color w:val="000000"/>
          <w:sz w:val="27"/>
          <w:szCs w:val="27"/>
          <w:lang w:eastAsia="en-GB"/>
        </w:rPr>
        <w:t xml:space="preserve"> </w:t>
      </w:r>
      <w:r w:rsidR="00F75143" w:rsidRPr="00F75143">
        <w:t>Engineering ToolBox (2008). </w:t>
      </w:r>
      <w:r w:rsidR="00F75143" w:rsidRPr="00F75143">
        <w:rPr>
          <w:i/>
          <w:iCs/>
        </w:rPr>
        <w:t>Rolling Resistance</w:t>
      </w:r>
      <w:r w:rsidR="00F75143" w:rsidRPr="00F75143">
        <w:t>. [online] Engineeringtoolbox.com. Available at: https://www.engineeringtoolbox.com/rolling-friction-resistance-d_1303.html.</w:t>
      </w:r>
    </w:p>
    <w:p w14:paraId="1AC47448" w14:textId="502C5160" w:rsidR="008B5A72" w:rsidRPr="008B5A72" w:rsidRDefault="00F75143" w:rsidP="008B5A72">
      <w:pPr>
        <w:pStyle w:val="ListParagraph"/>
        <w:numPr>
          <w:ilvl w:val="1"/>
          <w:numId w:val="7"/>
        </w:numPr>
      </w:pPr>
      <w:r w:rsidRPr="00F75143">
        <w:t>‌</w:t>
      </w:r>
      <w:r w:rsidR="008B5A72" w:rsidRPr="008B5A72">
        <w:rPr>
          <w:rFonts w:ascii="Calibri" w:eastAsia="Times New Roman" w:hAnsi="Calibri" w:cs="Calibri"/>
          <w:color w:val="000000"/>
          <w:sz w:val="27"/>
          <w:szCs w:val="27"/>
          <w:lang w:eastAsia="en-GB"/>
        </w:rPr>
        <w:t xml:space="preserve"> </w:t>
      </w:r>
      <w:r w:rsidR="008B5A72" w:rsidRPr="008B5A72">
        <w:t>Motormatchup.com. (2024). Available at: https://www.motormatchup.com/specifications?ids=65871650de9d0c56d1cdd74f.</w:t>
      </w:r>
    </w:p>
    <w:p w14:paraId="3B70AB07" w14:textId="77777777" w:rsidR="001124E1" w:rsidRDefault="001124E1" w:rsidP="001124E1">
      <w:pPr>
        <w:pStyle w:val="ListParagraph"/>
      </w:pPr>
      <w:r>
        <w:t>4.3 Bosch Automotive Handbook (2021). Regenerative braking power limitations.</w:t>
      </w:r>
    </w:p>
    <w:p w14:paraId="6C5E0408" w14:textId="77777777" w:rsidR="001124E1" w:rsidRDefault="001124E1" w:rsidP="001124E1">
      <w:pPr>
        <w:pStyle w:val="ListParagraph"/>
      </w:pPr>
      <w:r w:rsidRPr="001124E1">
        <w:rPr>
          <w:lang w:val="it-IT"/>
        </w:rPr>
        <w:t xml:space="preserve">4.4 Ehsani, M., Gao, Y., Longo, S. &amp; Ebrahimi, K. (2018). </w:t>
      </w:r>
      <w:r>
        <w:t>Modern Electric, Hybrid Electric, and Fuel Cell Vehicles.</w:t>
      </w:r>
    </w:p>
    <w:p w14:paraId="6DCD9499" w14:textId="77777777" w:rsidR="001124E1" w:rsidRDefault="001124E1" w:rsidP="001124E1">
      <w:pPr>
        <w:pStyle w:val="ListParagraph"/>
      </w:pPr>
      <w:r>
        <w:lastRenderedPageBreak/>
        <w:t>4.5 Burke, A. (2010). Ultracapacitor Technologies and Their Application in Hybrid and Electric Vehicles.</w:t>
      </w:r>
    </w:p>
    <w:p w14:paraId="02CAAECB" w14:textId="77777777" w:rsidR="001124E1" w:rsidRDefault="001124E1" w:rsidP="001124E1">
      <w:pPr>
        <w:pStyle w:val="ListParagraph"/>
      </w:pPr>
      <w:r>
        <w:t>4.6 Liu, J. (2019). Energy Storage Systems for Hybrid Powertrains.</w:t>
      </w:r>
    </w:p>
    <w:p w14:paraId="34A042F1" w14:textId="77777777" w:rsidR="001124E1" w:rsidRDefault="001124E1" w:rsidP="001124E1">
      <w:pPr>
        <w:pStyle w:val="ListParagraph"/>
      </w:pPr>
      <w:r>
        <w:t>4.7 Miller, J. (2014). Propulsion and Regeneration in Hybrid Electric Vehicles.</w:t>
      </w:r>
    </w:p>
    <w:p w14:paraId="613D92F4" w14:textId="0334DCF1" w:rsidR="00824ED9" w:rsidRPr="00824ED9" w:rsidRDefault="001124E1" w:rsidP="001124E1">
      <w:pPr>
        <w:pStyle w:val="ListParagraph"/>
      </w:pPr>
      <w:r>
        <w:t>4.8 Toyota Hybrid Technical Training Manual (2020). Brake Feel and Regenerative Blending.</w:t>
      </w:r>
    </w:p>
    <w:p w14:paraId="1FE17F4C" w14:textId="123B7F46" w:rsidR="00824ED9" w:rsidRPr="00824ED9" w:rsidRDefault="00824ED9" w:rsidP="00824ED9"/>
    <w:sectPr w:rsidR="00824ED9" w:rsidRPr="00824ED9" w:rsidSect="006D4030">
      <w:footerReference w:type="defaul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35D773A" w14:textId="77777777" w:rsidR="004B609D" w:rsidRDefault="004B609D" w:rsidP="006D4030">
      <w:pPr>
        <w:spacing w:after="0" w:line="240" w:lineRule="auto"/>
      </w:pPr>
      <w:r>
        <w:separator/>
      </w:r>
    </w:p>
  </w:endnote>
  <w:endnote w:type="continuationSeparator" w:id="0">
    <w:p w14:paraId="30A2C580" w14:textId="77777777" w:rsidR="004B609D" w:rsidRDefault="004B609D" w:rsidP="006D40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Light">
    <w:panose1 w:val="020F03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53503796"/>
      <w:docPartObj>
        <w:docPartGallery w:val="Page Numbers (Bottom of Page)"/>
        <w:docPartUnique/>
      </w:docPartObj>
    </w:sdtPr>
    <w:sdtContent>
      <w:p w14:paraId="6C3C0D81" w14:textId="77777777" w:rsidR="00785DCF" w:rsidRDefault="00785DCF">
        <w:pPr>
          <w:pStyle w:val="Footer"/>
          <w:jc w:val="center"/>
        </w:pPr>
        <w:r>
          <w:fldChar w:fldCharType="begin"/>
        </w:r>
        <w:r>
          <w:instrText>PAGE   \* MERGEFORMAT</w:instrText>
        </w:r>
        <w:r>
          <w:fldChar w:fldCharType="separate"/>
        </w:r>
        <w:r>
          <w:t>2</w:t>
        </w:r>
        <w:r>
          <w:fldChar w:fldCharType="end"/>
        </w:r>
      </w:p>
    </w:sdtContent>
  </w:sdt>
  <w:p w14:paraId="56DEF005" w14:textId="77777777" w:rsidR="006D4030" w:rsidRDefault="006D40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277586" w14:textId="77777777" w:rsidR="004B609D" w:rsidRDefault="004B609D" w:rsidP="006D4030">
      <w:pPr>
        <w:spacing w:after="0" w:line="240" w:lineRule="auto"/>
      </w:pPr>
      <w:r>
        <w:separator/>
      </w:r>
    </w:p>
  </w:footnote>
  <w:footnote w:type="continuationSeparator" w:id="0">
    <w:p w14:paraId="14740DC3" w14:textId="77777777" w:rsidR="004B609D" w:rsidRDefault="004B609D" w:rsidP="006D403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0B7276"/>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25F90B55"/>
    <w:multiLevelType w:val="multilevel"/>
    <w:tmpl w:val="656C76B8"/>
    <w:lvl w:ilvl="0">
      <w:start w:val="1"/>
      <w:numFmt w:val="decimal"/>
      <w:lvlText w:val="%1."/>
      <w:lvlJc w:val="left"/>
      <w:pPr>
        <w:ind w:left="720" w:hanging="360"/>
      </w:pPr>
      <w:rPr>
        <w:rFonts w:asciiTheme="majorHAnsi" w:eastAsiaTheme="majorEastAsia" w:hAnsiTheme="majorHAnsi" w:cstheme="majorBidi"/>
      </w:rPr>
    </w:lvl>
    <w:lvl w:ilvl="1">
      <w:start w:val="1"/>
      <w:numFmt w:val="decimal"/>
      <w:isLgl/>
      <w:lvlText w:val="%1.%2"/>
      <w:lvlJc w:val="left"/>
      <w:pPr>
        <w:ind w:left="744" w:hanging="384"/>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440" w:hanging="108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 w15:restartNumberingAfterBreak="0">
    <w:nsid w:val="2B4F1ECB"/>
    <w:multiLevelType w:val="hybridMultilevel"/>
    <w:tmpl w:val="89C86982"/>
    <w:lvl w:ilvl="0" w:tplc="0A605F96">
      <w:start w:val="1"/>
      <w:numFmt w:val="decimal"/>
      <w:lvlText w:val="%1."/>
      <w:lvlJc w:val="left"/>
      <w:pPr>
        <w:ind w:left="756" w:hanging="396"/>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0334E32"/>
    <w:multiLevelType w:val="hybridMultilevel"/>
    <w:tmpl w:val="7576A7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05E3EC9"/>
    <w:multiLevelType w:val="multilevel"/>
    <w:tmpl w:val="B83E9F7C"/>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440" w:hanging="108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5" w15:restartNumberingAfterBreak="0">
    <w:nsid w:val="35541F86"/>
    <w:multiLevelType w:val="hybridMultilevel"/>
    <w:tmpl w:val="C64AB5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5EF22D6"/>
    <w:multiLevelType w:val="multilevel"/>
    <w:tmpl w:val="AC8E49B0"/>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883297030">
    <w:abstractNumId w:val="0"/>
  </w:num>
  <w:num w:numId="2" w16cid:durableId="2129811908">
    <w:abstractNumId w:val="6"/>
  </w:num>
  <w:num w:numId="3" w16cid:durableId="1200819140">
    <w:abstractNumId w:val="2"/>
  </w:num>
  <w:num w:numId="4" w16cid:durableId="865366799">
    <w:abstractNumId w:val="1"/>
  </w:num>
  <w:num w:numId="5" w16cid:durableId="1568413131">
    <w:abstractNumId w:val="3"/>
  </w:num>
  <w:num w:numId="6" w16cid:durableId="1648242032">
    <w:abstractNumId w:val="5"/>
  </w:num>
  <w:num w:numId="7" w16cid:durableId="4942476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05F3"/>
    <w:rsid w:val="00012BC2"/>
    <w:rsid w:val="00041624"/>
    <w:rsid w:val="000517B3"/>
    <w:rsid w:val="000B040B"/>
    <w:rsid w:val="000B5C87"/>
    <w:rsid w:val="000D40C1"/>
    <w:rsid w:val="001005F3"/>
    <w:rsid w:val="001124E1"/>
    <w:rsid w:val="001239A8"/>
    <w:rsid w:val="001431D1"/>
    <w:rsid w:val="001810E5"/>
    <w:rsid w:val="001B34A3"/>
    <w:rsid w:val="001C27D1"/>
    <w:rsid w:val="00206B14"/>
    <w:rsid w:val="0021211C"/>
    <w:rsid w:val="00226F1D"/>
    <w:rsid w:val="002362B6"/>
    <w:rsid w:val="00265CC6"/>
    <w:rsid w:val="00287C2B"/>
    <w:rsid w:val="002B0330"/>
    <w:rsid w:val="002C6DDE"/>
    <w:rsid w:val="00315D01"/>
    <w:rsid w:val="003755AD"/>
    <w:rsid w:val="003904C4"/>
    <w:rsid w:val="003B35F1"/>
    <w:rsid w:val="003B4E33"/>
    <w:rsid w:val="003D0415"/>
    <w:rsid w:val="004340FB"/>
    <w:rsid w:val="00484F7F"/>
    <w:rsid w:val="004B418E"/>
    <w:rsid w:val="004B609D"/>
    <w:rsid w:val="004D0BB5"/>
    <w:rsid w:val="004D4912"/>
    <w:rsid w:val="0050160B"/>
    <w:rsid w:val="00532A08"/>
    <w:rsid w:val="00552541"/>
    <w:rsid w:val="00572527"/>
    <w:rsid w:val="005778E0"/>
    <w:rsid w:val="006840E8"/>
    <w:rsid w:val="006D4030"/>
    <w:rsid w:val="00726802"/>
    <w:rsid w:val="00785DCF"/>
    <w:rsid w:val="007C2BC7"/>
    <w:rsid w:val="00824ED9"/>
    <w:rsid w:val="008301FD"/>
    <w:rsid w:val="0084723B"/>
    <w:rsid w:val="00883000"/>
    <w:rsid w:val="00894DB2"/>
    <w:rsid w:val="008B5A72"/>
    <w:rsid w:val="008C314A"/>
    <w:rsid w:val="00956C6E"/>
    <w:rsid w:val="009C346F"/>
    <w:rsid w:val="009D350A"/>
    <w:rsid w:val="00A5442B"/>
    <w:rsid w:val="00A72D43"/>
    <w:rsid w:val="00A778A4"/>
    <w:rsid w:val="00AA25DA"/>
    <w:rsid w:val="00AB01C6"/>
    <w:rsid w:val="00B06C43"/>
    <w:rsid w:val="00B900D7"/>
    <w:rsid w:val="00B902A7"/>
    <w:rsid w:val="00BE3741"/>
    <w:rsid w:val="00C314AA"/>
    <w:rsid w:val="00C96218"/>
    <w:rsid w:val="00CA36FC"/>
    <w:rsid w:val="00CD4C79"/>
    <w:rsid w:val="00CD7BA2"/>
    <w:rsid w:val="00D167C7"/>
    <w:rsid w:val="00D50D2B"/>
    <w:rsid w:val="00DC0758"/>
    <w:rsid w:val="00DC65B6"/>
    <w:rsid w:val="00DE1590"/>
    <w:rsid w:val="00E124E0"/>
    <w:rsid w:val="00E9231F"/>
    <w:rsid w:val="00E95D1B"/>
    <w:rsid w:val="00EA5F67"/>
    <w:rsid w:val="00EF28ED"/>
    <w:rsid w:val="00EF3483"/>
    <w:rsid w:val="00F14447"/>
    <w:rsid w:val="00F57AF4"/>
    <w:rsid w:val="00F60C7E"/>
    <w:rsid w:val="00F74EDE"/>
    <w:rsid w:val="00F75143"/>
    <w:rsid w:val="00F752F7"/>
    <w:rsid w:val="00FA32BF"/>
    <w:rsid w:val="00FF35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5EE704"/>
  <w15:chartTrackingRefBased/>
  <w15:docId w15:val="{0A4B4513-1C81-4A90-85C8-69FC085CF4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1"/>
        <w:szCs w:val="21"/>
        <w:lang w:val="en-GB" w:eastAsia="en-US"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0160B"/>
  </w:style>
  <w:style w:type="paragraph" w:styleId="Heading1">
    <w:name w:val="heading 1"/>
    <w:basedOn w:val="Normal"/>
    <w:next w:val="Normal"/>
    <w:link w:val="Heading1Char"/>
    <w:uiPriority w:val="9"/>
    <w:qFormat/>
    <w:rsid w:val="0050160B"/>
    <w:pPr>
      <w:keepNext/>
      <w:keepLines/>
      <w:spacing w:before="360" w:after="40" w:line="240" w:lineRule="auto"/>
      <w:outlineLvl w:val="0"/>
    </w:pPr>
    <w:rPr>
      <w:rFonts w:asciiTheme="majorHAnsi" w:eastAsiaTheme="majorEastAsia" w:hAnsiTheme="majorHAnsi" w:cstheme="majorBidi"/>
      <w:color w:val="538135" w:themeColor="accent6" w:themeShade="BF"/>
      <w:sz w:val="40"/>
      <w:szCs w:val="40"/>
    </w:rPr>
  </w:style>
  <w:style w:type="paragraph" w:styleId="Heading2">
    <w:name w:val="heading 2"/>
    <w:basedOn w:val="Normal"/>
    <w:next w:val="Normal"/>
    <w:link w:val="Heading2Char"/>
    <w:uiPriority w:val="9"/>
    <w:semiHidden/>
    <w:unhideWhenUsed/>
    <w:qFormat/>
    <w:rsid w:val="0050160B"/>
    <w:pPr>
      <w:keepNext/>
      <w:keepLines/>
      <w:spacing w:before="80" w:after="0" w:line="240" w:lineRule="auto"/>
      <w:outlineLvl w:val="1"/>
    </w:pPr>
    <w:rPr>
      <w:rFonts w:asciiTheme="majorHAnsi" w:eastAsiaTheme="majorEastAsia" w:hAnsiTheme="majorHAnsi" w:cstheme="majorBidi"/>
      <w:color w:val="538135" w:themeColor="accent6" w:themeShade="BF"/>
      <w:sz w:val="28"/>
      <w:szCs w:val="28"/>
    </w:rPr>
  </w:style>
  <w:style w:type="paragraph" w:styleId="Heading3">
    <w:name w:val="heading 3"/>
    <w:basedOn w:val="Normal"/>
    <w:next w:val="Normal"/>
    <w:link w:val="Heading3Char"/>
    <w:uiPriority w:val="9"/>
    <w:semiHidden/>
    <w:unhideWhenUsed/>
    <w:qFormat/>
    <w:rsid w:val="0050160B"/>
    <w:pPr>
      <w:keepNext/>
      <w:keepLines/>
      <w:spacing w:before="80" w:after="0" w:line="240" w:lineRule="auto"/>
      <w:outlineLvl w:val="2"/>
    </w:pPr>
    <w:rPr>
      <w:rFonts w:asciiTheme="majorHAnsi" w:eastAsiaTheme="majorEastAsia" w:hAnsiTheme="majorHAnsi" w:cstheme="majorBidi"/>
      <w:color w:val="538135" w:themeColor="accent6" w:themeShade="BF"/>
      <w:sz w:val="24"/>
      <w:szCs w:val="24"/>
    </w:rPr>
  </w:style>
  <w:style w:type="paragraph" w:styleId="Heading4">
    <w:name w:val="heading 4"/>
    <w:basedOn w:val="Normal"/>
    <w:next w:val="Normal"/>
    <w:link w:val="Heading4Char"/>
    <w:uiPriority w:val="9"/>
    <w:semiHidden/>
    <w:unhideWhenUsed/>
    <w:qFormat/>
    <w:rsid w:val="0050160B"/>
    <w:pPr>
      <w:keepNext/>
      <w:keepLines/>
      <w:spacing w:before="80" w:after="0"/>
      <w:outlineLvl w:val="3"/>
    </w:pPr>
    <w:rPr>
      <w:rFonts w:asciiTheme="majorHAnsi" w:eastAsiaTheme="majorEastAsia" w:hAnsiTheme="majorHAnsi" w:cstheme="majorBidi"/>
      <w:color w:val="70AD47" w:themeColor="accent6"/>
      <w:sz w:val="22"/>
      <w:szCs w:val="22"/>
    </w:rPr>
  </w:style>
  <w:style w:type="paragraph" w:styleId="Heading5">
    <w:name w:val="heading 5"/>
    <w:basedOn w:val="Normal"/>
    <w:next w:val="Normal"/>
    <w:link w:val="Heading5Char"/>
    <w:uiPriority w:val="9"/>
    <w:semiHidden/>
    <w:unhideWhenUsed/>
    <w:qFormat/>
    <w:rsid w:val="0050160B"/>
    <w:pPr>
      <w:keepNext/>
      <w:keepLines/>
      <w:spacing w:before="40" w:after="0"/>
      <w:outlineLvl w:val="4"/>
    </w:pPr>
    <w:rPr>
      <w:rFonts w:asciiTheme="majorHAnsi" w:eastAsiaTheme="majorEastAsia" w:hAnsiTheme="majorHAnsi" w:cstheme="majorBidi"/>
      <w:i/>
      <w:iCs/>
      <w:color w:val="70AD47" w:themeColor="accent6"/>
      <w:sz w:val="22"/>
      <w:szCs w:val="22"/>
    </w:rPr>
  </w:style>
  <w:style w:type="paragraph" w:styleId="Heading6">
    <w:name w:val="heading 6"/>
    <w:basedOn w:val="Normal"/>
    <w:next w:val="Normal"/>
    <w:link w:val="Heading6Char"/>
    <w:uiPriority w:val="9"/>
    <w:semiHidden/>
    <w:unhideWhenUsed/>
    <w:qFormat/>
    <w:rsid w:val="0050160B"/>
    <w:pPr>
      <w:keepNext/>
      <w:keepLines/>
      <w:spacing w:before="40" w:after="0"/>
      <w:outlineLvl w:val="5"/>
    </w:pPr>
    <w:rPr>
      <w:rFonts w:asciiTheme="majorHAnsi" w:eastAsiaTheme="majorEastAsia" w:hAnsiTheme="majorHAnsi" w:cstheme="majorBidi"/>
      <w:color w:val="70AD47" w:themeColor="accent6"/>
    </w:rPr>
  </w:style>
  <w:style w:type="paragraph" w:styleId="Heading7">
    <w:name w:val="heading 7"/>
    <w:basedOn w:val="Normal"/>
    <w:next w:val="Normal"/>
    <w:link w:val="Heading7Char"/>
    <w:uiPriority w:val="9"/>
    <w:semiHidden/>
    <w:unhideWhenUsed/>
    <w:qFormat/>
    <w:rsid w:val="0050160B"/>
    <w:pPr>
      <w:keepNext/>
      <w:keepLines/>
      <w:spacing w:before="40" w:after="0"/>
      <w:outlineLvl w:val="6"/>
    </w:pPr>
    <w:rPr>
      <w:rFonts w:asciiTheme="majorHAnsi" w:eastAsiaTheme="majorEastAsia" w:hAnsiTheme="majorHAnsi" w:cstheme="majorBidi"/>
      <w:b/>
      <w:bCs/>
      <w:color w:val="70AD47" w:themeColor="accent6"/>
    </w:rPr>
  </w:style>
  <w:style w:type="paragraph" w:styleId="Heading8">
    <w:name w:val="heading 8"/>
    <w:basedOn w:val="Normal"/>
    <w:next w:val="Normal"/>
    <w:link w:val="Heading8Char"/>
    <w:uiPriority w:val="9"/>
    <w:semiHidden/>
    <w:unhideWhenUsed/>
    <w:qFormat/>
    <w:rsid w:val="0050160B"/>
    <w:pPr>
      <w:keepNext/>
      <w:keepLines/>
      <w:spacing w:before="40" w:after="0"/>
      <w:outlineLvl w:val="7"/>
    </w:pPr>
    <w:rPr>
      <w:rFonts w:asciiTheme="majorHAnsi" w:eastAsiaTheme="majorEastAsia" w:hAnsiTheme="majorHAnsi" w:cstheme="majorBidi"/>
      <w:b/>
      <w:bCs/>
      <w:i/>
      <w:iCs/>
      <w:color w:val="70AD47" w:themeColor="accent6"/>
      <w:sz w:val="20"/>
      <w:szCs w:val="20"/>
    </w:rPr>
  </w:style>
  <w:style w:type="paragraph" w:styleId="Heading9">
    <w:name w:val="heading 9"/>
    <w:basedOn w:val="Normal"/>
    <w:next w:val="Normal"/>
    <w:link w:val="Heading9Char"/>
    <w:uiPriority w:val="9"/>
    <w:semiHidden/>
    <w:unhideWhenUsed/>
    <w:qFormat/>
    <w:rsid w:val="0050160B"/>
    <w:pPr>
      <w:keepNext/>
      <w:keepLines/>
      <w:spacing w:before="40" w:after="0"/>
      <w:outlineLvl w:val="8"/>
    </w:pPr>
    <w:rPr>
      <w:rFonts w:asciiTheme="majorHAnsi" w:eastAsiaTheme="majorEastAsia" w:hAnsiTheme="majorHAnsi" w:cstheme="majorBidi"/>
      <w:i/>
      <w:iCs/>
      <w:color w:val="70AD47" w:themeColor="accent6"/>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160B"/>
    <w:rPr>
      <w:rFonts w:asciiTheme="majorHAnsi" w:eastAsiaTheme="majorEastAsia" w:hAnsiTheme="majorHAnsi" w:cstheme="majorBidi"/>
      <w:color w:val="538135" w:themeColor="accent6" w:themeShade="BF"/>
      <w:sz w:val="40"/>
      <w:szCs w:val="40"/>
    </w:rPr>
  </w:style>
  <w:style w:type="paragraph" w:styleId="ListParagraph">
    <w:name w:val="List Paragraph"/>
    <w:basedOn w:val="Normal"/>
    <w:uiPriority w:val="34"/>
    <w:qFormat/>
    <w:rsid w:val="001B34A3"/>
    <w:pPr>
      <w:ind w:left="720"/>
      <w:contextualSpacing/>
    </w:pPr>
  </w:style>
  <w:style w:type="paragraph" w:styleId="Header">
    <w:name w:val="header"/>
    <w:basedOn w:val="Normal"/>
    <w:link w:val="HeaderChar"/>
    <w:uiPriority w:val="99"/>
    <w:unhideWhenUsed/>
    <w:rsid w:val="006D40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4030"/>
  </w:style>
  <w:style w:type="paragraph" w:styleId="Footer">
    <w:name w:val="footer"/>
    <w:basedOn w:val="Normal"/>
    <w:link w:val="FooterChar"/>
    <w:uiPriority w:val="99"/>
    <w:unhideWhenUsed/>
    <w:rsid w:val="006D40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4030"/>
  </w:style>
  <w:style w:type="paragraph" w:styleId="TOCHeading">
    <w:name w:val="TOC Heading"/>
    <w:basedOn w:val="Heading1"/>
    <w:next w:val="Normal"/>
    <w:uiPriority w:val="39"/>
    <w:unhideWhenUsed/>
    <w:qFormat/>
    <w:rsid w:val="0050160B"/>
    <w:pPr>
      <w:outlineLvl w:val="9"/>
    </w:pPr>
  </w:style>
  <w:style w:type="paragraph" w:styleId="TOC2">
    <w:name w:val="toc 2"/>
    <w:basedOn w:val="Normal"/>
    <w:next w:val="Normal"/>
    <w:autoRedefine/>
    <w:uiPriority w:val="39"/>
    <w:unhideWhenUsed/>
    <w:rsid w:val="00CD4C79"/>
    <w:pPr>
      <w:spacing w:after="100"/>
      <w:ind w:left="220"/>
    </w:pPr>
    <w:rPr>
      <w:rFonts w:cs="Times New Roman"/>
      <w:lang w:eastAsia="en-GB"/>
    </w:rPr>
  </w:style>
  <w:style w:type="paragraph" w:styleId="TOC1">
    <w:name w:val="toc 1"/>
    <w:basedOn w:val="Normal"/>
    <w:next w:val="Normal"/>
    <w:autoRedefine/>
    <w:uiPriority w:val="39"/>
    <w:unhideWhenUsed/>
    <w:rsid w:val="00CD4C79"/>
    <w:pPr>
      <w:spacing w:after="100"/>
    </w:pPr>
    <w:rPr>
      <w:rFonts w:cs="Times New Roman"/>
      <w:lang w:eastAsia="en-GB"/>
    </w:rPr>
  </w:style>
  <w:style w:type="paragraph" w:styleId="TOC3">
    <w:name w:val="toc 3"/>
    <w:basedOn w:val="Normal"/>
    <w:next w:val="Normal"/>
    <w:autoRedefine/>
    <w:uiPriority w:val="39"/>
    <w:unhideWhenUsed/>
    <w:rsid w:val="00CD4C79"/>
    <w:pPr>
      <w:spacing w:after="100"/>
      <w:ind w:left="440"/>
    </w:pPr>
    <w:rPr>
      <w:rFonts w:cs="Times New Roman"/>
      <w:lang w:eastAsia="en-GB"/>
    </w:rPr>
  </w:style>
  <w:style w:type="character" w:styleId="Hyperlink">
    <w:name w:val="Hyperlink"/>
    <w:basedOn w:val="DefaultParagraphFont"/>
    <w:uiPriority w:val="99"/>
    <w:unhideWhenUsed/>
    <w:rsid w:val="00DC65B6"/>
    <w:rPr>
      <w:color w:val="0563C1" w:themeColor="hyperlink"/>
      <w:u w:val="single"/>
    </w:rPr>
  </w:style>
  <w:style w:type="character" w:styleId="UnresolvedMention">
    <w:name w:val="Unresolved Mention"/>
    <w:basedOn w:val="DefaultParagraphFont"/>
    <w:uiPriority w:val="99"/>
    <w:semiHidden/>
    <w:unhideWhenUsed/>
    <w:rsid w:val="00DC65B6"/>
    <w:rPr>
      <w:color w:val="605E5C"/>
      <w:shd w:val="clear" w:color="auto" w:fill="E1DFDD"/>
    </w:rPr>
  </w:style>
  <w:style w:type="character" w:customStyle="1" w:styleId="Heading2Char">
    <w:name w:val="Heading 2 Char"/>
    <w:basedOn w:val="DefaultParagraphFont"/>
    <w:link w:val="Heading2"/>
    <w:uiPriority w:val="9"/>
    <w:semiHidden/>
    <w:rsid w:val="0050160B"/>
    <w:rPr>
      <w:rFonts w:asciiTheme="majorHAnsi" w:eastAsiaTheme="majorEastAsia" w:hAnsiTheme="majorHAnsi" w:cstheme="majorBidi"/>
      <w:color w:val="538135" w:themeColor="accent6" w:themeShade="BF"/>
      <w:sz w:val="28"/>
      <w:szCs w:val="28"/>
    </w:rPr>
  </w:style>
  <w:style w:type="character" w:customStyle="1" w:styleId="Heading3Char">
    <w:name w:val="Heading 3 Char"/>
    <w:basedOn w:val="DefaultParagraphFont"/>
    <w:link w:val="Heading3"/>
    <w:uiPriority w:val="9"/>
    <w:semiHidden/>
    <w:rsid w:val="0050160B"/>
    <w:rPr>
      <w:rFonts w:asciiTheme="majorHAnsi" w:eastAsiaTheme="majorEastAsia" w:hAnsiTheme="majorHAnsi" w:cstheme="majorBidi"/>
      <w:color w:val="538135" w:themeColor="accent6" w:themeShade="BF"/>
      <w:sz w:val="24"/>
      <w:szCs w:val="24"/>
    </w:rPr>
  </w:style>
  <w:style w:type="character" w:customStyle="1" w:styleId="Heading4Char">
    <w:name w:val="Heading 4 Char"/>
    <w:basedOn w:val="DefaultParagraphFont"/>
    <w:link w:val="Heading4"/>
    <w:uiPriority w:val="9"/>
    <w:semiHidden/>
    <w:rsid w:val="0050160B"/>
    <w:rPr>
      <w:rFonts w:asciiTheme="majorHAnsi" w:eastAsiaTheme="majorEastAsia" w:hAnsiTheme="majorHAnsi" w:cstheme="majorBidi"/>
      <w:color w:val="70AD47" w:themeColor="accent6"/>
      <w:sz w:val="22"/>
      <w:szCs w:val="22"/>
    </w:rPr>
  </w:style>
  <w:style w:type="character" w:customStyle="1" w:styleId="Heading5Char">
    <w:name w:val="Heading 5 Char"/>
    <w:basedOn w:val="DefaultParagraphFont"/>
    <w:link w:val="Heading5"/>
    <w:uiPriority w:val="9"/>
    <w:semiHidden/>
    <w:rsid w:val="0050160B"/>
    <w:rPr>
      <w:rFonts w:asciiTheme="majorHAnsi" w:eastAsiaTheme="majorEastAsia" w:hAnsiTheme="majorHAnsi" w:cstheme="majorBidi"/>
      <w:i/>
      <w:iCs/>
      <w:color w:val="70AD47" w:themeColor="accent6"/>
      <w:sz w:val="22"/>
      <w:szCs w:val="22"/>
    </w:rPr>
  </w:style>
  <w:style w:type="character" w:customStyle="1" w:styleId="Heading6Char">
    <w:name w:val="Heading 6 Char"/>
    <w:basedOn w:val="DefaultParagraphFont"/>
    <w:link w:val="Heading6"/>
    <w:uiPriority w:val="9"/>
    <w:semiHidden/>
    <w:rsid w:val="0050160B"/>
    <w:rPr>
      <w:rFonts w:asciiTheme="majorHAnsi" w:eastAsiaTheme="majorEastAsia" w:hAnsiTheme="majorHAnsi" w:cstheme="majorBidi"/>
      <w:color w:val="70AD47" w:themeColor="accent6"/>
    </w:rPr>
  </w:style>
  <w:style w:type="character" w:customStyle="1" w:styleId="Heading7Char">
    <w:name w:val="Heading 7 Char"/>
    <w:basedOn w:val="DefaultParagraphFont"/>
    <w:link w:val="Heading7"/>
    <w:uiPriority w:val="9"/>
    <w:semiHidden/>
    <w:rsid w:val="0050160B"/>
    <w:rPr>
      <w:rFonts w:asciiTheme="majorHAnsi" w:eastAsiaTheme="majorEastAsia" w:hAnsiTheme="majorHAnsi" w:cstheme="majorBidi"/>
      <w:b/>
      <w:bCs/>
      <w:color w:val="70AD47" w:themeColor="accent6"/>
    </w:rPr>
  </w:style>
  <w:style w:type="character" w:customStyle="1" w:styleId="Heading8Char">
    <w:name w:val="Heading 8 Char"/>
    <w:basedOn w:val="DefaultParagraphFont"/>
    <w:link w:val="Heading8"/>
    <w:uiPriority w:val="9"/>
    <w:semiHidden/>
    <w:rsid w:val="0050160B"/>
    <w:rPr>
      <w:rFonts w:asciiTheme="majorHAnsi" w:eastAsiaTheme="majorEastAsia" w:hAnsiTheme="majorHAnsi" w:cstheme="majorBidi"/>
      <w:b/>
      <w:bCs/>
      <w:i/>
      <w:iCs/>
      <w:color w:val="70AD47" w:themeColor="accent6"/>
      <w:sz w:val="20"/>
      <w:szCs w:val="20"/>
    </w:rPr>
  </w:style>
  <w:style w:type="character" w:customStyle="1" w:styleId="Heading9Char">
    <w:name w:val="Heading 9 Char"/>
    <w:basedOn w:val="DefaultParagraphFont"/>
    <w:link w:val="Heading9"/>
    <w:uiPriority w:val="9"/>
    <w:semiHidden/>
    <w:rsid w:val="0050160B"/>
    <w:rPr>
      <w:rFonts w:asciiTheme="majorHAnsi" w:eastAsiaTheme="majorEastAsia" w:hAnsiTheme="majorHAnsi" w:cstheme="majorBidi"/>
      <w:i/>
      <w:iCs/>
      <w:color w:val="70AD47" w:themeColor="accent6"/>
      <w:sz w:val="20"/>
      <w:szCs w:val="20"/>
    </w:rPr>
  </w:style>
  <w:style w:type="paragraph" w:styleId="Caption">
    <w:name w:val="caption"/>
    <w:basedOn w:val="Normal"/>
    <w:next w:val="Normal"/>
    <w:uiPriority w:val="35"/>
    <w:semiHidden/>
    <w:unhideWhenUsed/>
    <w:qFormat/>
    <w:rsid w:val="0050160B"/>
    <w:pPr>
      <w:spacing w:line="240" w:lineRule="auto"/>
    </w:pPr>
    <w:rPr>
      <w:b/>
      <w:bCs/>
      <w:smallCaps/>
      <w:color w:val="595959" w:themeColor="text1" w:themeTint="A6"/>
    </w:rPr>
  </w:style>
  <w:style w:type="paragraph" w:styleId="Title">
    <w:name w:val="Title"/>
    <w:basedOn w:val="Normal"/>
    <w:next w:val="Normal"/>
    <w:link w:val="TitleChar"/>
    <w:uiPriority w:val="10"/>
    <w:qFormat/>
    <w:rsid w:val="0050160B"/>
    <w:pPr>
      <w:spacing w:after="0" w:line="240" w:lineRule="auto"/>
      <w:contextualSpacing/>
    </w:pPr>
    <w:rPr>
      <w:rFonts w:asciiTheme="majorHAnsi" w:eastAsiaTheme="majorEastAsia" w:hAnsiTheme="majorHAnsi" w:cstheme="majorBidi"/>
      <w:color w:val="262626" w:themeColor="text1" w:themeTint="D9"/>
      <w:spacing w:val="-15"/>
      <w:sz w:val="96"/>
      <w:szCs w:val="96"/>
    </w:rPr>
  </w:style>
  <w:style w:type="character" w:customStyle="1" w:styleId="TitleChar">
    <w:name w:val="Title Char"/>
    <w:basedOn w:val="DefaultParagraphFont"/>
    <w:link w:val="Title"/>
    <w:uiPriority w:val="10"/>
    <w:rsid w:val="0050160B"/>
    <w:rPr>
      <w:rFonts w:asciiTheme="majorHAnsi" w:eastAsiaTheme="majorEastAsia" w:hAnsiTheme="majorHAnsi" w:cstheme="majorBidi"/>
      <w:color w:val="262626" w:themeColor="text1" w:themeTint="D9"/>
      <w:spacing w:val="-15"/>
      <w:sz w:val="96"/>
      <w:szCs w:val="96"/>
    </w:rPr>
  </w:style>
  <w:style w:type="paragraph" w:styleId="Subtitle">
    <w:name w:val="Subtitle"/>
    <w:basedOn w:val="Normal"/>
    <w:next w:val="Normal"/>
    <w:link w:val="SubtitleChar"/>
    <w:uiPriority w:val="11"/>
    <w:qFormat/>
    <w:rsid w:val="0050160B"/>
    <w:pPr>
      <w:numPr>
        <w:ilvl w:val="1"/>
      </w:numPr>
      <w:spacing w:line="240" w:lineRule="auto"/>
    </w:pPr>
    <w:rPr>
      <w:rFonts w:asciiTheme="majorHAnsi" w:eastAsiaTheme="majorEastAsia" w:hAnsiTheme="majorHAnsi" w:cstheme="majorBidi"/>
      <w:sz w:val="30"/>
      <w:szCs w:val="30"/>
    </w:rPr>
  </w:style>
  <w:style w:type="character" w:customStyle="1" w:styleId="SubtitleChar">
    <w:name w:val="Subtitle Char"/>
    <w:basedOn w:val="DefaultParagraphFont"/>
    <w:link w:val="Subtitle"/>
    <w:uiPriority w:val="11"/>
    <w:rsid w:val="0050160B"/>
    <w:rPr>
      <w:rFonts w:asciiTheme="majorHAnsi" w:eastAsiaTheme="majorEastAsia" w:hAnsiTheme="majorHAnsi" w:cstheme="majorBidi"/>
      <w:sz w:val="30"/>
      <w:szCs w:val="30"/>
    </w:rPr>
  </w:style>
  <w:style w:type="character" w:styleId="Strong">
    <w:name w:val="Strong"/>
    <w:basedOn w:val="DefaultParagraphFont"/>
    <w:uiPriority w:val="22"/>
    <w:qFormat/>
    <w:rsid w:val="0050160B"/>
    <w:rPr>
      <w:b/>
      <w:bCs/>
    </w:rPr>
  </w:style>
  <w:style w:type="character" w:styleId="Emphasis">
    <w:name w:val="Emphasis"/>
    <w:basedOn w:val="DefaultParagraphFont"/>
    <w:uiPriority w:val="20"/>
    <w:qFormat/>
    <w:rsid w:val="0050160B"/>
    <w:rPr>
      <w:i/>
      <w:iCs/>
      <w:color w:val="70AD47" w:themeColor="accent6"/>
    </w:rPr>
  </w:style>
  <w:style w:type="paragraph" w:styleId="NoSpacing">
    <w:name w:val="No Spacing"/>
    <w:uiPriority w:val="1"/>
    <w:qFormat/>
    <w:rsid w:val="0050160B"/>
    <w:pPr>
      <w:spacing w:after="0" w:line="240" w:lineRule="auto"/>
    </w:pPr>
  </w:style>
  <w:style w:type="paragraph" w:styleId="Quote">
    <w:name w:val="Quote"/>
    <w:basedOn w:val="Normal"/>
    <w:next w:val="Normal"/>
    <w:link w:val="QuoteChar"/>
    <w:uiPriority w:val="29"/>
    <w:qFormat/>
    <w:rsid w:val="0050160B"/>
    <w:pPr>
      <w:spacing w:before="160"/>
      <w:ind w:left="720" w:right="720"/>
      <w:jc w:val="center"/>
    </w:pPr>
    <w:rPr>
      <w:i/>
      <w:iCs/>
      <w:color w:val="262626" w:themeColor="text1" w:themeTint="D9"/>
    </w:rPr>
  </w:style>
  <w:style w:type="character" w:customStyle="1" w:styleId="QuoteChar">
    <w:name w:val="Quote Char"/>
    <w:basedOn w:val="DefaultParagraphFont"/>
    <w:link w:val="Quote"/>
    <w:uiPriority w:val="29"/>
    <w:rsid w:val="0050160B"/>
    <w:rPr>
      <w:i/>
      <w:iCs/>
      <w:color w:val="262626" w:themeColor="text1" w:themeTint="D9"/>
    </w:rPr>
  </w:style>
  <w:style w:type="paragraph" w:styleId="IntenseQuote">
    <w:name w:val="Intense Quote"/>
    <w:basedOn w:val="Normal"/>
    <w:next w:val="Normal"/>
    <w:link w:val="IntenseQuoteChar"/>
    <w:uiPriority w:val="30"/>
    <w:qFormat/>
    <w:rsid w:val="0050160B"/>
    <w:pPr>
      <w:spacing w:before="160" w:after="160" w:line="264" w:lineRule="auto"/>
      <w:ind w:left="720" w:right="720"/>
      <w:jc w:val="center"/>
    </w:pPr>
    <w:rPr>
      <w:rFonts w:asciiTheme="majorHAnsi" w:eastAsiaTheme="majorEastAsia" w:hAnsiTheme="majorHAnsi" w:cstheme="majorBidi"/>
      <w:i/>
      <w:iCs/>
      <w:color w:val="70AD47" w:themeColor="accent6"/>
      <w:sz w:val="32"/>
      <w:szCs w:val="32"/>
    </w:rPr>
  </w:style>
  <w:style w:type="character" w:customStyle="1" w:styleId="IntenseQuoteChar">
    <w:name w:val="Intense Quote Char"/>
    <w:basedOn w:val="DefaultParagraphFont"/>
    <w:link w:val="IntenseQuote"/>
    <w:uiPriority w:val="30"/>
    <w:rsid w:val="0050160B"/>
    <w:rPr>
      <w:rFonts w:asciiTheme="majorHAnsi" w:eastAsiaTheme="majorEastAsia" w:hAnsiTheme="majorHAnsi" w:cstheme="majorBidi"/>
      <w:i/>
      <w:iCs/>
      <w:color w:val="70AD47" w:themeColor="accent6"/>
      <w:sz w:val="32"/>
      <w:szCs w:val="32"/>
    </w:rPr>
  </w:style>
  <w:style w:type="character" w:styleId="SubtleEmphasis">
    <w:name w:val="Subtle Emphasis"/>
    <w:basedOn w:val="DefaultParagraphFont"/>
    <w:uiPriority w:val="19"/>
    <w:qFormat/>
    <w:rsid w:val="0050160B"/>
    <w:rPr>
      <w:i/>
      <w:iCs/>
    </w:rPr>
  </w:style>
  <w:style w:type="character" w:styleId="IntenseEmphasis">
    <w:name w:val="Intense Emphasis"/>
    <w:basedOn w:val="DefaultParagraphFont"/>
    <w:uiPriority w:val="21"/>
    <w:qFormat/>
    <w:rsid w:val="0050160B"/>
    <w:rPr>
      <w:b/>
      <w:bCs/>
      <w:i/>
      <w:iCs/>
    </w:rPr>
  </w:style>
  <w:style w:type="character" w:styleId="SubtleReference">
    <w:name w:val="Subtle Reference"/>
    <w:basedOn w:val="DefaultParagraphFont"/>
    <w:uiPriority w:val="31"/>
    <w:qFormat/>
    <w:rsid w:val="0050160B"/>
    <w:rPr>
      <w:smallCaps/>
      <w:color w:val="595959" w:themeColor="text1" w:themeTint="A6"/>
    </w:rPr>
  </w:style>
  <w:style w:type="character" w:styleId="IntenseReference">
    <w:name w:val="Intense Reference"/>
    <w:basedOn w:val="DefaultParagraphFont"/>
    <w:uiPriority w:val="32"/>
    <w:qFormat/>
    <w:rsid w:val="0050160B"/>
    <w:rPr>
      <w:b/>
      <w:bCs/>
      <w:smallCaps/>
      <w:color w:val="70AD47" w:themeColor="accent6"/>
    </w:rPr>
  </w:style>
  <w:style w:type="character" w:styleId="BookTitle">
    <w:name w:val="Book Title"/>
    <w:basedOn w:val="DefaultParagraphFont"/>
    <w:uiPriority w:val="33"/>
    <w:qFormat/>
    <w:rsid w:val="0050160B"/>
    <w:rPr>
      <w:b/>
      <w:bCs/>
      <w:caps w:val="0"/>
      <w:smallCaps/>
      <w:spacing w:val="7"/>
      <w:sz w:val="21"/>
      <w:szCs w:val="21"/>
    </w:rPr>
  </w:style>
  <w:style w:type="paragraph" w:styleId="NormalWeb">
    <w:name w:val="Normal (Web)"/>
    <w:basedOn w:val="Normal"/>
    <w:uiPriority w:val="99"/>
    <w:semiHidden/>
    <w:unhideWhenUsed/>
    <w:rsid w:val="00824ED9"/>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theicct.org/sites/default/files/publications/WLTP4_201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choze\Documents\Custom%20Office%20Templates\Paper%20Templat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8" ma:contentTypeDescription="Create a new document." ma:contentTypeScope="" ma:versionID="9d0f89752f2a51bbbe6623c493b903bd">
  <xsd:schema xmlns:xsd="http://www.w3.org/2001/XMLSchema" xmlns:xs="http://www.w3.org/2001/XMLSchema" xmlns:p="http://schemas.microsoft.com/office/2006/metadata/properties" xmlns:ns3="ad7316b1-23f1-480c-8fa6-cbf037f4db9c" targetNamespace="http://schemas.microsoft.com/office/2006/metadata/properties" ma:root="true" ma:fieldsID="2a81700f1878668ef5e779ce9cb66425" ns3:_="">
    <xsd:import namespace="ad7316b1-23f1-480c-8fa6-cbf037f4db9c"/>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31AF814-9FA8-4CCD-B9EB-078E93C2635F}">
  <ds:schemaRefs>
    <ds:schemaRef ds:uri="http://schemas.microsoft.com/sharepoint/v3/contenttype/forms"/>
  </ds:schemaRefs>
</ds:datastoreItem>
</file>

<file path=customXml/itemProps2.xml><?xml version="1.0" encoding="utf-8"?>
<ds:datastoreItem xmlns:ds="http://schemas.openxmlformats.org/officeDocument/2006/customXml" ds:itemID="{62B8DDBC-BDB7-4D72-B2BC-1E6810F3F05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7A8A363-E715-4ABF-91EE-57D990C9F6BF}">
  <ds:schemaRefs>
    <ds:schemaRef ds:uri="http://schemas.openxmlformats.org/officeDocument/2006/bibliography"/>
  </ds:schemaRefs>
</ds:datastoreItem>
</file>

<file path=customXml/itemProps4.xml><?xml version="1.0" encoding="utf-8"?>
<ds:datastoreItem xmlns:ds="http://schemas.openxmlformats.org/officeDocument/2006/customXml" ds:itemID="{DB771E0A-64B8-43CC-9E93-876D0F93EA1F}">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Paper Template</Template>
  <TotalTime>0</TotalTime>
  <Pages>7</Pages>
  <Words>1953</Words>
  <Characters>11135</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Oska Robertson</dc:creator>
  <cp:keywords/>
  <dc:description/>
  <cp:lastModifiedBy>Oska Robertson (2301207)</cp:lastModifiedBy>
  <cp:revision>7</cp:revision>
  <dcterms:created xsi:type="dcterms:W3CDTF">2025-11-27T16:32:00Z</dcterms:created>
  <dcterms:modified xsi:type="dcterms:W3CDTF">2025-11-30T16:19:00Z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0x01010096C48B67E562FF45ADD1FE43E2BC7706</vt:lpwstr>
  </property>
</Properties>
</file>