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58413533"/>
        <w:docPartObj>
          <w:docPartGallery w:val="Cover Pages"/>
          <w:docPartUnique/>
        </w:docPartObj>
      </w:sdtPr>
      <w:sdtContent>
        <w:p w14:paraId="63F7DD61" w14:textId="0DB7B590" w:rsidR="00F901C6" w:rsidRDefault="00F901C6">
          <w:r>
            <w:rPr>
              <w:noProof/>
            </w:rPr>
            <mc:AlternateContent>
              <mc:Choice Requires="wpg">
                <w:drawing>
                  <wp:anchor distT="0" distB="0" distL="114300" distR="114300" simplePos="0" relativeHeight="251662336" behindDoc="0" locked="0" layoutInCell="1" allowOverlap="1" wp14:anchorId="36F4B0BA" wp14:editId="642C9BE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0484319"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E668A19" wp14:editId="5ECCA0F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49768CA" w14:textId="74CA8DFD" w:rsidR="00F901C6" w:rsidRDefault="00F901C6">
                                    <w:pPr>
                                      <w:pStyle w:val="NoSpacing"/>
                                      <w:jc w:val="right"/>
                                      <w:rPr>
                                        <w:color w:val="595959" w:themeColor="text1" w:themeTint="A6"/>
                                        <w:sz w:val="28"/>
                                        <w:szCs w:val="28"/>
                                      </w:rPr>
                                    </w:pPr>
                                    <w:r>
                                      <w:rPr>
                                        <w:color w:val="595959" w:themeColor="text1" w:themeTint="A6"/>
                                        <w:sz w:val="28"/>
                                        <w:szCs w:val="28"/>
                                      </w:rPr>
                                      <w:t>Evans Quartey-Tackie (2318850)</w:t>
                                    </w:r>
                                  </w:p>
                                </w:sdtContent>
                              </w:sdt>
                              <w:p w14:paraId="2F9BEA85" w14:textId="27C17419" w:rsidR="00F901C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901C6" w:rsidRPr="00F901C6">
                                      <w:rPr>
                                        <w:color w:val="595959" w:themeColor="text1" w:themeTint="A6"/>
                                        <w:sz w:val="18"/>
                                        <w:szCs w:val="18"/>
                                      </w:rPr>
                                      <w:t>2318850@student.uwtsd.ac.uk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E668A19"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49768CA" w14:textId="74CA8DFD" w:rsidR="00F901C6" w:rsidRDefault="00F901C6">
                              <w:pPr>
                                <w:pStyle w:val="NoSpacing"/>
                                <w:jc w:val="right"/>
                                <w:rPr>
                                  <w:color w:val="595959" w:themeColor="text1" w:themeTint="A6"/>
                                  <w:sz w:val="28"/>
                                  <w:szCs w:val="28"/>
                                </w:rPr>
                              </w:pPr>
                              <w:r>
                                <w:rPr>
                                  <w:color w:val="595959" w:themeColor="text1" w:themeTint="A6"/>
                                  <w:sz w:val="28"/>
                                  <w:szCs w:val="28"/>
                                </w:rPr>
                                <w:t>Evans Quartey-Tackie (2318850)</w:t>
                              </w:r>
                            </w:p>
                          </w:sdtContent>
                        </w:sdt>
                        <w:p w14:paraId="2F9BEA85" w14:textId="27C17419" w:rsidR="00F901C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901C6" w:rsidRPr="00F901C6">
                                <w:rPr>
                                  <w:color w:val="595959" w:themeColor="text1" w:themeTint="A6"/>
                                  <w:sz w:val="18"/>
                                  <w:szCs w:val="18"/>
                                </w:rPr>
                                <w:t>2318850@student.uwtsd.ac.uk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D94DC20" wp14:editId="70742CD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D060A9" w14:textId="669F1680" w:rsidR="00F901C6"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901C6">
                                      <w:rPr>
                                        <w:caps/>
                                        <w:color w:val="4472C4" w:themeColor="accent1"/>
                                        <w:sz w:val="64"/>
                                        <w:szCs w:val="64"/>
                                      </w:rPr>
                                      <w:t>Data warehousing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218F39C" w14:textId="1C56FC8D" w:rsidR="00F901C6" w:rsidRDefault="00F901C6">
                                    <w:pPr>
                                      <w:jc w:val="right"/>
                                      <w:rPr>
                                        <w:smallCaps/>
                                        <w:color w:val="404040" w:themeColor="text1" w:themeTint="BF"/>
                                        <w:sz w:val="36"/>
                                        <w:szCs w:val="36"/>
                                      </w:rPr>
                                    </w:pPr>
                                    <w:r>
                                      <w:rPr>
                                        <w:color w:val="404040" w:themeColor="text1" w:themeTint="BF"/>
                                        <w:sz w:val="36"/>
                                        <w:szCs w:val="36"/>
                                      </w:rPr>
                                      <w:t>Component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D94DC20"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1D060A9" w14:textId="669F1680" w:rsidR="00F901C6"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901C6">
                                <w:rPr>
                                  <w:caps/>
                                  <w:color w:val="4472C4" w:themeColor="accent1"/>
                                  <w:sz w:val="64"/>
                                  <w:szCs w:val="64"/>
                                </w:rPr>
                                <w:t>Data warehousing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218F39C" w14:textId="1C56FC8D" w:rsidR="00F901C6" w:rsidRDefault="00F901C6">
                              <w:pPr>
                                <w:jc w:val="right"/>
                                <w:rPr>
                                  <w:smallCaps/>
                                  <w:color w:val="404040" w:themeColor="text1" w:themeTint="BF"/>
                                  <w:sz w:val="36"/>
                                  <w:szCs w:val="36"/>
                                </w:rPr>
                              </w:pPr>
                              <w:r>
                                <w:rPr>
                                  <w:color w:val="404040" w:themeColor="text1" w:themeTint="BF"/>
                                  <w:sz w:val="36"/>
                                  <w:szCs w:val="36"/>
                                </w:rPr>
                                <w:t>Component 1</w:t>
                              </w:r>
                            </w:p>
                          </w:sdtContent>
                        </w:sdt>
                      </w:txbxContent>
                    </v:textbox>
                    <w10:wrap type="square" anchorx="page" anchory="page"/>
                  </v:shape>
                </w:pict>
              </mc:Fallback>
            </mc:AlternateContent>
          </w:r>
        </w:p>
        <w:p w14:paraId="2D49F345" w14:textId="5E2756DF" w:rsidR="00187091" w:rsidRDefault="00F901C6">
          <w:r>
            <w:rPr>
              <w:noProof/>
            </w:rPr>
            <mc:AlternateContent>
              <mc:Choice Requires="wps">
                <w:drawing>
                  <wp:anchor distT="0" distB="0" distL="114300" distR="114300" simplePos="0" relativeHeight="251661312" behindDoc="0" locked="0" layoutInCell="1" allowOverlap="1" wp14:anchorId="6B492E27" wp14:editId="2E966674">
                    <wp:simplePos x="0" y="0"/>
                    <wp:positionH relativeFrom="page">
                      <wp:posOffset>253365</wp:posOffset>
                    </wp:positionH>
                    <wp:positionV relativeFrom="page">
                      <wp:posOffset>7454265</wp:posOffset>
                    </wp:positionV>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D23C77" w14:textId="6451766A" w:rsidR="00F901C6" w:rsidRPr="002F53A1" w:rsidRDefault="007B1FCC" w:rsidP="00F901C6">
                                <w:pPr>
                                  <w:pStyle w:val="NoSpacing"/>
                                  <w:jc w:val="right"/>
                                  <w:rPr>
                                    <w:color w:val="595959" w:themeColor="text1" w:themeTint="A6"/>
                                    <w:sz w:val="20"/>
                                    <w:szCs w:val="20"/>
                                  </w:rPr>
                                </w:pPr>
                                <w:r>
                                  <w:rPr>
                                    <w:color w:val="595959" w:themeColor="text1" w:themeTint="A6"/>
                                    <w:sz w:val="20"/>
                                    <w:szCs w:val="20"/>
                                  </w:rPr>
                                  <w:t>10</w:t>
                                </w:r>
                                <w:r w:rsidRPr="007B1FCC">
                                  <w:rPr>
                                    <w:color w:val="595959" w:themeColor="text1" w:themeTint="A6"/>
                                    <w:sz w:val="20"/>
                                    <w:szCs w:val="20"/>
                                    <w:vertAlign w:val="superscript"/>
                                  </w:rPr>
                                  <w:t>th</w:t>
                                </w:r>
                                <w:r>
                                  <w:rPr>
                                    <w:color w:val="595959" w:themeColor="text1" w:themeTint="A6"/>
                                    <w:sz w:val="20"/>
                                    <w:szCs w:val="20"/>
                                  </w:rPr>
                                  <w:t xml:space="preserve"> </w:t>
                                </w:r>
                                <w:r w:rsidR="00121028">
                                  <w:rPr>
                                    <w:color w:val="595959" w:themeColor="text1" w:themeTint="A6"/>
                                    <w:sz w:val="20"/>
                                    <w:szCs w:val="20"/>
                                  </w:rPr>
                                  <w:t>July</w:t>
                                </w:r>
                                <w:r w:rsidR="00F901C6" w:rsidRPr="002F53A1">
                                  <w:rPr>
                                    <w:color w:val="595959" w:themeColor="text1" w:themeTint="A6"/>
                                    <w:sz w:val="20"/>
                                    <w:szCs w:val="20"/>
                                  </w:rPr>
                                  <w:t xml:space="preserve"> 202</w:t>
                                </w:r>
                                <w:r w:rsidR="00121028">
                                  <w:rPr>
                                    <w:color w:val="595959" w:themeColor="text1" w:themeTint="A6"/>
                                    <w:sz w:val="20"/>
                                    <w:szCs w:val="20"/>
                                  </w:rPr>
                                  <w:t>6</w:t>
                                </w:r>
                              </w:p>
                              <w:p w14:paraId="1A665682" w14:textId="77777777" w:rsidR="00F901C6" w:rsidRPr="002F53A1" w:rsidRDefault="00F901C6" w:rsidP="00F901C6">
                                <w:pPr>
                                  <w:pStyle w:val="NoSpacing"/>
                                  <w:jc w:val="right"/>
                                  <w:rPr>
                                    <w:color w:val="595959" w:themeColor="text1" w:themeTint="A6"/>
                                    <w:sz w:val="20"/>
                                    <w:szCs w:val="20"/>
                                  </w:rPr>
                                </w:pPr>
                                <w:r w:rsidRPr="002F53A1">
                                  <w:rPr>
                                    <w:color w:val="595959" w:themeColor="text1" w:themeTint="A6"/>
                                    <w:sz w:val="20"/>
                                    <w:szCs w:val="20"/>
                                  </w:rPr>
                                  <w:t>Module Code: ACCA50</w:t>
                                </w:r>
                                <w:r>
                                  <w:rPr>
                                    <w:color w:val="595959" w:themeColor="text1" w:themeTint="A6"/>
                                    <w:sz w:val="20"/>
                                    <w:szCs w:val="20"/>
                                  </w:rPr>
                                  <w:t>2</w:t>
                                </w:r>
                                <w:r w:rsidRPr="002F53A1">
                                  <w:rPr>
                                    <w:color w:val="595959" w:themeColor="text1" w:themeTint="A6"/>
                                    <w:sz w:val="20"/>
                                    <w:szCs w:val="20"/>
                                  </w:rPr>
                                  <w:t>6</w:t>
                                </w:r>
                              </w:p>
                              <w:p w14:paraId="63117252" w14:textId="7D16A92C" w:rsidR="00F901C6" w:rsidRPr="002F53A1" w:rsidRDefault="00F901C6" w:rsidP="00F901C6">
                                <w:pPr>
                                  <w:pStyle w:val="NoSpacing"/>
                                  <w:jc w:val="right"/>
                                  <w:rPr>
                                    <w:color w:val="595959" w:themeColor="text1" w:themeTint="A6"/>
                                    <w:sz w:val="20"/>
                                    <w:szCs w:val="20"/>
                                  </w:rPr>
                                </w:pPr>
                                <w:r w:rsidRPr="002F53A1">
                                  <w:rPr>
                                    <w:color w:val="595959" w:themeColor="text1" w:themeTint="A6"/>
                                    <w:sz w:val="20"/>
                                    <w:szCs w:val="20"/>
                                  </w:rPr>
                                  <w:t xml:space="preserve">Lecturer: </w:t>
                                </w:r>
                                <w:r w:rsidR="007B1FCC">
                                  <w:rPr>
                                    <w:color w:val="595959" w:themeColor="text1" w:themeTint="A6"/>
                                    <w:sz w:val="20"/>
                                    <w:szCs w:val="20"/>
                                  </w:rPr>
                                  <w:t xml:space="preserve">MD </w:t>
                                </w:r>
                                <w:r w:rsidR="007B1FCC" w:rsidRPr="007B1FCC">
                                  <w:rPr>
                                    <w:b/>
                                    <w:bCs/>
                                    <w:color w:val="595959" w:themeColor="text1" w:themeTint="A6"/>
                                    <w:sz w:val="20"/>
                                    <w:szCs w:val="20"/>
                                  </w:rPr>
                                  <w:t xml:space="preserve">Abrar Jahin Almazi </w:t>
                                </w:r>
                                <w:proofErr w:type="spellStart"/>
                                <w:r w:rsidR="007B1FCC" w:rsidRPr="007B1FCC">
                                  <w:rPr>
                                    <w:b/>
                                    <w:bCs/>
                                    <w:color w:val="595959" w:themeColor="text1" w:themeTint="A6"/>
                                    <w:sz w:val="20"/>
                                    <w:szCs w:val="20"/>
                                  </w:rPr>
                                  <w:t>Bipon</w:t>
                                </w:r>
                                <w:proofErr w:type="spellEnd"/>
                              </w:p>
                              <w:sdt>
                                <w:sdtPr>
                                  <w:rPr>
                                    <w:color w:val="595959" w:themeColor="text1" w:themeTint="A6"/>
                                    <w:sz w:val="20"/>
                                    <w:szCs w:val="20"/>
                                  </w:rPr>
                                  <w:alias w:val="Abstract"/>
                                  <w:tag w:val=""/>
                                  <w:id w:val="624735014"/>
                                  <w:showingPlcHdr/>
                                  <w:dataBinding w:prefixMappings="xmlns:ns0='http://schemas.microsoft.com/office/2006/coverPageProps' " w:xpath="/ns0:CoverPageProperties[1]/ns0:Abstract[1]" w:storeItemID="{55AF091B-3C7A-41E3-B477-F2FDAA23CFDA}"/>
                                  <w:text w:multiLine="1"/>
                                </w:sdtPr>
                                <w:sdtContent>
                                  <w:p w14:paraId="2F5B9D5D" w14:textId="77777777" w:rsidR="00F901C6" w:rsidRDefault="00F901C6" w:rsidP="00F901C6">
                                    <w:pPr>
                                      <w:pStyle w:val="NoSpacing"/>
                                      <w:jc w:val="right"/>
                                      <w:rPr>
                                        <w:color w:val="595959" w:themeColor="text1" w:themeTint="A6"/>
                                        <w:sz w:val="20"/>
                                        <w:szCs w:val="20"/>
                                      </w:rPr>
                                    </w:pPr>
                                    <w:r>
                                      <w:rPr>
                                        <w:color w:val="595959" w:themeColor="text1" w:themeTint="A6"/>
                                        <w:sz w:val="20"/>
                                        <w:szCs w:val="20"/>
                                      </w:rPr>
                                      <w:t xml:space="preserve">     </w:t>
                                    </w:r>
                                  </w:p>
                                </w:sdtContent>
                              </w:sd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1F610A2" w14:textId="3FE26367" w:rsidR="00F901C6" w:rsidRDefault="00F901C6">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B492E27" id="Text Box 161" o:spid="_x0000_s1028" type="#_x0000_t202" style="position:absolute;margin-left:19.95pt;margin-top:586.9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" filled="f" stroked="f" strokeweight=".5pt">
                    <v:textbox style="mso-fit-shape-to-text:t" inset="126pt,0,54pt,0">
                      <w:txbxContent>
                        <w:p w14:paraId="16D23C77" w14:textId="6451766A" w:rsidR="00F901C6" w:rsidRPr="002F53A1" w:rsidRDefault="007B1FCC" w:rsidP="00F901C6">
                          <w:pPr>
                            <w:pStyle w:val="NoSpacing"/>
                            <w:jc w:val="right"/>
                            <w:rPr>
                              <w:color w:val="595959" w:themeColor="text1" w:themeTint="A6"/>
                              <w:sz w:val="20"/>
                              <w:szCs w:val="20"/>
                            </w:rPr>
                          </w:pPr>
                          <w:r>
                            <w:rPr>
                              <w:color w:val="595959" w:themeColor="text1" w:themeTint="A6"/>
                              <w:sz w:val="20"/>
                              <w:szCs w:val="20"/>
                            </w:rPr>
                            <w:t>10</w:t>
                          </w:r>
                          <w:r w:rsidRPr="007B1FCC">
                            <w:rPr>
                              <w:color w:val="595959" w:themeColor="text1" w:themeTint="A6"/>
                              <w:sz w:val="20"/>
                              <w:szCs w:val="20"/>
                              <w:vertAlign w:val="superscript"/>
                            </w:rPr>
                            <w:t>th</w:t>
                          </w:r>
                          <w:r>
                            <w:rPr>
                              <w:color w:val="595959" w:themeColor="text1" w:themeTint="A6"/>
                              <w:sz w:val="20"/>
                              <w:szCs w:val="20"/>
                            </w:rPr>
                            <w:t xml:space="preserve"> </w:t>
                          </w:r>
                          <w:r w:rsidR="00121028">
                            <w:rPr>
                              <w:color w:val="595959" w:themeColor="text1" w:themeTint="A6"/>
                              <w:sz w:val="20"/>
                              <w:szCs w:val="20"/>
                            </w:rPr>
                            <w:t>July</w:t>
                          </w:r>
                          <w:r w:rsidR="00F901C6" w:rsidRPr="002F53A1">
                            <w:rPr>
                              <w:color w:val="595959" w:themeColor="text1" w:themeTint="A6"/>
                              <w:sz w:val="20"/>
                              <w:szCs w:val="20"/>
                            </w:rPr>
                            <w:t xml:space="preserve"> 202</w:t>
                          </w:r>
                          <w:r w:rsidR="00121028">
                            <w:rPr>
                              <w:color w:val="595959" w:themeColor="text1" w:themeTint="A6"/>
                              <w:sz w:val="20"/>
                              <w:szCs w:val="20"/>
                            </w:rPr>
                            <w:t>6</w:t>
                          </w:r>
                        </w:p>
                        <w:p w14:paraId="1A665682" w14:textId="77777777" w:rsidR="00F901C6" w:rsidRPr="002F53A1" w:rsidRDefault="00F901C6" w:rsidP="00F901C6">
                          <w:pPr>
                            <w:pStyle w:val="NoSpacing"/>
                            <w:jc w:val="right"/>
                            <w:rPr>
                              <w:color w:val="595959" w:themeColor="text1" w:themeTint="A6"/>
                              <w:sz w:val="20"/>
                              <w:szCs w:val="20"/>
                            </w:rPr>
                          </w:pPr>
                          <w:r w:rsidRPr="002F53A1">
                            <w:rPr>
                              <w:color w:val="595959" w:themeColor="text1" w:themeTint="A6"/>
                              <w:sz w:val="20"/>
                              <w:szCs w:val="20"/>
                            </w:rPr>
                            <w:t>Module Code: ACCA50</w:t>
                          </w:r>
                          <w:r>
                            <w:rPr>
                              <w:color w:val="595959" w:themeColor="text1" w:themeTint="A6"/>
                              <w:sz w:val="20"/>
                              <w:szCs w:val="20"/>
                            </w:rPr>
                            <w:t>2</w:t>
                          </w:r>
                          <w:r w:rsidRPr="002F53A1">
                            <w:rPr>
                              <w:color w:val="595959" w:themeColor="text1" w:themeTint="A6"/>
                              <w:sz w:val="20"/>
                              <w:szCs w:val="20"/>
                            </w:rPr>
                            <w:t>6</w:t>
                          </w:r>
                        </w:p>
                        <w:p w14:paraId="63117252" w14:textId="7D16A92C" w:rsidR="00F901C6" w:rsidRPr="002F53A1" w:rsidRDefault="00F901C6" w:rsidP="00F901C6">
                          <w:pPr>
                            <w:pStyle w:val="NoSpacing"/>
                            <w:jc w:val="right"/>
                            <w:rPr>
                              <w:color w:val="595959" w:themeColor="text1" w:themeTint="A6"/>
                              <w:sz w:val="20"/>
                              <w:szCs w:val="20"/>
                            </w:rPr>
                          </w:pPr>
                          <w:r w:rsidRPr="002F53A1">
                            <w:rPr>
                              <w:color w:val="595959" w:themeColor="text1" w:themeTint="A6"/>
                              <w:sz w:val="20"/>
                              <w:szCs w:val="20"/>
                            </w:rPr>
                            <w:t xml:space="preserve">Lecturer: </w:t>
                          </w:r>
                          <w:r w:rsidR="007B1FCC">
                            <w:rPr>
                              <w:color w:val="595959" w:themeColor="text1" w:themeTint="A6"/>
                              <w:sz w:val="20"/>
                              <w:szCs w:val="20"/>
                            </w:rPr>
                            <w:t xml:space="preserve">MD </w:t>
                          </w:r>
                          <w:r w:rsidR="007B1FCC" w:rsidRPr="007B1FCC">
                            <w:rPr>
                              <w:b/>
                              <w:bCs/>
                              <w:color w:val="595959" w:themeColor="text1" w:themeTint="A6"/>
                              <w:sz w:val="20"/>
                              <w:szCs w:val="20"/>
                            </w:rPr>
                            <w:t xml:space="preserve">Abrar Jahin Almazi </w:t>
                          </w:r>
                          <w:proofErr w:type="spellStart"/>
                          <w:r w:rsidR="007B1FCC" w:rsidRPr="007B1FCC">
                            <w:rPr>
                              <w:b/>
                              <w:bCs/>
                              <w:color w:val="595959" w:themeColor="text1" w:themeTint="A6"/>
                              <w:sz w:val="20"/>
                              <w:szCs w:val="20"/>
                            </w:rPr>
                            <w:t>Bipon</w:t>
                          </w:r>
                          <w:proofErr w:type="spellEnd"/>
                        </w:p>
                        <w:sdt>
                          <w:sdtPr>
                            <w:rPr>
                              <w:color w:val="595959" w:themeColor="text1" w:themeTint="A6"/>
                              <w:sz w:val="20"/>
                              <w:szCs w:val="20"/>
                            </w:rPr>
                            <w:alias w:val="Abstract"/>
                            <w:tag w:val=""/>
                            <w:id w:val="624735014"/>
                            <w:showingPlcHdr/>
                            <w:dataBinding w:prefixMappings="xmlns:ns0='http://schemas.microsoft.com/office/2006/coverPageProps' " w:xpath="/ns0:CoverPageProperties[1]/ns0:Abstract[1]" w:storeItemID="{55AF091B-3C7A-41E3-B477-F2FDAA23CFDA}"/>
                            <w:text w:multiLine="1"/>
                          </w:sdtPr>
                          <w:sdtContent>
                            <w:p w14:paraId="2F5B9D5D" w14:textId="77777777" w:rsidR="00F901C6" w:rsidRDefault="00F901C6" w:rsidP="00F901C6">
                              <w:pPr>
                                <w:pStyle w:val="NoSpacing"/>
                                <w:jc w:val="right"/>
                                <w:rPr>
                                  <w:color w:val="595959" w:themeColor="text1" w:themeTint="A6"/>
                                  <w:sz w:val="20"/>
                                  <w:szCs w:val="20"/>
                                </w:rPr>
                              </w:pPr>
                              <w:r>
                                <w:rPr>
                                  <w:color w:val="595959" w:themeColor="text1" w:themeTint="A6"/>
                                  <w:sz w:val="20"/>
                                  <w:szCs w:val="20"/>
                                </w:rPr>
                                <w:t xml:space="preserve">     </w:t>
                              </w:r>
                            </w:p>
                          </w:sdtContent>
                        </w:sd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1F610A2" w14:textId="3FE26367" w:rsidR="00F901C6" w:rsidRDefault="00F901C6">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br w:type="page"/>
          </w:r>
        </w:p>
      </w:sdtContent>
    </w:sdt>
    <w:p w14:paraId="263C810E" w14:textId="3886D22E" w:rsidR="00187091" w:rsidRDefault="00187091"/>
    <w:sdt>
      <w:sdtPr>
        <w:rPr>
          <w:rFonts w:asciiTheme="minorHAnsi" w:eastAsiaTheme="minorHAnsi" w:hAnsiTheme="minorHAnsi" w:cstheme="minorBidi"/>
          <w:color w:val="auto"/>
          <w:kern w:val="2"/>
          <w:sz w:val="22"/>
          <w:szCs w:val="22"/>
          <w:lang w:eastAsia="en-US"/>
          <w14:ligatures w14:val="standardContextual"/>
        </w:rPr>
        <w:id w:val="-1985378349"/>
        <w:docPartObj>
          <w:docPartGallery w:val="Table of Contents"/>
          <w:docPartUnique/>
        </w:docPartObj>
      </w:sdtPr>
      <w:sdtEndPr>
        <w:rPr>
          <w:b/>
          <w:bCs/>
        </w:rPr>
      </w:sdtEndPr>
      <w:sdtContent>
        <w:p w14:paraId="5FF766FC" w14:textId="316D2FF3" w:rsidR="00EB5A95" w:rsidRDefault="00EB5A95">
          <w:pPr>
            <w:pStyle w:val="TOCHeading"/>
          </w:pPr>
          <w:r>
            <w:t>Contents</w:t>
          </w:r>
        </w:p>
        <w:p w14:paraId="1BCB1D48" w14:textId="7ECC6F63" w:rsidR="00D858A3" w:rsidRDefault="00EB5A9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4506778" w:history="1">
            <w:r w:rsidR="00D858A3" w:rsidRPr="003031B7">
              <w:rPr>
                <w:rStyle w:val="Hyperlink"/>
                <w:noProof/>
              </w:rPr>
              <w:t>Introduction</w:t>
            </w:r>
            <w:r w:rsidR="00D858A3">
              <w:rPr>
                <w:noProof/>
                <w:webHidden/>
              </w:rPr>
              <w:tab/>
            </w:r>
            <w:r w:rsidR="00D858A3">
              <w:rPr>
                <w:noProof/>
                <w:webHidden/>
              </w:rPr>
              <w:fldChar w:fldCharType="begin"/>
            </w:r>
            <w:r w:rsidR="00D858A3">
              <w:rPr>
                <w:noProof/>
                <w:webHidden/>
              </w:rPr>
              <w:instrText xml:space="preserve"> PAGEREF _Toc234506778 \h </w:instrText>
            </w:r>
            <w:r w:rsidR="00D858A3">
              <w:rPr>
                <w:noProof/>
                <w:webHidden/>
              </w:rPr>
            </w:r>
            <w:r w:rsidR="00D858A3">
              <w:rPr>
                <w:noProof/>
                <w:webHidden/>
              </w:rPr>
              <w:fldChar w:fldCharType="separate"/>
            </w:r>
            <w:r w:rsidR="00D858A3">
              <w:rPr>
                <w:noProof/>
                <w:webHidden/>
              </w:rPr>
              <w:t>5</w:t>
            </w:r>
            <w:r w:rsidR="00D858A3">
              <w:rPr>
                <w:noProof/>
                <w:webHidden/>
              </w:rPr>
              <w:fldChar w:fldCharType="end"/>
            </w:r>
          </w:hyperlink>
        </w:p>
        <w:p w14:paraId="5A2F104C" w14:textId="60A4283C" w:rsidR="00D858A3" w:rsidRDefault="00D858A3">
          <w:pPr>
            <w:pStyle w:val="TOC2"/>
            <w:tabs>
              <w:tab w:val="right" w:leader="dot" w:pos="9016"/>
            </w:tabs>
            <w:rPr>
              <w:rFonts w:eastAsiaTheme="minorEastAsia"/>
              <w:noProof/>
              <w:sz w:val="24"/>
              <w:szCs w:val="24"/>
              <w:lang w:eastAsia="en-GB"/>
            </w:rPr>
          </w:pPr>
          <w:hyperlink w:anchor="_Toc234506779" w:history="1">
            <w:r w:rsidRPr="003031B7">
              <w:rPr>
                <w:rStyle w:val="Hyperlink"/>
                <w:noProof/>
              </w:rPr>
              <w:t>TASK  1</w:t>
            </w:r>
            <w:r>
              <w:rPr>
                <w:noProof/>
                <w:webHidden/>
              </w:rPr>
              <w:tab/>
            </w:r>
            <w:r>
              <w:rPr>
                <w:noProof/>
                <w:webHidden/>
              </w:rPr>
              <w:fldChar w:fldCharType="begin"/>
            </w:r>
            <w:r>
              <w:rPr>
                <w:noProof/>
                <w:webHidden/>
              </w:rPr>
              <w:instrText xml:space="preserve"> PAGEREF _Toc234506779 \h </w:instrText>
            </w:r>
            <w:r>
              <w:rPr>
                <w:noProof/>
                <w:webHidden/>
              </w:rPr>
            </w:r>
            <w:r>
              <w:rPr>
                <w:noProof/>
                <w:webHidden/>
              </w:rPr>
              <w:fldChar w:fldCharType="separate"/>
            </w:r>
            <w:r>
              <w:rPr>
                <w:noProof/>
                <w:webHidden/>
              </w:rPr>
              <w:t>6</w:t>
            </w:r>
            <w:r>
              <w:rPr>
                <w:noProof/>
                <w:webHidden/>
              </w:rPr>
              <w:fldChar w:fldCharType="end"/>
            </w:r>
          </w:hyperlink>
        </w:p>
        <w:p w14:paraId="5A9115D7" w14:textId="1D693F5C" w:rsidR="00D858A3" w:rsidRDefault="00D858A3">
          <w:pPr>
            <w:pStyle w:val="TOC3"/>
            <w:tabs>
              <w:tab w:val="right" w:leader="dot" w:pos="9016"/>
            </w:tabs>
            <w:rPr>
              <w:rFonts w:eastAsiaTheme="minorEastAsia"/>
              <w:noProof/>
              <w:sz w:val="24"/>
              <w:szCs w:val="24"/>
              <w:lang w:eastAsia="en-GB"/>
            </w:rPr>
          </w:pPr>
          <w:hyperlink w:anchor="_Toc234506780" w:history="1">
            <w:r w:rsidRPr="003031B7">
              <w:rPr>
                <w:rStyle w:val="Hyperlink"/>
                <w:noProof/>
              </w:rPr>
              <w:t>1.1 OLTP vs Data Warehouse</w:t>
            </w:r>
            <w:r>
              <w:rPr>
                <w:noProof/>
                <w:webHidden/>
              </w:rPr>
              <w:tab/>
            </w:r>
            <w:r>
              <w:rPr>
                <w:noProof/>
                <w:webHidden/>
              </w:rPr>
              <w:fldChar w:fldCharType="begin"/>
            </w:r>
            <w:r>
              <w:rPr>
                <w:noProof/>
                <w:webHidden/>
              </w:rPr>
              <w:instrText xml:space="preserve"> PAGEREF _Toc234506780 \h </w:instrText>
            </w:r>
            <w:r>
              <w:rPr>
                <w:noProof/>
                <w:webHidden/>
              </w:rPr>
            </w:r>
            <w:r>
              <w:rPr>
                <w:noProof/>
                <w:webHidden/>
              </w:rPr>
              <w:fldChar w:fldCharType="separate"/>
            </w:r>
            <w:r>
              <w:rPr>
                <w:noProof/>
                <w:webHidden/>
              </w:rPr>
              <w:t>6</w:t>
            </w:r>
            <w:r>
              <w:rPr>
                <w:noProof/>
                <w:webHidden/>
              </w:rPr>
              <w:fldChar w:fldCharType="end"/>
            </w:r>
          </w:hyperlink>
        </w:p>
        <w:p w14:paraId="0AFFB7F8" w14:textId="301F17EC" w:rsidR="00D858A3" w:rsidRDefault="00D858A3">
          <w:pPr>
            <w:pStyle w:val="TOC3"/>
            <w:tabs>
              <w:tab w:val="right" w:leader="dot" w:pos="9016"/>
            </w:tabs>
            <w:rPr>
              <w:rFonts w:eastAsiaTheme="minorEastAsia"/>
              <w:noProof/>
              <w:sz w:val="24"/>
              <w:szCs w:val="24"/>
              <w:lang w:eastAsia="en-GB"/>
            </w:rPr>
          </w:pPr>
          <w:hyperlink w:anchor="_Toc234506781" w:history="1">
            <w:r w:rsidRPr="003031B7">
              <w:rPr>
                <w:rStyle w:val="Hyperlink"/>
                <w:rFonts w:eastAsia="Times New Roman"/>
                <w:noProof/>
                <w:lang w:eastAsia="en-GB"/>
              </w:rPr>
              <w:t>1.2 Data Warehouse Architecture and ETL</w:t>
            </w:r>
            <w:r>
              <w:rPr>
                <w:noProof/>
                <w:webHidden/>
              </w:rPr>
              <w:tab/>
            </w:r>
            <w:r>
              <w:rPr>
                <w:noProof/>
                <w:webHidden/>
              </w:rPr>
              <w:fldChar w:fldCharType="begin"/>
            </w:r>
            <w:r>
              <w:rPr>
                <w:noProof/>
                <w:webHidden/>
              </w:rPr>
              <w:instrText xml:space="preserve"> PAGEREF _Toc234506781 \h </w:instrText>
            </w:r>
            <w:r>
              <w:rPr>
                <w:noProof/>
                <w:webHidden/>
              </w:rPr>
            </w:r>
            <w:r>
              <w:rPr>
                <w:noProof/>
                <w:webHidden/>
              </w:rPr>
              <w:fldChar w:fldCharType="separate"/>
            </w:r>
            <w:r>
              <w:rPr>
                <w:noProof/>
                <w:webHidden/>
              </w:rPr>
              <w:t>7</w:t>
            </w:r>
            <w:r>
              <w:rPr>
                <w:noProof/>
                <w:webHidden/>
              </w:rPr>
              <w:fldChar w:fldCharType="end"/>
            </w:r>
          </w:hyperlink>
        </w:p>
        <w:p w14:paraId="0F4156ED" w14:textId="09E9FAEE" w:rsidR="00D858A3" w:rsidRDefault="00D858A3">
          <w:pPr>
            <w:pStyle w:val="TOC3"/>
            <w:tabs>
              <w:tab w:val="right" w:leader="dot" w:pos="9016"/>
            </w:tabs>
            <w:rPr>
              <w:rFonts w:eastAsiaTheme="minorEastAsia"/>
              <w:noProof/>
              <w:sz w:val="24"/>
              <w:szCs w:val="24"/>
              <w:lang w:eastAsia="en-GB"/>
            </w:rPr>
          </w:pPr>
          <w:hyperlink w:anchor="_Toc234506782" w:history="1">
            <w:r w:rsidRPr="003031B7">
              <w:rPr>
                <w:rStyle w:val="Hyperlink"/>
                <w:noProof/>
              </w:rPr>
              <w:t>1.3 Data Marts for Management Decision-Making</w:t>
            </w:r>
            <w:r>
              <w:rPr>
                <w:noProof/>
                <w:webHidden/>
              </w:rPr>
              <w:tab/>
            </w:r>
            <w:r>
              <w:rPr>
                <w:noProof/>
                <w:webHidden/>
              </w:rPr>
              <w:fldChar w:fldCharType="begin"/>
            </w:r>
            <w:r>
              <w:rPr>
                <w:noProof/>
                <w:webHidden/>
              </w:rPr>
              <w:instrText xml:space="preserve"> PAGEREF _Toc234506782 \h </w:instrText>
            </w:r>
            <w:r>
              <w:rPr>
                <w:noProof/>
                <w:webHidden/>
              </w:rPr>
            </w:r>
            <w:r>
              <w:rPr>
                <w:noProof/>
                <w:webHidden/>
              </w:rPr>
              <w:fldChar w:fldCharType="separate"/>
            </w:r>
            <w:r>
              <w:rPr>
                <w:noProof/>
                <w:webHidden/>
              </w:rPr>
              <w:t>8</w:t>
            </w:r>
            <w:r>
              <w:rPr>
                <w:noProof/>
                <w:webHidden/>
              </w:rPr>
              <w:fldChar w:fldCharType="end"/>
            </w:r>
          </w:hyperlink>
        </w:p>
        <w:p w14:paraId="58B06D8E" w14:textId="371CAD3F" w:rsidR="00D858A3" w:rsidRDefault="00D858A3">
          <w:pPr>
            <w:pStyle w:val="TOC3"/>
            <w:tabs>
              <w:tab w:val="right" w:leader="dot" w:pos="9016"/>
            </w:tabs>
            <w:rPr>
              <w:rFonts w:eastAsiaTheme="minorEastAsia"/>
              <w:noProof/>
              <w:sz w:val="24"/>
              <w:szCs w:val="24"/>
              <w:lang w:eastAsia="en-GB"/>
            </w:rPr>
          </w:pPr>
          <w:hyperlink w:anchor="_Toc234506783" w:history="1">
            <w:r w:rsidRPr="003031B7">
              <w:rPr>
                <w:rStyle w:val="Hyperlink"/>
                <w:noProof/>
              </w:rPr>
              <w:t>1.4 OLTP Normalisation vs. Data Warehouse Dimensional Modelling</w:t>
            </w:r>
            <w:r>
              <w:rPr>
                <w:noProof/>
                <w:webHidden/>
              </w:rPr>
              <w:tab/>
            </w:r>
            <w:r>
              <w:rPr>
                <w:noProof/>
                <w:webHidden/>
              </w:rPr>
              <w:fldChar w:fldCharType="begin"/>
            </w:r>
            <w:r>
              <w:rPr>
                <w:noProof/>
                <w:webHidden/>
              </w:rPr>
              <w:instrText xml:space="preserve"> PAGEREF _Toc234506783 \h </w:instrText>
            </w:r>
            <w:r>
              <w:rPr>
                <w:noProof/>
                <w:webHidden/>
              </w:rPr>
            </w:r>
            <w:r>
              <w:rPr>
                <w:noProof/>
                <w:webHidden/>
              </w:rPr>
              <w:fldChar w:fldCharType="separate"/>
            </w:r>
            <w:r>
              <w:rPr>
                <w:noProof/>
                <w:webHidden/>
              </w:rPr>
              <w:t>9</w:t>
            </w:r>
            <w:r>
              <w:rPr>
                <w:noProof/>
                <w:webHidden/>
              </w:rPr>
              <w:fldChar w:fldCharType="end"/>
            </w:r>
          </w:hyperlink>
        </w:p>
        <w:p w14:paraId="0367C7EB" w14:textId="449FF212" w:rsidR="00D858A3" w:rsidRDefault="00D858A3">
          <w:pPr>
            <w:pStyle w:val="TOC2"/>
            <w:tabs>
              <w:tab w:val="right" w:leader="dot" w:pos="9016"/>
            </w:tabs>
            <w:rPr>
              <w:rFonts w:eastAsiaTheme="minorEastAsia"/>
              <w:noProof/>
              <w:sz w:val="24"/>
              <w:szCs w:val="24"/>
              <w:lang w:eastAsia="en-GB"/>
            </w:rPr>
          </w:pPr>
          <w:hyperlink w:anchor="_Toc234506784" w:history="1">
            <w:r w:rsidRPr="003031B7">
              <w:rPr>
                <w:rStyle w:val="Hyperlink"/>
                <w:noProof/>
              </w:rPr>
              <w:t>TASK 2</w:t>
            </w:r>
            <w:r>
              <w:rPr>
                <w:noProof/>
                <w:webHidden/>
              </w:rPr>
              <w:tab/>
            </w:r>
            <w:r>
              <w:rPr>
                <w:noProof/>
                <w:webHidden/>
              </w:rPr>
              <w:fldChar w:fldCharType="begin"/>
            </w:r>
            <w:r>
              <w:rPr>
                <w:noProof/>
                <w:webHidden/>
              </w:rPr>
              <w:instrText xml:space="preserve"> PAGEREF _Toc234506784 \h </w:instrText>
            </w:r>
            <w:r>
              <w:rPr>
                <w:noProof/>
                <w:webHidden/>
              </w:rPr>
            </w:r>
            <w:r>
              <w:rPr>
                <w:noProof/>
                <w:webHidden/>
              </w:rPr>
              <w:fldChar w:fldCharType="separate"/>
            </w:r>
            <w:r>
              <w:rPr>
                <w:noProof/>
                <w:webHidden/>
              </w:rPr>
              <w:t>10</w:t>
            </w:r>
            <w:r>
              <w:rPr>
                <w:noProof/>
                <w:webHidden/>
              </w:rPr>
              <w:fldChar w:fldCharType="end"/>
            </w:r>
          </w:hyperlink>
        </w:p>
        <w:p w14:paraId="3F6D21FE" w14:textId="44A86ED3" w:rsidR="00D858A3" w:rsidRDefault="00D858A3">
          <w:pPr>
            <w:pStyle w:val="TOC3"/>
            <w:tabs>
              <w:tab w:val="right" w:leader="dot" w:pos="9016"/>
            </w:tabs>
            <w:rPr>
              <w:rFonts w:eastAsiaTheme="minorEastAsia"/>
              <w:noProof/>
              <w:sz w:val="24"/>
              <w:szCs w:val="24"/>
              <w:lang w:eastAsia="en-GB"/>
            </w:rPr>
          </w:pPr>
          <w:hyperlink w:anchor="_Toc234506785" w:history="1">
            <w:r w:rsidRPr="003031B7">
              <w:rPr>
                <w:rStyle w:val="Hyperlink"/>
                <w:noProof/>
              </w:rPr>
              <w:t>2.1 Source System Identification</w:t>
            </w:r>
            <w:r>
              <w:rPr>
                <w:noProof/>
                <w:webHidden/>
              </w:rPr>
              <w:tab/>
            </w:r>
            <w:r>
              <w:rPr>
                <w:noProof/>
                <w:webHidden/>
              </w:rPr>
              <w:fldChar w:fldCharType="begin"/>
            </w:r>
            <w:r>
              <w:rPr>
                <w:noProof/>
                <w:webHidden/>
              </w:rPr>
              <w:instrText xml:space="preserve"> PAGEREF _Toc234506785 \h </w:instrText>
            </w:r>
            <w:r>
              <w:rPr>
                <w:noProof/>
                <w:webHidden/>
              </w:rPr>
            </w:r>
            <w:r>
              <w:rPr>
                <w:noProof/>
                <w:webHidden/>
              </w:rPr>
              <w:fldChar w:fldCharType="separate"/>
            </w:r>
            <w:r>
              <w:rPr>
                <w:noProof/>
                <w:webHidden/>
              </w:rPr>
              <w:t>10</w:t>
            </w:r>
            <w:r>
              <w:rPr>
                <w:noProof/>
                <w:webHidden/>
              </w:rPr>
              <w:fldChar w:fldCharType="end"/>
            </w:r>
          </w:hyperlink>
        </w:p>
        <w:p w14:paraId="58BDD9C6" w14:textId="654CC34F" w:rsidR="00D858A3" w:rsidRDefault="00D858A3">
          <w:pPr>
            <w:pStyle w:val="TOC3"/>
            <w:tabs>
              <w:tab w:val="right" w:leader="dot" w:pos="9016"/>
            </w:tabs>
            <w:rPr>
              <w:rFonts w:eastAsiaTheme="minorEastAsia"/>
              <w:noProof/>
              <w:sz w:val="24"/>
              <w:szCs w:val="24"/>
              <w:lang w:eastAsia="en-GB"/>
            </w:rPr>
          </w:pPr>
          <w:hyperlink w:anchor="_Toc234506786" w:history="1">
            <w:r w:rsidRPr="003031B7">
              <w:rPr>
                <w:rStyle w:val="Hyperlink"/>
                <w:noProof/>
              </w:rPr>
              <w:t>2.2 Star Schema Design</w:t>
            </w:r>
            <w:r>
              <w:rPr>
                <w:noProof/>
                <w:webHidden/>
              </w:rPr>
              <w:tab/>
            </w:r>
            <w:r>
              <w:rPr>
                <w:noProof/>
                <w:webHidden/>
              </w:rPr>
              <w:fldChar w:fldCharType="begin"/>
            </w:r>
            <w:r>
              <w:rPr>
                <w:noProof/>
                <w:webHidden/>
              </w:rPr>
              <w:instrText xml:space="preserve"> PAGEREF _Toc234506786 \h </w:instrText>
            </w:r>
            <w:r>
              <w:rPr>
                <w:noProof/>
                <w:webHidden/>
              </w:rPr>
            </w:r>
            <w:r>
              <w:rPr>
                <w:noProof/>
                <w:webHidden/>
              </w:rPr>
              <w:fldChar w:fldCharType="separate"/>
            </w:r>
            <w:r>
              <w:rPr>
                <w:noProof/>
                <w:webHidden/>
              </w:rPr>
              <w:t>10</w:t>
            </w:r>
            <w:r>
              <w:rPr>
                <w:noProof/>
                <w:webHidden/>
              </w:rPr>
              <w:fldChar w:fldCharType="end"/>
            </w:r>
          </w:hyperlink>
        </w:p>
        <w:p w14:paraId="06586C3B" w14:textId="522D2B82" w:rsidR="00D858A3" w:rsidRDefault="00D858A3">
          <w:pPr>
            <w:pStyle w:val="TOC3"/>
            <w:tabs>
              <w:tab w:val="right" w:leader="dot" w:pos="9016"/>
            </w:tabs>
            <w:rPr>
              <w:rFonts w:eastAsiaTheme="minorEastAsia"/>
              <w:noProof/>
              <w:sz w:val="24"/>
              <w:szCs w:val="24"/>
              <w:lang w:eastAsia="en-GB"/>
            </w:rPr>
          </w:pPr>
          <w:hyperlink w:anchor="_Toc234506787" w:history="1">
            <w:r w:rsidRPr="003031B7">
              <w:rPr>
                <w:rStyle w:val="Hyperlink"/>
                <w:noProof/>
              </w:rPr>
              <w:t>2.3 Data Marts and Schema</w:t>
            </w:r>
            <w:r>
              <w:rPr>
                <w:noProof/>
                <w:webHidden/>
              </w:rPr>
              <w:tab/>
            </w:r>
            <w:r>
              <w:rPr>
                <w:noProof/>
                <w:webHidden/>
              </w:rPr>
              <w:fldChar w:fldCharType="begin"/>
            </w:r>
            <w:r>
              <w:rPr>
                <w:noProof/>
                <w:webHidden/>
              </w:rPr>
              <w:instrText xml:space="preserve"> PAGEREF _Toc234506787 \h </w:instrText>
            </w:r>
            <w:r>
              <w:rPr>
                <w:noProof/>
                <w:webHidden/>
              </w:rPr>
            </w:r>
            <w:r>
              <w:rPr>
                <w:noProof/>
                <w:webHidden/>
              </w:rPr>
              <w:fldChar w:fldCharType="separate"/>
            </w:r>
            <w:r>
              <w:rPr>
                <w:noProof/>
                <w:webHidden/>
              </w:rPr>
              <w:t>13</w:t>
            </w:r>
            <w:r>
              <w:rPr>
                <w:noProof/>
                <w:webHidden/>
              </w:rPr>
              <w:fldChar w:fldCharType="end"/>
            </w:r>
          </w:hyperlink>
        </w:p>
        <w:p w14:paraId="093CCB1C" w14:textId="3596825E" w:rsidR="00D858A3" w:rsidRDefault="00D858A3">
          <w:pPr>
            <w:pStyle w:val="TOC3"/>
            <w:tabs>
              <w:tab w:val="right" w:leader="dot" w:pos="9016"/>
            </w:tabs>
            <w:rPr>
              <w:rFonts w:eastAsiaTheme="minorEastAsia"/>
              <w:noProof/>
              <w:sz w:val="24"/>
              <w:szCs w:val="24"/>
              <w:lang w:eastAsia="en-GB"/>
            </w:rPr>
          </w:pPr>
          <w:hyperlink w:anchor="_Toc234506788" w:history="1">
            <w:r w:rsidRPr="003031B7">
              <w:rPr>
                <w:rStyle w:val="Hyperlink"/>
                <w:noProof/>
              </w:rPr>
              <w:t>2.4 ETL Plan</w:t>
            </w:r>
            <w:r>
              <w:rPr>
                <w:noProof/>
                <w:webHidden/>
              </w:rPr>
              <w:tab/>
            </w:r>
            <w:r>
              <w:rPr>
                <w:noProof/>
                <w:webHidden/>
              </w:rPr>
              <w:fldChar w:fldCharType="begin"/>
            </w:r>
            <w:r>
              <w:rPr>
                <w:noProof/>
                <w:webHidden/>
              </w:rPr>
              <w:instrText xml:space="preserve"> PAGEREF _Toc234506788 \h </w:instrText>
            </w:r>
            <w:r>
              <w:rPr>
                <w:noProof/>
                <w:webHidden/>
              </w:rPr>
            </w:r>
            <w:r>
              <w:rPr>
                <w:noProof/>
                <w:webHidden/>
              </w:rPr>
              <w:fldChar w:fldCharType="separate"/>
            </w:r>
            <w:r>
              <w:rPr>
                <w:noProof/>
                <w:webHidden/>
              </w:rPr>
              <w:t>14</w:t>
            </w:r>
            <w:r>
              <w:rPr>
                <w:noProof/>
                <w:webHidden/>
              </w:rPr>
              <w:fldChar w:fldCharType="end"/>
            </w:r>
          </w:hyperlink>
        </w:p>
        <w:p w14:paraId="7C48A312" w14:textId="1F430720" w:rsidR="00D858A3" w:rsidRDefault="00D858A3">
          <w:pPr>
            <w:pStyle w:val="TOC3"/>
            <w:tabs>
              <w:tab w:val="right" w:leader="dot" w:pos="9016"/>
            </w:tabs>
            <w:rPr>
              <w:rFonts w:eastAsiaTheme="minorEastAsia"/>
              <w:noProof/>
              <w:sz w:val="24"/>
              <w:szCs w:val="24"/>
              <w:lang w:eastAsia="en-GB"/>
            </w:rPr>
          </w:pPr>
          <w:hyperlink w:anchor="_Toc234506789" w:history="1">
            <w:r w:rsidRPr="003031B7">
              <w:rPr>
                <w:rStyle w:val="Hyperlink"/>
                <w:rFonts w:eastAsia="Aptos"/>
                <w:noProof/>
              </w:rPr>
              <w:t>2.5 Data Quality and Governance</w:t>
            </w:r>
            <w:r>
              <w:rPr>
                <w:noProof/>
                <w:webHidden/>
              </w:rPr>
              <w:tab/>
            </w:r>
            <w:r>
              <w:rPr>
                <w:noProof/>
                <w:webHidden/>
              </w:rPr>
              <w:fldChar w:fldCharType="begin"/>
            </w:r>
            <w:r>
              <w:rPr>
                <w:noProof/>
                <w:webHidden/>
              </w:rPr>
              <w:instrText xml:space="preserve"> PAGEREF _Toc234506789 \h </w:instrText>
            </w:r>
            <w:r>
              <w:rPr>
                <w:noProof/>
                <w:webHidden/>
              </w:rPr>
            </w:r>
            <w:r>
              <w:rPr>
                <w:noProof/>
                <w:webHidden/>
              </w:rPr>
              <w:fldChar w:fldCharType="separate"/>
            </w:r>
            <w:r>
              <w:rPr>
                <w:noProof/>
                <w:webHidden/>
              </w:rPr>
              <w:t>14</w:t>
            </w:r>
            <w:r>
              <w:rPr>
                <w:noProof/>
                <w:webHidden/>
              </w:rPr>
              <w:fldChar w:fldCharType="end"/>
            </w:r>
          </w:hyperlink>
        </w:p>
        <w:p w14:paraId="09A4E8B2" w14:textId="4A11591E" w:rsidR="00D858A3" w:rsidRDefault="00D858A3">
          <w:pPr>
            <w:pStyle w:val="TOC3"/>
            <w:tabs>
              <w:tab w:val="right" w:leader="dot" w:pos="9016"/>
            </w:tabs>
            <w:rPr>
              <w:rFonts w:eastAsiaTheme="minorEastAsia"/>
              <w:noProof/>
              <w:sz w:val="24"/>
              <w:szCs w:val="24"/>
              <w:lang w:eastAsia="en-GB"/>
            </w:rPr>
          </w:pPr>
          <w:hyperlink w:anchor="_Toc234506790" w:history="1">
            <w:r w:rsidRPr="003031B7">
              <w:rPr>
                <w:rStyle w:val="Hyperlink"/>
                <w:rFonts w:eastAsia="Aptos"/>
                <w:noProof/>
              </w:rPr>
              <w:t>Conclusion</w:t>
            </w:r>
            <w:r>
              <w:rPr>
                <w:noProof/>
                <w:webHidden/>
              </w:rPr>
              <w:tab/>
            </w:r>
            <w:r>
              <w:rPr>
                <w:noProof/>
                <w:webHidden/>
              </w:rPr>
              <w:fldChar w:fldCharType="begin"/>
            </w:r>
            <w:r>
              <w:rPr>
                <w:noProof/>
                <w:webHidden/>
              </w:rPr>
              <w:instrText xml:space="preserve"> PAGEREF _Toc234506790 \h </w:instrText>
            </w:r>
            <w:r>
              <w:rPr>
                <w:noProof/>
                <w:webHidden/>
              </w:rPr>
            </w:r>
            <w:r>
              <w:rPr>
                <w:noProof/>
                <w:webHidden/>
              </w:rPr>
              <w:fldChar w:fldCharType="separate"/>
            </w:r>
            <w:r>
              <w:rPr>
                <w:noProof/>
                <w:webHidden/>
              </w:rPr>
              <w:t>15</w:t>
            </w:r>
            <w:r>
              <w:rPr>
                <w:noProof/>
                <w:webHidden/>
              </w:rPr>
              <w:fldChar w:fldCharType="end"/>
            </w:r>
          </w:hyperlink>
        </w:p>
        <w:p w14:paraId="167FB195" w14:textId="60C8BE1B" w:rsidR="00D858A3" w:rsidRDefault="00D858A3">
          <w:pPr>
            <w:pStyle w:val="TOC1"/>
            <w:tabs>
              <w:tab w:val="right" w:leader="dot" w:pos="9016"/>
            </w:tabs>
            <w:rPr>
              <w:rFonts w:eastAsiaTheme="minorEastAsia"/>
              <w:noProof/>
              <w:sz w:val="24"/>
              <w:szCs w:val="24"/>
              <w:lang w:eastAsia="en-GB"/>
            </w:rPr>
          </w:pPr>
          <w:hyperlink w:anchor="_Toc234506791" w:history="1">
            <w:r w:rsidRPr="003031B7">
              <w:rPr>
                <w:rStyle w:val="Hyperlink"/>
                <w:noProof/>
              </w:rPr>
              <w:t>Bibliography</w:t>
            </w:r>
            <w:r>
              <w:rPr>
                <w:noProof/>
                <w:webHidden/>
              </w:rPr>
              <w:tab/>
            </w:r>
            <w:r>
              <w:rPr>
                <w:noProof/>
                <w:webHidden/>
              </w:rPr>
              <w:fldChar w:fldCharType="begin"/>
            </w:r>
            <w:r>
              <w:rPr>
                <w:noProof/>
                <w:webHidden/>
              </w:rPr>
              <w:instrText xml:space="preserve"> PAGEREF _Toc234506791 \h </w:instrText>
            </w:r>
            <w:r>
              <w:rPr>
                <w:noProof/>
                <w:webHidden/>
              </w:rPr>
            </w:r>
            <w:r>
              <w:rPr>
                <w:noProof/>
                <w:webHidden/>
              </w:rPr>
              <w:fldChar w:fldCharType="separate"/>
            </w:r>
            <w:r>
              <w:rPr>
                <w:noProof/>
                <w:webHidden/>
              </w:rPr>
              <w:t>16</w:t>
            </w:r>
            <w:r>
              <w:rPr>
                <w:noProof/>
                <w:webHidden/>
              </w:rPr>
              <w:fldChar w:fldCharType="end"/>
            </w:r>
          </w:hyperlink>
        </w:p>
        <w:p w14:paraId="3136B6ED" w14:textId="3BCC6E75" w:rsidR="00EB5A95" w:rsidRDefault="00EB5A95">
          <w:r>
            <w:rPr>
              <w:b/>
              <w:bCs/>
            </w:rPr>
            <w:fldChar w:fldCharType="end"/>
          </w:r>
        </w:p>
      </w:sdtContent>
    </w:sdt>
    <w:p w14:paraId="78EAAE22" w14:textId="1E1C9512" w:rsidR="00187091" w:rsidRDefault="00187091"/>
    <w:p w14:paraId="448EFA0A" w14:textId="7779C87B" w:rsidR="00121028" w:rsidRDefault="00121028" w:rsidP="00121028"/>
    <w:p w14:paraId="433B0206" w14:textId="27535FCD" w:rsidR="00121028" w:rsidRPr="00121028" w:rsidRDefault="000E69CC" w:rsidP="00121028">
      <w:r w:rsidRPr="00121028">
        <w:br w:type="page"/>
      </w:r>
      <w:r w:rsidR="00121028">
        <w:lastRenderedPageBreak/>
        <w:fldChar w:fldCharType="begin"/>
      </w:r>
      <w:r w:rsidR="00121028">
        <w:instrText xml:space="preserve"> TOC \h \z \c "Figure" </w:instrText>
      </w:r>
      <w:r w:rsidR="00121028">
        <w:fldChar w:fldCharType="separate"/>
      </w:r>
      <w:hyperlink w:anchor="_Toc234506900" w:history="1">
        <w:r w:rsidR="00121028" w:rsidRPr="00423F02">
          <w:rPr>
            <w:rStyle w:val="Hyperlink"/>
            <w:noProof/>
          </w:rPr>
          <w:t>Figure 1 - Comparison Between OLTP Systems and Data Warehouse in NHS England</w:t>
        </w:r>
        <w:r w:rsidR="00121028">
          <w:rPr>
            <w:noProof/>
            <w:webHidden/>
          </w:rPr>
          <w:tab/>
        </w:r>
        <w:r w:rsidR="00121028">
          <w:rPr>
            <w:noProof/>
            <w:webHidden/>
          </w:rPr>
          <w:fldChar w:fldCharType="begin"/>
        </w:r>
        <w:r w:rsidR="00121028">
          <w:rPr>
            <w:noProof/>
            <w:webHidden/>
          </w:rPr>
          <w:instrText xml:space="preserve"> PAGEREF _Toc234506900 \h </w:instrText>
        </w:r>
        <w:r w:rsidR="00121028">
          <w:rPr>
            <w:noProof/>
            <w:webHidden/>
          </w:rPr>
        </w:r>
        <w:r w:rsidR="00121028">
          <w:rPr>
            <w:noProof/>
            <w:webHidden/>
          </w:rPr>
          <w:fldChar w:fldCharType="separate"/>
        </w:r>
        <w:r w:rsidR="00121028">
          <w:rPr>
            <w:noProof/>
            <w:webHidden/>
          </w:rPr>
          <w:t>6</w:t>
        </w:r>
        <w:r w:rsidR="00121028">
          <w:rPr>
            <w:noProof/>
            <w:webHidden/>
          </w:rPr>
          <w:fldChar w:fldCharType="end"/>
        </w:r>
      </w:hyperlink>
    </w:p>
    <w:p w14:paraId="49C969C2" w14:textId="1C84A47C" w:rsidR="00121028" w:rsidRDefault="00121028">
      <w:pPr>
        <w:pStyle w:val="TableofFigures"/>
        <w:tabs>
          <w:tab w:val="right" w:leader="dot" w:pos="9016"/>
        </w:tabs>
        <w:rPr>
          <w:rFonts w:eastAsiaTheme="minorEastAsia"/>
          <w:noProof/>
          <w:sz w:val="24"/>
          <w:szCs w:val="24"/>
          <w:lang w:eastAsia="en-GB"/>
        </w:rPr>
      </w:pPr>
      <w:hyperlink w:anchor="_Toc234506901" w:history="1">
        <w:r w:rsidRPr="00423F02">
          <w:rPr>
            <w:rStyle w:val="Hyperlink"/>
            <w:noProof/>
          </w:rPr>
          <w:t>Figure 2 - NHS Data Warehouse Architecture</w:t>
        </w:r>
        <w:r>
          <w:rPr>
            <w:noProof/>
            <w:webHidden/>
          </w:rPr>
          <w:tab/>
        </w:r>
        <w:r>
          <w:rPr>
            <w:noProof/>
            <w:webHidden/>
          </w:rPr>
          <w:fldChar w:fldCharType="begin"/>
        </w:r>
        <w:r>
          <w:rPr>
            <w:noProof/>
            <w:webHidden/>
          </w:rPr>
          <w:instrText xml:space="preserve"> PAGEREF _Toc234506901 \h </w:instrText>
        </w:r>
        <w:r>
          <w:rPr>
            <w:noProof/>
            <w:webHidden/>
          </w:rPr>
        </w:r>
        <w:r>
          <w:rPr>
            <w:noProof/>
            <w:webHidden/>
          </w:rPr>
          <w:fldChar w:fldCharType="separate"/>
        </w:r>
        <w:r>
          <w:rPr>
            <w:noProof/>
            <w:webHidden/>
          </w:rPr>
          <w:t>7</w:t>
        </w:r>
        <w:r>
          <w:rPr>
            <w:noProof/>
            <w:webHidden/>
          </w:rPr>
          <w:fldChar w:fldCharType="end"/>
        </w:r>
      </w:hyperlink>
    </w:p>
    <w:p w14:paraId="4EEB1F8D" w14:textId="498619E9" w:rsidR="00121028" w:rsidRDefault="00121028">
      <w:pPr>
        <w:pStyle w:val="TableofFigures"/>
        <w:tabs>
          <w:tab w:val="right" w:leader="dot" w:pos="9016"/>
        </w:tabs>
        <w:rPr>
          <w:rFonts w:eastAsiaTheme="minorEastAsia"/>
          <w:noProof/>
          <w:sz w:val="24"/>
          <w:szCs w:val="24"/>
          <w:lang w:eastAsia="en-GB"/>
        </w:rPr>
      </w:pPr>
      <w:hyperlink w:anchor="_Toc234506902" w:history="1">
        <w:r w:rsidRPr="00423F02">
          <w:rPr>
            <w:rStyle w:val="Hyperlink"/>
            <w:noProof/>
          </w:rPr>
          <w:t>Figure 3- Simplified ETL Process</w:t>
        </w:r>
        <w:r>
          <w:rPr>
            <w:noProof/>
            <w:webHidden/>
          </w:rPr>
          <w:tab/>
        </w:r>
        <w:r>
          <w:rPr>
            <w:noProof/>
            <w:webHidden/>
          </w:rPr>
          <w:fldChar w:fldCharType="begin"/>
        </w:r>
        <w:r>
          <w:rPr>
            <w:noProof/>
            <w:webHidden/>
          </w:rPr>
          <w:instrText xml:space="preserve"> PAGEREF _Toc234506902 \h </w:instrText>
        </w:r>
        <w:r>
          <w:rPr>
            <w:noProof/>
            <w:webHidden/>
          </w:rPr>
        </w:r>
        <w:r>
          <w:rPr>
            <w:noProof/>
            <w:webHidden/>
          </w:rPr>
          <w:fldChar w:fldCharType="separate"/>
        </w:r>
        <w:r>
          <w:rPr>
            <w:noProof/>
            <w:webHidden/>
          </w:rPr>
          <w:t>8</w:t>
        </w:r>
        <w:r>
          <w:rPr>
            <w:noProof/>
            <w:webHidden/>
          </w:rPr>
          <w:fldChar w:fldCharType="end"/>
        </w:r>
      </w:hyperlink>
    </w:p>
    <w:p w14:paraId="2D264987" w14:textId="7281708A" w:rsidR="00121028" w:rsidRDefault="00121028">
      <w:pPr>
        <w:pStyle w:val="TableofFigures"/>
        <w:tabs>
          <w:tab w:val="right" w:leader="dot" w:pos="9016"/>
        </w:tabs>
        <w:rPr>
          <w:rFonts w:eastAsiaTheme="minorEastAsia"/>
          <w:noProof/>
          <w:sz w:val="24"/>
          <w:szCs w:val="24"/>
          <w:lang w:eastAsia="en-GB"/>
        </w:rPr>
      </w:pPr>
      <w:hyperlink w:anchor="_Toc234506903" w:history="1">
        <w:r w:rsidRPr="00423F02">
          <w:rPr>
            <w:rStyle w:val="Hyperlink"/>
            <w:noProof/>
          </w:rPr>
          <w:t>Figure 4- Proposed NHS England Data Marts for Senior Management Decision-Making</w:t>
        </w:r>
        <w:r>
          <w:rPr>
            <w:noProof/>
            <w:webHidden/>
          </w:rPr>
          <w:tab/>
        </w:r>
        <w:r>
          <w:rPr>
            <w:noProof/>
            <w:webHidden/>
          </w:rPr>
          <w:fldChar w:fldCharType="begin"/>
        </w:r>
        <w:r>
          <w:rPr>
            <w:noProof/>
            <w:webHidden/>
          </w:rPr>
          <w:instrText xml:space="preserve"> PAGEREF _Toc234506903 \h </w:instrText>
        </w:r>
        <w:r>
          <w:rPr>
            <w:noProof/>
            <w:webHidden/>
          </w:rPr>
        </w:r>
        <w:r>
          <w:rPr>
            <w:noProof/>
            <w:webHidden/>
          </w:rPr>
          <w:fldChar w:fldCharType="separate"/>
        </w:r>
        <w:r>
          <w:rPr>
            <w:noProof/>
            <w:webHidden/>
          </w:rPr>
          <w:t>9</w:t>
        </w:r>
        <w:r>
          <w:rPr>
            <w:noProof/>
            <w:webHidden/>
          </w:rPr>
          <w:fldChar w:fldCharType="end"/>
        </w:r>
      </w:hyperlink>
    </w:p>
    <w:p w14:paraId="30DF89B3" w14:textId="795BEA60" w:rsidR="00121028" w:rsidRDefault="00121028">
      <w:pPr>
        <w:pStyle w:val="TableofFigures"/>
        <w:tabs>
          <w:tab w:val="right" w:leader="dot" w:pos="9016"/>
        </w:tabs>
        <w:rPr>
          <w:rFonts w:eastAsiaTheme="minorEastAsia"/>
          <w:noProof/>
          <w:sz w:val="24"/>
          <w:szCs w:val="24"/>
          <w:lang w:eastAsia="en-GB"/>
        </w:rPr>
      </w:pPr>
      <w:hyperlink w:anchor="_Toc234506904" w:history="1">
        <w:r w:rsidRPr="00423F02">
          <w:rPr>
            <w:rStyle w:val="Hyperlink"/>
            <w:noProof/>
          </w:rPr>
          <w:t>Figure 5- Star Schema for NHS Patient Activity</w:t>
        </w:r>
        <w:r>
          <w:rPr>
            <w:noProof/>
            <w:webHidden/>
          </w:rPr>
          <w:tab/>
        </w:r>
        <w:r>
          <w:rPr>
            <w:noProof/>
            <w:webHidden/>
          </w:rPr>
          <w:fldChar w:fldCharType="begin"/>
        </w:r>
        <w:r>
          <w:rPr>
            <w:noProof/>
            <w:webHidden/>
          </w:rPr>
          <w:instrText xml:space="preserve"> PAGEREF _Toc234506904 \h </w:instrText>
        </w:r>
        <w:r>
          <w:rPr>
            <w:noProof/>
            <w:webHidden/>
          </w:rPr>
        </w:r>
        <w:r>
          <w:rPr>
            <w:noProof/>
            <w:webHidden/>
          </w:rPr>
          <w:fldChar w:fldCharType="separate"/>
        </w:r>
        <w:r>
          <w:rPr>
            <w:noProof/>
            <w:webHidden/>
          </w:rPr>
          <w:t>10</w:t>
        </w:r>
        <w:r>
          <w:rPr>
            <w:noProof/>
            <w:webHidden/>
          </w:rPr>
          <w:fldChar w:fldCharType="end"/>
        </w:r>
      </w:hyperlink>
    </w:p>
    <w:p w14:paraId="0AB260B6" w14:textId="3C4328D0" w:rsidR="00121028" w:rsidRDefault="00121028">
      <w:pPr>
        <w:pStyle w:val="TableofFigures"/>
        <w:tabs>
          <w:tab w:val="right" w:leader="dot" w:pos="9016"/>
        </w:tabs>
        <w:rPr>
          <w:rFonts w:eastAsiaTheme="minorEastAsia"/>
          <w:noProof/>
          <w:sz w:val="24"/>
          <w:szCs w:val="24"/>
          <w:lang w:eastAsia="en-GB"/>
        </w:rPr>
      </w:pPr>
      <w:hyperlink w:anchor="_Toc234506905" w:history="1">
        <w:r w:rsidRPr="00423F02">
          <w:rPr>
            <w:rStyle w:val="Hyperlink"/>
            <w:noProof/>
          </w:rPr>
          <w:t>Figure 6 - Shared Dimension Table</w:t>
        </w:r>
        <w:r>
          <w:rPr>
            <w:noProof/>
            <w:webHidden/>
          </w:rPr>
          <w:tab/>
        </w:r>
        <w:r>
          <w:rPr>
            <w:noProof/>
            <w:webHidden/>
          </w:rPr>
          <w:fldChar w:fldCharType="begin"/>
        </w:r>
        <w:r>
          <w:rPr>
            <w:noProof/>
            <w:webHidden/>
          </w:rPr>
          <w:instrText xml:space="preserve"> PAGEREF _Toc234506905 \h </w:instrText>
        </w:r>
        <w:r>
          <w:rPr>
            <w:noProof/>
            <w:webHidden/>
          </w:rPr>
        </w:r>
        <w:r>
          <w:rPr>
            <w:noProof/>
            <w:webHidden/>
          </w:rPr>
          <w:fldChar w:fldCharType="separate"/>
        </w:r>
        <w:r>
          <w:rPr>
            <w:noProof/>
            <w:webHidden/>
          </w:rPr>
          <w:t>11</w:t>
        </w:r>
        <w:r>
          <w:rPr>
            <w:noProof/>
            <w:webHidden/>
          </w:rPr>
          <w:fldChar w:fldCharType="end"/>
        </w:r>
      </w:hyperlink>
    </w:p>
    <w:p w14:paraId="7834E0EF" w14:textId="3CA2420D" w:rsidR="00121028" w:rsidRDefault="00121028">
      <w:pPr>
        <w:pStyle w:val="TableofFigures"/>
        <w:tabs>
          <w:tab w:val="right" w:leader="dot" w:pos="9016"/>
        </w:tabs>
        <w:rPr>
          <w:rFonts w:eastAsiaTheme="minorEastAsia"/>
          <w:noProof/>
          <w:sz w:val="24"/>
          <w:szCs w:val="24"/>
          <w:lang w:eastAsia="en-GB"/>
        </w:rPr>
      </w:pPr>
      <w:hyperlink w:anchor="_Toc234506906" w:history="1">
        <w:r w:rsidRPr="00423F02">
          <w:rPr>
            <w:rStyle w:val="Hyperlink"/>
            <w:noProof/>
          </w:rPr>
          <w:t>Figure 7- Patient Attendance Star Schema</w:t>
        </w:r>
        <w:r>
          <w:rPr>
            <w:noProof/>
            <w:webHidden/>
          </w:rPr>
          <w:tab/>
        </w:r>
        <w:r>
          <w:rPr>
            <w:noProof/>
            <w:webHidden/>
          </w:rPr>
          <w:fldChar w:fldCharType="begin"/>
        </w:r>
        <w:r>
          <w:rPr>
            <w:noProof/>
            <w:webHidden/>
          </w:rPr>
          <w:instrText xml:space="preserve"> PAGEREF _Toc234506906 \h </w:instrText>
        </w:r>
        <w:r>
          <w:rPr>
            <w:noProof/>
            <w:webHidden/>
          </w:rPr>
        </w:r>
        <w:r>
          <w:rPr>
            <w:noProof/>
            <w:webHidden/>
          </w:rPr>
          <w:fldChar w:fldCharType="separate"/>
        </w:r>
        <w:r>
          <w:rPr>
            <w:noProof/>
            <w:webHidden/>
          </w:rPr>
          <w:t>12</w:t>
        </w:r>
        <w:r>
          <w:rPr>
            <w:noProof/>
            <w:webHidden/>
          </w:rPr>
          <w:fldChar w:fldCharType="end"/>
        </w:r>
      </w:hyperlink>
    </w:p>
    <w:p w14:paraId="1FA62138" w14:textId="46F887D4" w:rsidR="00121028" w:rsidRDefault="00121028">
      <w:pPr>
        <w:pStyle w:val="TableofFigures"/>
        <w:tabs>
          <w:tab w:val="right" w:leader="dot" w:pos="9016"/>
        </w:tabs>
        <w:rPr>
          <w:rFonts w:eastAsiaTheme="minorEastAsia"/>
          <w:noProof/>
          <w:sz w:val="24"/>
          <w:szCs w:val="24"/>
          <w:lang w:eastAsia="en-GB"/>
        </w:rPr>
      </w:pPr>
      <w:hyperlink w:anchor="_Toc234506907" w:history="1">
        <w:r w:rsidRPr="00423F02">
          <w:rPr>
            <w:rStyle w:val="Hyperlink"/>
            <w:noProof/>
          </w:rPr>
          <w:t>Figure 8 - Monthly Performance Star Schema</w:t>
        </w:r>
        <w:r>
          <w:rPr>
            <w:noProof/>
            <w:webHidden/>
          </w:rPr>
          <w:tab/>
        </w:r>
        <w:r>
          <w:rPr>
            <w:noProof/>
            <w:webHidden/>
          </w:rPr>
          <w:fldChar w:fldCharType="begin"/>
        </w:r>
        <w:r>
          <w:rPr>
            <w:noProof/>
            <w:webHidden/>
          </w:rPr>
          <w:instrText xml:space="preserve"> PAGEREF _Toc234506907 \h </w:instrText>
        </w:r>
        <w:r>
          <w:rPr>
            <w:noProof/>
            <w:webHidden/>
          </w:rPr>
        </w:r>
        <w:r>
          <w:rPr>
            <w:noProof/>
            <w:webHidden/>
          </w:rPr>
          <w:fldChar w:fldCharType="separate"/>
        </w:r>
        <w:r>
          <w:rPr>
            <w:noProof/>
            <w:webHidden/>
          </w:rPr>
          <w:t>12</w:t>
        </w:r>
        <w:r>
          <w:rPr>
            <w:noProof/>
            <w:webHidden/>
          </w:rPr>
          <w:fldChar w:fldCharType="end"/>
        </w:r>
      </w:hyperlink>
    </w:p>
    <w:p w14:paraId="68C478BF" w14:textId="43552681" w:rsidR="000E69CC" w:rsidRDefault="00121028">
      <w:r>
        <w:fldChar w:fldCharType="end"/>
      </w:r>
      <w:r w:rsidR="000E69CC">
        <w:br w:type="page"/>
      </w:r>
    </w:p>
    <w:p w14:paraId="77E84E11" w14:textId="38664AB1" w:rsidR="008A68C4" w:rsidRPr="005E5046" w:rsidRDefault="008A68C4" w:rsidP="002F4200">
      <w:pPr>
        <w:pStyle w:val="Heading1"/>
        <w:jc w:val="center"/>
        <w:rPr>
          <w:rFonts w:eastAsiaTheme="minorHAnsi"/>
          <w:b/>
          <w:bCs/>
        </w:rPr>
      </w:pPr>
      <w:bookmarkStart w:id="0" w:name="_Toc234506778"/>
      <w:r w:rsidRPr="005E5046">
        <w:rPr>
          <w:rFonts w:eastAsiaTheme="minorHAnsi"/>
          <w:b/>
          <w:bCs/>
        </w:rPr>
        <w:lastRenderedPageBreak/>
        <w:t>Introduction</w:t>
      </w:r>
      <w:bookmarkEnd w:id="0"/>
    </w:p>
    <w:p w14:paraId="1112A095" w14:textId="77777777" w:rsidR="002F4200" w:rsidRDefault="002F4200" w:rsidP="008A68C4"/>
    <w:p w14:paraId="2607E035" w14:textId="3E52FF22" w:rsidR="008A68C4" w:rsidRPr="008A68C4" w:rsidRDefault="008A68C4" w:rsidP="008A68C4">
      <w:r w:rsidRPr="008A68C4">
        <w:t>NHS England manages large volumes of patient, clinical, operational, workforce and financial data across hospitals, community providers, specialist services and Integrated Care Systems. However, much of this data is held in separate systems such as EPR, PAS, workforce and finance platforms, which limits national visibility of performance, capacity, cost and quality. This report proposes a data warehousing solution to integrate these fragmented sources into a trusted analytical platform. It explains the difference between OLTP systems and data warehouses, outlines a suitable architecture and ETL process, designs management data marts and star schemas, and considers data quality and governance. The aim is to support evidence-based decisions, improve patient flow, strengthen workforce and financial planning, and improve care quality.</w:t>
      </w:r>
    </w:p>
    <w:p w14:paraId="51EE83A1" w14:textId="77777777" w:rsidR="008A68C4" w:rsidRDefault="008A68C4" w:rsidP="000E69CC">
      <w:pPr>
        <w:rPr>
          <w:b/>
          <w:bCs/>
        </w:rPr>
      </w:pPr>
    </w:p>
    <w:p w14:paraId="207CE8B4" w14:textId="77777777" w:rsidR="008A68C4" w:rsidRDefault="008A68C4" w:rsidP="000E69CC">
      <w:pPr>
        <w:rPr>
          <w:b/>
          <w:bCs/>
        </w:rPr>
      </w:pPr>
    </w:p>
    <w:p w14:paraId="2DAD77FE" w14:textId="77777777" w:rsidR="008A68C4" w:rsidRDefault="008A68C4" w:rsidP="000E69CC">
      <w:pPr>
        <w:rPr>
          <w:b/>
          <w:bCs/>
        </w:rPr>
      </w:pPr>
    </w:p>
    <w:p w14:paraId="42AA1796" w14:textId="77777777" w:rsidR="008A68C4" w:rsidRDefault="008A68C4" w:rsidP="000E69CC">
      <w:pPr>
        <w:rPr>
          <w:b/>
          <w:bCs/>
        </w:rPr>
      </w:pPr>
    </w:p>
    <w:p w14:paraId="48D72296" w14:textId="77777777" w:rsidR="008A68C4" w:rsidRDefault="008A68C4" w:rsidP="000E69CC">
      <w:pPr>
        <w:rPr>
          <w:b/>
          <w:bCs/>
        </w:rPr>
      </w:pPr>
    </w:p>
    <w:p w14:paraId="178A8EA4" w14:textId="77777777" w:rsidR="008A68C4" w:rsidRDefault="008A68C4" w:rsidP="000E69CC">
      <w:pPr>
        <w:rPr>
          <w:b/>
          <w:bCs/>
        </w:rPr>
      </w:pPr>
    </w:p>
    <w:p w14:paraId="3ADFA9D0" w14:textId="77777777" w:rsidR="008A68C4" w:rsidRDefault="008A68C4" w:rsidP="000E69CC">
      <w:pPr>
        <w:rPr>
          <w:b/>
          <w:bCs/>
        </w:rPr>
      </w:pPr>
    </w:p>
    <w:p w14:paraId="727DEB7E" w14:textId="77777777" w:rsidR="008A68C4" w:rsidRDefault="008A68C4" w:rsidP="000E69CC">
      <w:pPr>
        <w:rPr>
          <w:b/>
          <w:bCs/>
        </w:rPr>
      </w:pPr>
    </w:p>
    <w:p w14:paraId="615E6A6E" w14:textId="77777777" w:rsidR="008A68C4" w:rsidRDefault="008A68C4" w:rsidP="000E69CC">
      <w:pPr>
        <w:rPr>
          <w:b/>
          <w:bCs/>
        </w:rPr>
      </w:pPr>
    </w:p>
    <w:p w14:paraId="10471D72" w14:textId="77777777" w:rsidR="008A68C4" w:rsidRDefault="008A68C4" w:rsidP="000E69CC">
      <w:pPr>
        <w:rPr>
          <w:b/>
          <w:bCs/>
        </w:rPr>
      </w:pPr>
    </w:p>
    <w:p w14:paraId="4C00A8B9" w14:textId="77777777" w:rsidR="008A68C4" w:rsidRDefault="008A68C4" w:rsidP="000E69CC">
      <w:pPr>
        <w:rPr>
          <w:b/>
          <w:bCs/>
        </w:rPr>
      </w:pPr>
    </w:p>
    <w:p w14:paraId="0123D646" w14:textId="77777777" w:rsidR="008A68C4" w:rsidRDefault="008A68C4" w:rsidP="000E69CC">
      <w:pPr>
        <w:rPr>
          <w:b/>
          <w:bCs/>
        </w:rPr>
      </w:pPr>
    </w:p>
    <w:p w14:paraId="6855C685" w14:textId="77777777" w:rsidR="008A68C4" w:rsidRDefault="008A68C4" w:rsidP="000E69CC">
      <w:pPr>
        <w:rPr>
          <w:b/>
          <w:bCs/>
        </w:rPr>
      </w:pPr>
    </w:p>
    <w:p w14:paraId="50A71ADC" w14:textId="77777777" w:rsidR="008A68C4" w:rsidRDefault="008A68C4" w:rsidP="000E69CC">
      <w:pPr>
        <w:rPr>
          <w:b/>
          <w:bCs/>
        </w:rPr>
      </w:pPr>
    </w:p>
    <w:p w14:paraId="61316AE1" w14:textId="77777777" w:rsidR="008A68C4" w:rsidRDefault="008A68C4" w:rsidP="000E69CC">
      <w:pPr>
        <w:rPr>
          <w:b/>
          <w:bCs/>
        </w:rPr>
      </w:pPr>
    </w:p>
    <w:p w14:paraId="46B8B9E5" w14:textId="77777777" w:rsidR="008A68C4" w:rsidRDefault="008A68C4" w:rsidP="000E69CC">
      <w:pPr>
        <w:rPr>
          <w:b/>
          <w:bCs/>
        </w:rPr>
      </w:pPr>
    </w:p>
    <w:p w14:paraId="67B5A128" w14:textId="77777777" w:rsidR="008A68C4" w:rsidRDefault="008A68C4" w:rsidP="000E69CC">
      <w:pPr>
        <w:rPr>
          <w:b/>
          <w:bCs/>
        </w:rPr>
      </w:pPr>
    </w:p>
    <w:p w14:paraId="65AC1EF1" w14:textId="77777777" w:rsidR="008A68C4" w:rsidRDefault="008A68C4" w:rsidP="000E69CC">
      <w:pPr>
        <w:rPr>
          <w:b/>
          <w:bCs/>
        </w:rPr>
      </w:pPr>
    </w:p>
    <w:p w14:paraId="0E22FA17" w14:textId="77777777" w:rsidR="008A68C4" w:rsidRDefault="008A68C4" w:rsidP="000E69CC">
      <w:pPr>
        <w:rPr>
          <w:b/>
          <w:bCs/>
        </w:rPr>
      </w:pPr>
    </w:p>
    <w:p w14:paraId="49D23E0E" w14:textId="77777777" w:rsidR="008A68C4" w:rsidRDefault="008A68C4" w:rsidP="000E69CC">
      <w:pPr>
        <w:rPr>
          <w:b/>
          <w:bCs/>
        </w:rPr>
      </w:pPr>
    </w:p>
    <w:p w14:paraId="19AD5364" w14:textId="77777777" w:rsidR="008A68C4" w:rsidRDefault="008A68C4" w:rsidP="000E69CC">
      <w:pPr>
        <w:rPr>
          <w:b/>
          <w:bCs/>
        </w:rPr>
      </w:pPr>
    </w:p>
    <w:p w14:paraId="1CFEA999" w14:textId="77777777" w:rsidR="008A68C4" w:rsidRDefault="008A68C4" w:rsidP="000E69CC">
      <w:pPr>
        <w:rPr>
          <w:b/>
          <w:bCs/>
        </w:rPr>
      </w:pPr>
    </w:p>
    <w:p w14:paraId="4DCD464F" w14:textId="2DE43E5A" w:rsidR="00154D42" w:rsidRPr="002F4200" w:rsidRDefault="00EB5A95" w:rsidP="002F4200">
      <w:pPr>
        <w:pStyle w:val="Heading2"/>
        <w:jc w:val="center"/>
        <w:rPr>
          <w:b/>
          <w:bCs/>
        </w:rPr>
      </w:pPr>
      <w:bookmarkStart w:id="1" w:name="_Toc234506779"/>
      <w:r w:rsidRPr="002F4200">
        <w:rPr>
          <w:b/>
          <w:bCs/>
        </w:rPr>
        <w:lastRenderedPageBreak/>
        <w:t>TASK</w:t>
      </w:r>
      <w:r w:rsidR="00CF0294" w:rsidRPr="002F4200">
        <w:rPr>
          <w:b/>
          <w:bCs/>
        </w:rPr>
        <w:t xml:space="preserve"> </w:t>
      </w:r>
      <w:r w:rsidR="00154D42" w:rsidRPr="002F4200">
        <w:rPr>
          <w:b/>
          <w:bCs/>
        </w:rPr>
        <w:t xml:space="preserve"> 1</w:t>
      </w:r>
      <w:bookmarkEnd w:id="1"/>
    </w:p>
    <w:p w14:paraId="78B79573" w14:textId="77777777" w:rsidR="00154D42" w:rsidRDefault="00154D42" w:rsidP="00EB5A95">
      <w:pPr>
        <w:pStyle w:val="Heading3"/>
      </w:pPr>
    </w:p>
    <w:p w14:paraId="779AAA86" w14:textId="358AC66F" w:rsidR="000E69CC" w:rsidRPr="002F4200" w:rsidRDefault="000E69CC" w:rsidP="002F4200">
      <w:pPr>
        <w:pStyle w:val="Heading3"/>
        <w:jc w:val="center"/>
        <w:rPr>
          <w:b/>
          <w:bCs/>
        </w:rPr>
      </w:pPr>
      <w:bookmarkStart w:id="2" w:name="_Toc234506780"/>
      <w:r w:rsidRPr="002F4200">
        <w:rPr>
          <w:b/>
          <w:bCs/>
        </w:rPr>
        <w:t>1.1 OLTP vs</w:t>
      </w:r>
      <w:r w:rsidR="00CF0294" w:rsidRPr="002F4200">
        <w:rPr>
          <w:b/>
          <w:bCs/>
        </w:rPr>
        <w:t xml:space="preserve"> </w:t>
      </w:r>
      <w:r w:rsidRPr="002F4200">
        <w:rPr>
          <w:b/>
          <w:bCs/>
        </w:rPr>
        <w:t>Data Warehouse</w:t>
      </w:r>
      <w:bookmarkEnd w:id="2"/>
    </w:p>
    <w:p w14:paraId="137C034B" w14:textId="77777777" w:rsidR="007652C4" w:rsidRDefault="007652C4" w:rsidP="000E69CC"/>
    <w:p w14:paraId="038CC1D5" w14:textId="03DB69F1" w:rsidR="000E69CC" w:rsidRPr="000E69CC" w:rsidRDefault="000E69CC" w:rsidP="000E69CC">
      <w:r w:rsidRPr="000E69CC">
        <w:t>In NHS England, OLTP systems run daily care, while a data warehouse turns system-wide data into insight. Electronic Patient Records (EPR), Patient Administration Systems (PAS), workforce systems and finance systems are examples of OLTP platforms. They capture and update transactions such as admissions, appointments, clinical procedures, staff shifts and payments. Their priority is speed, accuracy and reliability, because frontline staff need current records to deliver safe care [1]</w:t>
      </w:r>
      <w:r w:rsidR="0086257A">
        <w:t xml:space="preserve"> </w:t>
      </w:r>
      <w:sdt>
        <w:sdtPr>
          <w:id w:val="-1744791111"/>
          <w:citation/>
        </w:sdtPr>
        <w:sdtContent>
          <w:r w:rsidR="0086257A">
            <w:fldChar w:fldCharType="begin"/>
          </w:r>
          <w:r w:rsidR="0086257A">
            <w:instrText xml:space="preserve"> CITATION She13 \l 2057 </w:instrText>
          </w:r>
          <w:r w:rsidR="0086257A">
            <w:fldChar w:fldCharType="separate"/>
          </w:r>
          <w:r w:rsidR="00CD0E9D" w:rsidRPr="00CD0E9D">
            <w:rPr>
              <w:noProof/>
            </w:rPr>
            <w:t>[1]</w:t>
          </w:r>
          <w:r w:rsidR="0086257A">
            <w:fldChar w:fldCharType="end"/>
          </w:r>
        </w:sdtContent>
      </w:sdt>
      <w:r w:rsidRPr="000E69CC">
        <w:t>.</w:t>
      </w:r>
    </w:p>
    <w:p w14:paraId="49F4B243" w14:textId="54BDB212" w:rsidR="000E69CC" w:rsidRPr="000E69CC" w:rsidRDefault="000E69CC" w:rsidP="000E69CC">
      <w:r w:rsidRPr="000E69CC">
        <w:t xml:space="preserve">A data warehouse has a different purpose. It is not used to record live clinical transactions. Instead, it extracts copies of data from operational systems, cleans and combines them, stores historical data and structures it for reporting, analysis and decision support </w:t>
      </w:r>
      <w:sdt>
        <w:sdtPr>
          <w:id w:val="1927844378"/>
          <w:citation/>
        </w:sdtPr>
        <w:sdtContent>
          <w:r w:rsidR="00F71BDE">
            <w:fldChar w:fldCharType="begin"/>
          </w:r>
          <w:r w:rsidR="00F71BDE">
            <w:instrText xml:space="preserve"> CITATION She13 \l 2057 </w:instrText>
          </w:r>
          <w:r w:rsidR="00F71BDE">
            <w:fldChar w:fldCharType="separate"/>
          </w:r>
          <w:r w:rsidR="00CD0E9D" w:rsidRPr="00CD0E9D">
            <w:rPr>
              <w:noProof/>
            </w:rPr>
            <w:t>[1]</w:t>
          </w:r>
          <w:r w:rsidR="00F71BDE">
            <w:fldChar w:fldCharType="end"/>
          </w:r>
        </w:sdtContent>
      </w:sdt>
      <w:r w:rsidRPr="000E69CC">
        <w:t>. OLTP systems answer immediate operational questions, such as whether a patient has been admitted or which staff member is on duty. A data warehouse answers board-level questions, such as which regions have the longest waiting lists, where bed occupancy is highest, how performance changes over time, and how staffing levels affect cost, quality and patient outcomes.</w:t>
      </w:r>
    </w:p>
    <w:p w14:paraId="4B67A2C9" w14:textId="63FD94EA" w:rsidR="001547CC" w:rsidRDefault="000E69CC" w:rsidP="000E69CC">
      <w:r w:rsidRPr="000E69CC">
        <w:t>This distinction matters because NHS data is often spread across separate local systems. These systems are effective for recording individual events, but they are less suitable for complex national analysis, historical trend reporting and cross-regional comparison [3]</w:t>
      </w:r>
      <w:sdt>
        <w:sdtPr>
          <w:id w:val="472099405"/>
          <w:citation/>
        </w:sdtPr>
        <w:sdtContent>
          <w:r w:rsidR="00F71BDE">
            <w:fldChar w:fldCharType="begin"/>
          </w:r>
          <w:r w:rsidR="00F71BDE">
            <w:instrText xml:space="preserve"> CITATION Led01 \l 2057 </w:instrText>
          </w:r>
          <w:r w:rsidR="00F71BDE">
            <w:fldChar w:fldCharType="separate"/>
          </w:r>
          <w:r w:rsidR="00CD0E9D">
            <w:rPr>
              <w:noProof/>
            </w:rPr>
            <w:t xml:space="preserve"> </w:t>
          </w:r>
          <w:r w:rsidR="00CD0E9D" w:rsidRPr="00CD0E9D">
            <w:rPr>
              <w:noProof/>
            </w:rPr>
            <w:t>[2]</w:t>
          </w:r>
          <w:r w:rsidR="00F71BDE">
            <w:fldChar w:fldCharType="end"/>
          </w:r>
        </w:sdtContent>
      </w:sdt>
      <w:r w:rsidRPr="000E69CC">
        <w:t>, [4]. A healthcare data warehouse would consolidate patient, clinical, workforce and financial data into a single trusted analytical platform. This would help the CEO and board monitor performance, identify pressure points, compare regions consistently, support resource planning, improve quality of care and make evidence-based decisions without overloading frontline OLTP systems [4], [5]</w:t>
      </w:r>
      <w:sdt>
        <w:sdtPr>
          <w:id w:val="-958487337"/>
          <w:citation/>
        </w:sdtPr>
        <w:sdtContent>
          <w:r w:rsidR="00113153">
            <w:fldChar w:fldCharType="begin"/>
          </w:r>
          <w:r w:rsidR="00113153">
            <w:instrText xml:space="preserve"> CITATION Che24 \l 2057 </w:instrText>
          </w:r>
          <w:r w:rsidR="00113153">
            <w:fldChar w:fldCharType="separate"/>
          </w:r>
          <w:r w:rsidR="00CD0E9D">
            <w:rPr>
              <w:noProof/>
            </w:rPr>
            <w:t xml:space="preserve"> </w:t>
          </w:r>
          <w:r w:rsidR="00CD0E9D" w:rsidRPr="00CD0E9D">
            <w:rPr>
              <w:noProof/>
            </w:rPr>
            <w:t>[3]</w:t>
          </w:r>
          <w:r w:rsidR="00113153">
            <w:fldChar w:fldCharType="end"/>
          </w:r>
        </w:sdtContent>
      </w:sdt>
      <w:r w:rsidRPr="000E69CC">
        <w:t>.</w:t>
      </w:r>
    </w:p>
    <w:p w14:paraId="73ED27D6" w14:textId="19CB711D" w:rsidR="001547CC" w:rsidRDefault="002F4200">
      <w:r>
        <w:rPr>
          <w:noProof/>
        </w:rPr>
        <mc:AlternateContent>
          <mc:Choice Requires="wps">
            <w:drawing>
              <wp:anchor distT="0" distB="0" distL="114300" distR="114300" simplePos="0" relativeHeight="251667456" behindDoc="0" locked="0" layoutInCell="1" allowOverlap="1" wp14:anchorId="5FA8086B" wp14:editId="55B6E17C">
                <wp:simplePos x="0" y="0"/>
                <wp:positionH relativeFrom="margin">
                  <wp:posOffset>-135890</wp:posOffset>
                </wp:positionH>
                <wp:positionV relativeFrom="paragraph">
                  <wp:posOffset>2616200</wp:posOffset>
                </wp:positionV>
                <wp:extent cx="5731510" cy="635"/>
                <wp:effectExtent l="0" t="0" r="2540" b="0"/>
                <wp:wrapThrough wrapText="bothSides">
                  <wp:wrapPolygon edited="0">
                    <wp:start x="0" y="0"/>
                    <wp:lineTo x="0" y="20057"/>
                    <wp:lineTo x="21538" y="20057"/>
                    <wp:lineTo x="21538" y="0"/>
                    <wp:lineTo x="0" y="0"/>
                  </wp:wrapPolygon>
                </wp:wrapThrough>
                <wp:docPr id="153734888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3B7FEA0" w14:textId="5538793E" w:rsidR="0098044A" w:rsidRPr="001C067F" w:rsidRDefault="0098044A" w:rsidP="0098044A">
                            <w:pPr>
                              <w:pStyle w:val="Caption"/>
                              <w:rPr>
                                <w:sz w:val="22"/>
                                <w:szCs w:val="22"/>
                              </w:rPr>
                            </w:pPr>
                            <w:bookmarkStart w:id="3" w:name="_Toc234506855"/>
                            <w:bookmarkStart w:id="4" w:name="_Toc234506900"/>
                            <w:r>
                              <w:t xml:space="preserve">Figure </w:t>
                            </w:r>
                            <w:fldSimple w:instr=" SEQ Figure \* ARABIC ">
                              <w:r w:rsidR="007652C4">
                                <w:rPr>
                                  <w:noProof/>
                                </w:rPr>
                                <w:t>1</w:t>
                              </w:r>
                            </w:fldSimple>
                            <w:r>
                              <w:t xml:space="preserve"> - Comparison Between OLTP Systems and Data Warehouse in NHS England</w:t>
                            </w:r>
                            <w:bookmarkEnd w:id="3"/>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FA8086B" id="_x0000_t202" coordsize="21600,21600" o:spt="202" path="m,l,21600r21600,l21600,xe">
                <v:stroke joinstyle="miter"/>
                <v:path gradientshapeok="t" o:connecttype="rect"/>
              </v:shapetype>
              <v:shape id="Text Box 1" o:spid="_x0000_s1029" type="#_x0000_t202" style="position:absolute;margin-left:-10.7pt;margin-top:206pt;width:451.3pt;height:.05pt;z-index:2516674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" stroked="f">
                <v:textbox style="mso-fit-shape-to-text:t" inset="0,0,0,0">
                  <w:txbxContent>
                    <w:p w14:paraId="73B7FEA0" w14:textId="5538793E" w:rsidR="0098044A" w:rsidRPr="001C067F" w:rsidRDefault="0098044A" w:rsidP="0098044A">
                      <w:pPr>
                        <w:pStyle w:val="Caption"/>
                        <w:rPr>
                          <w:sz w:val="22"/>
                          <w:szCs w:val="22"/>
                        </w:rPr>
                      </w:pPr>
                      <w:bookmarkStart w:id="5" w:name="_Toc234506855"/>
                      <w:bookmarkStart w:id="6" w:name="_Toc234506900"/>
                      <w:r>
                        <w:t xml:space="preserve">Figure </w:t>
                      </w:r>
                      <w:fldSimple w:instr=" SEQ Figure \* ARABIC ">
                        <w:r w:rsidR="007652C4">
                          <w:rPr>
                            <w:noProof/>
                          </w:rPr>
                          <w:t>1</w:t>
                        </w:r>
                      </w:fldSimple>
                      <w:r>
                        <w:t xml:space="preserve"> - Comparison Between OLTP Systems and Data Warehouse in NHS England</w:t>
                      </w:r>
                      <w:bookmarkEnd w:id="5"/>
                      <w:bookmarkEnd w:id="6"/>
                    </w:p>
                  </w:txbxContent>
                </v:textbox>
                <w10:wrap type="through" anchorx="margin"/>
              </v:shape>
            </w:pict>
          </mc:Fallback>
        </mc:AlternateContent>
      </w:r>
      <w:r w:rsidR="00F97D84" w:rsidRPr="00F97D84">
        <w:rPr>
          <w:rFonts w:eastAsia="Times New Roman" w:cstheme="minorHAnsi"/>
          <w:noProof/>
          <w:kern w:val="0"/>
          <w:lang w:eastAsia="en-GB"/>
          <w14:ligatures w14:val="none"/>
        </w:rPr>
        <w:drawing>
          <wp:inline distT="0" distB="0" distL="0" distR="0" wp14:anchorId="41593210" wp14:editId="3E6573CF">
            <wp:extent cx="3729355" cy="2499215"/>
            <wp:effectExtent l="0" t="0" r="4445" b="0"/>
            <wp:docPr id="170662198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0628"/>
                    <a:stretch>
                      <a:fillRect/>
                    </a:stretch>
                  </pic:blipFill>
                  <pic:spPr bwMode="auto">
                    <a:xfrm>
                      <a:off x="0" y="0"/>
                      <a:ext cx="3739370" cy="2505927"/>
                    </a:xfrm>
                    <a:prstGeom prst="rect">
                      <a:avLst/>
                    </a:prstGeom>
                    <a:noFill/>
                    <a:ln>
                      <a:noFill/>
                    </a:ln>
                    <a:extLst>
                      <a:ext uri="{53640926-AAD7-44D8-BBD7-CCE9431645EC}">
                        <a14:shadowObscured xmlns:a14="http://schemas.microsoft.com/office/drawing/2010/main"/>
                      </a:ext>
                    </a:extLst>
                  </pic:spPr>
                </pic:pic>
              </a:graphicData>
            </a:graphic>
          </wp:inline>
        </w:drawing>
      </w:r>
    </w:p>
    <w:p w14:paraId="0C5B50D8" w14:textId="77777777" w:rsidR="003B0729" w:rsidRDefault="003B0729"/>
    <w:p w14:paraId="2937A176" w14:textId="731C252F" w:rsidR="00443D91" w:rsidRDefault="00443D91" w:rsidP="001547CC">
      <w:pPr>
        <w:rPr>
          <w:rFonts w:eastAsia="Times New Roman" w:cstheme="minorHAnsi"/>
          <w:kern w:val="0"/>
          <w:lang w:eastAsia="en-GB"/>
          <w14:ligatures w14:val="none"/>
        </w:rPr>
      </w:pPr>
    </w:p>
    <w:p w14:paraId="12E894AF" w14:textId="77777777" w:rsidR="008A68C4" w:rsidRDefault="008A68C4" w:rsidP="001547CC">
      <w:pPr>
        <w:rPr>
          <w:rFonts w:eastAsia="Times New Roman" w:cstheme="minorHAnsi"/>
          <w:kern w:val="0"/>
          <w:lang w:eastAsia="en-GB"/>
          <w14:ligatures w14:val="none"/>
        </w:rPr>
      </w:pPr>
    </w:p>
    <w:p w14:paraId="5B64D2FF" w14:textId="215D49E5" w:rsidR="001547CC" w:rsidRPr="002F4200" w:rsidRDefault="001547CC" w:rsidP="002F4200">
      <w:pPr>
        <w:pStyle w:val="Heading3"/>
        <w:jc w:val="center"/>
        <w:rPr>
          <w:rFonts w:eastAsia="Times New Roman"/>
          <w:b/>
          <w:bCs/>
          <w:lang w:eastAsia="en-GB"/>
        </w:rPr>
      </w:pPr>
      <w:bookmarkStart w:id="7" w:name="_Toc234506781"/>
      <w:r w:rsidRPr="002F4200">
        <w:rPr>
          <w:rFonts w:eastAsia="Times New Roman"/>
          <w:b/>
          <w:bCs/>
          <w:lang w:eastAsia="en-GB"/>
        </w:rPr>
        <w:lastRenderedPageBreak/>
        <w:t>1.2 Data Warehouse Architecture and ETL</w:t>
      </w:r>
      <w:bookmarkEnd w:id="7"/>
    </w:p>
    <w:p w14:paraId="3C0FB110" w14:textId="77777777" w:rsidR="008A68C4" w:rsidRDefault="008A68C4" w:rsidP="001547CC">
      <w:pPr>
        <w:rPr>
          <w:rFonts w:eastAsia="Times New Roman" w:cstheme="minorHAnsi"/>
          <w:kern w:val="0"/>
          <w:lang w:eastAsia="en-GB"/>
          <w14:ligatures w14:val="none"/>
        </w:rPr>
      </w:pPr>
    </w:p>
    <w:p w14:paraId="45FF60D8" w14:textId="570F930F" w:rsidR="001547CC" w:rsidRPr="001547CC" w:rsidRDefault="001547CC" w:rsidP="001547CC">
      <w:pPr>
        <w:rPr>
          <w:rFonts w:eastAsia="Times New Roman" w:cstheme="minorHAnsi"/>
          <w:kern w:val="0"/>
          <w:lang w:eastAsia="en-GB"/>
          <w14:ligatures w14:val="none"/>
        </w:rPr>
      </w:pPr>
      <w:r w:rsidRPr="001547CC">
        <w:rPr>
          <w:rFonts w:eastAsia="Times New Roman" w:cstheme="minorHAnsi"/>
          <w:kern w:val="0"/>
          <w:lang w:eastAsia="en-GB"/>
          <w14:ligatures w14:val="none"/>
        </w:rPr>
        <w:t>For NHS England, the data warehouse should sit above existing operational systems rather than replace them. Hospitals, community providers and national teams would continue using Electronic Patient Records, Patient Administration Systems, workforce systems and finance platforms for daily work. The warehouse would receive controlled copies of data from these systems and combine them into one structured environment for analysis [1]</w:t>
      </w:r>
      <w:sdt>
        <w:sdtPr>
          <w:rPr>
            <w:rFonts w:eastAsia="Times New Roman" w:cstheme="minorHAnsi"/>
            <w:kern w:val="0"/>
            <w:lang w:eastAsia="en-GB"/>
            <w14:ligatures w14:val="none"/>
          </w:rPr>
          <w:id w:val="1536614060"/>
          <w:citation/>
        </w:sdtPr>
        <w:sdtContent>
          <w:r w:rsidR="003B602B">
            <w:rPr>
              <w:rFonts w:eastAsia="Times New Roman" w:cstheme="minorHAnsi"/>
              <w:kern w:val="0"/>
              <w:lang w:eastAsia="en-GB"/>
              <w14:ligatures w14:val="none"/>
            </w:rPr>
            <w:fldChar w:fldCharType="begin"/>
          </w:r>
          <w:r w:rsidR="003B602B">
            <w:rPr>
              <w:rFonts w:eastAsia="Times New Roman" w:cstheme="minorHAnsi"/>
              <w:kern w:val="0"/>
              <w:lang w:eastAsia="en-GB"/>
              <w14:ligatures w14:val="none"/>
            </w:rPr>
            <w:instrText xml:space="preserve"> CITATION Iva25 \l 2057 </w:instrText>
          </w:r>
          <w:r w:rsidR="003B602B">
            <w:rPr>
              <w:rFonts w:eastAsia="Times New Roman" w:cstheme="minorHAnsi"/>
              <w:kern w:val="0"/>
              <w:lang w:eastAsia="en-GB"/>
              <w14:ligatures w14:val="none"/>
            </w:rPr>
            <w:fldChar w:fldCharType="separate"/>
          </w:r>
          <w:r w:rsidR="00CD0E9D">
            <w:rPr>
              <w:rFonts w:eastAsia="Times New Roman" w:cstheme="minorHAnsi"/>
              <w:noProof/>
              <w:kern w:val="0"/>
              <w:lang w:eastAsia="en-GB"/>
              <w14:ligatures w14:val="none"/>
            </w:rPr>
            <w:t xml:space="preserve"> </w:t>
          </w:r>
          <w:r w:rsidR="00CD0E9D" w:rsidRPr="00CD0E9D">
            <w:rPr>
              <w:rFonts w:eastAsia="Times New Roman" w:cstheme="minorHAnsi"/>
              <w:noProof/>
              <w:kern w:val="0"/>
              <w:lang w:eastAsia="en-GB"/>
              <w14:ligatures w14:val="none"/>
            </w:rPr>
            <w:t>[4]</w:t>
          </w:r>
          <w:r w:rsidR="003B602B">
            <w:rPr>
              <w:rFonts w:eastAsia="Times New Roman" w:cstheme="minorHAnsi"/>
              <w:kern w:val="0"/>
              <w:lang w:eastAsia="en-GB"/>
              <w14:ligatures w14:val="none"/>
            </w:rPr>
            <w:fldChar w:fldCharType="end"/>
          </w:r>
        </w:sdtContent>
      </w:sdt>
      <w:r w:rsidRPr="001547CC">
        <w:rPr>
          <w:rFonts w:eastAsia="Times New Roman" w:cstheme="minorHAnsi"/>
          <w:kern w:val="0"/>
          <w:lang w:eastAsia="en-GB"/>
          <w14:ligatures w14:val="none"/>
        </w:rPr>
        <w:t>, [2].</w:t>
      </w:r>
    </w:p>
    <w:p w14:paraId="03D25ACD" w14:textId="2BE90C71" w:rsidR="005D1AC0" w:rsidRDefault="005D1AC0" w:rsidP="000E69CC"/>
    <w:p w14:paraId="4CF9EF98" w14:textId="77777777" w:rsidR="00EF071B" w:rsidRDefault="008E57A3" w:rsidP="00EF071B">
      <w:pPr>
        <w:keepNext/>
      </w:pPr>
      <w:r w:rsidRPr="008E57A3">
        <w:rPr>
          <w:noProof/>
        </w:rPr>
        <w:drawing>
          <wp:inline distT="0" distB="0" distL="0" distR="0" wp14:anchorId="41BAAF4B" wp14:editId="7E23F049">
            <wp:extent cx="4251960" cy="2957766"/>
            <wp:effectExtent l="0" t="0" r="0" b="0"/>
            <wp:docPr id="180895567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7229"/>
                    <a:stretch>
                      <a:fillRect/>
                    </a:stretch>
                  </pic:blipFill>
                  <pic:spPr bwMode="auto">
                    <a:xfrm>
                      <a:off x="0" y="0"/>
                      <a:ext cx="4265129" cy="2966927"/>
                    </a:xfrm>
                    <a:prstGeom prst="rect">
                      <a:avLst/>
                    </a:prstGeom>
                    <a:noFill/>
                    <a:ln>
                      <a:noFill/>
                    </a:ln>
                    <a:extLst>
                      <a:ext uri="{53640926-AAD7-44D8-BBD7-CCE9431645EC}">
                        <a14:shadowObscured xmlns:a14="http://schemas.microsoft.com/office/drawing/2010/main"/>
                      </a:ext>
                    </a:extLst>
                  </pic:spPr>
                </pic:pic>
              </a:graphicData>
            </a:graphic>
          </wp:inline>
        </w:drawing>
      </w:r>
    </w:p>
    <w:p w14:paraId="31E3A1FE" w14:textId="0A04DBF8" w:rsidR="008E57A3" w:rsidRPr="008E57A3" w:rsidRDefault="00EF071B" w:rsidP="00EF071B">
      <w:pPr>
        <w:pStyle w:val="Caption"/>
      </w:pPr>
      <w:bookmarkStart w:id="8" w:name="_Toc234506901"/>
      <w:r>
        <w:t xml:space="preserve">Figure </w:t>
      </w:r>
      <w:fldSimple w:instr=" SEQ Figure \* ARABIC ">
        <w:r w:rsidR="007652C4">
          <w:rPr>
            <w:noProof/>
          </w:rPr>
          <w:t>2</w:t>
        </w:r>
      </w:fldSimple>
      <w:r>
        <w:t xml:space="preserve"> - NHS Data Warehouse Architecture</w:t>
      </w:r>
      <w:bookmarkEnd w:id="8"/>
    </w:p>
    <w:p w14:paraId="431F96DC" w14:textId="37B1F6CB" w:rsidR="0098044A" w:rsidRDefault="0098044A" w:rsidP="000E69CC"/>
    <w:p w14:paraId="33C28EA0" w14:textId="61E99EAB" w:rsidR="001D2F1B" w:rsidRPr="001D2F1B" w:rsidRDefault="001D2F1B" w:rsidP="001D2F1B">
      <w:r w:rsidRPr="001D2F1B">
        <w:t>The source systems would provide different types of NHS data. EPR and PAS systems would supply patient activity data such as NHS number, admissions, discharges, diagnoses, procedures and referral-to-treatment times. Clinical systems would add information on diagnostic tests, theatre activity, prescribing and outcomes. Workforce systems would provide rosters, sickness absence, overtime, vacancies and agency usage. Finance systems would provide budgets, tariffs, expenditure and cost per patient episode. Once integrated, NHS England could examine issues that are difficult to see in separate systems, such as whether delayed discharges are linked to bed pressure, staffing shortages or higher treatment costs</w:t>
      </w:r>
      <w:sdt>
        <w:sdtPr>
          <w:id w:val="-1507968332"/>
          <w:citation/>
        </w:sdtPr>
        <w:sdtContent>
          <w:r>
            <w:fldChar w:fldCharType="begin"/>
          </w:r>
          <w:r>
            <w:instrText xml:space="preserve"> CITATION Lyu25 \l 2057 </w:instrText>
          </w:r>
          <w:r>
            <w:fldChar w:fldCharType="separate"/>
          </w:r>
          <w:r w:rsidR="00CD0E9D">
            <w:rPr>
              <w:noProof/>
            </w:rPr>
            <w:t xml:space="preserve"> </w:t>
          </w:r>
          <w:r w:rsidR="00CD0E9D" w:rsidRPr="00CD0E9D">
            <w:rPr>
              <w:noProof/>
            </w:rPr>
            <w:t>[5]</w:t>
          </w:r>
          <w:r>
            <w:fldChar w:fldCharType="end"/>
          </w:r>
        </w:sdtContent>
      </w:sdt>
      <w:r w:rsidRPr="001D2F1B">
        <w:t>.</w:t>
      </w:r>
    </w:p>
    <w:p w14:paraId="5344CB3C" w14:textId="77777777" w:rsidR="002F4200" w:rsidRDefault="002F4200" w:rsidP="001D2F1B"/>
    <w:p w14:paraId="49E662B2" w14:textId="63F54429" w:rsidR="001D2F1B" w:rsidRPr="001D2F1B" w:rsidRDefault="001D2F1B" w:rsidP="001D2F1B">
      <w:r w:rsidRPr="001D2F1B">
        <w:t>The ETL process stands for Extract, Transform and Load. First, data is extracted from source systems using secure read-only connections. Second, it is transformed by removing duplicates, correcting errors, standardising dates, mapping clinical codes such as ICD-10 or SNOMED CT, and linking records to common patient, provider, specialty and time dimensions . Third, the cleaned data is loaded into the enterprise warehouse and then made available through subject-specific data marts</w:t>
      </w:r>
      <w:sdt>
        <w:sdtPr>
          <w:id w:val="304519487"/>
          <w:citation/>
        </w:sdtPr>
        <w:sdtContent>
          <w:r w:rsidR="00A905C2">
            <w:fldChar w:fldCharType="begin"/>
          </w:r>
          <w:r w:rsidR="00A905C2">
            <w:instrText xml:space="preserve"> CITATION Lyu25 \l 2057 </w:instrText>
          </w:r>
          <w:r w:rsidR="00A905C2">
            <w:fldChar w:fldCharType="separate"/>
          </w:r>
          <w:r w:rsidR="00CD0E9D">
            <w:rPr>
              <w:noProof/>
            </w:rPr>
            <w:t xml:space="preserve"> </w:t>
          </w:r>
          <w:r w:rsidR="00CD0E9D" w:rsidRPr="00CD0E9D">
            <w:rPr>
              <w:noProof/>
            </w:rPr>
            <w:t>[5]</w:t>
          </w:r>
          <w:r w:rsidR="00A905C2">
            <w:fldChar w:fldCharType="end"/>
          </w:r>
        </w:sdtContent>
      </w:sdt>
      <w:r w:rsidRPr="001D2F1B">
        <w:t>.</w:t>
      </w:r>
    </w:p>
    <w:p w14:paraId="7859C0D2" w14:textId="77777777" w:rsidR="00F72B02" w:rsidRDefault="00E70C71" w:rsidP="00F72B02">
      <w:pPr>
        <w:keepNext/>
      </w:pPr>
      <w:r w:rsidRPr="00E70C71">
        <w:rPr>
          <w:noProof/>
        </w:rPr>
        <w:lastRenderedPageBreak/>
        <mc:AlternateContent>
          <mc:Choice Requires="wps">
            <w:drawing>
              <wp:inline distT="0" distB="0" distL="0" distR="0" wp14:anchorId="5C903F75" wp14:editId="7DEE3D7B">
                <wp:extent cx="304800" cy="304800"/>
                <wp:effectExtent l="0" t="0" r="0" b="0"/>
                <wp:docPr id="2036088439" name="Rectangl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B88B5B" id="Rectangle 1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3E733DD2" wp14:editId="45D17816">
                <wp:extent cx="304800" cy="304800"/>
                <wp:effectExtent l="0" t="0" r="0" b="0"/>
                <wp:docPr id="1174185172" name="Rectangle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B73D19" id="Rectangle 1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E70C71">
        <w:rPr>
          <w:noProof/>
        </w:rPr>
        <w:drawing>
          <wp:inline distT="0" distB="0" distL="0" distR="0" wp14:anchorId="490FCCDE" wp14:editId="4E5D7689">
            <wp:extent cx="3360420" cy="2085855"/>
            <wp:effectExtent l="0" t="0" r="0" b="0"/>
            <wp:docPr id="78068198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7269"/>
                    <a:stretch>
                      <a:fillRect/>
                    </a:stretch>
                  </pic:blipFill>
                  <pic:spPr bwMode="auto">
                    <a:xfrm>
                      <a:off x="0" y="0"/>
                      <a:ext cx="3373909" cy="2094228"/>
                    </a:xfrm>
                    <a:prstGeom prst="rect">
                      <a:avLst/>
                    </a:prstGeom>
                    <a:noFill/>
                    <a:ln>
                      <a:noFill/>
                    </a:ln>
                    <a:extLst>
                      <a:ext uri="{53640926-AAD7-44D8-BBD7-CCE9431645EC}">
                        <a14:shadowObscured xmlns:a14="http://schemas.microsoft.com/office/drawing/2010/main"/>
                      </a:ext>
                    </a:extLst>
                  </pic:spPr>
                </pic:pic>
              </a:graphicData>
            </a:graphic>
          </wp:inline>
        </w:drawing>
      </w:r>
    </w:p>
    <w:p w14:paraId="7E332C3F" w14:textId="3CCD1159" w:rsidR="00E70C71" w:rsidRPr="00E70C71" w:rsidRDefault="00F72B02" w:rsidP="00F72B02">
      <w:pPr>
        <w:pStyle w:val="Caption"/>
        <w:rPr>
          <w:sz w:val="22"/>
          <w:szCs w:val="22"/>
        </w:rPr>
      </w:pPr>
      <w:bookmarkStart w:id="9" w:name="_Toc234506902"/>
      <w:r>
        <w:t xml:space="preserve">Figure </w:t>
      </w:r>
      <w:fldSimple w:instr=" SEQ Figure \* ARABIC ">
        <w:r w:rsidR="007652C4">
          <w:rPr>
            <w:noProof/>
          </w:rPr>
          <w:t>3</w:t>
        </w:r>
      </w:fldSimple>
      <w:r>
        <w:t>- Simplified ETL Process</w:t>
      </w:r>
      <w:bookmarkEnd w:id="9"/>
    </w:p>
    <w:p w14:paraId="50EEF0BB" w14:textId="77777777" w:rsidR="002F4200" w:rsidRDefault="002F4200" w:rsidP="001D2F1B"/>
    <w:p w14:paraId="0BE5D55A" w14:textId="11359DAF" w:rsidR="00321BD9" w:rsidRDefault="001D2F1B" w:rsidP="001D2F1B">
      <w:r w:rsidRPr="001D2F1B">
        <w:t>This design should reassure the CEO and board because live systems remain the official systems of record. Doctors, nurses, administrators and finance staff would continue using EPR, PAS and other systems as normal. The warehouse would use scheduled or incremental data loads, often outside peak hours, so analytical reporting does not slow frontline systems. This allows NHS England to gain national insight into patient flow, workforce capacity, financial performance and quality of care without disrupting daily healthcare operations</w:t>
      </w:r>
      <w:sdt>
        <w:sdtPr>
          <w:id w:val="-1116597201"/>
          <w:citation/>
        </w:sdtPr>
        <w:sdtContent>
          <w:r w:rsidR="002757EF">
            <w:fldChar w:fldCharType="begin"/>
          </w:r>
          <w:r w:rsidR="002757EF">
            <w:instrText xml:space="preserve"> CITATION Pri24 \l 2057 </w:instrText>
          </w:r>
          <w:r w:rsidR="002757EF">
            <w:fldChar w:fldCharType="separate"/>
          </w:r>
          <w:r w:rsidR="00CD0E9D">
            <w:rPr>
              <w:noProof/>
            </w:rPr>
            <w:t xml:space="preserve"> </w:t>
          </w:r>
          <w:r w:rsidR="00CD0E9D" w:rsidRPr="00CD0E9D">
            <w:rPr>
              <w:noProof/>
            </w:rPr>
            <w:t>[6]</w:t>
          </w:r>
          <w:r w:rsidR="002757EF">
            <w:fldChar w:fldCharType="end"/>
          </w:r>
        </w:sdtContent>
      </w:sdt>
      <w:r w:rsidRPr="001D2F1B">
        <w:t>.</w:t>
      </w:r>
      <w:r w:rsidR="00321BD9">
        <w:t xml:space="preserve">    </w:t>
      </w:r>
    </w:p>
    <w:p w14:paraId="47CAF263" w14:textId="77777777" w:rsidR="00321BD9" w:rsidRDefault="00321BD9" w:rsidP="001D2F1B"/>
    <w:p w14:paraId="594BF254" w14:textId="77777777" w:rsidR="00321BD9" w:rsidRPr="002F4200" w:rsidRDefault="00321BD9" w:rsidP="002F4200">
      <w:pPr>
        <w:pStyle w:val="Heading3"/>
        <w:jc w:val="center"/>
        <w:rPr>
          <w:b/>
          <w:bCs/>
        </w:rPr>
      </w:pPr>
      <w:bookmarkStart w:id="10" w:name="_Toc234506782"/>
      <w:r w:rsidRPr="002F4200">
        <w:rPr>
          <w:b/>
          <w:bCs/>
        </w:rPr>
        <w:t>1.3 Data Marts for Management Decision-Making</w:t>
      </w:r>
      <w:bookmarkEnd w:id="10"/>
    </w:p>
    <w:p w14:paraId="05EFC5BE" w14:textId="77777777" w:rsidR="007652C4" w:rsidRPr="007652C4" w:rsidRDefault="007652C4" w:rsidP="007652C4"/>
    <w:p w14:paraId="519C71E2" w14:textId="77777777" w:rsidR="00321BD9" w:rsidRPr="00321BD9" w:rsidRDefault="00321BD9" w:rsidP="00321BD9">
      <w:r w:rsidRPr="00321BD9">
        <w:t>A data mart is a focused part of the wider data warehouse designed for a specific group of users. For NHS England, the enterprise warehouse would hold integrated patient, clinical, workforce and financial data, while data marts would provide tailored views for senior leaders. This allows each director to receive relevant information without losing consistency across the organisation.</w:t>
      </w:r>
    </w:p>
    <w:p w14:paraId="79C9BE1E" w14:textId="73488168" w:rsidR="00321BD9" w:rsidRPr="00321BD9" w:rsidRDefault="00321BD9" w:rsidP="00321BD9">
      <w:r w:rsidRPr="00321BD9">
        <w:t xml:space="preserve">The </w:t>
      </w:r>
      <w:r w:rsidRPr="00321BD9">
        <w:rPr>
          <w:b/>
          <w:bCs/>
        </w:rPr>
        <w:t>Chief Executive’s data mart</w:t>
      </w:r>
      <w:r w:rsidRPr="00321BD9">
        <w:t xml:space="preserve"> should provide a strategic, system-wide view of NHS performance. It would combine data from EPR, PAS, bed management, workforce, finance and quality systems. Key measures would include bed occupancy, emergency admissions, discharge delays, elective waiting lists, referral-to-treatment times, workforce pressure, readmissions and mortality indicators. These measures should be analysed by time, NHS region, Integrated Care System, provider, specialty and care pathway. This would help the Chief Executive identify national pressure points, compare regional performance and prioritise support for areas experiencing capacity problems </w:t>
      </w:r>
      <w:sdt>
        <w:sdtPr>
          <w:id w:val="111324561"/>
          <w:citation/>
        </w:sdtPr>
        <w:sdtContent>
          <w:r w:rsidR="004A30F2">
            <w:fldChar w:fldCharType="begin"/>
          </w:r>
          <w:r w:rsidR="004A30F2">
            <w:instrText xml:space="preserve"> CITATION Aro24 \l 2057 </w:instrText>
          </w:r>
          <w:r w:rsidR="004A30F2">
            <w:fldChar w:fldCharType="separate"/>
          </w:r>
          <w:r w:rsidR="00CD0E9D" w:rsidRPr="00CD0E9D">
            <w:rPr>
              <w:noProof/>
            </w:rPr>
            <w:t>[7]</w:t>
          </w:r>
          <w:r w:rsidR="004A30F2">
            <w:fldChar w:fldCharType="end"/>
          </w:r>
        </w:sdtContent>
      </w:sdt>
      <w:r w:rsidRPr="00321BD9">
        <w:t>.</w:t>
      </w:r>
    </w:p>
    <w:p w14:paraId="4B8F8EFE" w14:textId="35668322" w:rsidR="00321BD9" w:rsidRPr="00321BD9" w:rsidRDefault="00321BD9" w:rsidP="00321BD9">
      <w:r w:rsidRPr="00321BD9">
        <w:t xml:space="preserve">The </w:t>
      </w:r>
      <w:r w:rsidRPr="00321BD9">
        <w:rPr>
          <w:b/>
          <w:bCs/>
        </w:rPr>
        <w:t>Finance Director’s data mart</w:t>
      </w:r>
      <w:r w:rsidRPr="00321BD9">
        <w:t xml:space="preserve"> should focus on cost, budget control and efficiency. It would use finance, costing, PAS, theatre and workforce data. Key measures would include treatment cost, cost per patient episode, budget variance, tariff income, agency staffing cost, theatre utilisation and expenditure by specialty</w:t>
      </w:r>
      <w:sdt>
        <w:sdtPr>
          <w:id w:val="-1762898779"/>
          <w:citation/>
        </w:sdtPr>
        <w:sdtContent>
          <w:r w:rsidR="004A30F2">
            <w:fldChar w:fldCharType="begin"/>
          </w:r>
          <w:r w:rsidR="004A30F2">
            <w:instrText xml:space="preserve"> CITATION Bas22 \l 2057 </w:instrText>
          </w:r>
          <w:r w:rsidR="004A30F2">
            <w:fldChar w:fldCharType="separate"/>
          </w:r>
          <w:r w:rsidR="00CD0E9D">
            <w:rPr>
              <w:noProof/>
            </w:rPr>
            <w:t xml:space="preserve"> </w:t>
          </w:r>
          <w:r w:rsidR="00CD0E9D" w:rsidRPr="00CD0E9D">
            <w:rPr>
              <w:noProof/>
            </w:rPr>
            <w:t>[8]</w:t>
          </w:r>
          <w:r w:rsidR="004A30F2">
            <w:fldChar w:fldCharType="end"/>
          </w:r>
        </w:sdtContent>
      </w:sdt>
      <w:r w:rsidRPr="00321BD9">
        <w:t>. This mart would allow the Finance Director to compare financial performance across providers, identify high-cost pathways and assess whether operational pressures, such as delayed discharges or agency staffing, are increasing costs.</w:t>
      </w:r>
    </w:p>
    <w:p w14:paraId="5D6D771F" w14:textId="1F80063A" w:rsidR="00321BD9" w:rsidRPr="00321BD9" w:rsidRDefault="00321BD9" w:rsidP="00321BD9">
      <w:r w:rsidRPr="00321BD9">
        <w:t xml:space="preserve">The </w:t>
      </w:r>
      <w:r w:rsidRPr="00321BD9">
        <w:rPr>
          <w:b/>
          <w:bCs/>
        </w:rPr>
        <w:t>Medical Director’s data mart</w:t>
      </w:r>
      <w:r w:rsidRPr="00321BD9">
        <w:t xml:space="preserve"> should focus on clinical quality, safety and outcomes. It would use EPR, PAS, incident-reporting, infection-control, complaints and patient feedback data. Key measures would include readmission rates, mortality indicators, infection rates, complications, patient safety </w:t>
      </w:r>
      <w:r w:rsidRPr="00321BD9">
        <w:lastRenderedPageBreak/>
        <w:t>incidents, length of stay and patient satisfaction</w:t>
      </w:r>
      <w:sdt>
        <w:sdtPr>
          <w:id w:val="2056891968"/>
          <w:citation/>
        </w:sdtPr>
        <w:sdtContent>
          <w:r w:rsidR="00AC66AE">
            <w:fldChar w:fldCharType="begin"/>
          </w:r>
          <w:r w:rsidR="00AC66AE">
            <w:instrText xml:space="preserve"> CITATION Dar25 \l 2057 </w:instrText>
          </w:r>
          <w:r w:rsidR="00AC66AE">
            <w:fldChar w:fldCharType="separate"/>
          </w:r>
          <w:r w:rsidR="00CD0E9D">
            <w:rPr>
              <w:noProof/>
            </w:rPr>
            <w:t xml:space="preserve"> </w:t>
          </w:r>
          <w:r w:rsidR="00CD0E9D" w:rsidRPr="00CD0E9D">
            <w:rPr>
              <w:noProof/>
            </w:rPr>
            <w:t>[9]</w:t>
          </w:r>
          <w:r w:rsidR="00AC66AE">
            <w:fldChar w:fldCharType="end"/>
          </w:r>
        </w:sdtContent>
      </w:sdt>
      <w:r w:rsidRPr="00321BD9">
        <w:t>. These measures should be analysed by diagnosis, procedure, specialty, provider, patient group and time period. This would help the Medical Director identify clinical variation, monitor patient safety and target quality improvement programmes .</w:t>
      </w:r>
    </w:p>
    <w:p w14:paraId="4B7FB9BA" w14:textId="77777777" w:rsidR="00321BD9" w:rsidRPr="00321BD9" w:rsidRDefault="00321BD9" w:rsidP="00321BD9">
      <w:r w:rsidRPr="00321BD9">
        <w:t>All three data marts should share common dimensions, such as Date, Provider, Specialty, Patient Group and Region. This ensures that the CEO, Finance Director and Medical Director receive tailored insights while relying on the same trusted data definitions.</w:t>
      </w:r>
    </w:p>
    <w:p w14:paraId="7E68C736" w14:textId="24194E95" w:rsidR="00020CDA" w:rsidRDefault="00321BD9" w:rsidP="00F72B02">
      <w:r>
        <w:t xml:space="preserve">               </w:t>
      </w:r>
      <w:r w:rsidR="00020CDA" w:rsidRPr="00020CDA">
        <w:rPr>
          <w:noProof/>
        </w:rPr>
        <w:drawing>
          <wp:inline distT="0" distB="0" distL="0" distR="0" wp14:anchorId="291366B1" wp14:editId="11E66737">
            <wp:extent cx="6465070" cy="1348740"/>
            <wp:effectExtent l="0" t="0" r="0" b="3810"/>
            <wp:docPr id="2029895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895750" name=""/>
                    <pic:cNvPicPr/>
                  </pic:nvPicPr>
                  <pic:blipFill>
                    <a:blip r:embed="rId14"/>
                    <a:stretch>
                      <a:fillRect/>
                    </a:stretch>
                  </pic:blipFill>
                  <pic:spPr>
                    <a:xfrm>
                      <a:off x="0" y="0"/>
                      <a:ext cx="6469017" cy="1349563"/>
                    </a:xfrm>
                    <a:prstGeom prst="rect">
                      <a:avLst/>
                    </a:prstGeom>
                  </pic:spPr>
                </pic:pic>
              </a:graphicData>
            </a:graphic>
          </wp:inline>
        </w:drawing>
      </w:r>
    </w:p>
    <w:p w14:paraId="3B7837EB" w14:textId="24521AC5" w:rsidR="005D1AC0" w:rsidRDefault="00020CDA" w:rsidP="00020CDA">
      <w:pPr>
        <w:pStyle w:val="Caption"/>
      </w:pPr>
      <w:bookmarkStart w:id="11" w:name="_Toc234506903"/>
      <w:r>
        <w:t xml:space="preserve">Figure </w:t>
      </w:r>
      <w:fldSimple w:instr=" SEQ Figure \* ARABIC ">
        <w:r w:rsidR="007652C4">
          <w:rPr>
            <w:noProof/>
          </w:rPr>
          <w:t>4</w:t>
        </w:r>
      </w:fldSimple>
      <w:r>
        <w:t xml:space="preserve">- </w:t>
      </w:r>
      <w:r w:rsidR="00F72B02" w:rsidRPr="00F72B02">
        <w:t>Proposed NHS England Data Marts for Senior Management Decision-Making</w:t>
      </w:r>
      <w:bookmarkEnd w:id="11"/>
      <w:r w:rsidR="00F72B02" w:rsidRPr="00F72B02">
        <w:t xml:space="preserve">                                                 </w:t>
      </w:r>
    </w:p>
    <w:p w14:paraId="3EA0258D" w14:textId="77777777" w:rsidR="007652C4" w:rsidRDefault="007652C4" w:rsidP="00D858A3">
      <w:pPr>
        <w:pStyle w:val="Heading3"/>
      </w:pPr>
      <w:bookmarkStart w:id="12" w:name="_Toc234506783"/>
    </w:p>
    <w:p w14:paraId="5ECB0657" w14:textId="5A81BF99" w:rsidR="00CD1476" w:rsidRPr="002F4200" w:rsidRDefault="00CD1476" w:rsidP="002F4200">
      <w:pPr>
        <w:pStyle w:val="Heading3"/>
        <w:jc w:val="center"/>
        <w:rPr>
          <w:b/>
          <w:bCs/>
        </w:rPr>
      </w:pPr>
      <w:r w:rsidRPr="002F4200">
        <w:rPr>
          <w:b/>
          <w:bCs/>
        </w:rPr>
        <w:t>1.4 OLTP Normalisation vs. Data Warehouse Dimensional Modelling</w:t>
      </w:r>
      <w:bookmarkEnd w:id="12"/>
    </w:p>
    <w:p w14:paraId="039AB4C8" w14:textId="77777777" w:rsidR="007652C4" w:rsidRDefault="00CD1476" w:rsidP="000E69CC">
      <w:r w:rsidRPr="00CD1476">
        <w:t xml:space="preserve"> </w:t>
      </w:r>
    </w:p>
    <w:p w14:paraId="1A90A019" w14:textId="20CD6B51" w:rsidR="00CD1476" w:rsidRDefault="00CD1476" w:rsidP="000E69CC">
      <w:r w:rsidRPr="00CD1476">
        <w:t>Normalised OLTP structures and dimensional warehouse models are designed for different purposes. In NHS operational systems such as EPR and PAS, data is usually normalised into many related tables, for example separate patient, admission, ward, consultant, treatment and invoice tables. This reduces duplication, improves data integrity and supports fast updates to individual records. It is suitable for live care because staff need accurate current records when registering patients, recording treatments or updating discharge details</w:t>
      </w:r>
      <w:sdt>
        <w:sdtPr>
          <w:id w:val="-961498845"/>
          <w:citation/>
        </w:sdtPr>
        <w:sdtContent>
          <w:r w:rsidR="00FB54AB">
            <w:fldChar w:fldCharType="begin"/>
          </w:r>
          <w:r w:rsidR="00FB54AB">
            <w:instrText xml:space="preserve"> CITATION Fis23 \l 2057 </w:instrText>
          </w:r>
          <w:r w:rsidR="00FB54AB">
            <w:fldChar w:fldCharType="separate"/>
          </w:r>
          <w:r w:rsidR="00CD0E9D">
            <w:rPr>
              <w:noProof/>
            </w:rPr>
            <w:t xml:space="preserve"> </w:t>
          </w:r>
          <w:r w:rsidR="00CD0E9D" w:rsidRPr="00CD0E9D">
            <w:rPr>
              <w:noProof/>
            </w:rPr>
            <w:t>[10]</w:t>
          </w:r>
          <w:r w:rsidR="00FB54AB">
            <w:fldChar w:fldCharType="end"/>
          </w:r>
        </w:sdtContent>
      </w:sdt>
      <w:r w:rsidRPr="00CD1476">
        <w:t xml:space="preserve">. </w:t>
      </w:r>
    </w:p>
    <w:p w14:paraId="73FD0C1B" w14:textId="6EF24F16" w:rsidR="00CF6CF9" w:rsidRDefault="00CD1476" w:rsidP="000E69CC">
      <w:r w:rsidRPr="00CD1476">
        <w:t>However, the same structure is less suitable for strategic analysis. Board-level questions, such as average length of stay by region, specialty and month, may require many joins across large operational tables. This can make reporting complex if run directly against live systems. A data warehouse therefore uses dimensional modelling. In a star schema, a central fact table stores measurable events, while surrounding dimension tables describe the context</w:t>
      </w:r>
      <w:sdt>
        <w:sdtPr>
          <w:id w:val="-907844396"/>
          <w:citation/>
        </w:sdtPr>
        <w:sdtContent>
          <w:r w:rsidR="00154D42">
            <w:fldChar w:fldCharType="begin"/>
          </w:r>
          <w:r w:rsidR="00154D42">
            <w:instrText xml:space="preserve"> CITATION Aki24 \l 2057 </w:instrText>
          </w:r>
          <w:r w:rsidR="00154D42">
            <w:fldChar w:fldCharType="separate"/>
          </w:r>
          <w:r w:rsidR="00CD0E9D">
            <w:rPr>
              <w:noProof/>
            </w:rPr>
            <w:t xml:space="preserve"> </w:t>
          </w:r>
          <w:r w:rsidR="00CD0E9D" w:rsidRPr="00CD0E9D">
            <w:rPr>
              <w:noProof/>
            </w:rPr>
            <w:t>[11]</w:t>
          </w:r>
          <w:r w:rsidR="00154D42">
            <w:fldChar w:fldCharType="end"/>
          </w:r>
        </w:sdtContent>
      </w:sdt>
      <w:r w:rsidRPr="00CD1476">
        <w:t>. For NHS England, Fact_Patient_Activity could store measures such as length of stay, waiting time, bed days, treatment cost and readmission flag. It would link to dimensions such as Dim_Patient , Dim_Treatment , Dim_Location and Dim_Time . This design is easier for managers and analysts to understand because they can analyse facts by patient group, treatment type, hospital, ICS region and reporting period.</w:t>
      </w:r>
    </w:p>
    <w:p w14:paraId="6AD20193" w14:textId="77777777" w:rsidR="00F72B02" w:rsidRDefault="00F97D84" w:rsidP="00F72B02">
      <w:pPr>
        <w:keepNext/>
      </w:pPr>
      <w:r w:rsidRPr="00F97D84">
        <w:rPr>
          <w:noProof/>
        </w:rPr>
        <w:lastRenderedPageBreak/>
        <w:drawing>
          <wp:inline distT="0" distB="0" distL="0" distR="0" wp14:anchorId="0676586D" wp14:editId="3AE4FF53">
            <wp:extent cx="3201185" cy="2240280"/>
            <wp:effectExtent l="0" t="0" r="0" b="7620"/>
            <wp:docPr id="193999248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6669"/>
                    <a:stretch>
                      <a:fillRect/>
                    </a:stretch>
                  </pic:blipFill>
                  <pic:spPr bwMode="auto">
                    <a:xfrm>
                      <a:off x="0" y="0"/>
                      <a:ext cx="3254446" cy="2277554"/>
                    </a:xfrm>
                    <a:prstGeom prst="rect">
                      <a:avLst/>
                    </a:prstGeom>
                    <a:noFill/>
                    <a:ln>
                      <a:noFill/>
                    </a:ln>
                    <a:extLst>
                      <a:ext uri="{53640926-AAD7-44D8-BBD7-CCE9431645EC}">
                        <a14:shadowObscured xmlns:a14="http://schemas.microsoft.com/office/drawing/2010/main"/>
                      </a:ext>
                    </a:extLst>
                  </pic:spPr>
                </pic:pic>
              </a:graphicData>
            </a:graphic>
          </wp:inline>
        </w:drawing>
      </w:r>
    </w:p>
    <w:p w14:paraId="052AFD1B" w14:textId="2F92E763" w:rsidR="00F97D84" w:rsidRPr="00F97D84" w:rsidRDefault="00F72B02" w:rsidP="00F72B02">
      <w:pPr>
        <w:pStyle w:val="Caption"/>
      </w:pPr>
      <w:bookmarkStart w:id="13" w:name="_Toc234506904"/>
      <w:r>
        <w:t xml:space="preserve">Figure </w:t>
      </w:r>
      <w:fldSimple w:instr=" SEQ Figure \* ARABIC ">
        <w:r w:rsidR="007652C4">
          <w:rPr>
            <w:noProof/>
          </w:rPr>
          <w:t>5</w:t>
        </w:r>
      </w:fldSimple>
      <w:r>
        <w:t>- Star Schema for NHS Patient Activity</w:t>
      </w:r>
      <w:bookmarkEnd w:id="13"/>
    </w:p>
    <w:p w14:paraId="1D65473F" w14:textId="5212F036" w:rsidR="0054587A" w:rsidRDefault="0054587A" w:rsidP="000E69CC"/>
    <w:p w14:paraId="0E95D2A6" w14:textId="3ABE5200" w:rsidR="0054587A" w:rsidRDefault="0054587A" w:rsidP="000E69CC">
      <w:r>
        <w:t>The key difference is that OLTP normalisation is update-focused, while dimensional modelling is analysis</w:t>
      </w:r>
      <w:r w:rsidR="00681D89">
        <w:t xml:space="preserve"> </w:t>
      </w:r>
      <w:r>
        <w:t>focused. The warehouse does not replace normalised EPR or PAS databases; it restructures copied data into a simpler model for faster reporting, trend analysis and cross-regional comparison.</w:t>
      </w:r>
    </w:p>
    <w:p w14:paraId="1D742B03" w14:textId="77777777" w:rsidR="00154D42" w:rsidRDefault="00154D42" w:rsidP="000E69CC"/>
    <w:p w14:paraId="690BA144" w14:textId="53EA8BCE" w:rsidR="001D71C3" w:rsidRPr="002F4200" w:rsidRDefault="00EB5A95" w:rsidP="002F4200">
      <w:pPr>
        <w:pStyle w:val="Heading2"/>
        <w:jc w:val="center"/>
        <w:rPr>
          <w:b/>
          <w:bCs/>
        </w:rPr>
      </w:pPr>
      <w:bookmarkStart w:id="14" w:name="_Toc234506784"/>
      <w:r w:rsidRPr="002F4200">
        <w:rPr>
          <w:b/>
          <w:bCs/>
        </w:rPr>
        <w:t>TASK 2</w:t>
      </w:r>
      <w:bookmarkEnd w:id="14"/>
    </w:p>
    <w:p w14:paraId="01F46EDC" w14:textId="77777777" w:rsidR="002F4200" w:rsidRDefault="002F4200" w:rsidP="002F4200">
      <w:pPr>
        <w:pStyle w:val="Heading3"/>
        <w:jc w:val="center"/>
      </w:pPr>
      <w:bookmarkStart w:id="15" w:name="_Toc234506785"/>
    </w:p>
    <w:p w14:paraId="738E4F23" w14:textId="199EF39C" w:rsidR="001D71C3" w:rsidRPr="002F4200" w:rsidRDefault="001D71C3" w:rsidP="002F4200">
      <w:pPr>
        <w:pStyle w:val="Heading3"/>
        <w:jc w:val="center"/>
        <w:rPr>
          <w:b/>
          <w:bCs/>
        </w:rPr>
      </w:pPr>
      <w:r w:rsidRPr="002F4200">
        <w:rPr>
          <w:b/>
          <w:bCs/>
        </w:rPr>
        <w:t>2.1 Source System Identification</w:t>
      </w:r>
      <w:bookmarkEnd w:id="15"/>
    </w:p>
    <w:p w14:paraId="0C46F7D9" w14:textId="77777777" w:rsidR="002F4200" w:rsidRDefault="002F4200" w:rsidP="001D71C3"/>
    <w:p w14:paraId="357ED8BE" w14:textId="79960B93" w:rsidR="001D71C3" w:rsidRPr="001D71C3" w:rsidRDefault="001D71C3" w:rsidP="001D71C3">
      <w:r w:rsidRPr="001D71C3">
        <w:t>NHS England’s data warehouse should be fed by both internal and external data sources. Internal sources should include Electronic Patient Records and Patient Administration Systems for patient demographics, admissions, discharges, diagnoses, procedures and waiting times. Clinical systems such as pathology, radiology, pharmacy, theatre and emergency department systems would provide tests, treatments and outcomes. Workforce and rostering systems would supply staffing levels, sickness, vacancies, overtime and agency usage, while finance and costing systems would provide budgets, tariffs, expenditure and cost per patient episode. Other internal feeds should include bed management, incident-reporting and patient-feedback systems.</w:t>
      </w:r>
    </w:p>
    <w:p w14:paraId="5E4DC192" w14:textId="58DB28F4" w:rsidR="001D71C3" w:rsidRDefault="001D71C3" w:rsidP="001D71C3">
      <w:r w:rsidRPr="001D71C3">
        <w:t xml:space="preserve">External sources could include Office for National Statistics demographic data, public health datasets, deprivation indices, CQC ratings, national tariffs and benchmarking datasets to support wider performance comparison </w:t>
      </w:r>
      <w:sdt>
        <w:sdtPr>
          <w:id w:val="1373578505"/>
          <w:citation/>
        </w:sdtPr>
        <w:sdtContent>
          <w:r w:rsidR="004D05E7">
            <w:fldChar w:fldCharType="begin"/>
          </w:r>
          <w:r w:rsidR="004D05E7">
            <w:instrText xml:space="preserve"> CITATION Mcv21 \l 2057 </w:instrText>
          </w:r>
          <w:r w:rsidR="004D05E7">
            <w:fldChar w:fldCharType="separate"/>
          </w:r>
          <w:r w:rsidR="00CD0E9D" w:rsidRPr="00CD0E9D">
            <w:rPr>
              <w:noProof/>
            </w:rPr>
            <w:t>[12]</w:t>
          </w:r>
          <w:r w:rsidR="004D05E7">
            <w:fldChar w:fldCharType="end"/>
          </w:r>
        </w:sdtContent>
      </w:sdt>
      <w:r w:rsidRPr="001D71C3">
        <w:t>.</w:t>
      </w:r>
    </w:p>
    <w:p w14:paraId="66210D93" w14:textId="77777777" w:rsidR="009A0E08" w:rsidRDefault="009A0E08" w:rsidP="001D71C3"/>
    <w:p w14:paraId="0888FB05" w14:textId="77777777" w:rsidR="009A0E08" w:rsidRPr="002F4200" w:rsidRDefault="009A0E08" w:rsidP="002F4200">
      <w:pPr>
        <w:pStyle w:val="Heading3"/>
        <w:jc w:val="center"/>
        <w:rPr>
          <w:b/>
          <w:bCs/>
        </w:rPr>
      </w:pPr>
      <w:bookmarkStart w:id="16" w:name="_Toc234506786"/>
      <w:r w:rsidRPr="002F4200">
        <w:rPr>
          <w:b/>
          <w:bCs/>
        </w:rPr>
        <w:t>2.2 Star Schema Design</w:t>
      </w:r>
      <w:bookmarkEnd w:id="16"/>
    </w:p>
    <w:p w14:paraId="112E18D9" w14:textId="24371536" w:rsidR="005C2DAC" w:rsidRPr="005C2DAC" w:rsidRDefault="00B476E1" w:rsidP="005C2DAC">
      <w:pPr>
        <w:rPr>
          <w:b/>
          <w:bCs/>
        </w:rPr>
      </w:pPr>
      <w:r>
        <w:t xml:space="preserve">    </w:t>
      </w:r>
    </w:p>
    <w:p w14:paraId="307BF255" w14:textId="77777777" w:rsidR="005C2DAC" w:rsidRPr="005C2DAC" w:rsidRDefault="005C2DAC" w:rsidP="005C2DAC">
      <w:r w:rsidRPr="005C2DAC">
        <w:t xml:space="preserve">An appropriate design for an NHS data warehouse is a </w:t>
      </w:r>
      <w:r w:rsidRPr="005C2DAC">
        <w:rPr>
          <w:b/>
          <w:bCs/>
        </w:rPr>
        <w:t>star schema constellation</w:t>
      </w:r>
      <w:r w:rsidRPr="005C2DAC">
        <w:t xml:space="preserve">, also called a bus architecture. This means that several star schemas are used, with each fact table representing a different NHS business process. Shared dimensions are conformed, meaning they have the same keys </w:t>
      </w:r>
      <w:r w:rsidRPr="005C2DAC">
        <w:lastRenderedPageBreak/>
        <w:t>and definitions across the warehouse. This allows analysis across patient activity, staff resources and monthly performance indicators.</w:t>
      </w:r>
    </w:p>
    <w:p w14:paraId="1E0C74E2" w14:textId="4099702A" w:rsidR="005C2DAC" w:rsidRPr="005C2DAC" w:rsidRDefault="005C2DAC" w:rsidP="004A26C7">
      <w:pPr>
        <w:jc w:val="center"/>
        <w:rPr>
          <w:b/>
          <w:bCs/>
        </w:rPr>
      </w:pPr>
      <w:r w:rsidRPr="005C2DAC">
        <w:rPr>
          <w:b/>
          <w:bCs/>
        </w:rPr>
        <w:t>Shared Dimension</w:t>
      </w:r>
      <w:r w:rsidR="001068EA">
        <w:rPr>
          <w:b/>
          <w:bCs/>
        </w:rPr>
        <w:t>s</w:t>
      </w:r>
    </w:p>
    <w:p w14:paraId="1886397D" w14:textId="77777777" w:rsidR="007652C4" w:rsidRDefault="007652C4" w:rsidP="005C2DAC"/>
    <w:p w14:paraId="5EECB8F3" w14:textId="5D301443" w:rsidR="005C2DAC" w:rsidRPr="005C2DAC" w:rsidRDefault="005C2DAC" w:rsidP="005C2DAC">
      <w:r w:rsidRPr="005C2DAC">
        <w:t xml:space="preserve">The warehouse would include several master data and metadata dimensions. </w:t>
      </w:r>
      <w:r w:rsidRPr="005C2DAC">
        <w:rPr>
          <w:b/>
          <w:bCs/>
        </w:rPr>
        <w:t>Dim_Patient</w:t>
      </w:r>
      <w:r w:rsidRPr="005C2DAC">
        <w:t xml:space="preserve"> stores patient master data, including patient_key as the surrogate primary key, pseudonymised NHS number, date of birth, gender, ethnicity, postcode area, registered GP practice, valid_from, valid_to and is_current. This should be a Type 2 slowly changing dimension so that historical changes, such as a patient moving GP practice, are preserved.</w:t>
      </w:r>
    </w:p>
    <w:p w14:paraId="74D633E9" w14:textId="717DE852" w:rsidR="001068EA" w:rsidRDefault="005C2DAC" w:rsidP="001068EA">
      <w:r w:rsidRPr="005C2DAC">
        <w:rPr>
          <w:b/>
          <w:bCs/>
        </w:rPr>
        <w:t>Dim_Staff</w:t>
      </w:r>
      <w:r w:rsidRPr="005C2DAC">
        <w:t xml:space="preserve"> stores staff master data such as staff_key, staff ID, role, grade, specialty, department and employment type. </w:t>
      </w:r>
      <w:r w:rsidRPr="005C2DAC">
        <w:rPr>
          <w:b/>
          <w:bCs/>
        </w:rPr>
        <w:t>Dim_Organisation</w:t>
      </w:r>
      <w:r w:rsidRPr="005C2DAC">
        <w:t xml:space="preserve"> stores NHS organisational master data, including org_key, ODS code, trust name, site name, region and Integrated Care Board. </w:t>
      </w:r>
      <w:r w:rsidRPr="005C2DAC">
        <w:rPr>
          <w:b/>
          <w:bCs/>
        </w:rPr>
        <w:t>Dim_Service_Type</w:t>
      </w:r>
      <w:r w:rsidRPr="005C2DAC">
        <w:t xml:space="preserve"> is a metadata dimension containing service code, service name, care setting and specialty group, such as A&amp;E, outpatient, inpatient, diagnostic or community services. </w:t>
      </w:r>
      <w:r w:rsidRPr="005C2DAC">
        <w:rPr>
          <w:b/>
          <w:bCs/>
        </w:rPr>
        <w:t>Dim_Date</w:t>
      </w:r>
      <w:r w:rsidRPr="005C2DAC">
        <w:t xml:space="preserve"> stores date metadata such as day, month, quarter, financial year, weekend flag and bank holiday flag. </w:t>
      </w:r>
      <w:r w:rsidRPr="005C2DAC">
        <w:rPr>
          <w:b/>
          <w:bCs/>
        </w:rPr>
        <w:t>Dim_Diagnosis</w:t>
      </w:r>
      <w:r w:rsidRPr="005C2DAC">
        <w:t xml:space="preserve"> stores clinical </w:t>
      </w:r>
      <w:r w:rsidR="001068EA" w:rsidRPr="005C2DAC">
        <w:t>metadata such as ICD-10 code, diagnosis description, chapter and body system.</w:t>
      </w:r>
    </w:p>
    <w:p w14:paraId="70D8AD88" w14:textId="064679B8" w:rsidR="001068EA" w:rsidRDefault="00443D91" w:rsidP="005C2DAC">
      <w:r w:rsidRPr="001068EA">
        <w:rPr>
          <w:noProof/>
        </w:rPr>
        <w:drawing>
          <wp:anchor distT="0" distB="0" distL="114300" distR="114300" simplePos="0" relativeHeight="251668480" behindDoc="0" locked="0" layoutInCell="1" allowOverlap="1" wp14:anchorId="27C7A285" wp14:editId="1733DB9B">
            <wp:simplePos x="0" y="0"/>
            <wp:positionH relativeFrom="page">
              <wp:posOffset>373380</wp:posOffset>
            </wp:positionH>
            <wp:positionV relativeFrom="paragraph">
              <wp:posOffset>171450</wp:posOffset>
            </wp:positionV>
            <wp:extent cx="6658610" cy="1363980"/>
            <wp:effectExtent l="0" t="0" r="8890" b="7620"/>
            <wp:wrapThrough wrapText="bothSides">
              <wp:wrapPolygon edited="0">
                <wp:start x="0" y="0"/>
                <wp:lineTo x="0" y="21419"/>
                <wp:lineTo x="21567" y="21419"/>
                <wp:lineTo x="21567" y="0"/>
                <wp:lineTo x="0" y="0"/>
              </wp:wrapPolygon>
            </wp:wrapThrough>
            <wp:docPr id="2037450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450539" name=""/>
                    <pic:cNvPicPr/>
                  </pic:nvPicPr>
                  <pic:blipFill rotWithShape="1">
                    <a:blip r:embed="rId16">
                      <a:extLst>
                        <a:ext uri="{28A0092B-C50C-407E-A947-70E740481C1C}">
                          <a14:useLocalDpi xmlns:a14="http://schemas.microsoft.com/office/drawing/2010/main" val="0"/>
                        </a:ext>
                      </a:extLst>
                    </a:blip>
                    <a:srcRect l="984" t="-490" r="1082" b="490"/>
                    <a:stretch>
                      <a:fillRect/>
                    </a:stretch>
                  </pic:blipFill>
                  <pic:spPr bwMode="auto">
                    <a:xfrm>
                      <a:off x="0" y="0"/>
                      <a:ext cx="6658610" cy="1363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068EA">
        <w:rPr>
          <w:noProof/>
        </w:rPr>
        <mc:AlternateContent>
          <mc:Choice Requires="wps">
            <w:drawing>
              <wp:anchor distT="0" distB="0" distL="114300" distR="114300" simplePos="0" relativeHeight="251670528" behindDoc="0" locked="0" layoutInCell="1" allowOverlap="1" wp14:anchorId="3FFB4A9A" wp14:editId="6111F1A8">
                <wp:simplePos x="0" y="0"/>
                <wp:positionH relativeFrom="column">
                  <wp:posOffset>-647700</wp:posOffset>
                </wp:positionH>
                <wp:positionV relativeFrom="paragraph">
                  <wp:posOffset>1630680</wp:posOffset>
                </wp:positionV>
                <wp:extent cx="6766560" cy="635"/>
                <wp:effectExtent l="0" t="0" r="0" b="0"/>
                <wp:wrapThrough wrapText="bothSides">
                  <wp:wrapPolygon edited="0">
                    <wp:start x="0" y="0"/>
                    <wp:lineTo x="0" y="21600"/>
                    <wp:lineTo x="21600" y="21600"/>
                    <wp:lineTo x="21600" y="0"/>
                  </wp:wrapPolygon>
                </wp:wrapThrough>
                <wp:docPr id="599798015" name="Text Box 1"/>
                <wp:cNvGraphicFramePr/>
                <a:graphic xmlns:a="http://schemas.openxmlformats.org/drawingml/2006/main">
                  <a:graphicData uri="http://schemas.microsoft.com/office/word/2010/wordprocessingShape">
                    <wps:wsp>
                      <wps:cNvSpPr txBox="1"/>
                      <wps:spPr>
                        <a:xfrm>
                          <a:off x="0" y="0"/>
                          <a:ext cx="6766560" cy="635"/>
                        </a:xfrm>
                        <a:prstGeom prst="rect">
                          <a:avLst/>
                        </a:prstGeom>
                        <a:solidFill>
                          <a:prstClr val="white"/>
                        </a:solidFill>
                        <a:ln>
                          <a:noFill/>
                        </a:ln>
                      </wps:spPr>
                      <wps:txbx>
                        <w:txbxContent>
                          <w:p w14:paraId="276E45C5" w14:textId="133EC50E" w:rsidR="001068EA" w:rsidRPr="00C34A96" w:rsidRDefault="001068EA" w:rsidP="001068EA">
                            <w:pPr>
                              <w:pStyle w:val="Caption"/>
                              <w:rPr>
                                <w:sz w:val="22"/>
                                <w:szCs w:val="22"/>
                              </w:rPr>
                            </w:pPr>
                            <w:bookmarkStart w:id="17" w:name="_Toc234506860"/>
                            <w:bookmarkStart w:id="18" w:name="_Toc234506905"/>
                            <w:r>
                              <w:t xml:space="preserve">Figure </w:t>
                            </w:r>
                            <w:fldSimple w:instr=" SEQ Figure \* ARABIC ">
                              <w:r w:rsidR="007652C4">
                                <w:rPr>
                                  <w:noProof/>
                                </w:rPr>
                                <w:t>6</w:t>
                              </w:r>
                            </w:fldSimple>
                            <w:r>
                              <w:t xml:space="preserve"> - Shared Dimension Table</w:t>
                            </w:r>
                            <w:bookmarkEnd w:id="17"/>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FB4A9A" id="_x0000_s1030" type="#_x0000_t202" style="position:absolute;margin-left:-51pt;margin-top:128.4pt;width:532.8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" stroked="f">
                <v:textbox style="mso-fit-shape-to-text:t" inset="0,0,0,0">
                  <w:txbxContent>
                    <w:p w14:paraId="276E45C5" w14:textId="133EC50E" w:rsidR="001068EA" w:rsidRPr="00C34A96" w:rsidRDefault="001068EA" w:rsidP="001068EA">
                      <w:pPr>
                        <w:pStyle w:val="Caption"/>
                        <w:rPr>
                          <w:sz w:val="22"/>
                          <w:szCs w:val="22"/>
                        </w:rPr>
                      </w:pPr>
                      <w:bookmarkStart w:id="19" w:name="_Toc234506860"/>
                      <w:bookmarkStart w:id="20" w:name="_Toc234506905"/>
                      <w:r>
                        <w:t xml:space="preserve">Figure </w:t>
                      </w:r>
                      <w:fldSimple w:instr=" SEQ Figure \* ARABIC ">
                        <w:r w:rsidR="007652C4">
                          <w:rPr>
                            <w:noProof/>
                          </w:rPr>
                          <w:t>6</w:t>
                        </w:r>
                      </w:fldSimple>
                      <w:r>
                        <w:t xml:space="preserve"> - Shared Dimension Table</w:t>
                      </w:r>
                      <w:bookmarkEnd w:id="19"/>
                      <w:bookmarkEnd w:id="20"/>
                    </w:p>
                  </w:txbxContent>
                </v:textbox>
                <w10:wrap type="through"/>
              </v:shape>
            </w:pict>
          </mc:Fallback>
        </mc:AlternateContent>
      </w:r>
    </w:p>
    <w:p w14:paraId="0FF35F74" w14:textId="38FF2D00" w:rsidR="001068EA" w:rsidRPr="005C2DAC" w:rsidRDefault="001068EA" w:rsidP="005C2DAC"/>
    <w:p w14:paraId="5F89FF28" w14:textId="2983D4E7" w:rsidR="005C2DAC" w:rsidRPr="005C2DAC" w:rsidRDefault="005C2DAC" w:rsidP="002F4200">
      <w:pPr>
        <w:jc w:val="center"/>
        <w:rPr>
          <w:b/>
          <w:bCs/>
        </w:rPr>
      </w:pPr>
      <w:r w:rsidRPr="005C2DAC">
        <w:rPr>
          <w:b/>
          <w:bCs/>
        </w:rPr>
        <w:t>Star Schema 1: Patient Attendance</w:t>
      </w:r>
    </w:p>
    <w:p w14:paraId="45C622C1" w14:textId="77777777" w:rsidR="007652C4" w:rsidRDefault="007652C4" w:rsidP="005C2DAC"/>
    <w:p w14:paraId="4C0E809D" w14:textId="563B8E12" w:rsidR="005C2DAC" w:rsidRDefault="005C2DAC" w:rsidP="005C2DAC">
      <w:r w:rsidRPr="005C2DAC">
        <w:t xml:space="preserve">The first star schema is centred on </w:t>
      </w:r>
      <w:r w:rsidRPr="005C2DAC">
        <w:rPr>
          <w:b/>
          <w:bCs/>
        </w:rPr>
        <w:t>Fact_Attendance</w:t>
      </w:r>
      <w:r w:rsidRPr="005C2DAC">
        <w:t xml:space="preserve">. Its grain is </w:t>
      </w:r>
      <w:r w:rsidRPr="005C2DAC">
        <w:rPr>
          <w:b/>
          <w:bCs/>
        </w:rPr>
        <w:t>one row per patient encounter or appointment</w:t>
      </w:r>
      <w:r w:rsidRPr="005C2DAC">
        <w:t>. It links to Dim_Patient, Dim_Staff, Dim_Service_Type, Dim_Organisation, Dim_Date and Dim_Diagnosis. The fact table contains foreign keys such as patient_key, staff_key, service_key, org_key, appointment_date_key, discharge_date_key and diagnosis_key. Dim_Date acts as a role-playing dimension because it is used for both appointment date and discharge date. Measures include wait_time_minutes, length_of_stay_days, did_not_attend_flag, was_seen_flag and treatment_cost.</w:t>
      </w:r>
    </w:p>
    <w:p w14:paraId="4B893B97" w14:textId="77777777" w:rsidR="00476667" w:rsidRDefault="00476667" w:rsidP="00476667">
      <w:pPr>
        <w:keepNext/>
      </w:pPr>
      <w:r w:rsidRPr="00476667">
        <w:rPr>
          <w:noProof/>
        </w:rPr>
        <w:lastRenderedPageBreak/>
        <w:drawing>
          <wp:inline distT="0" distB="0" distL="0" distR="0" wp14:anchorId="6AC289A4" wp14:editId="0DF65D90">
            <wp:extent cx="3878580" cy="2566382"/>
            <wp:effectExtent l="0" t="0" r="7620" b="5715"/>
            <wp:docPr id="12530937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1756"/>
                    <a:stretch>
                      <a:fillRect/>
                    </a:stretch>
                  </pic:blipFill>
                  <pic:spPr bwMode="auto">
                    <a:xfrm>
                      <a:off x="0" y="0"/>
                      <a:ext cx="3909168" cy="2586622"/>
                    </a:xfrm>
                    <a:prstGeom prst="rect">
                      <a:avLst/>
                    </a:prstGeom>
                    <a:noFill/>
                    <a:ln>
                      <a:noFill/>
                    </a:ln>
                    <a:extLst>
                      <a:ext uri="{53640926-AAD7-44D8-BBD7-CCE9431645EC}">
                        <a14:shadowObscured xmlns:a14="http://schemas.microsoft.com/office/drawing/2010/main"/>
                      </a:ext>
                    </a:extLst>
                  </pic:spPr>
                </pic:pic>
              </a:graphicData>
            </a:graphic>
          </wp:inline>
        </w:drawing>
      </w:r>
    </w:p>
    <w:p w14:paraId="442753AF" w14:textId="02F59113" w:rsidR="00476667" w:rsidRPr="00476667" w:rsidRDefault="00476667" w:rsidP="00476667">
      <w:pPr>
        <w:pStyle w:val="Caption"/>
      </w:pPr>
      <w:bookmarkStart w:id="21" w:name="_Toc234506906"/>
      <w:r>
        <w:t xml:space="preserve">Figure </w:t>
      </w:r>
      <w:fldSimple w:instr=" SEQ Figure \* ARABIC ">
        <w:r w:rsidR="007652C4">
          <w:rPr>
            <w:noProof/>
          </w:rPr>
          <w:t>7</w:t>
        </w:r>
      </w:fldSimple>
      <w:r>
        <w:t>- Patient Attendance Star Schema</w:t>
      </w:r>
      <w:bookmarkEnd w:id="21"/>
    </w:p>
    <w:p w14:paraId="2E683D6D" w14:textId="77777777" w:rsidR="008626FC" w:rsidRDefault="008626FC" w:rsidP="005C2DAC"/>
    <w:p w14:paraId="6368F421" w14:textId="42D2DCAA" w:rsidR="005C2DAC" w:rsidRPr="005C2DAC" w:rsidRDefault="005C2DAC" w:rsidP="002F4200">
      <w:pPr>
        <w:jc w:val="center"/>
        <w:rPr>
          <w:b/>
          <w:bCs/>
        </w:rPr>
      </w:pPr>
      <w:r w:rsidRPr="005C2DAC">
        <w:rPr>
          <w:b/>
          <w:bCs/>
        </w:rPr>
        <w:t>Star Schema 2: Monthly Performance Indicators</w:t>
      </w:r>
    </w:p>
    <w:p w14:paraId="4FABF4F5" w14:textId="77777777" w:rsidR="002F4200" w:rsidRDefault="002F4200" w:rsidP="005C2DAC"/>
    <w:p w14:paraId="4C6A81CF" w14:textId="194D9077" w:rsidR="005C2DAC" w:rsidRDefault="005C2DAC" w:rsidP="005C2DAC">
      <w:r w:rsidRPr="005C2DAC">
        <w:t xml:space="preserve">The second star schema is centred on </w:t>
      </w:r>
      <w:r w:rsidRPr="005C2DAC">
        <w:rPr>
          <w:b/>
          <w:bCs/>
        </w:rPr>
        <w:t>Fact_Monthly_Performance</w:t>
      </w:r>
      <w:r w:rsidRPr="005C2DAC">
        <w:t xml:space="preserve">. Its grain is </w:t>
      </w:r>
      <w:r w:rsidRPr="005C2DAC">
        <w:rPr>
          <w:b/>
          <w:bCs/>
        </w:rPr>
        <w:t>one row per organisation, service type and month</w:t>
      </w:r>
      <w:r w:rsidRPr="005C2DAC">
        <w:t>. It links to Dim_Organisation, Dim_Service_Type and Dim_Date. This is an aggregate fact table used for performance dashboards. Measures include total_attendances, average_wait_time, percentage_seen_within_4_hours, 18_week_RTT_percentage, DNA_rate, bed_occupancy_rate and total_cost.</w:t>
      </w:r>
    </w:p>
    <w:p w14:paraId="705B2808" w14:textId="77777777" w:rsidR="008626FC" w:rsidRDefault="008626FC" w:rsidP="005C2DAC"/>
    <w:p w14:paraId="2F8F458A" w14:textId="77777777" w:rsidR="008626FC" w:rsidRDefault="008626FC" w:rsidP="008626FC">
      <w:pPr>
        <w:keepNext/>
      </w:pPr>
      <w:r w:rsidRPr="008626FC">
        <w:rPr>
          <w:noProof/>
        </w:rPr>
        <w:drawing>
          <wp:inline distT="0" distB="0" distL="0" distR="0" wp14:anchorId="62DB0328" wp14:editId="03AFE525">
            <wp:extent cx="3580924" cy="2328545"/>
            <wp:effectExtent l="0" t="0" r="635" b="0"/>
            <wp:docPr id="192588130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3330"/>
                    <a:stretch>
                      <a:fillRect/>
                    </a:stretch>
                  </pic:blipFill>
                  <pic:spPr bwMode="auto">
                    <a:xfrm>
                      <a:off x="0" y="0"/>
                      <a:ext cx="3589567" cy="2334166"/>
                    </a:xfrm>
                    <a:prstGeom prst="rect">
                      <a:avLst/>
                    </a:prstGeom>
                    <a:noFill/>
                    <a:ln>
                      <a:noFill/>
                    </a:ln>
                    <a:extLst>
                      <a:ext uri="{53640926-AAD7-44D8-BBD7-CCE9431645EC}">
                        <a14:shadowObscured xmlns:a14="http://schemas.microsoft.com/office/drawing/2010/main"/>
                      </a:ext>
                    </a:extLst>
                  </pic:spPr>
                </pic:pic>
              </a:graphicData>
            </a:graphic>
          </wp:inline>
        </w:drawing>
      </w:r>
    </w:p>
    <w:p w14:paraId="071504CE" w14:textId="3895E3C0" w:rsidR="008626FC" w:rsidRPr="008626FC" w:rsidRDefault="008626FC" w:rsidP="008626FC">
      <w:pPr>
        <w:pStyle w:val="Caption"/>
      </w:pPr>
      <w:bookmarkStart w:id="22" w:name="_Toc234506907"/>
      <w:r>
        <w:t xml:space="preserve">Figure </w:t>
      </w:r>
      <w:fldSimple w:instr=" SEQ Figure \* ARABIC ">
        <w:r w:rsidR="007652C4">
          <w:rPr>
            <w:noProof/>
          </w:rPr>
          <w:t>8</w:t>
        </w:r>
      </w:fldSimple>
      <w:r>
        <w:t xml:space="preserve"> - Monthly Performance Star Schema</w:t>
      </w:r>
      <w:bookmarkEnd w:id="22"/>
    </w:p>
    <w:p w14:paraId="4091A877" w14:textId="77777777" w:rsidR="007652C4" w:rsidRDefault="007652C4" w:rsidP="005C2DAC">
      <w:pPr>
        <w:rPr>
          <w:b/>
          <w:bCs/>
        </w:rPr>
      </w:pPr>
    </w:p>
    <w:p w14:paraId="2D02CAA7" w14:textId="2C2C7502" w:rsidR="005C2DAC" w:rsidRPr="005C2DAC" w:rsidRDefault="005C2DAC" w:rsidP="002F4200">
      <w:pPr>
        <w:jc w:val="center"/>
        <w:rPr>
          <w:b/>
          <w:bCs/>
        </w:rPr>
      </w:pPr>
      <w:r w:rsidRPr="005C2DAC">
        <w:rPr>
          <w:b/>
          <w:bCs/>
        </w:rPr>
        <w:t>Star Schema 3: Staff Rostering and Cost</w:t>
      </w:r>
    </w:p>
    <w:p w14:paraId="63EEBD10" w14:textId="77777777" w:rsidR="002F4200" w:rsidRDefault="002F4200" w:rsidP="005C2DAC"/>
    <w:p w14:paraId="5F252416" w14:textId="12E12FAD" w:rsidR="005C2DAC" w:rsidRDefault="005C2DAC" w:rsidP="005C2DAC">
      <w:r w:rsidRPr="005C2DAC">
        <w:lastRenderedPageBreak/>
        <w:t xml:space="preserve">The third star schema is centred on </w:t>
      </w:r>
      <w:r w:rsidRPr="005C2DAC">
        <w:rPr>
          <w:b/>
          <w:bCs/>
        </w:rPr>
        <w:t>Fact_Staff_Shift</w:t>
      </w:r>
      <w:r w:rsidRPr="005C2DAC">
        <w:t xml:space="preserve">. Its grain is </w:t>
      </w:r>
      <w:r w:rsidRPr="005C2DAC">
        <w:rPr>
          <w:b/>
          <w:bCs/>
        </w:rPr>
        <w:t>one row per staff member per shift</w:t>
      </w:r>
      <w:r w:rsidRPr="005C2DAC">
        <w:t>. It links to Dim_Staff, Dim_Organisation, Dim_Service_Type and Dim_Date. Measures include hours_worked, overtime_hours, bank_or_agency_flag and shift_cost. This supports workforce planning and cost analysis.</w:t>
      </w:r>
    </w:p>
    <w:p w14:paraId="30C307F5" w14:textId="77777777" w:rsidR="007652C4" w:rsidRDefault="008626FC" w:rsidP="007652C4">
      <w:pPr>
        <w:keepNext/>
      </w:pPr>
      <w:r w:rsidRPr="008626FC">
        <w:rPr>
          <w:noProof/>
        </w:rPr>
        <w:drawing>
          <wp:inline distT="0" distB="0" distL="0" distR="0" wp14:anchorId="0F161CB5" wp14:editId="1D60656E">
            <wp:extent cx="3108960" cy="2008830"/>
            <wp:effectExtent l="0" t="0" r="0" b="0"/>
            <wp:docPr id="164015320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3879"/>
                    <a:stretch>
                      <a:fillRect/>
                    </a:stretch>
                  </pic:blipFill>
                  <pic:spPr bwMode="auto">
                    <a:xfrm>
                      <a:off x="0" y="0"/>
                      <a:ext cx="3122941" cy="2017863"/>
                    </a:xfrm>
                    <a:prstGeom prst="rect">
                      <a:avLst/>
                    </a:prstGeom>
                    <a:noFill/>
                    <a:ln>
                      <a:noFill/>
                    </a:ln>
                    <a:extLst>
                      <a:ext uri="{53640926-AAD7-44D8-BBD7-CCE9431645EC}">
                        <a14:shadowObscured xmlns:a14="http://schemas.microsoft.com/office/drawing/2010/main"/>
                      </a:ext>
                    </a:extLst>
                  </pic:spPr>
                </pic:pic>
              </a:graphicData>
            </a:graphic>
          </wp:inline>
        </w:drawing>
      </w:r>
    </w:p>
    <w:p w14:paraId="5E57F8A2" w14:textId="1CD1801C" w:rsidR="008626FC" w:rsidRPr="008626FC" w:rsidRDefault="007652C4" w:rsidP="007652C4">
      <w:pPr>
        <w:pStyle w:val="Caption"/>
      </w:pPr>
      <w:r>
        <w:t xml:space="preserve">Figure </w:t>
      </w:r>
      <w:fldSimple w:instr=" SEQ Figure \* ARABIC ">
        <w:r>
          <w:rPr>
            <w:noProof/>
          </w:rPr>
          <w:t>9</w:t>
        </w:r>
      </w:fldSimple>
      <w:r>
        <w:t xml:space="preserve"> - Staff Rostering Star Schema</w:t>
      </w:r>
    </w:p>
    <w:p w14:paraId="7EDC63C1" w14:textId="77777777" w:rsidR="00A7171D" w:rsidRDefault="00A7171D" w:rsidP="005C2DAC"/>
    <w:p w14:paraId="2EE63B68" w14:textId="28DB446A" w:rsidR="005C2DAC" w:rsidRPr="005C2DAC" w:rsidRDefault="005C2DAC" w:rsidP="005C2DAC">
      <w:r w:rsidRPr="005C2DAC">
        <w:t>This design is suitable because each fact table has a clear grain and avoids mixing transactional and aggregate data. Conformed dimensions allow cross-schema analysis, such as comparing staff costs with attendance volumes or monthly waiting-time performance. Surrogate keys improve consistency, aggregate facts improve dashboard speed, and pseudonymised patient data supports confidentiality.</w:t>
      </w:r>
    </w:p>
    <w:p w14:paraId="5715E016" w14:textId="5181CF56" w:rsidR="00D05530" w:rsidRDefault="00D05530" w:rsidP="001D71C3"/>
    <w:p w14:paraId="0F6F1E34" w14:textId="77777777" w:rsidR="00B476E1" w:rsidRPr="002F4200" w:rsidRDefault="00B476E1" w:rsidP="001D71C3">
      <w:pPr>
        <w:rPr>
          <w:b/>
          <w:bCs/>
        </w:rPr>
      </w:pPr>
    </w:p>
    <w:p w14:paraId="067CD220" w14:textId="797037A8" w:rsidR="00B476E1" w:rsidRPr="002F4200" w:rsidRDefault="00C26C17" w:rsidP="002F4200">
      <w:pPr>
        <w:pStyle w:val="Heading3"/>
        <w:jc w:val="center"/>
        <w:rPr>
          <w:b/>
          <w:bCs/>
        </w:rPr>
      </w:pPr>
      <w:bookmarkStart w:id="23" w:name="_Toc234506787"/>
      <w:r w:rsidRPr="002F4200">
        <w:rPr>
          <w:b/>
          <w:bCs/>
        </w:rPr>
        <w:t>2.3 Data Marts and Schema</w:t>
      </w:r>
      <w:bookmarkEnd w:id="23"/>
    </w:p>
    <w:p w14:paraId="5A4A7AB8" w14:textId="77777777" w:rsidR="00C26C17" w:rsidRDefault="00C26C17" w:rsidP="001D71C3"/>
    <w:p w14:paraId="0495EDE4" w14:textId="35A214AC" w:rsidR="00C26C17" w:rsidRDefault="00C26C17" w:rsidP="00C26C17">
      <w:pPr>
        <w:spacing w:after="120"/>
        <w:rPr>
          <w:rFonts w:ascii="Arial" w:eastAsia="Arial" w:hAnsi="Arial"/>
          <w:sz w:val="20"/>
        </w:rPr>
      </w:pPr>
      <w:r>
        <w:rPr>
          <w:rFonts w:ascii="Arial" w:eastAsia="Arial" w:hAnsi="Arial"/>
          <w:sz w:val="20"/>
        </w:rPr>
        <w:t>NHS data marts are departmental subsets of the wider data warehouse. They reuse conformed dimensions such as Date, Organisation, Service Type, Patient and Staff, but expose different fact tables and KPIs for departmental decision-making</w:t>
      </w:r>
      <w:sdt>
        <w:sdtPr>
          <w:rPr>
            <w:rFonts w:ascii="Arial" w:eastAsia="Arial" w:hAnsi="Arial"/>
            <w:sz w:val="20"/>
          </w:rPr>
          <w:id w:val="-1489626997"/>
          <w:citation/>
        </w:sdtPr>
        <w:sdtContent>
          <w:r w:rsidR="003861E9">
            <w:rPr>
              <w:rFonts w:ascii="Arial" w:eastAsia="Arial" w:hAnsi="Arial"/>
              <w:sz w:val="20"/>
            </w:rPr>
            <w:fldChar w:fldCharType="begin"/>
          </w:r>
          <w:r w:rsidR="003861E9">
            <w:rPr>
              <w:rFonts w:ascii="Arial" w:eastAsia="Arial" w:hAnsi="Arial"/>
              <w:sz w:val="20"/>
            </w:rPr>
            <w:instrText xml:space="preserve"> CITATION Arf16 \l 2057 </w:instrText>
          </w:r>
          <w:r w:rsidR="003861E9">
            <w:rPr>
              <w:rFonts w:ascii="Arial" w:eastAsia="Arial" w:hAnsi="Arial"/>
              <w:sz w:val="20"/>
            </w:rPr>
            <w:fldChar w:fldCharType="separate"/>
          </w:r>
          <w:r w:rsidR="00CD0E9D">
            <w:rPr>
              <w:rFonts w:ascii="Arial" w:eastAsia="Arial" w:hAnsi="Arial"/>
              <w:noProof/>
              <w:sz w:val="20"/>
            </w:rPr>
            <w:t xml:space="preserve"> </w:t>
          </w:r>
          <w:r w:rsidR="00CD0E9D" w:rsidRPr="00CD0E9D">
            <w:rPr>
              <w:rFonts w:ascii="Arial" w:eastAsia="Arial" w:hAnsi="Arial"/>
              <w:noProof/>
              <w:sz w:val="20"/>
            </w:rPr>
            <w:t>[13]</w:t>
          </w:r>
          <w:r w:rsidR="003861E9">
            <w:rPr>
              <w:rFonts w:ascii="Arial" w:eastAsia="Arial" w:hAnsi="Arial"/>
              <w:sz w:val="20"/>
            </w:rPr>
            <w:fldChar w:fldCharType="end"/>
          </w:r>
        </w:sdtContent>
      </w:sdt>
      <w:r>
        <w:rPr>
          <w:rFonts w:ascii="Arial" w:eastAsia="Arial" w:hAnsi="Arial"/>
          <w:sz w:val="20"/>
        </w:rPr>
        <w:t>.</w:t>
      </w:r>
    </w:p>
    <w:p w14:paraId="1663216A" w14:textId="77777777" w:rsidR="007652C4" w:rsidRDefault="007652C4" w:rsidP="00C26C17">
      <w:pPr>
        <w:spacing w:after="120"/>
      </w:pPr>
    </w:p>
    <w:tbl>
      <w:tblPr>
        <w:tblStyle w:val="TableGrid"/>
        <w:tblW w:w="10111" w:type="dxa"/>
        <w:jc w:val="center"/>
        <w:tblLayout w:type="fixed"/>
        <w:tblLook w:val="04A0" w:firstRow="1" w:lastRow="0" w:firstColumn="1" w:lastColumn="0" w:noHBand="0" w:noVBand="1"/>
      </w:tblPr>
      <w:tblGrid>
        <w:gridCol w:w="1872"/>
        <w:gridCol w:w="4868"/>
        <w:gridCol w:w="3371"/>
      </w:tblGrid>
      <w:tr w:rsidR="00C26C17" w14:paraId="38446A48" w14:textId="77777777" w:rsidTr="00443D91">
        <w:trPr>
          <w:trHeight w:val="183"/>
          <w:tblHeader/>
          <w:jc w:val="center"/>
        </w:trPr>
        <w:tc>
          <w:tcPr>
            <w:tcW w:w="1872" w:type="dxa"/>
            <w:tcBorders>
              <w:top w:val="single" w:sz="10" w:space="0" w:color="000000"/>
              <w:left w:val="single" w:sz="10" w:space="0" w:color="000000"/>
              <w:bottom w:val="single" w:sz="10" w:space="0" w:color="000000"/>
              <w:right w:val="single" w:sz="10" w:space="0" w:color="000000"/>
            </w:tcBorders>
            <w:shd w:val="clear" w:color="auto" w:fill="1F4E79"/>
            <w:tcMar>
              <w:top w:w="100" w:type="dxa"/>
              <w:left w:w="100" w:type="dxa"/>
              <w:bottom w:w="100" w:type="dxa"/>
              <w:right w:w="100" w:type="dxa"/>
            </w:tcMar>
            <w:vAlign w:val="center"/>
          </w:tcPr>
          <w:p w14:paraId="06D400F9" w14:textId="77777777" w:rsidR="00C26C17" w:rsidRDefault="00C26C17" w:rsidP="0054531E">
            <w:pPr>
              <w:jc w:val="center"/>
            </w:pPr>
            <w:r>
              <w:rPr>
                <w:rFonts w:ascii="Arial" w:eastAsia="Arial" w:hAnsi="Arial"/>
                <w:b/>
                <w:color w:val="FFFFFF"/>
                <w:sz w:val="19"/>
              </w:rPr>
              <w:t>Data mart</w:t>
            </w:r>
          </w:p>
        </w:tc>
        <w:tc>
          <w:tcPr>
            <w:tcW w:w="4868" w:type="dxa"/>
            <w:tcBorders>
              <w:top w:val="single" w:sz="10" w:space="0" w:color="000000"/>
              <w:left w:val="single" w:sz="10" w:space="0" w:color="000000"/>
              <w:bottom w:val="single" w:sz="10" w:space="0" w:color="000000"/>
              <w:right w:val="single" w:sz="10" w:space="0" w:color="000000"/>
            </w:tcBorders>
            <w:shd w:val="clear" w:color="auto" w:fill="1F4E79"/>
            <w:tcMar>
              <w:top w:w="100" w:type="dxa"/>
              <w:left w:w="100" w:type="dxa"/>
              <w:bottom w:w="100" w:type="dxa"/>
              <w:right w:w="100" w:type="dxa"/>
            </w:tcMar>
            <w:vAlign w:val="center"/>
          </w:tcPr>
          <w:p w14:paraId="0E360C54" w14:textId="77777777" w:rsidR="00C26C17" w:rsidRDefault="00C26C17" w:rsidP="0054531E">
            <w:pPr>
              <w:jc w:val="center"/>
            </w:pPr>
            <w:r>
              <w:rPr>
                <w:rFonts w:ascii="Arial" w:eastAsia="Arial" w:hAnsi="Arial"/>
                <w:b/>
                <w:color w:val="FFFFFF"/>
                <w:sz w:val="19"/>
              </w:rPr>
              <w:t>Schema and data contained</w:t>
            </w:r>
          </w:p>
        </w:tc>
        <w:tc>
          <w:tcPr>
            <w:tcW w:w="3371" w:type="dxa"/>
            <w:tcBorders>
              <w:top w:val="single" w:sz="10" w:space="0" w:color="000000"/>
              <w:left w:val="single" w:sz="10" w:space="0" w:color="000000"/>
              <w:bottom w:val="single" w:sz="10" w:space="0" w:color="000000"/>
              <w:right w:val="single" w:sz="10" w:space="0" w:color="000000"/>
            </w:tcBorders>
            <w:shd w:val="clear" w:color="auto" w:fill="1F4E79"/>
            <w:tcMar>
              <w:top w:w="100" w:type="dxa"/>
              <w:left w:w="100" w:type="dxa"/>
              <w:bottom w:w="100" w:type="dxa"/>
              <w:right w:w="100" w:type="dxa"/>
            </w:tcMar>
            <w:vAlign w:val="center"/>
          </w:tcPr>
          <w:p w14:paraId="4A83AB03" w14:textId="77777777" w:rsidR="00C26C17" w:rsidRDefault="00C26C17" w:rsidP="0054531E">
            <w:pPr>
              <w:jc w:val="center"/>
            </w:pPr>
            <w:r>
              <w:rPr>
                <w:rFonts w:ascii="Arial" w:eastAsia="Arial" w:hAnsi="Arial"/>
                <w:b/>
                <w:color w:val="FFFFFF"/>
                <w:sz w:val="19"/>
              </w:rPr>
              <w:t>Decision-making supported</w:t>
            </w:r>
          </w:p>
        </w:tc>
      </w:tr>
      <w:tr w:rsidR="00C26C17" w14:paraId="4A8AABE2" w14:textId="77777777" w:rsidTr="00443D91">
        <w:trPr>
          <w:trHeight w:val="630"/>
          <w:jc w:val="center"/>
        </w:trPr>
        <w:tc>
          <w:tcPr>
            <w:tcW w:w="1872" w:type="dxa"/>
            <w:tcBorders>
              <w:top w:val="single" w:sz="8" w:space="0" w:color="000000"/>
              <w:left w:val="single" w:sz="8" w:space="0" w:color="000000"/>
              <w:bottom w:val="single" w:sz="8" w:space="0" w:color="000000"/>
              <w:right w:val="single" w:sz="8" w:space="0" w:color="000000"/>
            </w:tcBorders>
            <w:shd w:val="clear" w:color="auto" w:fill="D9EAF7"/>
            <w:tcMar>
              <w:top w:w="90" w:type="dxa"/>
              <w:left w:w="90" w:type="dxa"/>
              <w:bottom w:w="90" w:type="dxa"/>
              <w:right w:w="90" w:type="dxa"/>
            </w:tcMar>
          </w:tcPr>
          <w:p w14:paraId="33AE1DFB" w14:textId="77777777" w:rsidR="00C26C17" w:rsidRDefault="00C26C17" w:rsidP="0054531E">
            <w:r>
              <w:rPr>
                <w:rFonts w:ascii="Arial" w:eastAsia="Arial" w:hAnsi="Arial"/>
                <w:b/>
                <w:color w:val="000000"/>
                <w:sz w:val="18"/>
              </w:rPr>
              <w:t>Finance Mart</w:t>
            </w:r>
          </w:p>
        </w:tc>
        <w:tc>
          <w:tcPr>
            <w:tcW w:w="4868" w:type="dxa"/>
            <w:tcBorders>
              <w:top w:val="single" w:sz="8" w:space="0" w:color="000000"/>
              <w:left w:val="single" w:sz="8" w:space="0" w:color="000000"/>
              <w:bottom w:val="single" w:sz="8" w:space="0" w:color="000000"/>
              <w:right w:val="single" w:sz="8" w:space="0" w:color="000000"/>
            </w:tcBorders>
            <w:tcMar>
              <w:top w:w="90" w:type="dxa"/>
              <w:left w:w="90" w:type="dxa"/>
              <w:bottom w:w="90" w:type="dxa"/>
              <w:right w:w="90" w:type="dxa"/>
            </w:tcMar>
          </w:tcPr>
          <w:p w14:paraId="39C0E726" w14:textId="77777777" w:rsidR="00C26C17" w:rsidRDefault="00C26C17" w:rsidP="0054531E">
            <w:r>
              <w:rPr>
                <w:rFonts w:ascii="Arial" w:eastAsia="Arial" w:hAnsi="Arial"/>
                <w:color w:val="000000"/>
                <w:sz w:val="17"/>
              </w:rPr>
              <w:t>Uses a star schema with fact tables such as Fact_Financial_Performance, Fact_Attendance and Fact_Staff_Shift. Data includes treatment cost, staff cost, agency spend, procurement spend, claims, payments, budget variance and cost per episode. Dimensions include Date, Organisation, Department, Cost Centre, Service Type and Patient Class.</w:t>
            </w:r>
          </w:p>
        </w:tc>
        <w:tc>
          <w:tcPr>
            <w:tcW w:w="3371" w:type="dxa"/>
            <w:tcBorders>
              <w:top w:val="single" w:sz="8" w:space="0" w:color="000000"/>
              <w:left w:val="single" w:sz="8" w:space="0" w:color="000000"/>
              <w:bottom w:val="single" w:sz="8" w:space="0" w:color="000000"/>
              <w:right w:val="single" w:sz="8" w:space="0" w:color="000000"/>
            </w:tcBorders>
            <w:tcMar>
              <w:top w:w="90" w:type="dxa"/>
              <w:left w:w="90" w:type="dxa"/>
              <w:bottom w:w="90" w:type="dxa"/>
              <w:right w:w="90" w:type="dxa"/>
            </w:tcMar>
          </w:tcPr>
          <w:p w14:paraId="387062CA" w14:textId="77777777" w:rsidR="00C26C17" w:rsidRDefault="00C26C17" w:rsidP="0054531E">
            <w:r>
              <w:rPr>
                <w:rFonts w:ascii="Arial" w:eastAsia="Arial" w:hAnsi="Arial"/>
                <w:color w:val="000000"/>
                <w:sz w:val="17"/>
              </w:rPr>
              <w:t>Supports budgeting, cost control, financial planning, service-line profitability and monitoring the cost impact of activity and quality.</w:t>
            </w:r>
          </w:p>
        </w:tc>
      </w:tr>
      <w:tr w:rsidR="00C26C17" w14:paraId="4BE5B58D" w14:textId="77777777" w:rsidTr="00443D91">
        <w:trPr>
          <w:trHeight w:val="630"/>
          <w:jc w:val="center"/>
        </w:trPr>
        <w:tc>
          <w:tcPr>
            <w:tcW w:w="1872" w:type="dxa"/>
            <w:tcBorders>
              <w:top w:val="single" w:sz="8" w:space="0" w:color="000000"/>
              <w:left w:val="single" w:sz="8" w:space="0" w:color="000000"/>
              <w:bottom w:val="single" w:sz="8" w:space="0" w:color="000000"/>
              <w:right w:val="single" w:sz="8" w:space="0" w:color="000000"/>
            </w:tcBorders>
            <w:shd w:val="clear" w:color="auto" w:fill="D9EAF7"/>
            <w:tcMar>
              <w:top w:w="90" w:type="dxa"/>
              <w:left w:w="90" w:type="dxa"/>
              <w:bottom w:w="90" w:type="dxa"/>
              <w:right w:w="90" w:type="dxa"/>
            </w:tcMar>
          </w:tcPr>
          <w:p w14:paraId="44F0E866" w14:textId="77777777" w:rsidR="00C26C17" w:rsidRDefault="00C26C17" w:rsidP="0054531E">
            <w:r>
              <w:rPr>
                <w:rFonts w:ascii="Arial" w:eastAsia="Arial" w:hAnsi="Arial"/>
                <w:b/>
                <w:color w:val="000000"/>
                <w:sz w:val="18"/>
              </w:rPr>
              <w:t>Operations Mart</w:t>
            </w:r>
          </w:p>
        </w:tc>
        <w:tc>
          <w:tcPr>
            <w:tcW w:w="4868" w:type="dxa"/>
            <w:tcBorders>
              <w:top w:val="single" w:sz="8" w:space="0" w:color="000000"/>
              <w:left w:val="single" w:sz="8" w:space="0" w:color="000000"/>
              <w:bottom w:val="single" w:sz="8" w:space="0" w:color="000000"/>
              <w:right w:val="single" w:sz="8" w:space="0" w:color="000000"/>
            </w:tcBorders>
            <w:tcMar>
              <w:top w:w="90" w:type="dxa"/>
              <w:left w:w="90" w:type="dxa"/>
              <w:bottom w:w="90" w:type="dxa"/>
              <w:right w:w="90" w:type="dxa"/>
            </w:tcMar>
          </w:tcPr>
          <w:p w14:paraId="69106F16" w14:textId="77777777" w:rsidR="00C26C17" w:rsidRDefault="00C26C17" w:rsidP="0054531E">
            <w:r>
              <w:rPr>
                <w:rFonts w:ascii="Arial" w:eastAsia="Arial" w:hAnsi="Arial"/>
                <w:color w:val="000000"/>
                <w:sz w:val="17"/>
              </w:rPr>
              <w:t>Uses Fact_Attendance, Fact_Monthly_Performance, bed-day facts or waiting-list facts. Data includes attendances, waiting times, length of stay, DNA rates, bed occupancy, patient turnover and service utilisation. Dimensions include Date, Organisation, Service Type, Location, Patient and Staff.</w:t>
            </w:r>
          </w:p>
        </w:tc>
        <w:tc>
          <w:tcPr>
            <w:tcW w:w="3371" w:type="dxa"/>
            <w:tcBorders>
              <w:top w:val="single" w:sz="8" w:space="0" w:color="000000"/>
              <w:left w:val="single" w:sz="8" w:space="0" w:color="000000"/>
              <w:bottom w:val="single" w:sz="8" w:space="0" w:color="000000"/>
              <w:right w:val="single" w:sz="8" w:space="0" w:color="000000"/>
            </w:tcBorders>
            <w:tcMar>
              <w:top w:w="90" w:type="dxa"/>
              <w:left w:w="90" w:type="dxa"/>
              <w:bottom w:w="90" w:type="dxa"/>
              <w:right w:w="90" w:type="dxa"/>
            </w:tcMar>
          </w:tcPr>
          <w:p w14:paraId="36829D9F" w14:textId="77777777" w:rsidR="00C26C17" w:rsidRDefault="00C26C17" w:rsidP="0054531E">
            <w:r>
              <w:rPr>
                <w:rFonts w:ascii="Arial" w:eastAsia="Arial" w:hAnsi="Arial"/>
                <w:color w:val="000000"/>
                <w:sz w:val="17"/>
              </w:rPr>
              <w:t>Supports capacity planning, waiting-list management, bed flow, demand forecasting and operational performance monitoring.</w:t>
            </w:r>
          </w:p>
        </w:tc>
      </w:tr>
      <w:tr w:rsidR="00C26C17" w14:paraId="36CA9142" w14:textId="77777777" w:rsidTr="00443D91">
        <w:trPr>
          <w:trHeight w:val="621"/>
          <w:jc w:val="center"/>
        </w:trPr>
        <w:tc>
          <w:tcPr>
            <w:tcW w:w="1872" w:type="dxa"/>
            <w:tcBorders>
              <w:top w:val="single" w:sz="8" w:space="0" w:color="000000"/>
              <w:left w:val="single" w:sz="8" w:space="0" w:color="000000"/>
              <w:bottom w:val="single" w:sz="8" w:space="0" w:color="000000"/>
              <w:right w:val="single" w:sz="8" w:space="0" w:color="000000"/>
            </w:tcBorders>
            <w:shd w:val="clear" w:color="auto" w:fill="D9EAF7"/>
            <w:tcMar>
              <w:top w:w="90" w:type="dxa"/>
              <w:left w:w="90" w:type="dxa"/>
              <w:bottom w:w="90" w:type="dxa"/>
              <w:right w:w="90" w:type="dxa"/>
            </w:tcMar>
          </w:tcPr>
          <w:p w14:paraId="4672C56D" w14:textId="77777777" w:rsidR="00C26C17" w:rsidRDefault="00C26C17" w:rsidP="0054531E">
            <w:r>
              <w:rPr>
                <w:rFonts w:ascii="Arial" w:eastAsia="Arial" w:hAnsi="Arial"/>
                <w:b/>
                <w:color w:val="000000"/>
                <w:sz w:val="18"/>
              </w:rPr>
              <w:t>Clinical Quality Mart</w:t>
            </w:r>
          </w:p>
        </w:tc>
        <w:tc>
          <w:tcPr>
            <w:tcW w:w="4868" w:type="dxa"/>
            <w:tcBorders>
              <w:top w:val="single" w:sz="8" w:space="0" w:color="000000"/>
              <w:left w:val="single" w:sz="8" w:space="0" w:color="000000"/>
              <w:bottom w:val="single" w:sz="8" w:space="0" w:color="000000"/>
              <w:right w:val="single" w:sz="8" w:space="0" w:color="000000"/>
            </w:tcBorders>
            <w:tcMar>
              <w:top w:w="90" w:type="dxa"/>
              <w:left w:w="90" w:type="dxa"/>
              <w:bottom w:w="90" w:type="dxa"/>
              <w:right w:w="90" w:type="dxa"/>
            </w:tcMar>
          </w:tcPr>
          <w:p w14:paraId="3C0CD352" w14:textId="77777777" w:rsidR="00C26C17" w:rsidRDefault="00C26C17" w:rsidP="0054531E">
            <w:r>
              <w:rPr>
                <w:rFonts w:ascii="Arial" w:eastAsia="Arial" w:hAnsi="Arial"/>
                <w:color w:val="000000"/>
                <w:sz w:val="17"/>
              </w:rPr>
              <w:t xml:space="preserve">Uses encounter, diagnosis, procedure, laboratory or quality-event fact tables. Data includes readmissions, mortality, infection rates, incidents, complications, diagnoses, </w:t>
            </w:r>
            <w:r>
              <w:rPr>
                <w:rFonts w:ascii="Arial" w:eastAsia="Arial" w:hAnsi="Arial"/>
                <w:color w:val="000000"/>
                <w:sz w:val="17"/>
              </w:rPr>
              <w:lastRenderedPageBreak/>
              <w:t>procedures, prescribing and patient outcomes. Dimensions include Patient, Diagnosis, Procedure, Provider, Date, Organisation and Service Type.</w:t>
            </w:r>
          </w:p>
        </w:tc>
        <w:tc>
          <w:tcPr>
            <w:tcW w:w="3371" w:type="dxa"/>
            <w:tcBorders>
              <w:top w:val="single" w:sz="8" w:space="0" w:color="000000"/>
              <w:left w:val="single" w:sz="8" w:space="0" w:color="000000"/>
              <w:bottom w:val="single" w:sz="8" w:space="0" w:color="000000"/>
              <w:right w:val="single" w:sz="8" w:space="0" w:color="000000"/>
            </w:tcBorders>
            <w:tcMar>
              <w:top w:w="90" w:type="dxa"/>
              <w:left w:w="90" w:type="dxa"/>
              <w:bottom w:w="90" w:type="dxa"/>
              <w:right w:w="90" w:type="dxa"/>
            </w:tcMar>
          </w:tcPr>
          <w:p w14:paraId="5313B9C5" w14:textId="77777777" w:rsidR="00C26C17" w:rsidRDefault="00C26C17" w:rsidP="0054531E">
            <w:r>
              <w:rPr>
                <w:rFonts w:ascii="Arial" w:eastAsia="Arial" w:hAnsi="Arial"/>
                <w:color w:val="000000"/>
                <w:sz w:val="17"/>
              </w:rPr>
              <w:lastRenderedPageBreak/>
              <w:t>Supports clinical governance, safety monitoring, pathway improvement, outcome reporting and quality assurance.</w:t>
            </w:r>
          </w:p>
        </w:tc>
      </w:tr>
      <w:tr w:rsidR="00C26C17" w14:paraId="4809FA1B" w14:textId="77777777" w:rsidTr="00443D91">
        <w:trPr>
          <w:trHeight w:val="485"/>
          <w:jc w:val="center"/>
        </w:trPr>
        <w:tc>
          <w:tcPr>
            <w:tcW w:w="1872" w:type="dxa"/>
            <w:tcBorders>
              <w:top w:val="single" w:sz="8" w:space="0" w:color="000000"/>
              <w:left w:val="single" w:sz="8" w:space="0" w:color="000000"/>
              <w:bottom w:val="single" w:sz="8" w:space="0" w:color="000000"/>
              <w:right w:val="single" w:sz="8" w:space="0" w:color="000000"/>
            </w:tcBorders>
            <w:shd w:val="clear" w:color="auto" w:fill="D9EAF7"/>
            <w:tcMar>
              <w:top w:w="90" w:type="dxa"/>
              <w:left w:w="90" w:type="dxa"/>
              <w:bottom w:w="90" w:type="dxa"/>
              <w:right w:w="90" w:type="dxa"/>
            </w:tcMar>
          </w:tcPr>
          <w:p w14:paraId="143370E3" w14:textId="77777777" w:rsidR="00C26C17" w:rsidRDefault="00C26C17" w:rsidP="0054531E">
            <w:r>
              <w:rPr>
                <w:rFonts w:ascii="Arial" w:eastAsia="Arial" w:hAnsi="Arial"/>
                <w:b/>
                <w:color w:val="000000"/>
                <w:sz w:val="18"/>
              </w:rPr>
              <w:t>Workforce Mart</w:t>
            </w:r>
          </w:p>
        </w:tc>
        <w:tc>
          <w:tcPr>
            <w:tcW w:w="4868" w:type="dxa"/>
            <w:tcBorders>
              <w:top w:val="single" w:sz="8" w:space="0" w:color="000000"/>
              <w:left w:val="single" w:sz="8" w:space="0" w:color="000000"/>
              <w:bottom w:val="single" w:sz="8" w:space="0" w:color="000000"/>
              <w:right w:val="single" w:sz="8" w:space="0" w:color="000000"/>
            </w:tcBorders>
            <w:tcMar>
              <w:top w:w="90" w:type="dxa"/>
              <w:left w:w="90" w:type="dxa"/>
              <w:bottom w:w="90" w:type="dxa"/>
              <w:right w:w="90" w:type="dxa"/>
            </w:tcMar>
          </w:tcPr>
          <w:p w14:paraId="147E7B20" w14:textId="77777777" w:rsidR="00C26C17" w:rsidRDefault="00C26C17" w:rsidP="0054531E">
            <w:r>
              <w:rPr>
                <w:rFonts w:ascii="Arial" w:eastAsia="Arial" w:hAnsi="Arial"/>
                <w:color w:val="000000"/>
                <w:sz w:val="17"/>
              </w:rPr>
              <w:t>Uses Fact_Staff_Shift. Data includes hours worked, overtime, sickness, vacancy rates, bank/agency use, staff grade, role, department and shift cost. Dimensions include Staff, Date, Organisation and Service Type.</w:t>
            </w:r>
          </w:p>
        </w:tc>
        <w:tc>
          <w:tcPr>
            <w:tcW w:w="3371" w:type="dxa"/>
            <w:tcBorders>
              <w:top w:val="single" w:sz="8" w:space="0" w:color="000000"/>
              <w:left w:val="single" w:sz="8" w:space="0" w:color="000000"/>
              <w:bottom w:val="single" w:sz="8" w:space="0" w:color="000000"/>
              <w:right w:val="single" w:sz="8" w:space="0" w:color="000000"/>
            </w:tcBorders>
            <w:tcMar>
              <w:top w:w="90" w:type="dxa"/>
              <w:left w:w="90" w:type="dxa"/>
              <w:bottom w:w="90" w:type="dxa"/>
              <w:right w:w="90" w:type="dxa"/>
            </w:tcMar>
          </w:tcPr>
          <w:p w14:paraId="5346391D" w14:textId="77777777" w:rsidR="00C26C17" w:rsidRDefault="00C26C17" w:rsidP="0054531E">
            <w:r>
              <w:rPr>
                <w:rFonts w:ascii="Arial" w:eastAsia="Arial" w:hAnsi="Arial"/>
                <w:color w:val="000000"/>
                <w:sz w:val="17"/>
              </w:rPr>
              <w:t>Supports rota planning, workforce efficiency, staffing-demand comparison and control of overtime or agency costs.</w:t>
            </w:r>
          </w:p>
        </w:tc>
      </w:tr>
    </w:tbl>
    <w:p w14:paraId="13D38B82" w14:textId="77777777" w:rsidR="007652C4" w:rsidRDefault="007652C4" w:rsidP="00C26C17">
      <w:pPr>
        <w:spacing w:before="120"/>
        <w:rPr>
          <w:rFonts w:ascii="Arial" w:eastAsia="Arial" w:hAnsi="Arial"/>
          <w:sz w:val="20"/>
        </w:rPr>
      </w:pPr>
    </w:p>
    <w:p w14:paraId="41CCBF37" w14:textId="74058BDD" w:rsidR="00C26C17" w:rsidRDefault="00C26C17" w:rsidP="00C26C17">
      <w:pPr>
        <w:spacing w:before="120"/>
      </w:pPr>
      <w:r>
        <w:rPr>
          <w:rFonts w:ascii="Arial" w:eastAsia="Arial" w:hAnsi="Arial"/>
          <w:sz w:val="20"/>
        </w:rPr>
        <w:t>These marts link back to the earlier NHS star schema design because they share the same conformed dimensions while giving each department fast, focused and relevant analytics.</w:t>
      </w:r>
    </w:p>
    <w:p w14:paraId="31831722" w14:textId="77777777" w:rsidR="007652C4" w:rsidRDefault="007652C4" w:rsidP="00D858A3">
      <w:pPr>
        <w:pStyle w:val="Heading3"/>
      </w:pPr>
      <w:bookmarkStart w:id="24" w:name="_Toc234506788"/>
    </w:p>
    <w:p w14:paraId="75EC20A4" w14:textId="359BB532" w:rsidR="00B476E1" w:rsidRPr="002F4200" w:rsidRDefault="00E700C8" w:rsidP="002F4200">
      <w:pPr>
        <w:pStyle w:val="Heading3"/>
        <w:jc w:val="center"/>
        <w:rPr>
          <w:b/>
          <w:bCs/>
        </w:rPr>
      </w:pPr>
      <w:r w:rsidRPr="002F4200">
        <w:rPr>
          <w:b/>
          <w:bCs/>
        </w:rPr>
        <w:t>2.4 ETL Plan</w:t>
      </w:r>
      <w:bookmarkEnd w:id="24"/>
    </w:p>
    <w:p w14:paraId="67179464" w14:textId="77777777" w:rsidR="007652C4" w:rsidRDefault="007652C4" w:rsidP="00E1537C">
      <w:pPr>
        <w:spacing w:after="200" w:line="276" w:lineRule="auto"/>
        <w:jc w:val="both"/>
      </w:pPr>
    </w:p>
    <w:p w14:paraId="07B10CDB" w14:textId="0D1B3046" w:rsidR="00E1537C" w:rsidRDefault="00E700C8" w:rsidP="00E1537C">
      <w:pPr>
        <w:spacing w:after="200" w:line="276" w:lineRule="auto"/>
        <w:jc w:val="both"/>
      </w:pPr>
      <w:r>
        <w:t>A simplified ETL plan should extract data from fragmented NHS systems, transform it into a common dimensional schema using standard identifiers and clinical codes, and load validated dimension and fact tables on a scheduled, auditable basis</w:t>
      </w:r>
      <w:sdt>
        <w:sdtPr>
          <w:id w:val="1345747574"/>
          <w:citation/>
        </w:sdtPr>
        <w:sdtContent>
          <w:r>
            <w:fldChar w:fldCharType="begin"/>
          </w:r>
          <w:r>
            <w:instrText xml:space="preserve"> CITATION Oza20 \l 2057 </w:instrText>
          </w:r>
          <w:r>
            <w:fldChar w:fldCharType="separate"/>
          </w:r>
          <w:r w:rsidR="00CD0E9D">
            <w:rPr>
              <w:noProof/>
            </w:rPr>
            <w:t xml:space="preserve"> </w:t>
          </w:r>
          <w:r w:rsidR="00CD0E9D" w:rsidRPr="00CD0E9D">
            <w:rPr>
              <w:noProof/>
            </w:rPr>
            <w:t>[14]</w:t>
          </w:r>
          <w:r>
            <w:fldChar w:fldCharType="end"/>
          </w:r>
        </w:sdtContent>
      </w:sdt>
      <w:r>
        <w:t>.</w:t>
      </w:r>
    </w:p>
    <w:p w14:paraId="5E56174A" w14:textId="77777777" w:rsidR="007652C4" w:rsidRPr="00E1537C" w:rsidRDefault="007652C4" w:rsidP="00E1537C">
      <w:pPr>
        <w:spacing w:after="200" w:line="276" w:lineRule="auto"/>
        <w:jc w:val="both"/>
        <w:rPr>
          <w:rFonts w:ascii="Aptos" w:eastAsia="Aptos" w:hAnsi="Aptos" w:cs="Times New Roman"/>
          <w:kern w:val="0"/>
          <w:sz w:val="20"/>
          <w:lang w:val="en-US"/>
          <w14:ligatures w14:val="none"/>
        </w:rPr>
      </w:pPr>
    </w:p>
    <w:tbl>
      <w:tblPr>
        <w:tblStyle w:val="TableGrid"/>
        <w:tblW w:w="10332" w:type="dxa"/>
        <w:jc w:val="center"/>
        <w:tblLayout w:type="fixed"/>
        <w:tblLook w:val="04A0" w:firstRow="1" w:lastRow="0" w:firstColumn="1" w:lastColumn="0" w:noHBand="0" w:noVBand="1"/>
      </w:tblPr>
      <w:tblGrid>
        <w:gridCol w:w="1553"/>
        <w:gridCol w:w="2228"/>
        <w:gridCol w:w="6551"/>
      </w:tblGrid>
      <w:tr w:rsidR="00E1537C" w:rsidRPr="00E1537C" w14:paraId="720BA818" w14:textId="77777777" w:rsidTr="00443D91">
        <w:trPr>
          <w:trHeight w:val="190"/>
          <w:jc w:val="center"/>
        </w:trPr>
        <w:tc>
          <w:tcPr>
            <w:tcW w:w="1553" w:type="dxa"/>
            <w:tcBorders>
              <w:top w:val="single" w:sz="8" w:space="0" w:color="000000"/>
              <w:left w:val="single" w:sz="8" w:space="0" w:color="000000"/>
              <w:bottom w:val="single" w:sz="8" w:space="0" w:color="000000"/>
              <w:right w:val="single" w:sz="8" w:space="0" w:color="000000"/>
            </w:tcBorders>
            <w:shd w:val="clear" w:color="auto" w:fill="1F4E79"/>
          </w:tcPr>
          <w:p w14:paraId="2E46DAD1" w14:textId="77777777" w:rsidR="00E1537C" w:rsidRPr="00E1537C" w:rsidRDefault="00E1537C" w:rsidP="00E1537C">
            <w:pPr>
              <w:rPr>
                <w:rFonts w:ascii="Aptos" w:eastAsia="Aptos" w:hAnsi="Aptos" w:cs="Times New Roman"/>
                <w:sz w:val="20"/>
              </w:rPr>
            </w:pPr>
            <w:r w:rsidRPr="00E1537C">
              <w:rPr>
                <w:rFonts w:ascii="Aptos" w:eastAsia="Aptos" w:hAnsi="Aptos" w:cs="Times New Roman"/>
                <w:b/>
                <w:color w:val="FFFFFF"/>
                <w:sz w:val="19"/>
              </w:rPr>
              <w:t>Target table</w:t>
            </w:r>
          </w:p>
        </w:tc>
        <w:tc>
          <w:tcPr>
            <w:tcW w:w="2228" w:type="dxa"/>
            <w:tcBorders>
              <w:top w:val="single" w:sz="8" w:space="0" w:color="000000"/>
              <w:left w:val="single" w:sz="8" w:space="0" w:color="000000"/>
              <w:bottom w:val="single" w:sz="8" w:space="0" w:color="000000"/>
              <w:right w:val="single" w:sz="8" w:space="0" w:color="000000"/>
            </w:tcBorders>
            <w:shd w:val="clear" w:color="auto" w:fill="1F4E79"/>
          </w:tcPr>
          <w:p w14:paraId="6F4552AC" w14:textId="77777777" w:rsidR="00E1537C" w:rsidRPr="00E1537C" w:rsidRDefault="00E1537C" w:rsidP="00E1537C">
            <w:pPr>
              <w:rPr>
                <w:rFonts w:ascii="Aptos" w:eastAsia="Aptos" w:hAnsi="Aptos" w:cs="Times New Roman"/>
                <w:sz w:val="20"/>
              </w:rPr>
            </w:pPr>
            <w:r w:rsidRPr="00E1537C">
              <w:rPr>
                <w:rFonts w:ascii="Aptos" w:eastAsia="Aptos" w:hAnsi="Aptos" w:cs="Times New Roman"/>
                <w:b/>
                <w:color w:val="FFFFFF"/>
                <w:sz w:val="19"/>
              </w:rPr>
              <w:t>Main source systems</w:t>
            </w:r>
          </w:p>
        </w:tc>
        <w:tc>
          <w:tcPr>
            <w:tcW w:w="6551" w:type="dxa"/>
            <w:tcBorders>
              <w:top w:val="single" w:sz="8" w:space="0" w:color="000000"/>
              <w:left w:val="single" w:sz="8" w:space="0" w:color="000000"/>
              <w:bottom w:val="single" w:sz="8" w:space="0" w:color="000000"/>
              <w:right w:val="single" w:sz="8" w:space="0" w:color="000000"/>
            </w:tcBorders>
            <w:shd w:val="clear" w:color="auto" w:fill="1F4E79"/>
          </w:tcPr>
          <w:p w14:paraId="51818D04" w14:textId="77777777" w:rsidR="00E1537C" w:rsidRPr="00E1537C" w:rsidRDefault="00E1537C" w:rsidP="00E1537C">
            <w:pPr>
              <w:rPr>
                <w:rFonts w:ascii="Aptos" w:eastAsia="Aptos" w:hAnsi="Aptos" w:cs="Times New Roman"/>
                <w:sz w:val="20"/>
              </w:rPr>
            </w:pPr>
            <w:r w:rsidRPr="00E1537C">
              <w:rPr>
                <w:rFonts w:ascii="Aptos" w:eastAsia="Aptos" w:hAnsi="Aptos" w:cs="Times New Roman"/>
                <w:b/>
                <w:color w:val="FFFFFF"/>
                <w:sz w:val="19"/>
              </w:rPr>
              <w:t>Practical ETL transformations before loading</w:t>
            </w:r>
          </w:p>
        </w:tc>
      </w:tr>
      <w:tr w:rsidR="00E1537C" w:rsidRPr="00E1537C" w14:paraId="0E6BDC0D" w14:textId="77777777" w:rsidTr="00443D91">
        <w:trPr>
          <w:trHeight w:val="341"/>
          <w:jc w:val="center"/>
        </w:trPr>
        <w:tc>
          <w:tcPr>
            <w:tcW w:w="1553" w:type="dxa"/>
            <w:tcBorders>
              <w:top w:val="single" w:sz="8" w:space="0" w:color="000000"/>
              <w:left w:val="single" w:sz="8" w:space="0" w:color="000000"/>
              <w:bottom w:val="single" w:sz="8" w:space="0" w:color="000000"/>
              <w:right w:val="single" w:sz="8" w:space="0" w:color="000000"/>
            </w:tcBorders>
            <w:shd w:val="clear" w:color="auto" w:fill="D9EAF7"/>
          </w:tcPr>
          <w:p w14:paraId="443C9229" w14:textId="77777777" w:rsidR="00E1537C" w:rsidRPr="00E1537C" w:rsidRDefault="00E1537C" w:rsidP="00E1537C">
            <w:pPr>
              <w:rPr>
                <w:rFonts w:ascii="Aptos" w:eastAsia="Aptos" w:hAnsi="Aptos" w:cs="Times New Roman"/>
                <w:sz w:val="20"/>
              </w:rPr>
            </w:pPr>
            <w:r w:rsidRPr="00E1537C">
              <w:rPr>
                <w:rFonts w:ascii="Aptos" w:eastAsia="Aptos" w:hAnsi="Aptos" w:cs="Times New Roman"/>
                <w:b/>
                <w:color w:val="000000"/>
                <w:sz w:val="17"/>
              </w:rPr>
              <w:t>Dim_Patient</w:t>
            </w:r>
          </w:p>
        </w:tc>
        <w:tc>
          <w:tcPr>
            <w:tcW w:w="2228" w:type="dxa"/>
            <w:tcBorders>
              <w:top w:val="single" w:sz="8" w:space="0" w:color="000000"/>
              <w:left w:val="single" w:sz="8" w:space="0" w:color="000000"/>
              <w:bottom w:val="single" w:sz="8" w:space="0" w:color="000000"/>
              <w:right w:val="single" w:sz="8" w:space="0" w:color="000000"/>
            </w:tcBorders>
          </w:tcPr>
          <w:p w14:paraId="62C00908" w14:textId="77777777" w:rsidR="00E1537C" w:rsidRPr="00E1537C" w:rsidRDefault="00E1537C" w:rsidP="00E1537C">
            <w:pPr>
              <w:rPr>
                <w:rFonts w:ascii="Aptos" w:eastAsia="Aptos" w:hAnsi="Aptos" w:cs="Times New Roman"/>
                <w:sz w:val="20"/>
              </w:rPr>
            </w:pPr>
            <w:r w:rsidRPr="00E1537C">
              <w:rPr>
                <w:rFonts w:ascii="Aptos" w:eastAsia="Aptos" w:hAnsi="Aptos" w:cs="Times New Roman"/>
                <w:color w:val="000000"/>
                <w:sz w:val="17"/>
              </w:rPr>
              <w:t>EPR, PAS, GP registration systems</w:t>
            </w:r>
          </w:p>
        </w:tc>
        <w:tc>
          <w:tcPr>
            <w:tcW w:w="6551" w:type="dxa"/>
            <w:tcBorders>
              <w:top w:val="single" w:sz="8" w:space="0" w:color="000000"/>
              <w:left w:val="single" w:sz="8" w:space="0" w:color="000000"/>
              <w:bottom w:val="single" w:sz="8" w:space="0" w:color="000000"/>
              <w:right w:val="single" w:sz="8" w:space="0" w:color="000000"/>
            </w:tcBorders>
          </w:tcPr>
          <w:p w14:paraId="7C276573" w14:textId="77777777" w:rsidR="00E1537C" w:rsidRPr="00E1537C" w:rsidRDefault="00E1537C" w:rsidP="00E1537C">
            <w:pPr>
              <w:rPr>
                <w:rFonts w:ascii="Aptos" w:eastAsia="Aptos" w:hAnsi="Aptos" w:cs="Times New Roman"/>
                <w:sz w:val="20"/>
              </w:rPr>
            </w:pPr>
            <w:r w:rsidRPr="00E1537C">
              <w:rPr>
                <w:rFonts w:ascii="Aptos" w:eastAsia="Aptos" w:hAnsi="Aptos" w:cs="Times New Roman"/>
                <w:color w:val="000000"/>
                <w:sz w:val="17"/>
              </w:rPr>
              <w:t>Deduplicate patients; validate and pseudonymise NHS number; standardise gender, ethnicity, postcode and GP practice. Apply Type 2 history for address or GP changes.</w:t>
            </w:r>
          </w:p>
        </w:tc>
      </w:tr>
      <w:tr w:rsidR="00E1537C" w:rsidRPr="00E1537C" w14:paraId="20F7F36E" w14:textId="77777777" w:rsidTr="00443D91">
        <w:trPr>
          <w:trHeight w:val="170"/>
          <w:jc w:val="center"/>
        </w:trPr>
        <w:tc>
          <w:tcPr>
            <w:tcW w:w="1553" w:type="dxa"/>
            <w:tcBorders>
              <w:top w:val="single" w:sz="8" w:space="0" w:color="000000"/>
              <w:left w:val="single" w:sz="8" w:space="0" w:color="000000"/>
              <w:bottom w:val="single" w:sz="8" w:space="0" w:color="000000"/>
              <w:right w:val="single" w:sz="8" w:space="0" w:color="000000"/>
            </w:tcBorders>
            <w:shd w:val="clear" w:color="auto" w:fill="D9EAF7"/>
          </w:tcPr>
          <w:p w14:paraId="5AE58828" w14:textId="77777777" w:rsidR="00E1537C" w:rsidRPr="00E1537C" w:rsidRDefault="00E1537C" w:rsidP="00E1537C">
            <w:pPr>
              <w:rPr>
                <w:rFonts w:ascii="Aptos" w:eastAsia="Aptos" w:hAnsi="Aptos" w:cs="Times New Roman"/>
                <w:sz w:val="20"/>
              </w:rPr>
            </w:pPr>
            <w:r w:rsidRPr="00E1537C">
              <w:rPr>
                <w:rFonts w:ascii="Aptos" w:eastAsia="Aptos" w:hAnsi="Aptos" w:cs="Times New Roman"/>
                <w:b/>
                <w:color w:val="000000"/>
                <w:sz w:val="17"/>
              </w:rPr>
              <w:t>Dim_Staff</w:t>
            </w:r>
          </w:p>
        </w:tc>
        <w:tc>
          <w:tcPr>
            <w:tcW w:w="2228" w:type="dxa"/>
            <w:tcBorders>
              <w:top w:val="single" w:sz="8" w:space="0" w:color="000000"/>
              <w:left w:val="single" w:sz="8" w:space="0" w:color="000000"/>
              <w:bottom w:val="single" w:sz="8" w:space="0" w:color="000000"/>
              <w:right w:val="single" w:sz="8" w:space="0" w:color="000000"/>
            </w:tcBorders>
          </w:tcPr>
          <w:p w14:paraId="32A55188" w14:textId="77777777" w:rsidR="00E1537C" w:rsidRPr="00E1537C" w:rsidRDefault="00E1537C" w:rsidP="00E1537C">
            <w:pPr>
              <w:rPr>
                <w:rFonts w:ascii="Aptos" w:eastAsia="Aptos" w:hAnsi="Aptos" w:cs="Times New Roman"/>
                <w:sz w:val="20"/>
              </w:rPr>
            </w:pPr>
            <w:r w:rsidRPr="00E1537C">
              <w:rPr>
                <w:rFonts w:ascii="Aptos" w:eastAsia="Aptos" w:hAnsi="Aptos" w:cs="Times New Roman"/>
                <w:color w:val="000000"/>
                <w:sz w:val="17"/>
              </w:rPr>
              <w:t>HR, payroll, rostering systems</w:t>
            </w:r>
          </w:p>
        </w:tc>
        <w:tc>
          <w:tcPr>
            <w:tcW w:w="6551" w:type="dxa"/>
            <w:tcBorders>
              <w:top w:val="single" w:sz="8" w:space="0" w:color="000000"/>
              <w:left w:val="single" w:sz="8" w:space="0" w:color="000000"/>
              <w:bottom w:val="single" w:sz="8" w:space="0" w:color="000000"/>
              <w:right w:val="single" w:sz="8" w:space="0" w:color="000000"/>
            </w:tcBorders>
          </w:tcPr>
          <w:p w14:paraId="0B359092" w14:textId="77777777" w:rsidR="00E1537C" w:rsidRPr="00E1537C" w:rsidRDefault="00E1537C" w:rsidP="00E1537C">
            <w:pPr>
              <w:rPr>
                <w:rFonts w:ascii="Aptos" w:eastAsia="Aptos" w:hAnsi="Aptos" w:cs="Times New Roman"/>
                <w:sz w:val="20"/>
              </w:rPr>
            </w:pPr>
            <w:r w:rsidRPr="00E1537C">
              <w:rPr>
                <w:rFonts w:ascii="Aptos" w:eastAsia="Aptos" w:hAnsi="Aptos" w:cs="Times New Roman"/>
                <w:color w:val="000000"/>
                <w:sz w:val="17"/>
              </w:rPr>
              <w:t>Standardise staff IDs, job roles, grades, departments, specialties and employment type.</w:t>
            </w:r>
          </w:p>
        </w:tc>
      </w:tr>
      <w:tr w:rsidR="00E1537C" w:rsidRPr="00E1537C" w14:paraId="212E64E5" w14:textId="77777777" w:rsidTr="00443D91">
        <w:trPr>
          <w:trHeight w:val="170"/>
          <w:jc w:val="center"/>
        </w:trPr>
        <w:tc>
          <w:tcPr>
            <w:tcW w:w="1553" w:type="dxa"/>
            <w:tcBorders>
              <w:top w:val="single" w:sz="8" w:space="0" w:color="000000"/>
              <w:left w:val="single" w:sz="8" w:space="0" w:color="000000"/>
              <w:bottom w:val="single" w:sz="8" w:space="0" w:color="000000"/>
              <w:right w:val="single" w:sz="8" w:space="0" w:color="000000"/>
            </w:tcBorders>
            <w:shd w:val="clear" w:color="auto" w:fill="D9EAF7"/>
          </w:tcPr>
          <w:p w14:paraId="634273E3" w14:textId="77777777" w:rsidR="00E1537C" w:rsidRPr="00E1537C" w:rsidRDefault="00E1537C" w:rsidP="00E1537C">
            <w:pPr>
              <w:rPr>
                <w:rFonts w:ascii="Aptos" w:eastAsia="Aptos" w:hAnsi="Aptos" w:cs="Times New Roman"/>
                <w:sz w:val="20"/>
              </w:rPr>
            </w:pPr>
            <w:r w:rsidRPr="00E1537C">
              <w:rPr>
                <w:rFonts w:ascii="Aptos" w:eastAsia="Aptos" w:hAnsi="Aptos" w:cs="Times New Roman"/>
                <w:b/>
                <w:color w:val="000000"/>
                <w:sz w:val="17"/>
              </w:rPr>
              <w:t>Dim_Organisation</w:t>
            </w:r>
          </w:p>
        </w:tc>
        <w:tc>
          <w:tcPr>
            <w:tcW w:w="2228" w:type="dxa"/>
            <w:tcBorders>
              <w:top w:val="single" w:sz="8" w:space="0" w:color="000000"/>
              <w:left w:val="single" w:sz="8" w:space="0" w:color="000000"/>
              <w:bottom w:val="single" w:sz="8" w:space="0" w:color="000000"/>
              <w:right w:val="single" w:sz="8" w:space="0" w:color="000000"/>
            </w:tcBorders>
          </w:tcPr>
          <w:p w14:paraId="0764BCC3" w14:textId="77777777" w:rsidR="00E1537C" w:rsidRPr="00E1537C" w:rsidRDefault="00E1537C" w:rsidP="00E1537C">
            <w:pPr>
              <w:rPr>
                <w:rFonts w:ascii="Aptos" w:eastAsia="Aptos" w:hAnsi="Aptos" w:cs="Times New Roman"/>
                <w:sz w:val="20"/>
              </w:rPr>
            </w:pPr>
            <w:r w:rsidRPr="00E1537C">
              <w:rPr>
                <w:rFonts w:ascii="Aptos" w:eastAsia="Aptos" w:hAnsi="Aptos" w:cs="Times New Roman"/>
                <w:color w:val="000000"/>
                <w:sz w:val="17"/>
              </w:rPr>
              <w:t>PAS, NHS ODS/reference data</w:t>
            </w:r>
          </w:p>
        </w:tc>
        <w:tc>
          <w:tcPr>
            <w:tcW w:w="6551" w:type="dxa"/>
            <w:tcBorders>
              <w:top w:val="single" w:sz="8" w:space="0" w:color="000000"/>
              <w:left w:val="single" w:sz="8" w:space="0" w:color="000000"/>
              <w:bottom w:val="single" w:sz="8" w:space="0" w:color="000000"/>
              <w:right w:val="single" w:sz="8" w:space="0" w:color="000000"/>
            </w:tcBorders>
          </w:tcPr>
          <w:p w14:paraId="3EAA2A87" w14:textId="77777777" w:rsidR="00E1537C" w:rsidRPr="00E1537C" w:rsidRDefault="00E1537C" w:rsidP="00E1537C">
            <w:pPr>
              <w:rPr>
                <w:rFonts w:ascii="Aptos" w:eastAsia="Aptos" w:hAnsi="Aptos" w:cs="Times New Roman"/>
                <w:sz w:val="20"/>
              </w:rPr>
            </w:pPr>
            <w:r w:rsidRPr="00E1537C">
              <w:rPr>
                <w:rFonts w:ascii="Aptos" w:eastAsia="Aptos" w:hAnsi="Aptos" w:cs="Times New Roman"/>
                <w:color w:val="000000"/>
                <w:sz w:val="17"/>
              </w:rPr>
              <w:t>Map trusts, hospital sites, regions and Integrated Care Boards to standard ODS organisation codes.</w:t>
            </w:r>
          </w:p>
        </w:tc>
      </w:tr>
      <w:tr w:rsidR="00E1537C" w:rsidRPr="00E1537C" w14:paraId="30DB7D36" w14:textId="77777777" w:rsidTr="00443D91">
        <w:trPr>
          <w:trHeight w:val="170"/>
          <w:jc w:val="center"/>
        </w:trPr>
        <w:tc>
          <w:tcPr>
            <w:tcW w:w="1553" w:type="dxa"/>
            <w:tcBorders>
              <w:top w:val="single" w:sz="8" w:space="0" w:color="000000"/>
              <w:left w:val="single" w:sz="8" w:space="0" w:color="000000"/>
              <w:bottom w:val="single" w:sz="8" w:space="0" w:color="000000"/>
              <w:right w:val="single" w:sz="8" w:space="0" w:color="000000"/>
            </w:tcBorders>
            <w:shd w:val="clear" w:color="auto" w:fill="D9EAF7"/>
          </w:tcPr>
          <w:p w14:paraId="0BE17598" w14:textId="77777777" w:rsidR="00E1537C" w:rsidRPr="00E1537C" w:rsidRDefault="00E1537C" w:rsidP="00E1537C">
            <w:pPr>
              <w:rPr>
                <w:rFonts w:ascii="Aptos" w:eastAsia="Aptos" w:hAnsi="Aptos" w:cs="Times New Roman"/>
                <w:sz w:val="20"/>
              </w:rPr>
            </w:pPr>
            <w:r w:rsidRPr="00E1537C">
              <w:rPr>
                <w:rFonts w:ascii="Aptos" w:eastAsia="Aptos" w:hAnsi="Aptos" w:cs="Times New Roman"/>
                <w:b/>
                <w:color w:val="000000"/>
                <w:sz w:val="17"/>
              </w:rPr>
              <w:t>Dim_Service_Type</w:t>
            </w:r>
          </w:p>
        </w:tc>
        <w:tc>
          <w:tcPr>
            <w:tcW w:w="2228" w:type="dxa"/>
            <w:tcBorders>
              <w:top w:val="single" w:sz="8" w:space="0" w:color="000000"/>
              <w:left w:val="single" w:sz="8" w:space="0" w:color="000000"/>
              <w:bottom w:val="single" w:sz="8" w:space="0" w:color="000000"/>
              <w:right w:val="single" w:sz="8" w:space="0" w:color="000000"/>
            </w:tcBorders>
          </w:tcPr>
          <w:p w14:paraId="6368F7DF" w14:textId="77777777" w:rsidR="00E1537C" w:rsidRPr="00E1537C" w:rsidRDefault="00E1537C" w:rsidP="00E1537C">
            <w:pPr>
              <w:rPr>
                <w:rFonts w:ascii="Aptos" w:eastAsia="Aptos" w:hAnsi="Aptos" w:cs="Times New Roman"/>
                <w:sz w:val="20"/>
              </w:rPr>
            </w:pPr>
            <w:r w:rsidRPr="00E1537C">
              <w:rPr>
                <w:rFonts w:ascii="Aptos" w:eastAsia="Aptos" w:hAnsi="Aptos" w:cs="Times New Roman"/>
                <w:color w:val="000000"/>
                <w:sz w:val="17"/>
              </w:rPr>
              <w:t>PAS, EPR, service catalogues</w:t>
            </w:r>
          </w:p>
        </w:tc>
        <w:tc>
          <w:tcPr>
            <w:tcW w:w="6551" w:type="dxa"/>
            <w:tcBorders>
              <w:top w:val="single" w:sz="8" w:space="0" w:color="000000"/>
              <w:left w:val="single" w:sz="8" w:space="0" w:color="000000"/>
              <w:bottom w:val="single" w:sz="8" w:space="0" w:color="000000"/>
              <w:right w:val="single" w:sz="8" w:space="0" w:color="000000"/>
            </w:tcBorders>
          </w:tcPr>
          <w:p w14:paraId="4CFA13EE" w14:textId="77777777" w:rsidR="00E1537C" w:rsidRPr="00E1537C" w:rsidRDefault="00E1537C" w:rsidP="00E1537C">
            <w:pPr>
              <w:rPr>
                <w:rFonts w:ascii="Aptos" w:eastAsia="Aptos" w:hAnsi="Aptos" w:cs="Times New Roman"/>
                <w:sz w:val="20"/>
              </w:rPr>
            </w:pPr>
            <w:r w:rsidRPr="00E1537C">
              <w:rPr>
                <w:rFonts w:ascii="Aptos" w:eastAsia="Aptos" w:hAnsi="Aptos" w:cs="Times New Roman"/>
                <w:color w:val="000000"/>
                <w:sz w:val="17"/>
              </w:rPr>
              <w:t>Standardise service names and codes such as A&amp;E, inpatient, outpatient, diagnostic and community care.</w:t>
            </w:r>
          </w:p>
        </w:tc>
      </w:tr>
      <w:tr w:rsidR="00E1537C" w:rsidRPr="00E1537C" w14:paraId="43EBF4C0" w14:textId="77777777" w:rsidTr="00443D91">
        <w:trPr>
          <w:trHeight w:val="170"/>
          <w:jc w:val="center"/>
        </w:trPr>
        <w:tc>
          <w:tcPr>
            <w:tcW w:w="1553" w:type="dxa"/>
            <w:tcBorders>
              <w:top w:val="single" w:sz="8" w:space="0" w:color="000000"/>
              <w:left w:val="single" w:sz="8" w:space="0" w:color="000000"/>
              <w:bottom w:val="single" w:sz="8" w:space="0" w:color="000000"/>
              <w:right w:val="single" w:sz="8" w:space="0" w:color="000000"/>
            </w:tcBorders>
            <w:shd w:val="clear" w:color="auto" w:fill="D9EAF7"/>
          </w:tcPr>
          <w:p w14:paraId="6F5F3BBC" w14:textId="77777777" w:rsidR="00E1537C" w:rsidRPr="00E1537C" w:rsidRDefault="00E1537C" w:rsidP="00E1537C">
            <w:pPr>
              <w:rPr>
                <w:rFonts w:ascii="Aptos" w:eastAsia="Aptos" w:hAnsi="Aptos" w:cs="Times New Roman"/>
                <w:sz w:val="20"/>
              </w:rPr>
            </w:pPr>
            <w:r w:rsidRPr="00E1537C">
              <w:rPr>
                <w:rFonts w:ascii="Aptos" w:eastAsia="Aptos" w:hAnsi="Aptos" w:cs="Times New Roman"/>
                <w:b/>
                <w:color w:val="000000"/>
                <w:sz w:val="17"/>
              </w:rPr>
              <w:t>Dim_Date</w:t>
            </w:r>
          </w:p>
        </w:tc>
        <w:tc>
          <w:tcPr>
            <w:tcW w:w="2228" w:type="dxa"/>
            <w:tcBorders>
              <w:top w:val="single" w:sz="8" w:space="0" w:color="000000"/>
              <w:left w:val="single" w:sz="8" w:space="0" w:color="000000"/>
              <w:bottom w:val="single" w:sz="8" w:space="0" w:color="000000"/>
              <w:right w:val="single" w:sz="8" w:space="0" w:color="000000"/>
            </w:tcBorders>
          </w:tcPr>
          <w:p w14:paraId="33838133" w14:textId="77777777" w:rsidR="00E1537C" w:rsidRPr="00E1537C" w:rsidRDefault="00E1537C" w:rsidP="00E1537C">
            <w:pPr>
              <w:rPr>
                <w:rFonts w:ascii="Aptos" w:eastAsia="Aptos" w:hAnsi="Aptos" w:cs="Times New Roman"/>
                <w:sz w:val="20"/>
              </w:rPr>
            </w:pPr>
            <w:r w:rsidRPr="00E1537C">
              <w:rPr>
                <w:rFonts w:ascii="Aptos" w:eastAsia="Aptos" w:hAnsi="Aptos" w:cs="Times New Roman"/>
                <w:color w:val="000000"/>
                <w:sz w:val="17"/>
              </w:rPr>
              <w:t>ETL-generated</w:t>
            </w:r>
          </w:p>
        </w:tc>
        <w:tc>
          <w:tcPr>
            <w:tcW w:w="6551" w:type="dxa"/>
            <w:tcBorders>
              <w:top w:val="single" w:sz="8" w:space="0" w:color="000000"/>
              <w:left w:val="single" w:sz="8" w:space="0" w:color="000000"/>
              <w:bottom w:val="single" w:sz="8" w:space="0" w:color="000000"/>
              <w:right w:val="single" w:sz="8" w:space="0" w:color="000000"/>
            </w:tcBorders>
          </w:tcPr>
          <w:p w14:paraId="57005C90" w14:textId="77777777" w:rsidR="00E1537C" w:rsidRPr="00E1537C" w:rsidRDefault="00E1537C" w:rsidP="00E1537C">
            <w:pPr>
              <w:rPr>
                <w:rFonts w:ascii="Aptos" w:eastAsia="Aptos" w:hAnsi="Aptos" w:cs="Times New Roman"/>
                <w:sz w:val="20"/>
              </w:rPr>
            </w:pPr>
            <w:r w:rsidRPr="00E1537C">
              <w:rPr>
                <w:rFonts w:ascii="Aptos" w:eastAsia="Aptos" w:hAnsi="Aptos" w:cs="Times New Roman"/>
                <w:color w:val="000000"/>
                <w:sz w:val="17"/>
              </w:rPr>
              <w:t>Generate calendar dates, months, quarters, financial years, weekend flags and bank holiday flags.</w:t>
            </w:r>
          </w:p>
        </w:tc>
      </w:tr>
      <w:tr w:rsidR="00E1537C" w:rsidRPr="00E1537C" w14:paraId="2A11C188" w14:textId="77777777" w:rsidTr="00443D91">
        <w:trPr>
          <w:trHeight w:val="170"/>
          <w:jc w:val="center"/>
        </w:trPr>
        <w:tc>
          <w:tcPr>
            <w:tcW w:w="1553" w:type="dxa"/>
            <w:tcBorders>
              <w:top w:val="single" w:sz="8" w:space="0" w:color="000000"/>
              <w:left w:val="single" w:sz="8" w:space="0" w:color="000000"/>
              <w:bottom w:val="single" w:sz="8" w:space="0" w:color="000000"/>
              <w:right w:val="single" w:sz="8" w:space="0" w:color="000000"/>
            </w:tcBorders>
            <w:shd w:val="clear" w:color="auto" w:fill="D9EAF7"/>
          </w:tcPr>
          <w:p w14:paraId="4E194DEE" w14:textId="77777777" w:rsidR="00E1537C" w:rsidRPr="00E1537C" w:rsidRDefault="00E1537C" w:rsidP="00E1537C">
            <w:pPr>
              <w:rPr>
                <w:rFonts w:ascii="Aptos" w:eastAsia="Aptos" w:hAnsi="Aptos" w:cs="Times New Roman"/>
                <w:sz w:val="20"/>
              </w:rPr>
            </w:pPr>
            <w:r w:rsidRPr="00E1537C">
              <w:rPr>
                <w:rFonts w:ascii="Aptos" w:eastAsia="Aptos" w:hAnsi="Aptos" w:cs="Times New Roman"/>
                <w:b/>
                <w:color w:val="000000"/>
                <w:sz w:val="17"/>
              </w:rPr>
              <w:t>Dim_Diagnosis</w:t>
            </w:r>
          </w:p>
        </w:tc>
        <w:tc>
          <w:tcPr>
            <w:tcW w:w="2228" w:type="dxa"/>
            <w:tcBorders>
              <w:top w:val="single" w:sz="8" w:space="0" w:color="000000"/>
              <w:left w:val="single" w:sz="8" w:space="0" w:color="000000"/>
              <w:bottom w:val="single" w:sz="8" w:space="0" w:color="000000"/>
              <w:right w:val="single" w:sz="8" w:space="0" w:color="000000"/>
            </w:tcBorders>
          </w:tcPr>
          <w:p w14:paraId="3BCF77AE" w14:textId="77777777" w:rsidR="00E1537C" w:rsidRPr="00E1537C" w:rsidRDefault="00E1537C" w:rsidP="00E1537C">
            <w:pPr>
              <w:rPr>
                <w:rFonts w:ascii="Aptos" w:eastAsia="Aptos" w:hAnsi="Aptos" w:cs="Times New Roman"/>
                <w:sz w:val="20"/>
              </w:rPr>
            </w:pPr>
            <w:r w:rsidRPr="00E1537C">
              <w:rPr>
                <w:rFonts w:ascii="Aptos" w:eastAsia="Aptos" w:hAnsi="Aptos" w:cs="Times New Roman"/>
                <w:color w:val="000000"/>
                <w:sz w:val="17"/>
              </w:rPr>
              <w:t>EPR, clinical coding systems</w:t>
            </w:r>
          </w:p>
        </w:tc>
        <w:tc>
          <w:tcPr>
            <w:tcW w:w="6551" w:type="dxa"/>
            <w:tcBorders>
              <w:top w:val="single" w:sz="8" w:space="0" w:color="000000"/>
              <w:left w:val="single" w:sz="8" w:space="0" w:color="000000"/>
              <w:bottom w:val="single" w:sz="8" w:space="0" w:color="000000"/>
              <w:right w:val="single" w:sz="8" w:space="0" w:color="000000"/>
            </w:tcBorders>
          </w:tcPr>
          <w:p w14:paraId="212F2E59" w14:textId="77777777" w:rsidR="00E1537C" w:rsidRPr="00E1537C" w:rsidRDefault="00E1537C" w:rsidP="00E1537C">
            <w:pPr>
              <w:rPr>
                <w:rFonts w:ascii="Aptos" w:eastAsia="Aptos" w:hAnsi="Aptos" w:cs="Times New Roman"/>
                <w:sz w:val="20"/>
              </w:rPr>
            </w:pPr>
            <w:r w:rsidRPr="00E1537C">
              <w:rPr>
                <w:rFonts w:ascii="Aptos" w:eastAsia="Aptos" w:hAnsi="Aptos" w:cs="Times New Roman"/>
                <w:color w:val="000000"/>
                <w:sz w:val="17"/>
              </w:rPr>
              <w:t>Validate and standardise ICD-10 diagnosis codes, descriptions, chapters and body systems.</w:t>
            </w:r>
          </w:p>
        </w:tc>
      </w:tr>
      <w:tr w:rsidR="00E1537C" w:rsidRPr="00E1537C" w14:paraId="7ED1892D" w14:textId="77777777" w:rsidTr="00443D91">
        <w:trPr>
          <w:trHeight w:val="341"/>
          <w:jc w:val="center"/>
        </w:trPr>
        <w:tc>
          <w:tcPr>
            <w:tcW w:w="1553" w:type="dxa"/>
            <w:tcBorders>
              <w:top w:val="single" w:sz="8" w:space="0" w:color="000000"/>
              <w:left w:val="single" w:sz="8" w:space="0" w:color="000000"/>
              <w:bottom w:val="single" w:sz="8" w:space="0" w:color="000000"/>
              <w:right w:val="single" w:sz="8" w:space="0" w:color="000000"/>
            </w:tcBorders>
            <w:shd w:val="clear" w:color="auto" w:fill="D9EAF7"/>
          </w:tcPr>
          <w:p w14:paraId="063A56E7" w14:textId="77777777" w:rsidR="00E1537C" w:rsidRPr="00E1537C" w:rsidRDefault="00E1537C" w:rsidP="00E1537C">
            <w:pPr>
              <w:rPr>
                <w:rFonts w:ascii="Aptos" w:eastAsia="Aptos" w:hAnsi="Aptos" w:cs="Times New Roman"/>
                <w:sz w:val="20"/>
              </w:rPr>
            </w:pPr>
            <w:r w:rsidRPr="00E1537C">
              <w:rPr>
                <w:rFonts w:ascii="Aptos" w:eastAsia="Aptos" w:hAnsi="Aptos" w:cs="Times New Roman"/>
                <w:b/>
                <w:color w:val="000000"/>
                <w:sz w:val="17"/>
              </w:rPr>
              <w:t>Fact_Attendance</w:t>
            </w:r>
          </w:p>
        </w:tc>
        <w:tc>
          <w:tcPr>
            <w:tcW w:w="2228" w:type="dxa"/>
            <w:tcBorders>
              <w:top w:val="single" w:sz="8" w:space="0" w:color="000000"/>
              <w:left w:val="single" w:sz="8" w:space="0" w:color="000000"/>
              <w:bottom w:val="single" w:sz="8" w:space="0" w:color="000000"/>
              <w:right w:val="single" w:sz="8" w:space="0" w:color="000000"/>
            </w:tcBorders>
          </w:tcPr>
          <w:p w14:paraId="07247CE4" w14:textId="77777777" w:rsidR="00E1537C" w:rsidRPr="00E1537C" w:rsidRDefault="00E1537C" w:rsidP="00E1537C">
            <w:pPr>
              <w:rPr>
                <w:rFonts w:ascii="Aptos" w:eastAsia="Aptos" w:hAnsi="Aptos" w:cs="Times New Roman"/>
                <w:sz w:val="20"/>
              </w:rPr>
            </w:pPr>
            <w:r w:rsidRPr="00E1537C">
              <w:rPr>
                <w:rFonts w:ascii="Aptos" w:eastAsia="Aptos" w:hAnsi="Aptos" w:cs="Times New Roman"/>
                <w:color w:val="000000"/>
                <w:sz w:val="17"/>
              </w:rPr>
              <w:t>PAS, EPR, A&amp;E, theatre systems</w:t>
            </w:r>
          </w:p>
        </w:tc>
        <w:tc>
          <w:tcPr>
            <w:tcW w:w="6551" w:type="dxa"/>
            <w:tcBorders>
              <w:top w:val="single" w:sz="8" w:space="0" w:color="000000"/>
              <w:left w:val="single" w:sz="8" w:space="0" w:color="000000"/>
              <w:bottom w:val="single" w:sz="8" w:space="0" w:color="000000"/>
              <w:right w:val="single" w:sz="8" w:space="0" w:color="000000"/>
            </w:tcBorders>
          </w:tcPr>
          <w:p w14:paraId="1DD7E74F" w14:textId="77777777" w:rsidR="00E1537C" w:rsidRPr="00E1537C" w:rsidRDefault="00E1537C" w:rsidP="00E1537C">
            <w:pPr>
              <w:rPr>
                <w:rFonts w:ascii="Aptos" w:eastAsia="Aptos" w:hAnsi="Aptos" w:cs="Times New Roman"/>
                <w:sz w:val="20"/>
              </w:rPr>
            </w:pPr>
            <w:r w:rsidRPr="00E1537C">
              <w:rPr>
                <w:rFonts w:ascii="Aptos" w:eastAsia="Aptos" w:hAnsi="Aptos" w:cs="Times New Roman"/>
                <w:color w:val="000000"/>
                <w:sz w:val="17"/>
              </w:rPr>
              <w:t>Match each encounter to patient, staff, service, organisation, date and diagnosis keys. Calculate waiting time, length of stay, DNA flag and treatment cost.</w:t>
            </w:r>
          </w:p>
        </w:tc>
      </w:tr>
      <w:tr w:rsidR="00E1537C" w:rsidRPr="00E1537C" w14:paraId="3BA11CD9" w14:textId="77777777" w:rsidTr="00443D91">
        <w:trPr>
          <w:trHeight w:val="170"/>
          <w:jc w:val="center"/>
        </w:trPr>
        <w:tc>
          <w:tcPr>
            <w:tcW w:w="1553" w:type="dxa"/>
            <w:tcBorders>
              <w:top w:val="single" w:sz="8" w:space="0" w:color="000000"/>
              <w:left w:val="single" w:sz="8" w:space="0" w:color="000000"/>
              <w:bottom w:val="single" w:sz="8" w:space="0" w:color="000000"/>
              <w:right w:val="single" w:sz="8" w:space="0" w:color="000000"/>
            </w:tcBorders>
            <w:shd w:val="clear" w:color="auto" w:fill="D9EAF7"/>
          </w:tcPr>
          <w:p w14:paraId="47888E7D" w14:textId="77777777" w:rsidR="00E1537C" w:rsidRPr="00E1537C" w:rsidRDefault="00E1537C" w:rsidP="00E1537C">
            <w:pPr>
              <w:rPr>
                <w:rFonts w:ascii="Aptos" w:eastAsia="Aptos" w:hAnsi="Aptos" w:cs="Times New Roman"/>
                <w:sz w:val="20"/>
              </w:rPr>
            </w:pPr>
            <w:r w:rsidRPr="00E1537C">
              <w:rPr>
                <w:rFonts w:ascii="Aptos" w:eastAsia="Aptos" w:hAnsi="Aptos" w:cs="Times New Roman"/>
                <w:b/>
                <w:color w:val="000000"/>
                <w:sz w:val="17"/>
              </w:rPr>
              <w:t>Fact_Staff_Shift</w:t>
            </w:r>
          </w:p>
        </w:tc>
        <w:tc>
          <w:tcPr>
            <w:tcW w:w="2228" w:type="dxa"/>
            <w:tcBorders>
              <w:top w:val="single" w:sz="8" w:space="0" w:color="000000"/>
              <w:left w:val="single" w:sz="8" w:space="0" w:color="000000"/>
              <w:bottom w:val="single" w:sz="8" w:space="0" w:color="000000"/>
              <w:right w:val="single" w:sz="8" w:space="0" w:color="000000"/>
            </w:tcBorders>
          </w:tcPr>
          <w:p w14:paraId="5CCF3716" w14:textId="77777777" w:rsidR="00E1537C" w:rsidRPr="00E1537C" w:rsidRDefault="00E1537C" w:rsidP="00E1537C">
            <w:pPr>
              <w:rPr>
                <w:rFonts w:ascii="Aptos" w:eastAsia="Aptos" w:hAnsi="Aptos" w:cs="Times New Roman"/>
                <w:sz w:val="20"/>
              </w:rPr>
            </w:pPr>
            <w:r w:rsidRPr="00E1537C">
              <w:rPr>
                <w:rFonts w:ascii="Aptos" w:eastAsia="Aptos" w:hAnsi="Aptos" w:cs="Times New Roman"/>
                <w:color w:val="000000"/>
                <w:sz w:val="17"/>
              </w:rPr>
              <w:t>Rostering, HR, payroll systems</w:t>
            </w:r>
          </w:p>
        </w:tc>
        <w:tc>
          <w:tcPr>
            <w:tcW w:w="6551" w:type="dxa"/>
            <w:tcBorders>
              <w:top w:val="single" w:sz="8" w:space="0" w:color="000000"/>
              <w:left w:val="single" w:sz="8" w:space="0" w:color="000000"/>
              <w:bottom w:val="single" w:sz="8" w:space="0" w:color="000000"/>
              <w:right w:val="single" w:sz="8" w:space="0" w:color="000000"/>
            </w:tcBorders>
          </w:tcPr>
          <w:p w14:paraId="1481337E" w14:textId="77777777" w:rsidR="00E1537C" w:rsidRPr="00E1537C" w:rsidRDefault="00E1537C" w:rsidP="00E1537C">
            <w:pPr>
              <w:rPr>
                <w:rFonts w:ascii="Aptos" w:eastAsia="Aptos" w:hAnsi="Aptos" w:cs="Times New Roman"/>
                <w:sz w:val="20"/>
              </w:rPr>
            </w:pPr>
            <w:r w:rsidRPr="00E1537C">
              <w:rPr>
                <w:rFonts w:ascii="Aptos" w:eastAsia="Aptos" w:hAnsi="Aptos" w:cs="Times New Roman"/>
                <w:color w:val="000000"/>
                <w:sz w:val="17"/>
              </w:rPr>
              <w:t>Link shifts to staff, organisation, service and date keys. Calculate hours worked, overtime, bank/agency flag and shift cost.</w:t>
            </w:r>
          </w:p>
        </w:tc>
      </w:tr>
      <w:tr w:rsidR="00E1537C" w:rsidRPr="00E1537C" w14:paraId="7E40D9E5" w14:textId="77777777" w:rsidTr="00443D91">
        <w:trPr>
          <w:trHeight w:val="341"/>
          <w:jc w:val="center"/>
        </w:trPr>
        <w:tc>
          <w:tcPr>
            <w:tcW w:w="1553" w:type="dxa"/>
            <w:tcBorders>
              <w:top w:val="single" w:sz="8" w:space="0" w:color="000000"/>
              <w:left w:val="single" w:sz="8" w:space="0" w:color="000000"/>
              <w:bottom w:val="single" w:sz="8" w:space="0" w:color="000000"/>
              <w:right w:val="single" w:sz="8" w:space="0" w:color="000000"/>
            </w:tcBorders>
            <w:shd w:val="clear" w:color="auto" w:fill="D9EAF7"/>
          </w:tcPr>
          <w:p w14:paraId="2EDC93E3" w14:textId="77777777" w:rsidR="00E1537C" w:rsidRPr="00E1537C" w:rsidRDefault="00E1537C" w:rsidP="00E1537C">
            <w:pPr>
              <w:rPr>
                <w:rFonts w:ascii="Aptos" w:eastAsia="Aptos" w:hAnsi="Aptos" w:cs="Times New Roman"/>
                <w:sz w:val="20"/>
              </w:rPr>
            </w:pPr>
            <w:r w:rsidRPr="00E1537C">
              <w:rPr>
                <w:rFonts w:ascii="Aptos" w:eastAsia="Aptos" w:hAnsi="Aptos" w:cs="Times New Roman"/>
                <w:b/>
                <w:color w:val="000000"/>
                <w:sz w:val="17"/>
              </w:rPr>
              <w:t>Fact_Monthly_Performance</w:t>
            </w:r>
          </w:p>
        </w:tc>
        <w:tc>
          <w:tcPr>
            <w:tcW w:w="2228" w:type="dxa"/>
            <w:tcBorders>
              <w:top w:val="single" w:sz="8" w:space="0" w:color="000000"/>
              <w:left w:val="single" w:sz="8" w:space="0" w:color="000000"/>
              <w:bottom w:val="single" w:sz="8" w:space="0" w:color="000000"/>
              <w:right w:val="single" w:sz="8" w:space="0" w:color="000000"/>
            </w:tcBorders>
          </w:tcPr>
          <w:p w14:paraId="5F224A3F" w14:textId="77777777" w:rsidR="00E1537C" w:rsidRPr="00E1537C" w:rsidRDefault="00E1537C" w:rsidP="00E1537C">
            <w:pPr>
              <w:rPr>
                <w:rFonts w:ascii="Aptos" w:eastAsia="Aptos" w:hAnsi="Aptos" w:cs="Times New Roman"/>
                <w:sz w:val="20"/>
              </w:rPr>
            </w:pPr>
            <w:r w:rsidRPr="00E1537C">
              <w:rPr>
                <w:rFonts w:ascii="Aptos" w:eastAsia="Aptos" w:hAnsi="Aptos" w:cs="Times New Roman"/>
                <w:color w:val="000000"/>
                <w:sz w:val="17"/>
              </w:rPr>
              <w:t>Loaded warehouse facts, performance systems</w:t>
            </w:r>
          </w:p>
        </w:tc>
        <w:tc>
          <w:tcPr>
            <w:tcW w:w="6551" w:type="dxa"/>
            <w:tcBorders>
              <w:top w:val="single" w:sz="8" w:space="0" w:color="000000"/>
              <w:left w:val="single" w:sz="8" w:space="0" w:color="000000"/>
              <w:bottom w:val="single" w:sz="8" w:space="0" w:color="000000"/>
              <w:right w:val="single" w:sz="8" w:space="0" w:color="000000"/>
            </w:tcBorders>
          </w:tcPr>
          <w:p w14:paraId="41874A79" w14:textId="77777777" w:rsidR="00E1537C" w:rsidRPr="00E1537C" w:rsidRDefault="00E1537C" w:rsidP="00E1537C">
            <w:pPr>
              <w:rPr>
                <w:rFonts w:ascii="Aptos" w:eastAsia="Aptos" w:hAnsi="Aptos" w:cs="Times New Roman"/>
                <w:sz w:val="20"/>
              </w:rPr>
            </w:pPr>
            <w:r w:rsidRPr="00E1537C">
              <w:rPr>
                <w:rFonts w:ascii="Aptos" w:eastAsia="Aptos" w:hAnsi="Aptos" w:cs="Times New Roman"/>
                <w:color w:val="000000"/>
                <w:sz w:val="17"/>
              </w:rPr>
              <w:t>Aggregate monthly attendance, waiting-time, RTT, DNA, bed occupancy and total cost KPIs by organisation and service type.</w:t>
            </w:r>
          </w:p>
        </w:tc>
      </w:tr>
    </w:tbl>
    <w:p w14:paraId="4A6F857B" w14:textId="77777777" w:rsidR="007652C4" w:rsidRDefault="007652C4" w:rsidP="00E1537C">
      <w:pPr>
        <w:spacing w:before="160" w:after="200" w:line="276" w:lineRule="auto"/>
        <w:jc w:val="both"/>
        <w:rPr>
          <w:rFonts w:ascii="Aptos" w:eastAsia="Aptos" w:hAnsi="Aptos" w:cs="Times New Roman"/>
          <w:kern w:val="0"/>
          <w:sz w:val="20"/>
          <w:lang w:val="en-US"/>
          <w14:ligatures w14:val="none"/>
        </w:rPr>
      </w:pPr>
    </w:p>
    <w:p w14:paraId="18F43382" w14:textId="27C84E45" w:rsidR="00E1537C" w:rsidRDefault="00E1537C" w:rsidP="00E1537C">
      <w:pPr>
        <w:spacing w:before="160" w:after="200" w:line="276" w:lineRule="auto"/>
        <w:jc w:val="both"/>
        <w:rPr>
          <w:rFonts w:ascii="Aptos" w:eastAsia="Aptos" w:hAnsi="Aptos" w:cs="Times New Roman"/>
          <w:kern w:val="0"/>
          <w:sz w:val="20"/>
          <w:lang w:val="en-US"/>
          <w14:ligatures w14:val="none"/>
        </w:rPr>
      </w:pPr>
      <w:r w:rsidRPr="00E1537C">
        <w:rPr>
          <w:rFonts w:ascii="Aptos" w:eastAsia="Aptos" w:hAnsi="Aptos" w:cs="Times New Roman"/>
          <w:kern w:val="0"/>
          <w:sz w:val="20"/>
          <w:lang w:val="en-US"/>
          <w14:ligatures w14:val="none"/>
        </w:rPr>
        <w:t>This plan is practical because it shows where each warehouse table is sourced from, what cleaning or standardisation is required, and how transactional NHS data is transformed into dimensions, detailed facts and monthly aggregate facts.</w:t>
      </w:r>
    </w:p>
    <w:p w14:paraId="73876D53" w14:textId="77777777" w:rsidR="00EE13AE" w:rsidRDefault="00EE13AE" w:rsidP="00E1537C">
      <w:pPr>
        <w:spacing w:before="160" w:after="200" w:line="276" w:lineRule="auto"/>
        <w:jc w:val="both"/>
        <w:rPr>
          <w:rFonts w:ascii="Aptos" w:eastAsia="Aptos" w:hAnsi="Aptos" w:cs="Times New Roman"/>
          <w:kern w:val="0"/>
          <w:sz w:val="20"/>
          <w:lang w:val="en-US"/>
          <w14:ligatures w14:val="none"/>
        </w:rPr>
      </w:pPr>
    </w:p>
    <w:p w14:paraId="743480A0" w14:textId="77777777" w:rsidR="003B0729" w:rsidRDefault="003B0729" w:rsidP="002F4200">
      <w:pPr>
        <w:pStyle w:val="Heading3"/>
        <w:jc w:val="center"/>
        <w:rPr>
          <w:rFonts w:eastAsia="Aptos"/>
          <w:b/>
          <w:bCs/>
        </w:rPr>
      </w:pPr>
      <w:bookmarkStart w:id="25" w:name="_Toc234506789"/>
    </w:p>
    <w:p w14:paraId="6B21091D" w14:textId="6B27E2CB" w:rsidR="00EE13AE" w:rsidRPr="002F4200" w:rsidRDefault="00701CD7" w:rsidP="002F4200">
      <w:pPr>
        <w:pStyle w:val="Heading3"/>
        <w:jc w:val="center"/>
        <w:rPr>
          <w:rFonts w:eastAsia="Aptos"/>
          <w:b/>
          <w:bCs/>
        </w:rPr>
      </w:pPr>
      <w:r w:rsidRPr="002F4200">
        <w:rPr>
          <w:rFonts w:eastAsia="Aptos"/>
          <w:b/>
          <w:bCs/>
        </w:rPr>
        <w:t xml:space="preserve">2.5 </w:t>
      </w:r>
      <w:r w:rsidR="00EE13AE" w:rsidRPr="002F4200">
        <w:rPr>
          <w:rFonts w:eastAsia="Aptos"/>
          <w:b/>
          <w:bCs/>
        </w:rPr>
        <w:t>Data Quality and Governance</w:t>
      </w:r>
      <w:bookmarkEnd w:id="25"/>
    </w:p>
    <w:p w14:paraId="1DDCE51C" w14:textId="77777777" w:rsidR="007652C4" w:rsidRDefault="007652C4" w:rsidP="00E1537C">
      <w:pPr>
        <w:spacing w:before="160" w:after="200" w:line="276" w:lineRule="auto"/>
        <w:jc w:val="both"/>
        <w:rPr>
          <w:rFonts w:ascii="Aptos" w:eastAsia="Aptos" w:hAnsi="Aptos" w:cs="Times New Roman"/>
          <w:kern w:val="0"/>
          <w:sz w:val="20"/>
          <w14:ligatures w14:val="none"/>
        </w:rPr>
      </w:pPr>
    </w:p>
    <w:p w14:paraId="3B7B5430" w14:textId="3360A669" w:rsidR="00EE13AE" w:rsidRDefault="00EE13AE" w:rsidP="00E1537C">
      <w:pPr>
        <w:spacing w:before="160" w:after="200" w:line="276" w:lineRule="auto"/>
        <w:jc w:val="both"/>
        <w:rPr>
          <w:rFonts w:ascii="Aptos" w:eastAsia="Aptos" w:hAnsi="Aptos" w:cs="Times New Roman"/>
          <w:kern w:val="0"/>
          <w:sz w:val="20"/>
          <w14:ligatures w14:val="none"/>
        </w:rPr>
      </w:pPr>
      <w:r w:rsidRPr="00EE13AE">
        <w:rPr>
          <w:rFonts w:ascii="Aptos" w:eastAsia="Aptos" w:hAnsi="Aptos" w:cs="Times New Roman"/>
          <w:kern w:val="0"/>
          <w:sz w:val="20"/>
          <w14:ligatures w14:val="none"/>
        </w:rPr>
        <w:t>Data quality and governance are essential because NHS warehouse outputs affect patient care, finance and national performance decisions. During ETL, data should be profiled, deduplicated, validated and standardised using common NHS numbers, ODS codes, ICD-10/SNOMED CT codes and service definitions. Patient data should be pseudonymised, encrypted and protected through role-based access control. Ongoing governance should ensure UK GDPR and NHS information governance compliance, with audit logs, data lineage, ownership, access reviews and monitoring of accuracy, completeness, consistency and timeliness.</w:t>
      </w:r>
    </w:p>
    <w:p w14:paraId="684B3CC9" w14:textId="77777777" w:rsidR="005C6C96" w:rsidRPr="002F4200" w:rsidRDefault="005C6C96" w:rsidP="002F4200">
      <w:pPr>
        <w:spacing w:before="160" w:after="200" w:line="276" w:lineRule="auto"/>
        <w:jc w:val="center"/>
        <w:rPr>
          <w:rFonts w:ascii="Aptos" w:eastAsia="Aptos" w:hAnsi="Aptos" w:cs="Times New Roman"/>
          <w:b/>
          <w:bCs/>
          <w:kern w:val="0"/>
          <w:sz w:val="20"/>
          <w14:ligatures w14:val="none"/>
        </w:rPr>
      </w:pPr>
    </w:p>
    <w:p w14:paraId="2174341C" w14:textId="615EE2B2" w:rsidR="00EE167F" w:rsidRPr="002F4200" w:rsidRDefault="00EE167F" w:rsidP="002F4200">
      <w:pPr>
        <w:pStyle w:val="Heading3"/>
        <w:jc w:val="center"/>
        <w:rPr>
          <w:rFonts w:eastAsia="Aptos"/>
          <w:b/>
          <w:bCs/>
        </w:rPr>
      </w:pPr>
      <w:bookmarkStart w:id="26" w:name="_Toc234506790"/>
      <w:r w:rsidRPr="002F4200">
        <w:rPr>
          <w:rFonts w:eastAsia="Aptos"/>
          <w:b/>
          <w:bCs/>
        </w:rPr>
        <w:t>Conclusion</w:t>
      </w:r>
      <w:bookmarkEnd w:id="26"/>
    </w:p>
    <w:p w14:paraId="705265D3" w14:textId="77777777" w:rsidR="002F4200" w:rsidRDefault="002F4200" w:rsidP="00EE167F">
      <w:pPr>
        <w:spacing w:before="160" w:after="200" w:line="276" w:lineRule="auto"/>
        <w:jc w:val="both"/>
        <w:rPr>
          <w:rFonts w:ascii="Aptos" w:eastAsia="Aptos" w:hAnsi="Aptos" w:cs="Times New Roman"/>
          <w:kern w:val="0"/>
          <w:sz w:val="20"/>
          <w14:ligatures w14:val="none"/>
        </w:rPr>
      </w:pPr>
    </w:p>
    <w:p w14:paraId="01FFD903" w14:textId="58D7F803" w:rsidR="00EE167F" w:rsidRPr="00EE167F" w:rsidRDefault="00EE167F" w:rsidP="00EE167F">
      <w:pPr>
        <w:spacing w:before="160" w:after="200" w:line="276" w:lineRule="auto"/>
        <w:jc w:val="both"/>
        <w:rPr>
          <w:rFonts w:ascii="Aptos" w:eastAsia="Aptos" w:hAnsi="Aptos" w:cs="Times New Roman"/>
          <w:kern w:val="0"/>
          <w:sz w:val="20"/>
          <w14:ligatures w14:val="none"/>
        </w:rPr>
      </w:pPr>
      <w:r w:rsidRPr="00EE167F">
        <w:rPr>
          <w:rFonts w:ascii="Aptos" w:eastAsia="Aptos" w:hAnsi="Aptos" w:cs="Times New Roman"/>
          <w:kern w:val="0"/>
          <w:sz w:val="20"/>
          <w14:ligatures w14:val="none"/>
        </w:rPr>
        <w:t>Overall, a data warehouse would allow NHS England to turn fragmented operational data into consistent, historical and decision-ready information. By integrating EPR, PAS, clinical, workforce and finance data, the warehouse would support national analysis without disrupting frontline systems. The proposed data marts, dimensional models and star schemas provide tailored insight for executives, finance teams, clinical leaders and operational managers. A controlled ETL process, supported by strong data quality checks, pseudonymisation, access control and governance, would ensure the warehouse remains accurate, secure and compliant. This solution would help NHS England monitor performance, identify pressure points, allocate resources more effectively and support long-term improvements in patient care and service sustainability.</w:t>
      </w:r>
    </w:p>
    <w:p w14:paraId="3C44EA80" w14:textId="77777777" w:rsidR="00701CD7" w:rsidRPr="00E1537C" w:rsidRDefault="00701CD7" w:rsidP="00E1537C">
      <w:pPr>
        <w:spacing w:before="160" w:after="200" w:line="276" w:lineRule="auto"/>
        <w:jc w:val="both"/>
        <w:rPr>
          <w:rFonts w:ascii="Aptos" w:eastAsia="Aptos" w:hAnsi="Aptos" w:cs="Times New Roman"/>
          <w:kern w:val="0"/>
          <w:sz w:val="20"/>
          <w:lang w:val="en-US"/>
          <w14:ligatures w14:val="none"/>
        </w:rPr>
      </w:pPr>
    </w:p>
    <w:p w14:paraId="29A19D2D" w14:textId="77777777" w:rsidR="00E1537C" w:rsidRDefault="00E1537C" w:rsidP="001D71C3"/>
    <w:p w14:paraId="798D4E47" w14:textId="77777777" w:rsidR="00E1537C" w:rsidRDefault="00E1537C" w:rsidP="001D71C3"/>
    <w:p w14:paraId="543861F5" w14:textId="77777777" w:rsidR="00B476E1" w:rsidRDefault="00B476E1" w:rsidP="001D71C3"/>
    <w:p w14:paraId="75FCAE50" w14:textId="77777777" w:rsidR="00B476E1" w:rsidRDefault="00B476E1" w:rsidP="001D71C3"/>
    <w:p w14:paraId="267778C9" w14:textId="77777777" w:rsidR="00B476E1" w:rsidRDefault="00B476E1" w:rsidP="001D71C3"/>
    <w:p w14:paraId="470DFB7A" w14:textId="77777777" w:rsidR="00B476E1" w:rsidRDefault="00B476E1" w:rsidP="001D71C3"/>
    <w:p w14:paraId="767ADAC5" w14:textId="77777777" w:rsidR="00B476E1" w:rsidRDefault="00B476E1" w:rsidP="001D71C3"/>
    <w:p w14:paraId="26F5E702" w14:textId="43413000" w:rsidR="005C6C96" w:rsidRDefault="005C6C96" w:rsidP="001D71C3"/>
    <w:p w14:paraId="36DB5933" w14:textId="77777777" w:rsidR="005C6C96" w:rsidRDefault="005C6C96">
      <w:r>
        <w:br w:type="page"/>
      </w:r>
    </w:p>
    <w:bookmarkStart w:id="27" w:name="_Toc234506791" w:displacedByCustomXml="next"/>
    <w:sdt>
      <w:sdtPr>
        <w:rPr>
          <w:rFonts w:asciiTheme="minorHAnsi" w:eastAsiaTheme="minorHAnsi" w:hAnsiTheme="minorHAnsi" w:cstheme="minorBidi"/>
          <w:color w:val="auto"/>
          <w:sz w:val="22"/>
          <w:szCs w:val="22"/>
        </w:rPr>
        <w:id w:val="784475749"/>
        <w:docPartObj>
          <w:docPartGallery w:val="Bibliographies"/>
          <w:docPartUnique/>
        </w:docPartObj>
      </w:sdtPr>
      <w:sdtContent>
        <w:p w14:paraId="34934541" w14:textId="2CD235AA" w:rsidR="005C6C96" w:rsidRDefault="005C6C96">
          <w:pPr>
            <w:pStyle w:val="Heading1"/>
          </w:pPr>
          <w:r>
            <w:t>Bibliography</w:t>
          </w:r>
          <w:bookmarkEnd w:id="27"/>
        </w:p>
        <w:sdt>
          <w:sdtPr>
            <w:id w:val="111145805"/>
            <w:bibliography/>
          </w:sdtPr>
          <w:sdtContent>
            <w:p w14:paraId="580B9BF8" w14:textId="77777777" w:rsidR="00CD0E9D" w:rsidRDefault="005C6C96" w:rsidP="005C6C96">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CD0E9D" w14:paraId="4868C806" w14:textId="77777777">
                <w:trPr>
                  <w:divId w:val="1377121773"/>
                  <w:tblCellSpacing w:w="15" w:type="dxa"/>
                </w:trPr>
                <w:tc>
                  <w:tcPr>
                    <w:tcW w:w="50" w:type="pct"/>
                    <w:hideMark/>
                  </w:tcPr>
                  <w:p w14:paraId="5D71DD8B" w14:textId="70D93678" w:rsidR="00CD0E9D" w:rsidRDefault="00CD0E9D">
                    <w:pPr>
                      <w:pStyle w:val="Bibliography"/>
                      <w:rPr>
                        <w:noProof/>
                        <w:kern w:val="0"/>
                        <w:sz w:val="24"/>
                        <w:szCs w:val="24"/>
                        <w14:ligatures w14:val="none"/>
                      </w:rPr>
                    </w:pPr>
                    <w:r>
                      <w:rPr>
                        <w:noProof/>
                      </w:rPr>
                      <w:t xml:space="preserve">[1] </w:t>
                    </w:r>
                  </w:p>
                </w:tc>
                <w:tc>
                  <w:tcPr>
                    <w:tcW w:w="0" w:type="auto"/>
                    <w:hideMark/>
                  </w:tcPr>
                  <w:p w14:paraId="744CFBE7" w14:textId="77777777" w:rsidR="00CD0E9D" w:rsidRDefault="00CD0E9D">
                    <w:pPr>
                      <w:pStyle w:val="Bibliography"/>
                      <w:rPr>
                        <w:noProof/>
                      </w:rPr>
                    </w:pPr>
                    <w:r>
                      <w:rPr>
                        <w:noProof/>
                      </w:rPr>
                      <w:t xml:space="preserve">E. A. Sheta. O, “The technology of using a data warehouse to support decision-making in health care,” </w:t>
                    </w:r>
                    <w:r>
                      <w:rPr>
                        <w:i/>
                        <w:iCs/>
                        <w:noProof/>
                      </w:rPr>
                      <w:t xml:space="preserve">ArXiv, </w:t>
                    </w:r>
                    <w:r>
                      <w:rPr>
                        <w:noProof/>
                      </w:rPr>
                      <w:t xml:space="preserve">2013. </w:t>
                    </w:r>
                  </w:p>
                </w:tc>
              </w:tr>
              <w:tr w:rsidR="00CD0E9D" w14:paraId="33079176" w14:textId="77777777">
                <w:trPr>
                  <w:divId w:val="1377121773"/>
                  <w:tblCellSpacing w:w="15" w:type="dxa"/>
                </w:trPr>
                <w:tc>
                  <w:tcPr>
                    <w:tcW w:w="50" w:type="pct"/>
                    <w:hideMark/>
                  </w:tcPr>
                  <w:p w14:paraId="76CE78CD" w14:textId="77777777" w:rsidR="00CD0E9D" w:rsidRDefault="00CD0E9D">
                    <w:pPr>
                      <w:pStyle w:val="Bibliography"/>
                      <w:rPr>
                        <w:noProof/>
                      </w:rPr>
                    </w:pPr>
                    <w:r>
                      <w:rPr>
                        <w:noProof/>
                      </w:rPr>
                      <w:t xml:space="preserve">[2] </w:t>
                    </w:r>
                  </w:p>
                </w:tc>
                <w:tc>
                  <w:tcPr>
                    <w:tcW w:w="0" w:type="auto"/>
                    <w:hideMark/>
                  </w:tcPr>
                  <w:p w14:paraId="69FD3C84" w14:textId="77777777" w:rsidR="00CD0E9D" w:rsidRDefault="00CD0E9D">
                    <w:pPr>
                      <w:pStyle w:val="Bibliography"/>
                      <w:rPr>
                        <w:noProof/>
                      </w:rPr>
                    </w:pPr>
                    <w:r>
                      <w:rPr>
                        <w:noProof/>
                      </w:rPr>
                      <w:t xml:space="preserve">C. a. M. M. Ledbetter, “Toward best practice: leveraging the electronic patient record as a clinical data warehouse.,” </w:t>
                    </w:r>
                    <w:r>
                      <w:rPr>
                        <w:i/>
                        <w:iCs/>
                        <w:noProof/>
                      </w:rPr>
                      <w:t xml:space="preserve">Journal of healthcare information management : JHIM, </w:t>
                    </w:r>
                    <w:r>
                      <w:rPr>
                        <w:noProof/>
                      </w:rPr>
                      <w:t xml:space="preserve">vol. 15, no. 2, pp. 119-131, 2001. </w:t>
                    </w:r>
                  </w:p>
                </w:tc>
              </w:tr>
              <w:tr w:rsidR="00CD0E9D" w14:paraId="474F1915" w14:textId="77777777">
                <w:trPr>
                  <w:divId w:val="1377121773"/>
                  <w:tblCellSpacing w:w="15" w:type="dxa"/>
                </w:trPr>
                <w:tc>
                  <w:tcPr>
                    <w:tcW w:w="50" w:type="pct"/>
                    <w:hideMark/>
                  </w:tcPr>
                  <w:p w14:paraId="446418DC" w14:textId="77777777" w:rsidR="00CD0E9D" w:rsidRDefault="00CD0E9D">
                    <w:pPr>
                      <w:pStyle w:val="Bibliography"/>
                      <w:rPr>
                        <w:noProof/>
                      </w:rPr>
                    </w:pPr>
                    <w:r>
                      <w:rPr>
                        <w:noProof/>
                      </w:rPr>
                      <w:t xml:space="preserve">[3] </w:t>
                    </w:r>
                  </w:p>
                </w:tc>
                <w:tc>
                  <w:tcPr>
                    <w:tcW w:w="0" w:type="auto"/>
                    <w:hideMark/>
                  </w:tcPr>
                  <w:p w14:paraId="4F1A8437" w14:textId="77777777" w:rsidR="00CD0E9D" w:rsidRDefault="00CD0E9D">
                    <w:pPr>
                      <w:pStyle w:val="Bibliography"/>
                      <w:rPr>
                        <w:noProof/>
                      </w:rPr>
                    </w:pPr>
                    <w:r>
                      <w:rPr>
                        <w:noProof/>
                      </w:rPr>
                      <w:t xml:space="preserve">D. e. a. Cheng-Zarate, “Creating a data warehouse to support monitoring of NSQHS blood management standard from EMR data.,” </w:t>
                    </w:r>
                    <w:r>
                      <w:rPr>
                        <w:i/>
                        <w:iCs/>
                        <w:noProof/>
                      </w:rPr>
                      <w:t xml:space="preserve">BMC Medical Informatics and Decision Making, </w:t>
                    </w:r>
                    <w:r>
                      <w:rPr>
                        <w:noProof/>
                      </w:rPr>
                      <w:t xml:space="preserve">vol. 24, 2024. </w:t>
                    </w:r>
                  </w:p>
                </w:tc>
              </w:tr>
              <w:tr w:rsidR="00CD0E9D" w14:paraId="59CDFA97" w14:textId="77777777">
                <w:trPr>
                  <w:divId w:val="1377121773"/>
                  <w:tblCellSpacing w:w="15" w:type="dxa"/>
                </w:trPr>
                <w:tc>
                  <w:tcPr>
                    <w:tcW w:w="50" w:type="pct"/>
                    <w:hideMark/>
                  </w:tcPr>
                  <w:p w14:paraId="40821212" w14:textId="77777777" w:rsidR="00CD0E9D" w:rsidRDefault="00CD0E9D">
                    <w:pPr>
                      <w:pStyle w:val="Bibliography"/>
                      <w:rPr>
                        <w:noProof/>
                      </w:rPr>
                    </w:pPr>
                    <w:r>
                      <w:rPr>
                        <w:noProof/>
                      </w:rPr>
                      <w:t xml:space="preserve">[4] </w:t>
                    </w:r>
                  </w:p>
                </w:tc>
                <w:tc>
                  <w:tcPr>
                    <w:tcW w:w="0" w:type="auto"/>
                    <w:hideMark/>
                  </w:tcPr>
                  <w:p w14:paraId="58FC1567" w14:textId="77777777" w:rsidR="00CD0E9D" w:rsidRDefault="00CD0E9D">
                    <w:pPr>
                      <w:pStyle w:val="Bibliography"/>
                      <w:rPr>
                        <w:noProof/>
                      </w:rPr>
                    </w:pPr>
                    <w:r>
                      <w:rPr>
                        <w:noProof/>
                      </w:rPr>
                      <w:t xml:space="preserve">K. T. e. a. Ivanovski, “Building a healthcare data warehouse: considerations, opportunities, and challenges." Frontiers in Digital Health,” vol. 7, 2025. </w:t>
                    </w:r>
                  </w:p>
                </w:tc>
              </w:tr>
              <w:tr w:rsidR="00CD0E9D" w14:paraId="7198AB17" w14:textId="77777777">
                <w:trPr>
                  <w:divId w:val="1377121773"/>
                  <w:tblCellSpacing w:w="15" w:type="dxa"/>
                </w:trPr>
                <w:tc>
                  <w:tcPr>
                    <w:tcW w:w="50" w:type="pct"/>
                    <w:hideMark/>
                  </w:tcPr>
                  <w:p w14:paraId="4E135B74" w14:textId="77777777" w:rsidR="00CD0E9D" w:rsidRDefault="00CD0E9D">
                    <w:pPr>
                      <w:pStyle w:val="Bibliography"/>
                      <w:rPr>
                        <w:noProof/>
                      </w:rPr>
                    </w:pPr>
                    <w:r>
                      <w:rPr>
                        <w:noProof/>
                      </w:rPr>
                      <w:t xml:space="preserve">[5] </w:t>
                    </w:r>
                  </w:p>
                </w:tc>
                <w:tc>
                  <w:tcPr>
                    <w:tcW w:w="0" w:type="auto"/>
                    <w:hideMark/>
                  </w:tcPr>
                  <w:p w14:paraId="57A860DC" w14:textId="77777777" w:rsidR="00CD0E9D" w:rsidRDefault="00CD0E9D">
                    <w:pPr>
                      <w:pStyle w:val="Bibliography"/>
                      <w:rPr>
                        <w:noProof/>
                      </w:rPr>
                    </w:pPr>
                    <w:r>
                      <w:rPr>
                        <w:noProof/>
                      </w:rPr>
                      <w:t xml:space="preserve">S. e. a. Lyu, “The development and use of data warehousing in clinical settings: a scoping review,” </w:t>
                    </w:r>
                    <w:r>
                      <w:rPr>
                        <w:i/>
                        <w:iCs/>
                        <w:noProof/>
                      </w:rPr>
                      <w:t xml:space="preserve">Frontiers in Digital Health, </w:t>
                    </w:r>
                    <w:r>
                      <w:rPr>
                        <w:noProof/>
                      </w:rPr>
                      <w:t xml:space="preserve">vol. 7, 2025. </w:t>
                    </w:r>
                  </w:p>
                </w:tc>
              </w:tr>
              <w:tr w:rsidR="00CD0E9D" w14:paraId="5B3D0A3B" w14:textId="77777777">
                <w:trPr>
                  <w:divId w:val="1377121773"/>
                  <w:tblCellSpacing w:w="15" w:type="dxa"/>
                </w:trPr>
                <w:tc>
                  <w:tcPr>
                    <w:tcW w:w="50" w:type="pct"/>
                    <w:hideMark/>
                  </w:tcPr>
                  <w:p w14:paraId="08E88306" w14:textId="77777777" w:rsidR="00CD0E9D" w:rsidRDefault="00CD0E9D">
                    <w:pPr>
                      <w:pStyle w:val="Bibliography"/>
                      <w:rPr>
                        <w:noProof/>
                      </w:rPr>
                    </w:pPr>
                    <w:r>
                      <w:rPr>
                        <w:noProof/>
                      </w:rPr>
                      <w:t xml:space="preserve">[6] </w:t>
                    </w:r>
                  </w:p>
                </w:tc>
                <w:tc>
                  <w:tcPr>
                    <w:tcW w:w="0" w:type="auto"/>
                    <w:hideMark/>
                  </w:tcPr>
                  <w:p w14:paraId="5AF745C9" w14:textId="77777777" w:rsidR="00CD0E9D" w:rsidRDefault="00CD0E9D">
                    <w:pPr>
                      <w:pStyle w:val="Bibliography"/>
                      <w:rPr>
                        <w:noProof/>
                      </w:rPr>
                    </w:pPr>
                    <w:r>
                      <w:rPr>
                        <w:noProof/>
                      </w:rPr>
                      <w:t xml:space="preserve">S. e. a. Priou, “Where have my patients gone?': A simulation study on real-world data processing in Clinical Data Warehouses.,” </w:t>
                    </w:r>
                    <w:r>
                      <w:rPr>
                        <w:i/>
                        <w:iCs/>
                        <w:noProof/>
                      </w:rPr>
                      <w:t xml:space="preserve">Health Policy and Technology, </w:t>
                    </w:r>
                    <w:r>
                      <w:rPr>
                        <w:noProof/>
                      </w:rPr>
                      <w:t xml:space="preserve">2024. </w:t>
                    </w:r>
                  </w:p>
                </w:tc>
              </w:tr>
              <w:tr w:rsidR="00CD0E9D" w14:paraId="4EE3DDE9" w14:textId="77777777">
                <w:trPr>
                  <w:divId w:val="1377121773"/>
                  <w:tblCellSpacing w:w="15" w:type="dxa"/>
                </w:trPr>
                <w:tc>
                  <w:tcPr>
                    <w:tcW w:w="50" w:type="pct"/>
                    <w:hideMark/>
                  </w:tcPr>
                  <w:p w14:paraId="4FBE6DF2" w14:textId="77777777" w:rsidR="00CD0E9D" w:rsidRDefault="00CD0E9D">
                    <w:pPr>
                      <w:pStyle w:val="Bibliography"/>
                      <w:rPr>
                        <w:noProof/>
                      </w:rPr>
                    </w:pPr>
                    <w:r>
                      <w:rPr>
                        <w:noProof/>
                      </w:rPr>
                      <w:t xml:space="preserve">[7] </w:t>
                    </w:r>
                  </w:p>
                </w:tc>
                <w:tc>
                  <w:tcPr>
                    <w:tcW w:w="0" w:type="auto"/>
                    <w:hideMark/>
                  </w:tcPr>
                  <w:p w14:paraId="578CC80F" w14:textId="77777777" w:rsidR="00CD0E9D" w:rsidRDefault="00CD0E9D">
                    <w:pPr>
                      <w:pStyle w:val="Bibliography"/>
                      <w:rPr>
                        <w:noProof/>
                      </w:rPr>
                    </w:pPr>
                    <w:r>
                      <w:rPr>
                        <w:noProof/>
                      </w:rPr>
                      <w:t xml:space="preserve">J. O. B. O. C. R. O. A. W. &amp;. O. C. A. Arowoogun, “A comprehensive review of data analytics in healthcare management: Leveraging big data for decision-making,” </w:t>
                    </w:r>
                    <w:r>
                      <w:rPr>
                        <w:i/>
                        <w:iCs/>
                        <w:noProof/>
                      </w:rPr>
                      <w:t xml:space="preserve">World Journal of Advanced Research and Reviews., </w:t>
                    </w:r>
                    <w:r>
                      <w:rPr>
                        <w:noProof/>
                      </w:rPr>
                      <w:t xml:space="preserve">2024. </w:t>
                    </w:r>
                  </w:p>
                </w:tc>
              </w:tr>
              <w:tr w:rsidR="00CD0E9D" w14:paraId="037F7F82" w14:textId="77777777">
                <w:trPr>
                  <w:divId w:val="1377121773"/>
                  <w:tblCellSpacing w:w="15" w:type="dxa"/>
                </w:trPr>
                <w:tc>
                  <w:tcPr>
                    <w:tcW w:w="50" w:type="pct"/>
                    <w:hideMark/>
                  </w:tcPr>
                  <w:p w14:paraId="16C51428" w14:textId="77777777" w:rsidR="00CD0E9D" w:rsidRDefault="00CD0E9D">
                    <w:pPr>
                      <w:pStyle w:val="Bibliography"/>
                      <w:rPr>
                        <w:noProof/>
                      </w:rPr>
                    </w:pPr>
                    <w:r>
                      <w:rPr>
                        <w:noProof/>
                      </w:rPr>
                      <w:t xml:space="preserve">[8] </w:t>
                    </w:r>
                  </w:p>
                </w:tc>
                <w:tc>
                  <w:tcPr>
                    <w:tcW w:w="0" w:type="auto"/>
                    <w:hideMark/>
                  </w:tcPr>
                  <w:p w14:paraId="21A2F436" w14:textId="77777777" w:rsidR="00CD0E9D" w:rsidRDefault="00CD0E9D">
                    <w:pPr>
                      <w:pStyle w:val="Bibliography"/>
                      <w:rPr>
                        <w:noProof/>
                      </w:rPr>
                    </w:pPr>
                    <w:r>
                      <w:rPr>
                        <w:noProof/>
                      </w:rPr>
                      <w:t xml:space="preserve">L. J. C. N. P. R. &amp;. P. U. Basile, “Business intelligence in the healthcare industry: The utilization of a data-driven approach to support clinical decision making.,” </w:t>
                    </w:r>
                    <w:r>
                      <w:rPr>
                        <w:i/>
                        <w:iCs/>
                        <w:noProof/>
                      </w:rPr>
                      <w:t xml:space="preserve">Technovation, </w:t>
                    </w:r>
                    <w:r>
                      <w:rPr>
                        <w:noProof/>
                      </w:rPr>
                      <w:t xml:space="preserve">2022. </w:t>
                    </w:r>
                  </w:p>
                </w:tc>
              </w:tr>
              <w:tr w:rsidR="00CD0E9D" w14:paraId="7985C379" w14:textId="77777777">
                <w:trPr>
                  <w:divId w:val="1377121773"/>
                  <w:tblCellSpacing w:w="15" w:type="dxa"/>
                </w:trPr>
                <w:tc>
                  <w:tcPr>
                    <w:tcW w:w="50" w:type="pct"/>
                    <w:hideMark/>
                  </w:tcPr>
                  <w:p w14:paraId="4D4B4111" w14:textId="77777777" w:rsidR="00CD0E9D" w:rsidRDefault="00CD0E9D">
                    <w:pPr>
                      <w:pStyle w:val="Bibliography"/>
                      <w:rPr>
                        <w:noProof/>
                      </w:rPr>
                    </w:pPr>
                    <w:r>
                      <w:rPr>
                        <w:noProof/>
                      </w:rPr>
                      <w:t xml:space="preserve">[9] </w:t>
                    </w:r>
                  </w:p>
                </w:tc>
                <w:tc>
                  <w:tcPr>
                    <w:tcW w:w="0" w:type="auto"/>
                    <w:hideMark/>
                  </w:tcPr>
                  <w:p w14:paraId="5B0C14C5" w14:textId="77777777" w:rsidR="00CD0E9D" w:rsidRDefault="00CD0E9D">
                    <w:pPr>
                      <w:pStyle w:val="Bibliography"/>
                      <w:rPr>
                        <w:noProof/>
                      </w:rPr>
                    </w:pPr>
                    <w:r>
                      <w:rPr>
                        <w:noProof/>
                      </w:rPr>
                      <w:t xml:space="preserve">N. K. M. S. W. W. &amp;. C. E. Darach, “Data Analytics and Administrative Decision-Making in Nursing Management: A Systematic Review,” </w:t>
                    </w:r>
                    <w:r>
                      <w:rPr>
                        <w:i/>
                        <w:iCs/>
                        <w:noProof/>
                      </w:rPr>
                      <w:t xml:space="preserve">Journal of Nursing Management, </w:t>
                    </w:r>
                    <w:r>
                      <w:rPr>
                        <w:noProof/>
                      </w:rPr>
                      <w:t xml:space="preserve">2025. </w:t>
                    </w:r>
                  </w:p>
                </w:tc>
              </w:tr>
              <w:tr w:rsidR="00CD0E9D" w14:paraId="2FC68328" w14:textId="77777777">
                <w:trPr>
                  <w:divId w:val="1377121773"/>
                  <w:tblCellSpacing w:w="15" w:type="dxa"/>
                </w:trPr>
                <w:tc>
                  <w:tcPr>
                    <w:tcW w:w="50" w:type="pct"/>
                    <w:hideMark/>
                  </w:tcPr>
                  <w:p w14:paraId="1BA8E71B" w14:textId="77777777" w:rsidR="00CD0E9D" w:rsidRDefault="00CD0E9D">
                    <w:pPr>
                      <w:pStyle w:val="Bibliography"/>
                      <w:rPr>
                        <w:noProof/>
                      </w:rPr>
                    </w:pPr>
                    <w:r>
                      <w:rPr>
                        <w:noProof/>
                      </w:rPr>
                      <w:t xml:space="preserve">[10] </w:t>
                    </w:r>
                  </w:p>
                </w:tc>
                <w:tc>
                  <w:tcPr>
                    <w:tcW w:w="0" w:type="auto"/>
                    <w:hideMark/>
                  </w:tcPr>
                  <w:p w14:paraId="39B6AAE2" w14:textId="77777777" w:rsidR="00CD0E9D" w:rsidRDefault="00CD0E9D">
                    <w:pPr>
                      <w:pStyle w:val="Bibliography"/>
                      <w:rPr>
                        <w:noProof/>
                      </w:rPr>
                    </w:pPr>
                    <w:r>
                      <w:rPr>
                        <w:noProof/>
                      </w:rPr>
                      <w:t xml:space="preserve">M. R. P. S. P. A. J. K. C. S. T. K. Y. &amp;. N. F. Fischer, “BCNF* - From Normalized- to Star-Schemas and Back Again,” </w:t>
                    </w:r>
                    <w:r>
                      <w:rPr>
                        <w:i/>
                        <w:iCs/>
                        <w:noProof/>
                      </w:rPr>
                      <w:t xml:space="preserve">Companion of the 2023 International Conference on Management of Data., </w:t>
                    </w:r>
                    <w:r>
                      <w:rPr>
                        <w:noProof/>
                      </w:rPr>
                      <w:t xml:space="preserve">2023. </w:t>
                    </w:r>
                  </w:p>
                </w:tc>
              </w:tr>
              <w:tr w:rsidR="00CD0E9D" w14:paraId="379F6E40" w14:textId="77777777">
                <w:trPr>
                  <w:divId w:val="1377121773"/>
                  <w:tblCellSpacing w:w="15" w:type="dxa"/>
                </w:trPr>
                <w:tc>
                  <w:tcPr>
                    <w:tcW w:w="50" w:type="pct"/>
                    <w:hideMark/>
                  </w:tcPr>
                  <w:p w14:paraId="6DA27450" w14:textId="77777777" w:rsidR="00CD0E9D" w:rsidRDefault="00CD0E9D">
                    <w:pPr>
                      <w:pStyle w:val="Bibliography"/>
                      <w:rPr>
                        <w:noProof/>
                      </w:rPr>
                    </w:pPr>
                    <w:r>
                      <w:rPr>
                        <w:noProof/>
                      </w:rPr>
                      <w:t xml:space="preserve">[11] </w:t>
                    </w:r>
                  </w:p>
                </w:tc>
                <w:tc>
                  <w:tcPr>
                    <w:tcW w:w="0" w:type="auto"/>
                    <w:hideMark/>
                  </w:tcPr>
                  <w:p w14:paraId="0C5518A7" w14:textId="77777777" w:rsidR="00CD0E9D" w:rsidRDefault="00CD0E9D">
                    <w:pPr>
                      <w:pStyle w:val="Bibliography"/>
                      <w:rPr>
                        <w:noProof/>
                      </w:rPr>
                    </w:pPr>
                    <w:r>
                      <w:rPr>
                        <w:noProof/>
                      </w:rPr>
                      <w:t xml:space="preserve">H. F. G. A. M. B. &amp;. L. N. Akid, “Performance of NoSQL graph implementations of star vs. snowflake schemas.,” </w:t>
                    </w:r>
                    <w:r>
                      <w:rPr>
                        <w:i/>
                        <w:iCs/>
                        <w:noProof/>
                      </w:rPr>
                      <w:t xml:space="preserve">IEEE Access, </w:t>
                    </w:r>
                    <w:r>
                      <w:rPr>
                        <w:noProof/>
                      </w:rPr>
                      <w:t xml:space="preserve">2024. </w:t>
                    </w:r>
                  </w:p>
                </w:tc>
              </w:tr>
              <w:tr w:rsidR="00CD0E9D" w14:paraId="227613DB" w14:textId="77777777">
                <w:trPr>
                  <w:divId w:val="1377121773"/>
                  <w:tblCellSpacing w:w="15" w:type="dxa"/>
                </w:trPr>
                <w:tc>
                  <w:tcPr>
                    <w:tcW w:w="50" w:type="pct"/>
                    <w:hideMark/>
                  </w:tcPr>
                  <w:p w14:paraId="7A554DD6" w14:textId="77777777" w:rsidR="00CD0E9D" w:rsidRDefault="00CD0E9D">
                    <w:pPr>
                      <w:pStyle w:val="Bibliography"/>
                      <w:rPr>
                        <w:noProof/>
                      </w:rPr>
                    </w:pPr>
                    <w:r>
                      <w:rPr>
                        <w:noProof/>
                      </w:rPr>
                      <w:t xml:space="preserve">[12] </w:t>
                    </w:r>
                  </w:p>
                </w:tc>
                <w:tc>
                  <w:tcPr>
                    <w:tcW w:w="0" w:type="auto"/>
                    <w:hideMark/>
                  </w:tcPr>
                  <w:p w14:paraId="3597FA9C" w14:textId="77777777" w:rsidR="00CD0E9D" w:rsidRDefault="00CD0E9D">
                    <w:pPr>
                      <w:pStyle w:val="Bibliography"/>
                      <w:rPr>
                        <w:noProof/>
                      </w:rPr>
                    </w:pPr>
                    <w:r>
                      <w:rPr>
                        <w:noProof/>
                      </w:rPr>
                      <w:t xml:space="preserve">L. A. N. G. J. E. M. G. C. L. J. R. R. D. D. M. M. F. R. &amp;. R. R. Mcvey, “Hidden labour: the skilful work of clinical audit data collection and its implications for secondary use of data via integrated health IT.,” </w:t>
                    </w:r>
                    <w:r>
                      <w:rPr>
                        <w:i/>
                        <w:iCs/>
                        <w:noProof/>
                      </w:rPr>
                      <w:t xml:space="preserve">BMC Health Services Research, </w:t>
                    </w:r>
                    <w:r>
                      <w:rPr>
                        <w:noProof/>
                      </w:rPr>
                      <w:t xml:space="preserve">2021. </w:t>
                    </w:r>
                  </w:p>
                </w:tc>
              </w:tr>
              <w:tr w:rsidR="00CD0E9D" w14:paraId="73718607" w14:textId="77777777">
                <w:trPr>
                  <w:divId w:val="1377121773"/>
                  <w:tblCellSpacing w:w="15" w:type="dxa"/>
                </w:trPr>
                <w:tc>
                  <w:tcPr>
                    <w:tcW w:w="50" w:type="pct"/>
                    <w:hideMark/>
                  </w:tcPr>
                  <w:p w14:paraId="26E48297" w14:textId="77777777" w:rsidR="00CD0E9D" w:rsidRDefault="00CD0E9D">
                    <w:pPr>
                      <w:pStyle w:val="Bibliography"/>
                      <w:rPr>
                        <w:noProof/>
                      </w:rPr>
                    </w:pPr>
                    <w:r>
                      <w:rPr>
                        <w:noProof/>
                      </w:rPr>
                      <w:t xml:space="preserve">[13] </w:t>
                    </w:r>
                  </w:p>
                </w:tc>
                <w:tc>
                  <w:tcPr>
                    <w:tcW w:w="0" w:type="auto"/>
                    <w:hideMark/>
                  </w:tcPr>
                  <w:p w14:paraId="2772A004" w14:textId="77777777" w:rsidR="00CD0E9D" w:rsidRDefault="00CD0E9D">
                    <w:pPr>
                      <w:pStyle w:val="Bibliography"/>
                      <w:rPr>
                        <w:noProof/>
                      </w:rPr>
                    </w:pPr>
                    <w:r>
                      <w:rPr>
                        <w:noProof/>
                      </w:rPr>
                      <w:t xml:space="preserve">N. &amp;. A. J. Arfaoui, “A New Approach to Generate Hospital Data Warehouse Schema.,” </w:t>
                    </w:r>
                    <w:r>
                      <w:rPr>
                        <w:i/>
                        <w:iCs/>
                        <w:noProof/>
                      </w:rPr>
                      <w:t xml:space="preserve">Hospital Management and Emergency Medicine., </w:t>
                    </w:r>
                    <w:r>
                      <w:rPr>
                        <w:noProof/>
                      </w:rPr>
                      <w:t xml:space="preserve">2016. </w:t>
                    </w:r>
                  </w:p>
                </w:tc>
              </w:tr>
              <w:tr w:rsidR="00CD0E9D" w14:paraId="7588200B" w14:textId="77777777">
                <w:trPr>
                  <w:divId w:val="1377121773"/>
                  <w:tblCellSpacing w:w="15" w:type="dxa"/>
                </w:trPr>
                <w:tc>
                  <w:tcPr>
                    <w:tcW w:w="50" w:type="pct"/>
                    <w:hideMark/>
                  </w:tcPr>
                  <w:p w14:paraId="652FACCF" w14:textId="77777777" w:rsidR="00CD0E9D" w:rsidRDefault="00CD0E9D">
                    <w:pPr>
                      <w:pStyle w:val="Bibliography"/>
                      <w:rPr>
                        <w:noProof/>
                      </w:rPr>
                    </w:pPr>
                    <w:r>
                      <w:rPr>
                        <w:noProof/>
                      </w:rPr>
                      <w:t xml:space="preserve">[14] </w:t>
                    </w:r>
                  </w:p>
                </w:tc>
                <w:tc>
                  <w:tcPr>
                    <w:tcW w:w="0" w:type="auto"/>
                    <w:hideMark/>
                  </w:tcPr>
                  <w:p w14:paraId="71055B2F" w14:textId="77777777" w:rsidR="00CD0E9D" w:rsidRDefault="00CD0E9D">
                    <w:pPr>
                      <w:pStyle w:val="Bibliography"/>
                      <w:rPr>
                        <w:noProof/>
                      </w:rPr>
                    </w:pPr>
                    <w:r>
                      <w:rPr>
                        <w:noProof/>
                      </w:rPr>
                      <w:t xml:space="preserve">B. Z. F. O. N. &amp;. F. S. S. Ozaydin, Healthcare Research and Analytics Data Infrastructure Solution: A Data Warehouse for Health Services Research., (2020). </w:t>
                    </w:r>
                  </w:p>
                </w:tc>
              </w:tr>
            </w:tbl>
            <w:p w14:paraId="02423D83" w14:textId="77777777" w:rsidR="00CD0E9D" w:rsidRDefault="00CD0E9D">
              <w:pPr>
                <w:divId w:val="1377121773"/>
                <w:rPr>
                  <w:rFonts w:eastAsia="Times New Roman"/>
                  <w:noProof/>
                </w:rPr>
              </w:pPr>
            </w:p>
            <w:p w14:paraId="10D4AADA" w14:textId="7CE308B6" w:rsidR="005C6C96" w:rsidRDefault="005C6C96" w:rsidP="005C6C96">
              <w:r>
                <w:rPr>
                  <w:b/>
                  <w:bCs/>
                </w:rPr>
                <w:lastRenderedPageBreak/>
                <w:fldChar w:fldCharType="end"/>
              </w:r>
            </w:p>
          </w:sdtContent>
        </w:sdt>
      </w:sdtContent>
    </w:sdt>
    <w:p w14:paraId="4EF25F5C" w14:textId="77777777" w:rsidR="00B476E1" w:rsidRDefault="00B476E1" w:rsidP="001D71C3"/>
    <w:p w14:paraId="5A7903E5" w14:textId="77777777" w:rsidR="00B476E1" w:rsidRDefault="00B476E1" w:rsidP="001D71C3"/>
    <w:p w14:paraId="1AB2C8BA" w14:textId="77777777" w:rsidR="00B476E1" w:rsidRDefault="00B476E1" w:rsidP="001D71C3"/>
    <w:p w14:paraId="29B397E5" w14:textId="77777777" w:rsidR="00B476E1" w:rsidRDefault="00B476E1" w:rsidP="001D71C3"/>
    <w:p w14:paraId="792071CD" w14:textId="77777777" w:rsidR="00B476E1" w:rsidRDefault="00B476E1" w:rsidP="001D71C3"/>
    <w:p w14:paraId="50787B0C" w14:textId="77777777" w:rsidR="00B476E1" w:rsidRDefault="00B476E1" w:rsidP="001D71C3"/>
    <w:p w14:paraId="03F9459D" w14:textId="77777777" w:rsidR="00B476E1" w:rsidRDefault="00B476E1" w:rsidP="001D71C3"/>
    <w:p w14:paraId="7BBB592B" w14:textId="77777777" w:rsidR="00B476E1" w:rsidRDefault="00B476E1" w:rsidP="001D71C3"/>
    <w:sectPr w:rsidR="00B476E1" w:rsidSect="00F901C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152D6" w14:textId="77777777" w:rsidR="00DE39BC" w:rsidRDefault="00DE39BC" w:rsidP="00121028">
      <w:pPr>
        <w:spacing w:after="0" w:line="240" w:lineRule="auto"/>
      </w:pPr>
      <w:r>
        <w:separator/>
      </w:r>
    </w:p>
  </w:endnote>
  <w:endnote w:type="continuationSeparator" w:id="0">
    <w:p w14:paraId="04CF6C62" w14:textId="77777777" w:rsidR="00DE39BC" w:rsidRDefault="00DE39BC" w:rsidP="00121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31439" w14:textId="77777777" w:rsidR="00DE39BC" w:rsidRDefault="00DE39BC" w:rsidP="00121028">
      <w:pPr>
        <w:spacing w:after="0" w:line="240" w:lineRule="auto"/>
      </w:pPr>
      <w:r>
        <w:separator/>
      </w:r>
    </w:p>
  </w:footnote>
  <w:footnote w:type="continuationSeparator" w:id="0">
    <w:p w14:paraId="27A3B562" w14:textId="77777777" w:rsidR="00DE39BC" w:rsidRDefault="00DE39BC" w:rsidP="001210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D0717"/>
    <w:multiLevelType w:val="multilevel"/>
    <w:tmpl w:val="7C1CD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C6F12"/>
    <w:multiLevelType w:val="multilevel"/>
    <w:tmpl w:val="BDDC3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F761B"/>
    <w:multiLevelType w:val="multilevel"/>
    <w:tmpl w:val="8D1A8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916D95"/>
    <w:multiLevelType w:val="multilevel"/>
    <w:tmpl w:val="6DD64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6A187B"/>
    <w:multiLevelType w:val="multilevel"/>
    <w:tmpl w:val="C3481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1625334">
    <w:abstractNumId w:val="3"/>
  </w:num>
  <w:num w:numId="2" w16cid:durableId="1954632522">
    <w:abstractNumId w:val="2"/>
  </w:num>
  <w:num w:numId="3" w16cid:durableId="1459837683">
    <w:abstractNumId w:val="0"/>
  </w:num>
  <w:num w:numId="4" w16cid:durableId="1969388669">
    <w:abstractNumId w:val="4"/>
  </w:num>
  <w:num w:numId="5" w16cid:durableId="15808244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1C6"/>
    <w:rsid w:val="00020CDA"/>
    <w:rsid w:val="0006365F"/>
    <w:rsid w:val="000A60FE"/>
    <w:rsid w:val="000E69CC"/>
    <w:rsid w:val="001068EA"/>
    <w:rsid w:val="00113153"/>
    <w:rsid w:val="00121028"/>
    <w:rsid w:val="0013639D"/>
    <w:rsid w:val="00142A9A"/>
    <w:rsid w:val="00147006"/>
    <w:rsid w:val="00147D9A"/>
    <w:rsid w:val="001547CC"/>
    <w:rsid w:val="00154D42"/>
    <w:rsid w:val="00187091"/>
    <w:rsid w:val="001C2106"/>
    <w:rsid w:val="001D2F1B"/>
    <w:rsid w:val="001D71C3"/>
    <w:rsid w:val="002757EF"/>
    <w:rsid w:val="002F4200"/>
    <w:rsid w:val="00300E91"/>
    <w:rsid w:val="003127A7"/>
    <w:rsid w:val="00321BD9"/>
    <w:rsid w:val="003861E9"/>
    <w:rsid w:val="003B0729"/>
    <w:rsid w:val="003B602B"/>
    <w:rsid w:val="004205EB"/>
    <w:rsid w:val="004234BA"/>
    <w:rsid w:val="00425445"/>
    <w:rsid w:val="00443D91"/>
    <w:rsid w:val="004467F5"/>
    <w:rsid w:val="00476667"/>
    <w:rsid w:val="004A26C7"/>
    <w:rsid w:val="004A30F2"/>
    <w:rsid w:val="004D05E7"/>
    <w:rsid w:val="004E4174"/>
    <w:rsid w:val="0054587A"/>
    <w:rsid w:val="005B22C5"/>
    <w:rsid w:val="005C2DAC"/>
    <w:rsid w:val="005C6C96"/>
    <w:rsid w:val="005D1AC0"/>
    <w:rsid w:val="005E5046"/>
    <w:rsid w:val="00681D89"/>
    <w:rsid w:val="00701CD7"/>
    <w:rsid w:val="007101F2"/>
    <w:rsid w:val="00740B68"/>
    <w:rsid w:val="007652C4"/>
    <w:rsid w:val="007B1FCC"/>
    <w:rsid w:val="007D4D74"/>
    <w:rsid w:val="008218A6"/>
    <w:rsid w:val="0086257A"/>
    <w:rsid w:val="008626FC"/>
    <w:rsid w:val="0086594C"/>
    <w:rsid w:val="008A68C4"/>
    <w:rsid w:val="008E57A3"/>
    <w:rsid w:val="0098044A"/>
    <w:rsid w:val="009A0E08"/>
    <w:rsid w:val="009B022B"/>
    <w:rsid w:val="00A7171D"/>
    <w:rsid w:val="00A905C2"/>
    <w:rsid w:val="00AA1B69"/>
    <w:rsid w:val="00AC66AE"/>
    <w:rsid w:val="00B476E1"/>
    <w:rsid w:val="00B61F38"/>
    <w:rsid w:val="00B6580A"/>
    <w:rsid w:val="00BB6523"/>
    <w:rsid w:val="00BC14E5"/>
    <w:rsid w:val="00C26C17"/>
    <w:rsid w:val="00C95E00"/>
    <w:rsid w:val="00CB5A7D"/>
    <w:rsid w:val="00CD0E9D"/>
    <w:rsid w:val="00CD1476"/>
    <w:rsid w:val="00CD547B"/>
    <w:rsid w:val="00CF0294"/>
    <w:rsid w:val="00CF6CF9"/>
    <w:rsid w:val="00D05530"/>
    <w:rsid w:val="00D858A3"/>
    <w:rsid w:val="00DE39BC"/>
    <w:rsid w:val="00E0559F"/>
    <w:rsid w:val="00E1537C"/>
    <w:rsid w:val="00E3544C"/>
    <w:rsid w:val="00E700C8"/>
    <w:rsid w:val="00E70C71"/>
    <w:rsid w:val="00EB5A95"/>
    <w:rsid w:val="00EE13AE"/>
    <w:rsid w:val="00EE167F"/>
    <w:rsid w:val="00EF071B"/>
    <w:rsid w:val="00F04CCF"/>
    <w:rsid w:val="00F6224B"/>
    <w:rsid w:val="00F71BDE"/>
    <w:rsid w:val="00F72B02"/>
    <w:rsid w:val="00F72CCF"/>
    <w:rsid w:val="00F901C6"/>
    <w:rsid w:val="00F97D84"/>
    <w:rsid w:val="00FB54AB"/>
    <w:rsid w:val="00FC04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8B18A"/>
  <w15:chartTrackingRefBased/>
  <w15:docId w15:val="{67BB78C1-57D8-4A8F-B11A-862D4E7F0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01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901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901C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901C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901C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901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01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01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01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1C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901C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901C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901C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901C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901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01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01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01C6"/>
    <w:rPr>
      <w:rFonts w:eastAsiaTheme="majorEastAsia" w:cstheme="majorBidi"/>
      <w:color w:val="272727" w:themeColor="text1" w:themeTint="D8"/>
    </w:rPr>
  </w:style>
  <w:style w:type="paragraph" w:styleId="Title">
    <w:name w:val="Title"/>
    <w:basedOn w:val="Normal"/>
    <w:next w:val="Normal"/>
    <w:link w:val="TitleChar"/>
    <w:uiPriority w:val="10"/>
    <w:qFormat/>
    <w:rsid w:val="00F901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01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01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01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01C6"/>
    <w:pPr>
      <w:spacing w:before="160"/>
      <w:jc w:val="center"/>
    </w:pPr>
    <w:rPr>
      <w:i/>
      <w:iCs/>
      <w:color w:val="404040" w:themeColor="text1" w:themeTint="BF"/>
    </w:rPr>
  </w:style>
  <w:style w:type="character" w:customStyle="1" w:styleId="QuoteChar">
    <w:name w:val="Quote Char"/>
    <w:basedOn w:val="DefaultParagraphFont"/>
    <w:link w:val="Quote"/>
    <w:uiPriority w:val="29"/>
    <w:rsid w:val="00F901C6"/>
    <w:rPr>
      <w:i/>
      <w:iCs/>
      <w:color w:val="404040" w:themeColor="text1" w:themeTint="BF"/>
    </w:rPr>
  </w:style>
  <w:style w:type="paragraph" w:styleId="ListParagraph">
    <w:name w:val="List Paragraph"/>
    <w:basedOn w:val="Normal"/>
    <w:uiPriority w:val="34"/>
    <w:qFormat/>
    <w:rsid w:val="00F901C6"/>
    <w:pPr>
      <w:ind w:left="720"/>
      <w:contextualSpacing/>
    </w:pPr>
  </w:style>
  <w:style w:type="character" w:styleId="IntenseEmphasis">
    <w:name w:val="Intense Emphasis"/>
    <w:basedOn w:val="DefaultParagraphFont"/>
    <w:uiPriority w:val="21"/>
    <w:qFormat/>
    <w:rsid w:val="00F901C6"/>
    <w:rPr>
      <w:i/>
      <w:iCs/>
      <w:color w:val="2F5496" w:themeColor="accent1" w:themeShade="BF"/>
    </w:rPr>
  </w:style>
  <w:style w:type="paragraph" w:styleId="IntenseQuote">
    <w:name w:val="Intense Quote"/>
    <w:basedOn w:val="Normal"/>
    <w:next w:val="Normal"/>
    <w:link w:val="IntenseQuoteChar"/>
    <w:uiPriority w:val="30"/>
    <w:qFormat/>
    <w:rsid w:val="00F901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01C6"/>
    <w:rPr>
      <w:i/>
      <w:iCs/>
      <w:color w:val="2F5496" w:themeColor="accent1" w:themeShade="BF"/>
    </w:rPr>
  </w:style>
  <w:style w:type="character" w:styleId="IntenseReference">
    <w:name w:val="Intense Reference"/>
    <w:basedOn w:val="DefaultParagraphFont"/>
    <w:uiPriority w:val="32"/>
    <w:qFormat/>
    <w:rsid w:val="00F901C6"/>
    <w:rPr>
      <w:b/>
      <w:bCs/>
      <w:smallCaps/>
      <w:color w:val="2F5496" w:themeColor="accent1" w:themeShade="BF"/>
      <w:spacing w:val="5"/>
    </w:rPr>
  </w:style>
  <w:style w:type="paragraph" w:styleId="NoSpacing">
    <w:name w:val="No Spacing"/>
    <w:link w:val="NoSpacingChar"/>
    <w:uiPriority w:val="1"/>
    <w:qFormat/>
    <w:rsid w:val="00F901C6"/>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F901C6"/>
    <w:rPr>
      <w:rFonts w:eastAsiaTheme="minorEastAsia"/>
      <w:kern w:val="0"/>
      <w:lang w:eastAsia="en-GB"/>
      <w14:ligatures w14:val="none"/>
    </w:rPr>
  </w:style>
  <w:style w:type="paragraph" w:styleId="Caption">
    <w:name w:val="caption"/>
    <w:basedOn w:val="Normal"/>
    <w:next w:val="Normal"/>
    <w:uiPriority w:val="35"/>
    <w:unhideWhenUsed/>
    <w:qFormat/>
    <w:rsid w:val="000E69CC"/>
    <w:pPr>
      <w:spacing w:after="200" w:line="240" w:lineRule="auto"/>
    </w:pPr>
    <w:rPr>
      <w:i/>
      <w:iCs/>
      <w:color w:val="44546A" w:themeColor="text2"/>
      <w:sz w:val="18"/>
      <w:szCs w:val="18"/>
    </w:rPr>
  </w:style>
  <w:style w:type="table" w:styleId="TableGrid">
    <w:name w:val="Table Grid"/>
    <w:basedOn w:val="TableNormal"/>
    <w:uiPriority w:val="59"/>
    <w:rsid w:val="00C26C17"/>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70C71"/>
    <w:rPr>
      <w:rFonts w:ascii="Times New Roman" w:hAnsi="Times New Roman" w:cs="Times New Roman"/>
      <w:sz w:val="24"/>
      <w:szCs w:val="24"/>
    </w:rPr>
  </w:style>
  <w:style w:type="paragraph" w:styleId="Bibliography">
    <w:name w:val="Bibliography"/>
    <w:basedOn w:val="Normal"/>
    <w:next w:val="Normal"/>
    <w:uiPriority w:val="37"/>
    <w:unhideWhenUsed/>
    <w:rsid w:val="005C6C96"/>
  </w:style>
  <w:style w:type="paragraph" w:styleId="TOCHeading">
    <w:name w:val="TOC Heading"/>
    <w:basedOn w:val="Heading1"/>
    <w:next w:val="Normal"/>
    <w:uiPriority w:val="39"/>
    <w:unhideWhenUsed/>
    <w:qFormat/>
    <w:rsid w:val="00EB5A95"/>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EB5A95"/>
    <w:pPr>
      <w:spacing w:after="100"/>
    </w:pPr>
  </w:style>
  <w:style w:type="character" w:styleId="Hyperlink">
    <w:name w:val="Hyperlink"/>
    <w:basedOn w:val="DefaultParagraphFont"/>
    <w:uiPriority w:val="99"/>
    <w:unhideWhenUsed/>
    <w:rsid w:val="00EB5A95"/>
    <w:rPr>
      <w:color w:val="0563C1" w:themeColor="hyperlink"/>
      <w:u w:val="single"/>
    </w:rPr>
  </w:style>
  <w:style w:type="paragraph" w:styleId="TOC2">
    <w:name w:val="toc 2"/>
    <w:basedOn w:val="Normal"/>
    <w:next w:val="Normal"/>
    <w:autoRedefine/>
    <w:uiPriority w:val="39"/>
    <w:unhideWhenUsed/>
    <w:rsid w:val="00D858A3"/>
    <w:pPr>
      <w:spacing w:after="100"/>
      <w:ind w:left="220"/>
    </w:pPr>
  </w:style>
  <w:style w:type="paragraph" w:styleId="TOC3">
    <w:name w:val="toc 3"/>
    <w:basedOn w:val="Normal"/>
    <w:next w:val="Normal"/>
    <w:autoRedefine/>
    <w:uiPriority w:val="39"/>
    <w:unhideWhenUsed/>
    <w:rsid w:val="00D858A3"/>
    <w:pPr>
      <w:spacing w:after="100"/>
      <w:ind w:left="440"/>
    </w:pPr>
  </w:style>
  <w:style w:type="paragraph" w:styleId="TableofFigures">
    <w:name w:val="table of figures"/>
    <w:basedOn w:val="Normal"/>
    <w:next w:val="Normal"/>
    <w:uiPriority w:val="99"/>
    <w:unhideWhenUsed/>
    <w:rsid w:val="00121028"/>
    <w:pPr>
      <w:spacing w:after="0"/>
    </w:pPr>
  </w:style>
  <w:style w:type="paragraph" w:styleId="Header">
    <w:name w:val="header"/>
    <w:basedOn w:val="Normal"/>
    <w:link w:val="HeaderChar"/>
    <w:uiPriority w:val="99"/>
    <w:unhideWhenUsed/>
    <w:rsid w:val="001210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028"/>
  </w:style>
  <w:style w:type="paragraph" w:styleId="Footer">
    <w:name w:val="footer"/>
    <w:basedOn w:val="Normal"/>
    <w:link w:val="FooterChar"/>
    <w:uiPriority w:val="99"/>
    <w:unhideWhenUsed/>
    <w:rsid w:val="001210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0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1545">
      <w:bodyDiv w:val="1"/>
      <w:marLeft w:val="0"/>
      <w:marRight w:val="0"/>
      <w:marTop w:val="0"/>
      <w:marBottom w:val="0"/>
      <w:divBdr>
        <w:top w:val="none" w:sz="0" w:space="0" w:color="auto"/>
        <w:left w:val="none" w:sz="0" w:space="0" w:color="auto"/>
        <w:bottom w:val="none" w:sz="0" w:space="0" w:color="auto"/>
        <w:right w:val="none" w:sz="0" w:space="0" w:color="auto"/>
      </w:divBdr>
    </w:div>
    <w:div w:id="88350643">
      <w:bodyDiv w:val="1"/>
      <w:marLeft w:val="0"/>
      <w:marRight w:val="0"/>
      <w:marTop w:val="0"/>
      <w:marBottom w:val="0"/>
      <w:divBdr>
        <w:top w:val="none" w:sz="0" w:space="0" w:color="auto"/>
        <w:left w:val="none" w:sz="0" w:space="0" w:color="auto"/>
        <w:bottom w:val="none" w:sz="0" w:space="0" w:color="auto"/>
        <w:right w:val="none" w:sz="0" w:space="0" w:color="auto"/>
      </w:divBdr>
    </w:div>
    <w:div w:id="94638184">
      <w:bodyDiv w:val="1"/>
      <w:marLeft w:val="0"/>
      <w:marRight w:val="0"/>
      <w:marTop w:val="0"/>
      <w:marBottom w:val="0"/>
      <w:divBdr>
        <w:top w:val="none" w:sz="0" w:space="0" w:color="auto"/>
        <w:left w:val="none" w:sz="0" w:space="0" w:color="auto"/>
        <w:bottom w:val="none" w:sz="0" w:space="0" w:color="auto"/>
        <w:right w:val="none" w:sz="0" w:space="0" w:color="auto"/>
      </w:divBdr>
    </w:div>
    <w:div w:id="130052065">
      <w:bodyDiv w:val="1"/>
      <w:marLeft w:val="0"/>
      <w:marRight w:val="0"/>
      <w:marTop w:val="0"/>
      <w:marBottom w:val="0"/>
      <w:divBdr>
        <w:top w:val="none" w:sz="0" w:space="0" w:color="auto"/>
        <w:left w:val="none" w:sz="0" w:space="0" w:color="auto"/>
        <w:bottom w:val="none" w:sz="0" w:space="0" w:color="auto"/>
        <w:right w:val="none" w:sz="0" w:space="0" w:color="auto"/>
      </w:divBdr>
    </w:div>
    <w:div w:id="230123564">
      <w:bodyDiv w:val="1"/>
      <w:marLeft w:val="0"/>
      <w:marRight w:val="0"/>
      <w:marTop w:val="0"/>
      <w:marBottom w:val="0"/>
      <w:divBdr>
        <w:top w:val="none" w:sz="0" w:space="0" w:color="auto"/>
        <w:left w:val="none" w:sz="0" w:space="0" w:color="auto"/>
        <w:bottom w:val="none" w:sz="0" w:space="0" w:color="auto"/>
        <w:right w:val="none" w:sz="0" w:space="0" w:color="auto"/>
      </w:divBdr>
    </w:div>
    <w:div w:id="367687963">
      <w:bodyDiv w:val="1"/>
      <w:marLeft w:val="0"/>
      <w:marRight w:val="0"/>
      <w:marTop w:val="0"/>
      <w:marBottom w:val="0"/>
      <w:divBdr>
        <w:top w:val="none" w:sz="0" w:space="0" w:color="auto"/>
        <w:left w:val="none" w:sz="0" w:space="0" w:color="auto"/>
        <w:bottom w:val="none" w:sz="0" w:space="0" w:color="auto"/>
        <w:right w:val="none" w:sz="0" w:space="0" w:color="auto"/>
      </w:divBdr>
    </w:div>
    <w:div w:id="427779391">
      <w:bodyDiv w:val="1"/>
      <w:marLeft w:val="0"/>
      <w:marRight w:val="0"/>
      <w:marTop w:val="0"/>
      <w:marBottom w:val="0"/>
      <w:divBdr>
        <w:top w:val="none" w:sz="0" w:space="0" w:color="auto"/>
        <w:left w:val="none" w:sz="0" w:space="0" w:color="auto"/>
        <w:bottom w:val="none" w:sz="0" w:space="0" w:color="auto"/>
        <w:right w:val="none" w:sz="0" w:space="0" w:color="auto"/>
      </w:divBdr>
    </w:div>
    <w:div w:id="614485398">
      <w:bodyDiv w:val="1"/>
      <w:marLeft w:val="0"/>
      <w:marRight w:val="0"/>
      <w:marTop w:val="0"/>
      <w:marBottom w:val="0"/>
      <w:divBdr>
        <w:top w:val="none" w:sz="0" w:space="0" w:color="auto"/>
        <w:left w:val="none" w:sz="0" w:space="0" w:color="auto"/>
        <w:bottom w:val="none" w:sz="0" w:space="0" w:color="auto"/>
        <w:right w:val="none" w:sz="0" w:space="0" w:color="auto"/>
      </w:divBdr>
    </w:div>
    <w:div w:id="777722390">
      <w:bodyDiv w:val="1"/>
      <w:marLeft w:val="0"/>
      <w:marRight w:val="0"/>
      <w:marTop w:val="0"/>
      <w:marBottom w:val="0"/>
      <w:divBdr>
        <w:top w:val="none" w:sz="0" w:space="0" w:color="auto"/>
        <w:left w:val="none" w:sz="0" w:space="0" w:color="auto"/>
        <w:bottom w:val="none" w:sz="0" w:space="0" w:color="auto"/>
        <w:right w:val="none" w:sz="0" w:space="0" w:color="auto"/>
      </w:divBdr>
    </w:div>
    <w:div w:id="814875522">
      <w:bodyDiv w:val="1"/>
      <w:marLeft w:val="0"/>
      <w:marRight w:val="0"/>
      <w:marTop w:val="0"/>
      <w:marBottom w:val="0"/>
      <w:divBdr>
        <w:top w:val="none" w:sz="0" w:space="0" w:color="auto"/>
        <w:left w:val="none" w:sz="0" w:space="0" w:color="auto"/>
        <w:bottom w:val="none" w:sz="0" w:space="0" w:color="auto"/>
        <w:right w:val="none" w:sz="0" w:space="0" w:color="auto"/>
      </w:divBdr>
    </w:div>
    <w:div w:id="849560017">
      <w:bodyDiv w:val="1"/>
      <w:marLeft w:val="0"/>
      <w:marRight w:val="0"/>
      <w:marTop w:val="0"/>
      <w:marBottom w:val="0"/>
      <w:divBdr>
        <w:top w:val="none" w:sz="0" w:space="0" w:color="auto"/>
        <w:left w:val="none" w:sz="0" w:space="0" w:color="auto"/>
        <w:bottom w:val="none" w:sz="0" w:space="0" w:color="auto"/>
        <w:right w:val="none" w:sz="0" w:space="0" w:color="auto"/>
      </w:divBdr>
    </w:div>
    <w:div w:id="910188828">
      <w:bodyDiv w:val="1"/>
      <w:marLeft w:val="0"/>
      <w:marRight w:val="0"/>
      <w:marTop w:val="0"/>
      <w:marBottom w:val="0"/>
      <w:divBdr>
        <w:top w:val="none" w:sz="0" w:space="0" w:color="auto"/>
        <w:left w:val="none" w:sz="0" w:space="0" w:color="auto"/>
        <w:bottom w:val="none" w:sz="0" w:space="0" w:color="auto"/>
        <w:right w:val="none" w:sz="0" w:space="0" w:color="auto"/>
      </w:divBdr>
    </w:div>
    <w:div w:id="920680163">
      <w:bodyDiv w:val="1"/>
      <w:marLeft w:val="0"/>
      <w:marRight w:val="0"/>
      <w:marTop w:val="0"/>
      <w:marBottom w:val="0"/>
      <w:divBdr>
        <w:top w:val="none" w:sz="0" w:space="0" w:color="auto"/>
        <w:left w:val="none" w:sz="0" w:space="0" w:color="auto"/>
        <w:bottom w:val="none" w:sz="0" w:space="0" w:color="auto"/>
        <w:right w:val="none" w:sz="0" w:space="0" w:color="auto"/>
      </w:divBdr>
    </w:div>
    <w:div w:id="941453312">
      <w:bodyDiv w:val="1"/>
      <w:marLeft w:val="0"/>
      <w:marRight w:val="0"/>
      <w:marTop w:val="0"/>
      <w:marBottom w:val="0"/>
      <w:divBdr>
        <w:top w:val="none" w:sz="0" w:space="0" w:color="auto"/>
        <w:left w:val="none" w:sz="0" w:space="0" w:color="auto"/>
        <w:bottom w:val="none" w:sz="0" w:space="0" w:color="auto"/>
        <w:right w:val="none" w:sz="0" w:space="0" w:color="auto"/>
      </w:divBdr>
    </w:div>
    <w:div w:id="1000623339">
      <w:bodyDiv w:val="1"/>
      <w:marLeft w:val="0"/>
      <w:marRight w:val="0"/>
      <w:marTop w:val="0"/>
      <w:marBottom w:val="0"/>
      <w:divBdr>
        <w:top w:val="none" w:sz="0" w:space="0" w:color="auto"/>
        <w:left w:val="none" w:sz="0" w:space="0" w:color="auto"/>
        <w:bottom w:val="none" w:sz="0" w:space="0" w:color="auto"/>
        <w:right w:val="none" w:sz="0" w:space="0" w:color="auto"/>
      </w:divBdr>
    </w:div>
    <w:div w:id="1036933964">
      <w:bodyDiv w:val="1"/>
      <w:marLeft w:val="0"/>
      <w:marRight w:val="0"/>
      <w:marTop w:val="0"/>
      <w:marBottom w:val="0"/>
      <w:divBdr>
        <w:top w:val="none" w:sz="0" w:space="0" w:color="auto"/>
        <w:left w:val="none" w:sz="0" w:space="0" w:color="auto"/>
        <w:bottom w:val="none" w:sz="0" w:space="0" w:color="auto"/>
        <w:right w:val="none" w:sz="0" w:space="0" w:color="auto"/>
      </w:divBdr>
    </w:div>
    <w:div w:id="1140225942">
      <w:bodyDiv w:val="1"/>
      <w:marLeft w:val="0"/>
      <w:marRight w:val="0"/>
      <w:marTop w:val="0"/>
      <w:marBottom w:val="0"/>
      <w:divBdr>
        <w:top w:val="none" w:sz="0" w:space="0" w:color="auto"/>
        <w:left w:val="none" w:sz="0" w:space="0" w:color="auto"/>
        <w:bottom w:val="none" w:sz="0" w:space="0" w:color="auto"/>
        <w:right w:val="none" w:sz="0" w:space="0" w:color="auto"/>
      </w:divBdr>
    </w:div>
    <w:div w:id="1154683686">
      <w:bodyDiv w:val="1"/>
      <w:marLeft w:val="0"/>
      <w:marRight w:val="0"/>
      <w:marTop w:val="0"/>
      <w:marBottom w:val="0"/>
      <w:divBdr>
        <w:top w:val="none" w:sz="0" w:space="0" w:color="auto"/>
        <w:left w:val="none" w:sz="0" w:space="0" w:color="auto"/>
        <w:bottom w:val="none" w:sz="0" w:space="0" w:color="auto"/>
        <w:right w:val="none" w:sz="0" w:space="0" w:color="auto"/>
      </w:divBdr>
    </w:div>
    <w:div w:id="1224220344">
      <w:bodyDiv w:val="1"/>
      <w:marLeft w:val="0"/>
      <w:marRight w:val="0"/>
      <w:marTop w:val="0"/>
      <w:marBottom w:val="0"/>
      <w:divBdr>
        <w:top w:val="none" w:sz="0" w:space="0" w:color="auto"/>
        <w:left w:val="none" w:sz="0" w:space="0" w:color="auto"/>
        <w:bottom w:val="none" w:sz="0" w:space="0" w:color="auto"/>
        <w:right w:val="none" w:sz="0" w:space="0" w:color="auto"/>
      </w:divBdr>
    </w:div>
    <w:div w:id="1240484895">
      <w:bodyDiv w:val="1"/>
      <w:marLeft w:val="0"/>
      <w:marRight w:val="0"/>
      <w:marTop w:val="0"/>
      <w:marBottom w:val="0"/>
      <w:divBdr>
        <w:top w:val="none" w:sz="0" w:space="0" w:color="auto"/>
        <w:left w:val="none" w:sz="0" w:space="0" w:color="auto"/>
        <w:bottom w:val="none" w:sz="0" w:space="0" w:color="auto"/>
        <w:right w:val="none" w:sz="0" w:space="0" w:color="auto"/>
      </w:divBdr>
    </w:div>
    <w:div w:id="1265117819">
      <w:bodyDiv w:val="1"/>
      <w:marLeft w:val="0"/>
      <w:marRight w:val="0"/>
      <w:marTop w:val="0"/>
      <w:marBottom w:val="0"/>
      <w:divBdr>
        <w:top w:val="none" w:sz="0" w:space="0" w:color="auto"/>
        <w:left w:val="none" w:sz="0" w:space="0" w:color="auto"/>
        <w:bottom w:val="none" w:sz="0" w:space="0" w:color="auto"/>
        <w:right w:val="none" w:sz="0" w:space="0" w:color="auto"/>
      </w:divBdr>
    </w:div>
    <w:div w:id="1334799822">
      <w:bodyDiv w:val="1"/>
      <w:marLeft w:val="0"/>
      <w:marRight w:val="0"/>
      <w:marTop w:val="0"/>
      <w:marBottom w:val="0"/>
      <w:divBdr>
        <w:top w:val="none" w:sz="0" w:space="0" w:color="auto"/>
        <w:left w:val="none" w:sz="0" w:space="0" w:color="auto"/>
        <w:bottom w:val="none" w:sz="0" w:space="0" w:color="auto"/>
        <w:right w:val="none" w:sz="0" w:space="0" w:color="auto"/>
      </w:divBdr>
    </w:div>
    <w:div w:id="1351686326">
      <w:bodyDiv w:val="1"/>
      <w:marLeft w:val="0"/>
      <w:marRight w:val="0"/>
      <w:marTop w:val="0"/>
      <w:marBottom w:val="0"/>
      <w:divBdr>
        <w:top w:val="none" w:sz="0" w:space="0" w:color="auto"/>
        <w:left w:val="none" w:sz="0" w:space="0" w:color="auto"/>
        <w:bottom w:val="none" w:sz="0" w:space="0" w:color="auto"/>
        <w:right w:val="none" w:sz="0" w:space="0" w:color="auto"/>
      </w:divBdr>
    </w:div>
    <w:div w:id="1365868081">
      <w:bodyDiv w:val="1"/>
      <w:marLeft w:val="0"/>
      <w:marRight w:val="0"/>
      <w:marTop w:val="0"/>
      <w:marBottom w:val="0"/>
      <w:divBdr>
        <w:top w:val="none" w:sz="0" w:space="0" w:color="auto"/>
        <w:left w:val="none" w:sz="0" w:space="0" w:color="auto"/>
        <w:bottom w:val="none" w:sz="0" w:space="0" w:color="auto"/>
        <w:right w:val="none" w:sz="0" w:space="0" w:color="auto"/>
      </w:divBdr>
    </w:div>
    <w:div w:id="1377121773">
      <w:bodyDiv w:val="1"/>
      <w:marLeft w:val="0"/>
      <w:marRight w:val="0"/>
      <w:marTop w:val="0"/>
      <w:marBottom w:val="0"/>
      <w:divBdr>
        <w:top w:val="none" w:sz="0" w:space="0" w:color="auto"/>
        <w:left w:val="none" w:sz="0" w:space="0" w:color="auto"/>
        <w:bottom w:val="none" w:sz="0" w:space="0" w:color="auto"/>
        <w:right w:val="none" w:sz="0" w:space="0" w:color="auto"/>
      </w:divBdr>
    </w:div>
    <w:div w:id="1433167286">
      <w:bodyDiv w:val="1"/>
      <w:marLeft w:val="0"/>
      <w:marRight w:val="0"/>
      <w:marTop w:val="0"/>
      <w:marBottom w:val="0"/>
      <w:divBdr>
        <w:top w:val="none" w:sz="0" w:space="0" w:color="auto"/>
        <w:left w:val="none" w:sz="0" w:space="0" w:color="auto"/>
        <w:bottom w:val="none" w:sz="0" w:space="0" w:color="auto"/>
        <w:right w:val="none" w:sz="0" w:space="0" w:color="auto"/>
      </w:divBdr>
    </w:div>
    <w:div w:id="1512137087">
      <w:bodyDiv w:val="1"/>
      <w:marLeft w:val="0"/>
      <w:marRight w:val="0"/>
      <w:marTop w:val="0"/>
      <w:marBottom w:val="0"/>
      <w:divBdr>
        <w:top w:val="none" w:sz="0" w:space="0" w:color="auto"/>
        <w:left w:val="none" w:sz="0" w:space="0" w:color="auto"/>
        <w:bottom w:val="none" w:sz="0" w:space="0" w:color="auto"/>
        <w:right w:val="none" w:sz="0" w:space="0" w:color="auto"/>
      </w:divBdr>
    </w:div>
    <w:div w:id="1598251643">
      <w:bodyDiv w:val="1"/>
      <w:marLeft w:val="0"/>
      <w:marRight w:val="0"/>
      <w:marTop w:val="0"/>
      <w:marBottom w:val="0"/>
      <w:divBdr>
        <w:top w:val="none" w:sz="0" w:space="0" w:color="auto"/>
        <w:left w:val="none" w:sz="0" w:space="0" w:color="auto"/>
        <w:bottom w:val="none" w:sz="0" w:space="0" w:color="auto"/>
        <w:right w:val="none" w:sz="0" w:space="0" w:color="auto"/>
      </w:divBdr>
    </w:div>
    <w:div w:id="1612005910">
      <w:bodyDiv w:val="1"/>
      <w:marLeft w:val="0"/>
      <w:marRight w:val="0"/>
      <w:marTop w:val="0"/>
      <w:marBottom w:val="0"/>
      <w:divBdr>
        <w:top w:val="none" w:sz="0" w:space="0" w:color="auto"/>
        <w:left w:val="none" w:sz="0" w:space="0" w:color="auto"/>
        <w:bottom w:val="none" w:sz="0" w:space="0" w:color="auto"/>
        <w:right w:val="none" w:sz="0" w:space="0" w:color="auto"/>
      </w:divBdr>
    </w:div>
    <w:div w:id="1673995713">
      <w:bodyDiv w:val="1"/>
      <w:marLeft w:val="0"/>
      <w:marRight w:val="0"/>
      <w:marTop w:val="0"/>
      <w:marBottom w:val="0"/>
      <w:divBdr>
        <w:top w:val="none" w:sz="0" w:space="0" w:color="auto"/>
        <w:left w:val="none" w:sz="0" w:space="0" w:color="auto"/>
        <w:bottom w:val="none" w:sz="0" w:space="0" w:color="auto"/>
        <w:right w:val="none" w:sz="0" w:space="0" w:color="auto"/>
      </w:divBdr>
    </w:div>
    <w:div w:id="1687101498">
      <w:bodyDiv w:val="1"/>
      <w:marLeft w:val="0"/>
      <w:marRight w:val="0"/>
      <w:marTop w:val="0"/>
      <w:marBottom w:val="0"/>
      <w:divBdr>
        <w:top w:val="none" w:sz="0" w:space="0" w:color="auto"/>
        <w:left w:val="none" w:sz="0" w:space="0" w:color="auto"/>
        <w:bottom w:val="none" w:sz="0" w:space="0" w:color="auto"/>
        <w:right w:val="none" w:sz="0" w:space="0" w:color="auto"/>
      </w:divBdr>
    </w:div>
    <w:div w:id="1691908475">
      <w:bodyDiv w:val="1"/>
      <w:marLeft w:val="0"/>
      <w:marRight w:val="0"/>
      <w:marTop w:val="0"/>
      <w:marBottom w:val="0"/>
      <w:divBdr>
        <w:top w:val="none" w:sz="0" w:space="0" w:color="auto"/>
        <w:left w:val="none" w:sz="0" w:space="0" w:color="auto"/>
        <w:bottom w:val="none" w:sz="0" w:space="0" w:color="auto"/>
        <w:right w:val="none" w:sz="0" w:space="0" w:color="auto"/>
      </w:divBdr>
    </w:div>
    <w:div w:id="1865826097">
      <w:bodyDiv w:val="1"/>
      <w:marLeft w:val="0"/>
      <w:marRight w:val="0"/>
      <w:marTop w:val="0"/>
      <w:marBottom w:val="0"/>
      <w:divBdr>
        <w:top w:val="none" w:sz="0" w:space="0" w:color="auto"/>
        <w:left w:val="none" w:sz="0" w:space="0" w:color="auto"/>
        <w:bottom w:val="none" w:sz="0" w:space="0" w:color="auto"/>
        <w:right w:val="none" w:sz="0" w:space="0" w:color="auto"/>
      </w:divBdr>
    </w:div>
    <w:div w:id="207790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2318850@student.uwtsd.ac.uk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She13</b:Tag>
    <b:SourceType>JournalArticle</b:SourceType>
    <b:Guid>{02C8A5DF-81D8-4058-A668-FB0CC5B8E0E0}</b:Guid>
    <b:Author>
      <b:Author>
        <b:NameList>
          <b:Person>
            <b:Last>Sheta. O</b:Last>
            <b:First>Eldeen</b:First>
            <b:Middle>A.N</b:Middle>
          </b:Person>
        </b:NameList>
      </b:Author>
    </b:Author>
    <b:Title>The technology of using a data warehouse to support decision-making in health care</b:Title>
    <b:JournalName>ArXiv</b:JournalName>
    <b:Year>2013</b:Year>
    <b:URL>https://doi.org/10.5121/ijdms.2013.5305</b:URL>
    <b:RefOrder>1</b:RefOrder>
  </b:Source>
  <b:Source>
    <b:Tag>Led01</b:Tag>
    <b:SourceType>JournalArticle</b:SourceType>
    <b:Guid>{27CCEC4D-DC59-4170-B0D9-AD590102C13E}</b:Guid>
    <b:Author>
      <b:Author>
        <b:NameList>
          <b:Person>
            <b:Last>Ledbetter</b:Last>
            <b:First>C.,</b:First>
            <b:Middle>and M. Morgan.</b:Middle>
          </b:Person>
        </b:NameList>
      </b:Author>
    </b:Author>
    <b:Title>Toward best practice: leveraging the electronic patient record as a clinical data warehouse.</b:Title>
    <b:JournalName>Journal of healthcare information management : JHIM</b:JournalName>
    <b:Year>2001</b:Year>
    <b:Pages>119-131</b:Pages>
    <b:Volume>15</b:Volume>
    <b:Issue>2</b:Issue>
    <b:RefOrder>2</b:RefOrder>
  </b:Source>
  <b:Source>
    <b:Tag>Che24</b:Tag>
    <b:SourceType>JournalArticle</b:SourceType>
    <b:Guid>{3CCAE60D-747A-405B-A8AC-6CD8C0825AE7}</b:Guid>
    <b:Author>
      <b:Author>
        <b:NameList>
          <b:Person>
            <b:Last>Cheng-Zarate</b:Last>
            <b:First>David,</b:First>
            <b:Middle>et al</b:Middle>
          </b:Person>
        </b:NameList>
      </b:Author>
    </b:Author>
    <b:Title>Creating a data warehouse to support monitoring of NSQHS blood management standard from EMR data.</b:Title>
    <b:JournalName>BMC Medical Informatics and Decision Making</b:JournalName>
    <b:Year>2024</b:Year>
    <b:Volume>24</b:Volume>
    <b:URL> https://doi.org/10.1186/s12911-024-02732-8</b:URL>
    <b:RefOrder>3</b:RefOrder>
  </b:Source>
  <b:Source>
    <b:Tag>Iva25</b:Tag>
    <b:SourceType>JournalArticle</b:SourceType>
    <b:Guid>{E745098A-B460-4C6C-8F65-CFACBE4E93AD}</b:Guid>
    <b:Author>
      <b:Author>
        <b:NameList>
          <b:Person>
            <b:Last>Ivanovski</b:Last>
            <b:First>Knežević</b:First>
            <b:Middle>T., et al.</b:Middle>
          </b:Person>
        </b:NameList>
      </b:Author>
    </b:Author>
    <b:Title>Building a healthcare data warehouse: considerations, opportunities, and challenges." Frontiers in Digital Health</b:Title>
    <b:Year>2025</b:Year>
    <b:Volume>7</b:Volume>
    <b:URL>https://doi.org/10.3389/fdgth.2025.1691142</b:URL>
    <b:RefOrder>4</b:RefOrder>
  </b:Source>
  <b:Source>
    <b:Tag>Lyu25</b:Tag>
    <b:SourceType>JournalArticle</b:SourceType>
    <b:Guid>{8035AE1C-D3C1-4FE3-90CF-A86209A20299}</b:Guid>
    <b:Author>
      <b:Author>
        <b:NameList>
          <b:Person>
            <b:Last>Lyu</b:Last>
            <b:First>Shiyang,</b:First>
            <b:Middle>et al</b:Middle>
          </b:Person>
        </b:NameList>
      </b:Author>
    </b:Author>
    <b:Title>The development and use of data warehousing in clinical settings: a scoping review</b:Title>
    <b:JournalName>Frontiers in Digital Health</b:JournalName>
    <b:Year>2025</b:Year>
    <b:Volume>7</b:Volume>
    <b:URL>https://doi.org/10.3389/fdgth.2025.1599514</b:URL>
    <b:RefOrder>5</b:RefOrder>
  </b:Source>
  <b:Source>
    <b:Tag>Pri24</b:Tag>
    <b:SourceType>JournalArticle</b:SourceType>
    <b:Guid>{3E395462-A075-4E31-BBB0-E1180E348AAF}</b:Guid>
    <b:Author>
      <b:Author>
        <b:NameList>
          <b:Person>
            <b:Last>Priou</b:Last>
            <b:First>S.,</b:First>
            <b:Middle>et al</b:Middle>
          </b:Person>
        </b:NameList>
      </b:Author>
    </b:Author>
    <b:Title>Where have my patients gone?': A simulation study on real-world data processing in Clinical Data Warehouses.</b:Title>
    <b:JournalName>Health Policy and Technology</b:JournalName>
    <b:Year>2024</b:Year>
    <b:URL>https://doi.org/10.1016/j.hlpt.2024.100893.</b:URL>
    <b:RefOrder>6</b:RefOrder>
  </b:Source>
  <b:Source>
    <b:Tag>Aro24</b:Tag>
    <b:SourceType>JournalArticle</b:SourceType>
    <b:Guid>{215FB874-18FD-4A45-AC48-99E44E5AF4E1}</b:Guid>
    <b:Author>
      <b:Author>
        <b:NameList>
          <b:Person>
            <b:Last>Arowoogun</b:Last>
            <b:First>J.</b:First>
            <b:Middle>O., Babawarun, O., Chidi, R., Oyeyemi, A. W., &amp; Okolo, C. A.</b:Middle>
          </b:Person>
        </b:NameList>
      </b:Author>
    </b:Author>
    <b:Title>A comprehensive review of data analytics in healthcare management: Leveraging big data for decision-making</b:Title>
    <b:JournalName>World Journal of Advanced Research and Reviews.</b:JournalName>
    <b:Year>2024</b:Year>
    <b:URL>https://doi.org/10.30574/wjarr.2024.21.2.0590</b:URL>
    <b:RefOrder>7</b:RefOrder>
  </b:Source>
  <b:Source>
    <b:Tag>Bas22</b:Tag>
    <b:SourceType>JournalArticle</b:SourceType>
    <b:Guid>{1BDF31CC-218B-4124-873D-14468ED17A5B}</b:Guid>
    <b:Author>
      <b:Author>
        <b:NameList>
          <b:Person>
            <b:Last>Basile</b:Last>
            <b:First>L.</b:First>
            <b:Middle>J., Carbonara, N., Pellegrino, R., &amp; Panniello, U.</b:Middle>
          </b:Person>
        </b:NameList>
      </b:Author>
    </b:Author>
    <b:Title>Business intelligence in the healthcare industry: The utilization of a data-driven approach to support clinical decision making.</b:Title>
    <b:JournalName>Technovation</b:JournalName>
    <b:Year>2022</b:Year>
    <b:URL> https://doi.org/10.1016/j.technovation.2022.102482</b:URL>
    <b:RefOrder>8</b:RefOrder>
  </b:Source>
  <b:Source>
    <b:Tag>Dar25</b:Tag>
    <b:SourceType>JournalArticle</b:SourceType>
    <b:Guid>{83189C98-5C05-4C38-B1B4-B9EB815930CF}</b:Guid>
    <b:Author>
      <b:Author>
        <b:NameList>
          <b:Person>
            <b:Last>Darach</b:Last>
            <b:First>N.,</b:First>
            <b:Middle>Kim, M. S., Wisesrith, W., &amp; Collins, E</b:Middle>
          </b:Person>
        </b:NameList>
      </b:Author>
    </b:Author>
    <b:Title>Data Analytics and Administrative Decision-Making in Nursing Management: A Systematic Review</b:Title>
    <b:JournalName>Journal of Nursing Management</b:JournalName>
    <b:Year>2025</b:Year>
    <b:URL>https://doi.org/10.1155/jonm/4344147</b:URL>
    <b:RefOrder>9</b:RefOrder>
  </b:Source>
  <b:Source>
    <b:Tag>Fis23</b:Tag>
    <b:SourceType>JournalArticle</b:SourceType>
    <b:Guid>{B3E4C74B-173E-4523-A6F6-AEB1B7720EF8}</b:Guid>
    <b:Author>
      <b:Author>
        <b:NameList>
          <b:Person>
            <b:Last>Fischer</b:Last>
            <b:First>M.,</b:First>
            <b:Middle>Roessler, P., Sieben, P., Adamcic, J., Kirchherr, C., Straeubig, T., Kaminsky, Y., &amp; Naumann, F</b:Middle>
          </b:Person>
        </b:NameList>
      </b:Author>
    </b:Author>
    <b:Title>BCNF* - From Normalized- to Star-Schemas and Back Again</b:Title>
    <b:JournalName>Companion of the 2023 International Conference on Management of Data.</b:JournalName>
    <b:Year>2023</b:Year>
    <b:URL>https://doi.org/10.1145/3555041.3589712</b:URL>
    <b:RefOrder>10</b:RefOrder>
  </b:Source>
  <b:Source>
    <b:Tag>Aki24</b:Tag>
    <b:SourceType>JournalArticle</b:SourceType>
    <b:Guid>{D3CCDD13-96E5-43E9-987F-148F5E80F876}</b:Guid>
    <b:Author>
      <b:Author>
        <b:NameList>
          <b:Person>
            <b:Last>Akid</b:Last>
            <b:First>H.,</b:First>
            <b:Middle>Frey, G., Ayed, M. B., &amp; Lachiche, N.</b:Middle>
          </b:Person>
        </b:NameList>
      </b:Author>
    </b:Author>
    <b:Title>Performance of NoSQL graph implementations of star vs. snowflake schemas.</b:Title>
    <b:JournalName>IEEE Access</b:JournalName>
    <b:Year>2024</b:Year>
    <b:URL>https://doi.org/10.1109/access.2022.3171256</b:URL>
    <b:RefOrder>11</b:RefOrder>
  </b:Source>
  <b:Source>
    <b:Tag>Mcv21</b:Tag>
    <b:SourceType>JournalArticle</b:SourceType>
    <b:Guid>{50F198C4-092F-4C77-A00B-553854AE96CF}</b:Guid>
    <b:Author>
      <b:Author>
        <b:NameList>
          <b:Person>
            <b:Last>Mcvey</b:Last>
            <b:First>L.,</b:First>
            <b:Middle>Alvarado, N., Greenhalgh, J., Elshehaly, M., Gale, C., Lake, J., Ruddle, R., Dowding, D., Mamas, M., Feltbower, R., &amp; Randell, R.</b:Middle>
          </b:Person>
        </b:NameList>
      </b:Author>
    </b:Author>
    <b:Title>Hidden labour: the skilful work of clinical audit data collection and its implications for secondary use of data via integrated health IT.</b:Title>
    <b:JournalName>BMC Health Services Research</b:JournalName>
    <b:Year>2021</b:Year>
    <b:URL>https://doi.org/10.1186/s12913-021-06657-0</b:URL>
    <b:RefOrder>12</b:RefOrder>
  </b:Source>
  <b:Source>
    <b:Tag>Arf16</b:Tag>
    <b:SourceType>JournalArticle</b:SourceType>
    <b:Guid>{11C7DF36-5B37-446E-8C05-1CAD822B6E33}</b:Guid>
    <b:Author>
      <b:Author>
        <b:NameList>
          <b:Person>
            <b:Last>Arfaoui</b:Last>
            <b:First>N.,</b:First>
            <b:Middle>&amp; Akaichi, J.</b:Middle>
          </b:Person>
        </b:NameList>
      </b:Author>
    </b:Author>
    <b:Title>A New Approach to Generate Hospital Data Warehouse Schema.</b:Title>
    <b:JournalName>Hospital Management and Emergency Medicine.</b:JournalName>
    <b:Year>2016</b:Year>
    <b:URL> https://doi.org/10.4018/978-1-4666-9882-6.ch005</b:URL>
    <b:RefOrder>13</b:RefOrder>
  </b:Source>
  <b:Source>
    <b:Tag>Oza20</b:Tag>
    <b:SourceType>Book</b:SourceType>
    <b:Guid>{9C660BAF-02B1-4FD4-9501-F5FF9ED5C4BB}</b:Guid>
    <b:Author>
      <b:Author>
        <b:NameList>
          <b:Person>
            <b:Last>Ozaydin</b:Last>
            <b:First>B.,</b:First>
            <b:Middle>Zengul, F., Oner, N., &amp; Feldman, S. S</b:Middle>
          </b:Person>
        </b:NameList>
      </b:Author>
    </b:Author>
    <b:Title>Healthcare Research and Analytics Data Infrastructure Solution: A Data Warehouse for Health Services Research.</b:Title>
    <b:JournalName>Journal of Medical Internet Research, 22.</b:JournalName>
    <b:Year>(2020)</b:Year>
    <b:URL> https://doi.org/10.2196/18579</b:URL>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7D46BC-2E9D-4516-BC42-3400ADD79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3773</Words>
  <Characters>21512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Data warehousing</vt:lpstr>
    </vt:vector>
  </TitlesOfParts>
  <Company/>
  <LinksUpToDate>false</LinksUpToDate>
  <CharactersWithSpaces>25235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warehousing</dc:title>
  <dc:subject>Component 1</dc:subject>
  <dc:creator>Evans Quartey-Tackie (2318850)</dc:creator>
  <cp:keywords/>
  <dc:description/>
  <cp:lastModifiedBy>Evans Quartey-Tackie (2318850)</cp:lastModifiedBy>
  <cp:revision>6</cp:revision>
  <dcterms:created xsi:type="dcterms:W3CDTF">2026-07-09T19:17:00Z</dcterms:created>
  <dcterms:modified xsi:type="dcterms:W3CDTF">2026-07-09T19:25:00Z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6053271b-3ba4-4cc9-b62f-848f09b7acaf</vt:lpwstr>
  </property>
</Properties>
</file>