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53DC66" w14:textId="2A9FE012" w:rsidR="00B92F9E" w:rsidRPr="00D733DF" w:rsidRDefault="00D733DF" w:rsidP="00D733DF">
      <w:pPr>
        <w:jc w:val="center"/>
        <w:rPr>
          <w:rFonts w:ascii="Arial" w:hAnsi="Arial" w:cs="Arial"/>
          <w:u w:val="single"/>
        </w:rPr>
      </w:pPr>
      <w:r>
        <w:rPr>
          <w:rFonts w:ascii="Arial" w:hAnsi="Arial" w:cs="Arial"/>
          <w:u w:val="single"/>
        </w:rPr>
        <w:t>Assignment</w:t>
      </w:r>
      <w:r w:rsidR="00B92F9E" w:rsidRPr="00D733DF">
        <w:rPr>
          <w:rFonts w:ascii="Arial" w:hAnsi="Arial" w:cs="Arial"/>
          <w:u w:val="single"/>
        </w:rPr>
        <w:t xml:space="preserve"> 1</w:t>
      </w:r>
    </w:p>
    <w:p w14:paraId="30ED3C13" w14:textId="4C5093E9" w:rsidR="00B92F9E" w:rsidRDefault="00B92F9E" w:rsidP="00D733DF">
      <w:pPr>
        <w:jc w:val="center"/>
        <w:rPr>
          <w:rFonts w:ascii="Arial" w:hAnsi="Arial" w:cs="Arial"/>
          <w:u w:val="single"/>
        </w:rPr>
      </w:pPr>
      <w:r w:rsidRPr="00D733DF">
        <w:rPr>
          <w:rFonts w:ascii="Arial" w:hAnsi="Arial" w:cs="Arial"/>
          <w:u w:val="single"/>
        </w:rPr>
        <w:t>Gender, Race, Religion and</w:t>
      </w:r>
      <w:r w:rsidR="00942203" w:rsidRPr="00D733DF">
        <w:rPr>
          <w:rFonts w:ascii="Arial" w:hAnsi="Arial" w:cs="Arial"/>
          <w:u w:val="single"/>
        </w:rPr>
        <w:t xml:space="preserve"> Crime</w:t>
      </w:r>
    </w:p>
    <w:p w14:paraId="5433ECD9" w14:textId="3421D763" w:rsidR="00260C2B" w:rsidRPr="00D733DF" w:rsidRDefault="00260C2B" w:rsidP="00D733DF">
      <w:pPr>
        <w:jc w:val="center"/>
        <w:rPr>
          <w:rFonts w:ascii="Arial" w:hAnsi="Arial" w:cs="Arial"/>
          <w:u w:val="single"/>
        </w:rPr>
      </w:pPr>
      <w:r>
        <w:rPr>
          <w:rFonts w:ascii="Arial" w:hAnsi="Arial" w:cs="Arial"/>
          <w:u w:val="single"/>
        </w:rPr>
        <w:t>BMCP6005</w:t>
      </w:r>
    </w:p>
    <w:p w14:paraId="5DE61D1E" w14:textId="5FF7E748" w:rsidR="00D733DF" w:rsidRDefault="00D733DF" w:rsidP="00D733DF">
      <w:pPr>
        <w:jc w:val="center"/>
        <w:rPr>
          <w:rFonts w:ascii="Arial" w:hAnsi="Arial" w:cs="Arial"/>
          <w:u w:val="single"/>
        </w:rPr>
      </w:pPr>
      <w:r>
        <w:rPr>
          <w:rFonts w:ascii="Arial" w:hAnsi="Arial" w:cs="Arial"/>
          <w:u w:val="single"/>
        </w:rPr>
        <w:t>Jane Davies</w:t>
      </w:r>
    </w:p>
    <w:p w14:paraId="2E7AEF2E" w14:textId="77777777" w:rsidR="00D733DF" w:rsidRPr="00D733DF" w:rsidRDefault="00D733DF" w:rsidP="00D733DF">
      <w:pPr>
        <w:jc w:val="center"/>
        <w:rPr>
          <w:rFonts w:ascii="Arial" w:hAnsi="Arial" w:cs="Arial"/>
          <w:u w:val="single"/>
        </w:rPr>
      </w:pPr>
    </w:p>
    <w:p w14:paraId="77719A84" w14:textId="77777777" w:rsidR="00513FA7" w:rsidRDefault="00513FA7" w:rsidP="00D733DF">
      <w:pPr>
        <w:rPr>
          <w:rFonts w:ascii="Arial" w:hAnsi="Arial" w:cs="Arial"/>
          <w:u w:val="single"/>
        </w:rPr>
      </w:pPr>
      <w:r w:rsidRPr="00D733DF">
        <w:rPr>
          <w:rFonts w:ascii="Arial" w:hAnsi="Arial" w:cs="Arial"/>
          <w:u w:val="single"/>
        </w:rPr>
        <w:t>“What systemic challenges do transgender individuals encounter within the criminal justice system, and what strategies can be implemented to address these issues?”</w:t>
      </w:r>
    </w:p>
    <w:p w14:paraId="6E24E64D" w14:textId="77777777" w:rsidR="00D733DF" w:rsidRPr="00D733DF" w:rsidRDefault="00D733DF" w:rsidP="00D733DF">
      <w:pPr>
        <w:rPr>
          <w:rFonts w:ascii="Arial" w:hAnsi="Arial" w:cs="Arial"/>
          <w:u w:val="single"/>
        </w:rPr>
      </w:pPr>
    </w:p>
    <w:p w14:paraId="402AC332" w14:textId="77777777" w:rsidR="00E357F7" w:rsidRPr="00D733DF" w:rsidRDefault="00E357F7" w:rsidP="00D733DF">
      <w:pPr>
        <w:jc w:val="center"/>
        <w:rPr>
          <w:rFonts w:ascii="Arial" w:hAnsi="Arial" w:cs="Arial"/>
          <w:u w:val="single"/>
        </w:rPr>
      </w:pPr>
    </w:p>
    <w:p w14:paraId="65E2F85B" w14:textId="34BF7758" w:rsidR="00E357F7" w:rsidRDefault="00E357F7" w:rsidP="00D733DF">
      <w:pPr>
        <w:jc w:val="center"/>
        <w:rPr>
          <w:rFonts w:ascii="Arial" w:hAnsi="Arial" w:cs="Arial"/>
          <w:u w:val="single"/>
        </w:rPr>
      </w:pPr>
      <w:r w:rsidRPr="00D733DF">
        <w:rPr>
          <w:rFonts w:ascii="Arial" w:hAnsi="Arial" w:cs="Arial"/>
          <w:u w:val="single"/>
        </w:rPr>
        <w:t>By Harrison Bright</w:t>
      </w:r>
    </w:p>
    <w:p w14:paraId="69A22F21" w14:textId="00595197" w:rsidR="00D733DF" w:rsidRPr="00D733DF" w:rsidRDefault="00D733DF" w:rsidP="00D733DF">
      <w:pPr>
        <w:jc w:val="center"/>
        <w:rPr>
          <w:rFonts w:ascii="Arial" w:hAnsi="Arial" w:cs="Arial"/>
          <w:u w:val="single"/>
        </w:rPr>
      </w:pPr>
      <w:r>
        <w:rPr>
          <w:rFonts w:ascii="Arial" w:hAnsi="Arial" w:cs="Arial"/>
          <w:u w:val="single"/>
        </w:rPr>
        <w:t>2115653</w:t>
      </w:r>
    </w:p>
    <w:p w14:paraId="505AF4D9" w14:textId="77777777" w:rsidR="00E357F7" w:rsidRPr="00D733DF" w:rsidRDefault="00E357F7" w:rsidP="00D733DF">
      <w:pPr>
        <w:jc w:val="center"/>
        <w:rPr>
          <w:rFonts w:ascii="Arial" w:hAnsi="Arial" w:cs="Arial"/>
          <w:u w:val="single"/>
        </w:rPr>
      </w:pPr>
    </w:p>
    <w:p w14:paraId="604086F7" w14:textId="77777777" w:rsidR="00B36F85" w:rsidRPr="00D733DF" w:rsidRDefault="00B36F85" w:rsidP="00D733DF">
      <w:pPr>
        <w:jc w:val="center"/>
        <w:rPr>
          <w:rFonts w:ascii="Arial" w:hAnsi="Arial" w:cs="Arial"/>
          <w:u w:val="single"/>
        </w:rPr>
      </w:pPr>
    </w:p>
    <w:p w14:paraId="14881BFD" w14:textId="77777777" w:rsidR="00B36F85" w:rsidRPr="00D733DF" w:rsidRDefault="00B36F85" w:rsidP="00513FA7">
      <w:pPr>
        <w:rPr>
          <w:rFonts w:ascii="Arial" w:hAnsi="Arial" w:cs="Arial"/>
        </w:rPr>
      </w:pPr>
    </w:p>
    <w:p w14:paraId="3F42A784" w14:textId="77777777" w:rsidR="00B36F85" w:rsidRPr="00D733DF" w:rsidRDefault="00B36F85" w:rsidP="00513FA7">
      <w:pPr>
        <w:rPr>
          <w:rFonts w:ascii="Arial" w:hAnsi="Arial" w:cs="Arial"/>
        </w:rPr>
      </w:pPr>
    </w:p>
    <w:p w14:paraId="48C24B73" w14:textId="17B35AE9" w:rsidR="00B36F85" w:rsidRPr="00D733DF" w:rsidRDefault="00B36F85" w:rsidP="00513FA7">
      <w:pPr>
        <w:rPr>
          <w:rFonts w:ascii="Arial" w:hAnsi="Arial" w:cs="Arial"/>
        </w:rPr>
      </w:pPr>
    </w:p>
    <w:p w14:paraId="3BC17CA5" w14:textId="77777777" w:rsidR="00B36F85" w:rsidRPr="00D733DF" w:rsidRDefault="00B36F85" w:rsidP="00513FA7">
      <w:pPr>
        <w:rPr>
          <w:rFonts w:ascii="Arial" w:hAnsi="Arial" w:cs="Arial"/>
        </w:rPr>
      </w:pPr>
    </w:p>
    <w:p w14:paraId="524D7682" w14:textId="77777777" w:rsidR="00B36F85" w:rsidRPr="00D733DF" w:rsidRDefault="00B36F85" w:rsidP="00513FA7">
      <w:pPr>
        <w:rPr>
          <w:rFonts w:ascii="Arial" w:hAnsi="Arial" w:cs="Arial"/>
        </w:rPr>
      </w:pPr>
    </w:p>
    <w:p w14:paraId="1EE55C1D" w14:textId="77777777" w:rsidR="00B36F85" w:rsidRPr="00D733DF" w:rsidRDefault="00B36F85" w:rsidP="00513FA7">
      <w:pPr>
        <w:rPr>
          <w:rFonts w:ascii="Arial" w:hAnsi="Arial" w:cs="Arial"/>
        </w:rPr>
      </w:pPr>
    </w:p>
    <w:p w14:paraId="33E53E4E" w14:textId="77777777" w:rsidR="00B36F85" w:rsidRPr="00D733DF" w:rsidRDefault="00B36F85" w:rsidP="00513FA7">
      <w:pPr>
        <w:rPr>
          <w:rFonts w:ascii="Arial" w:hAnsi="Arial" w:cs="Arial"/>
        </w:rPr>
      </w:pPr>
    </w:p>
    <w:p w14:paraId="57CFF96C" w14:textId="77777777" w:rsidR="00B36F85" w:rsidRPr="00D733DF" w:rsidRDefault="00B36F85" w:rsidP="00513FA7">
      <w:pPr>
        <w:rPr>
          <w:rFonts w:ascii="Arial" w:hAnsi="Arial" w:cs="Arial"/>
        </w:rPr>
      </w:pPr>
    </w:p>
    <w:p w14:paraId="0B028EB2" w14:textId="77777777" w:rsidR="00B36F85" w:rsidRPr="00D733DF" w:rsidRDefault="00B36F85" w:rsidP="00513FA7">
      <w:pPr>
        <w:rPr>
          <w:rFonts w:ascii="Arial" w:hAnsi="Arial" w:cs="Arial"/>
        </w:rPr>
      </w:pPr>
    </w:p>
    <w:p w14:paraId="49919F19" w14:textId="77777777" w:rsidR="00B36F85" w:rsidRPr="00D733DF" w:rsidRDefault="00B36F85" w:rsidP="00513FA7">
      <w:pPr>
        <w:rPr>
          <w:rFonts w:ascii="Arial" w:hAnsi="Arial" w:cs="Arial"/>
        </w:rPr>
      </w:pPr>
    </w:p>
    <w:p w14:paraId="4B191A15" w14:textId="77777777" w:rsidR="00B36F85" w:rsidRPr="00D733DF" w:rsidRDefault="00B36F85" w:rsidP="00513FA7">
      <w:pPr>
        <w:rPr>
          <w:rFonts w:ascii="Arial" w:hAnsi="Arial" w:cs="Arial"/>
        </w:rPr>
      </w:pPr>
    </w:p>
    <w:p w14:paraId="348D5BD2" w14:textId="77777777" w:rsidR="00B36F85" w:rsidRPr="00D733DF" w:rsidRDefault="00B36F85" w:rsidP="00513FA7">
      <w:pPr>
        <w:rPr>
          <w:rFonts w:ascii="Arial" w:hAnsi="Arial" w:cs="Arial"/>
        </w:rPr>
      </w:pPr>
    </w:p>
    <w:p w14:paraId="0E5B7084" w14:textId="77777777" w:rsidR="00B36F85" w:rsidRPr="00D733DF" w:rsidRDefault="00B36F85" w:rsidP="00513FA7">
      <w:pPr>
        <w:rPr>
          <w:rFonts w:ascii="Arial" w:hAnsi="Arial" w:cs="Arial"/>
        </w:rPr>
      </w:pPr>
    </w:p>
    <w:p w14:paraId="1E1FFE39" w14:textId="77777777" w:rsidR="00B36F85" w:rsidRPr="00D733DF" w:rsidRDefault="00B36F85" w:rsidP="00513FA7">
      <w:pPr>
        <w:rPr>
          <w:rFonts w:ascii="Arial" w:hAnsi="Arial" w:cs="Arial"/>
        </w:rPr>
      </w:pPr>
    </w:p>
    <w:p w14:paraId="6413692C" w14:textId="77777777" w:rsidR="00B36F85" w:rsidRPr="00D733DF" w:rsidRDefault="00B36F85" w:rsidP="00513FA7">
      <w:pPr>
        <w:rPr>
          <w:rFonts w:ascii="Arial" w:hAnsi="Arial" w:cs="Arial"/>
        </w:rPr>
      </w:pPr>
    </w:p>
    <w:p w14:paraId="2C5ED1E4" w14:textId="77777777" w:rsidR="00B36F85" w:rsidRPr="00D733DF" w:rsidRDefault="00B36F85" w:rsidP="00513FA7">
      <w:pPr>
        <w:rPr>
          <w:rFonts w:ascii="Arial" w:hAnsi="Arial" w:cs="Arial"/>
        </w:rPr>
      </w:pPr>
    </w:p>
    <w:p w14:paraId="747F66D7" w14:textId="608F4343" w:rsidR="00D733DF" w:rsidRPr="00D733DF" w:rsidRDefault="00D733DF" w:rsidP="00D733DF">
      <w:pPr>
        <w:rPr>
          <w:rFonts w:ascii="Arial" w:hAnsi="Arial" w:cs="Arial"/>
        </w:rPr>
      </w:pPr>
      <w:r>
        <w:rPr>
          <w:rFonts w:ascii="Arial" w:hAnsi="Arial" w:cs="Arial"/>
        </w:rPr>
        <w:lastRenderedPageBreak/>
        <w:t>T</w:t>
      </w:r>
      <w:r w:rsidRPr="00D733DF">
        <w:rPr>
          <w:rFonts w:ascii="Arial" w:hAnsi="Arial" w:cs="Arial"/>
        </w:rPr>
        <w:t xml:space="preserve">his assignment will address the challenges faced by transgender individuals throughout the criminal justice system. This is across policing, the courts and prisons. Some of the challenges that will be discussed are unsafe prison housing, </w:t>
      </w:r>
      <w:r w:rsidR="002F4159">
        <w:rPr>
          <w:rFonts w:ascii="Arial" w:hAnsi="Arial" w:cs="Arial"/>
        </w:rPr>
        <w:t>harassment</w:t>
      </w:r>
      <w:r w:rsidR="00A61FEB">
        <w:rPr>
          <w:rFonts w:ascii="Arial" w:hAnsi="Arial" w:cs="Arial"/>
        </w:rPr>
        <w:t xml:space="preserve">, </w:t>
      </w:r>
      <w:r w:rsidR="00A61FEB" w:rsidRPr="00D733DF">
        <w:rPr>
          <w:rFonts w:ascii="Arial" w:hAnsi="Arial" w:cs="Arial"/>
        </w:rPr>
        <w:t>poor health care</w:t>
      </w:r>
      <w:r w:rsidR="002F4159">
        <w:rPr>
          <w:rFonts w:ascii="Arial" w:hAnsi="Arial" w:cs="Arial"/>
        </w:rPr>
        <w:t xml:space="preserve"> </w:t>
      </w:r>
      <w:r w:rsidRPr="00D733DF">
        <w:rPr>
          <w:rFonts w:ascii="Arial" w:hAnsi="Arial" w:cs="Arial"/>
        </w:rPr>
        <w:t>and legal barriers. These problems undercut the idea of equality. This assignment will show clarity and suggestions for solutions for transgender individuals involved with the criminal justice system, so the UK can have a fair and equal society.</w:t>
      </w:r>
    </w:p>
    <w:p w14:paraId="56993A05" w14:textId="77777777" w:rsidR="00D733DF" w:rsidRPr="00D733DF" w:rsidRDefault="00D733DF" w:rsidP="00D733DF">
      <w:pPr>
        <w:rPr>
          <w:rFonts w:ascii="Arial" w:hAnsi="Arial" w:cs="Arial"/>
        </w:rPr>
      </w:pPr>
      <w:r w:rsidRPr="00D733DF">
        <w:rPr>
          <w:rFonts w:ascii="Arial" w:hAnsi="Arial" w:cs="Arial"/>
        </w:rPr>
        <w:t> </w:t>
      </w:r>
    </w:p>
    <w:p w14:paraId="76409C3A" w14:textId="21490FFA" w:rsidR="001503E5" w:rsidRDefault="00D733DF" w:rsidP="00D733DF">
      <w:pPr>
        <w:rPr>
          <w:rFonts w:ascii="Arial" w:hAnsi="Arial" w:cs="Arial"/>
        </w:rPr>
      </w:pPr>
      <w:r w:rsidRPr="00D733DF">
        <w:rPr>
          <w:rFonts w:ascii="Arial" w:hAnsi="Arial" w:cs="Arial"/>
        </w:rPr>
        <w:t xml:space="preserve">Firstly, it must be identified what rights </w:t>
      </w:r>
      <w:r w:rsidRPr="002F4159">
        <w:rPr>
          <w:rFonts w:ascii="Arial" w:hAnsi="Arial" w:cs="Arial"/>
        </w:rPr>
        <w:t>transgender people have to understand how they may be targeted or discriminated against. Under the Equality Act 2010, a person cannot be discriminated against because of a protected characteristic. As per the Equality Act 2010, “a person has the protected characteristic of gender reassignment if the person is proposing to undergo, is undergoing or has undergone a process (or part of a process) to reassign the person's sex by changing physiological or other attributes of sex.”</w:t>
      </w:r>
      <w:r w:rsidRPr="00D733DF">
        <w:rPr>
          <w:rFonts w:ascii="Arial" w:hAnsi="Arial" w:cs="Arial"/>
        </w:rPr>
        <w:t xml:space="preserve"> So, those people who consider themselves transgender have the legal right to be protected from discrimination. An example of this would be discrimination in the workplace or not being provided public services on the grounds of protected features; This includes gender reassignment</w:t>
      </w:r>
      <w:r w:rsidR="00C32D0A">
        <w:rPr>
          <w:rFonts w:ascii="Arial" w:hAnsi="Arial" w:cs="Arial"/>
        </w:rPr>
        <w:t>.</w:t>
      </w:r>
      <w:r w:rsidRPr="00D733DF">
        <w:rPr>
          <w:rFonts w:ascii="Arial" w:hAnsi="Arial" w:cs="Arial"/>
        </w:rPr>
        <w:t xml:space="preserve"> </w:t>
      </w:r>
      <w:sdt>
        <w:sdtPr>
          <w:rPr>
            <w:rFonts w:ascii="Arial" w:hAnsi="Arial" w:cs="Arial"/>
          </w:rPr>
          <w:id w:val="788321894"/>
          <w:citation/>
        </w:sdtPr>
        <w:sdtContent>
          <w:r w:rsidR="001503E5">
            <w:rPr>
              <w:rFonts w:ascii="Arial" w:hAnsi="Arial" w:cs="Arial"/>
            </w:rPr>
            <w:fldChar w:fldCharType="begin"/>
          </w:r>
          <w:r w:rsidR="001503E5">
            <w:rPr>
              <w:rFonts w:ascii="Arial" w:hAnsi="Arial" w:cs="Arial"/>
            </w:rPr>
            <w:instrText xml:space="preserve">CITATION The16 \l 2057 </w:instrText>
          </w:r>
          <w:r w:rsidR="001503E5">
            <w:rPr>
              <w:rFonts w:ascii="Arial" w:hAnsi="Arial" w:cs="Arial"/>
            </w:rPr>
            <w:fldChar w:fldCharType="separate"/>
          </w:r>
          <w:r w:rsidR="007F71A6" w:rsidRPr="007F71A6">
            <w:rPr>
              <w:rFonts w:ascii="Arial" w:hAnsi="Arial" w:cs="Arial"/>
              <w:noProof/>
            </w:rPr>
            <w:t>(The House of Commons Library, 2020)</w:t>
          </w:r>
          <w:r w:rsidR="001503E5">
            <w:rPr>
              <w:rFonts w:ascii="Arial" w:hAnsi="Arial" w:cs="Arial"/>
            </w:rPr>
            <w:fldChar w:fldCharType="end"/>
          </w:r>
        </w:sdtContent>
      </w:sdt>
      <w:r w:rsidRPr="00D733DF">
        <w:rPr>
          <w:rFonts w:ascii="Arial" w:hAnsi="Arial" w:cs="Arial"/>
        </w:rPr>
        <w:t xml:space="preserve">. It has been discussed recently by Parliament whether transgender people should be given the legal standing regarding their obtained gender and whether current legislation needs reform. </w:t>
      </w:r>
    </w:p>
    <w:p w14:paraId="16AFC003" w14:textId="77777777" w:rsidR="001503E5" w:rsidRDefault="001503E5" w:rsidP="00D733DF">
      <w:pPr>
        <w:rPr>
          <w:rFonts w:ascii="Arial" w:hAnsi="Arial" w:cs="Arial"/>
        </w:rPr>
      </w:pPr>
    </w:p>
    <w:p w14:paraId="4F53ABA8" w14:textId="7D0FEA58" w:rsidR="00D733DF" w:rsidRPr="00D733DF" w:rsidRDefault="00D733DF" w:rsidP="00D733DF">
      <w:pPr>
        <w:rPr>
          <w:rFonts w:ascii="Arial" w:hAnsi="Arial" w:cs="Arial"/>
        </w:rPr>
      </w:pPr>
      <w:r w:rsidRPr="00D733DF">
        <w:rPr>
          <w:rFonts w:ascii="Arial" w:hAnsi="Arial" w:cs="Arial"/>
        </w:rPr>
        <w:t>There is currently no procedure throughout the entire UK that would provide someone who considers themselves transgender with a legal standing for the obtained gender, on the grounds of each individual claiming they are that gender</w:t>
      </w:r>
      <w:r w:rsidR="00C32D0A">
        <w:rPr>
          <w:rFonts w:ascii="Arial" w:hAnsi="Arial" w:cs="Arial"/>
        </w:rPr>
        <w:t>.</w:t>
      </w:r>
      <w:r w:rsidR="00434F66">
        <w:rPr>
          <w:rFonts w:ascii="Arial" w:hAnsi="Arial" w:cs="Arial"/>
        </w:rPr>
        <w:t xml:space="preserve"> </w:t>
      </w:r>
      <w:sdt>
        <w:sdtPr>
          <w:rPr>
            <w:rFonts w:ascii="Arial" w:hAnsi="Arial" w:cs="Arial"/>
          </w:rPr>
          <w:id w:val="1791172044"/>
          <w:citation/>
        </w:sdtPr>
        <w:sdtContent>
          <w:r w:rsidR="0090746F">
            <w:rPr>
              <w:rFonts w:ascii="Arial" w:hAnsi="Arial" w:cs="Arial"/>
            </w:rPr>
            <w:fldChar w:fldCharType="begin"/>
          </w:r>
          <w:r w:rsidR="0090746F">
            <w:rPr>
              <w:rFonts w:ascii="Arial" w:hAnsi="Arial" w:cs="Arial"/>
            </w:rPr>
            <w:instrText xml:space="preserve"> CITATION Hou222 \l 2057 </w:instrText>
          </w:r>
          <w:r w:rsidR="0090746F">
            <w:rPr>
              <w:rFonts w:ascii="Arial" w:hAnsi="Arial" w:cs="Arial"/>
            </w:rPr>
            <w:fldChar w:fldCharType="separate"/>
          </w:r>
          <w:r w:rsidR="007F71A6" w:rsidRPr="007F71A6">
            <w:rPr>
              <w:rFonts w:ascii="Arial" w:hAnsi="Arial" w:cs="Arial"/>
              <w:noProof/>
            </w:rPr>
            <w:t>(House of Commons, 2022)</w:t>
          </w:r>
          <w:r w:rsidR="0090746F">
            <w:rPr>
              <w:rFonts w:ascii="Arial" w:hAnsi="Arial" w:cs="Arial"/>
            </w:rPr>
            <w:fldChar w:fldCharType="end"/>
          </w:r>
        </w:sdtContent>
      </w:sdt>
      <w:r w:rsidRPr="00D733DF">
        <w:rPr>
          <w:rFonts w:ascii="Arial" w:hAnsi="Arial" w:cs="Arial"/>
        </w:rPr>
        <w:t>. This means that while people can identify as transgender, legally they will still be recognised as the gender they were born as. As there currently is no legal grounding for those who are transgender, it could mean that the government is neglecting those who consider themselves transgender, as they cannot be legally recognised. Not being recognised in this way leads to a serious risk to a transgender person's mental health; having to be recognised differently from how they identify could cause real confusion and hurt for those people.</w:t>
      </w:r>
    </w:p>
    <w:p w14:paraId="57ED1DB4" w14:textId="77777777" w:rsidR="00D733DF" w:rsidRPr="00D733DF" w:rsidRDefault="00D733DF" w:rsidP="00D733DF">
      <w:pPr>
        <w:rPr>
          <w:rFonts w:ascii="Arial" w:hAnsi="Arial" w:cs="Arial"/>
        </w:rPr>
      </w:pPr>
      <w:r w:rsidRPr="00D733DF">
        <w:rPr>
          <w:rFonts w:ascii="Arial" w:hAnsi="Arial" w:cs="Arial"/>
        </w:rPr>
        <w:t> </w:t>
      </w:r>
    </w:p>
    <w:p w14:paraId="3E995BC8" w14:textId="59EE65B8" w:rsidR="00D733DF" w:rsidRPr="00D733DF" w:rsidRDefault="00D733DF" w:rsidP="00D733DF">
      <w:pPr>
        <w:rPr>
          <w:rFonts w:ascii="Arial" w:hAnsi="Arial" w:cs="Arial"/>
        </w:rPr>
      </w:pPr>
      <w:r w:rsidRPr="00D733DF">
        <w:rPr>
          <w:rFonts w:ascii="Arial" w:hAnsi="Arial" w:cs="Arial"/>
        </w:rPr>
        <w:t xml:space="preserve">To understand transgender issues, the magnitude must be established. There were “4,780 offences” </w:t>
      </w:r>
      <w:r w:rsidR="002F4159">
        <w:rPr>
          <w:rFonts w:ascii="Arial" w:hAnsi="Arial" w:cs="Arial"/>
        </w:rPr>
        <w:t xml:space="preserve">of </w:t>
      </w:r>
      <w:r w:rsidR="002F4159" w:rsidRPr="00D733DF">
        <w:rPr>
          <w:rFonts w:ascii="Arial" w:hAnsi="Arial" w:cs="Arial"/>
        </w:rPr>
        <w:t>transgender hate crimes</w:t>
      </w:r>
      <w:r w:rsidR="002F4159">
        <w:rPr>
          <w:rFonts w:ascii="Arial" w:hAnsi="Arial" w:cs="Arial"/>
        </w:rPr>
        <w:t xml:space="preserve"> </w:t>
      </w:r>
      <w:r w:rsidR="002F4159">
        <w:rPr>
          <w:rFonts w:ascii="Arial" w:hAnsi="Arial" w:cs="Arial"/>
        </w:rPr>
        <w:t xml:space="preserve">committed </w:t>
      </w:r>
      <w:r w:rsidRPr="00D733DF">
        <w:rPr>
          <w:rFonts w:ascii="Arial" w:hAnsi="Arial" w:cs="Arial"/>
        </w:rPr>
        <w:t xml:space="preserve">in the year ending 2023/24 </w:t>
      </w:r>
      <w:sdt>
        <w:sdtPr>
          <w:rPr>
            <w:rFonts w:ascii="Arial" w:hAnsi="Arial" w:cs="Arial"/>
          </w:rPr>
          <w:id w:val="744847178"/>
          <w:citation/>
        </w:sdtPr>
        <w:sdtContent>
          <w:r w:rsidR="00434F66">
            <w:rPr>
              <w:rFonts w:ascii="Arial" w:hAnsi="Arial" w:cs="Arial"/>
            </w:rPr>
            <w:fldChar w:fldCharType="begin"/>
          </w:r>
          <w:r w:rsidR="00434F66">
            <w:rPr>
              <w:rFonts w:ascii="Arial" w:hAnsi="Arial" w:cs="Arial"/>
            </w:rPr>
            <w:instrText xml:space="preserve"> CITATION Hom244 \l 2057 </w:instrText>
          </w:r>
          <w:r w:rsidR="00434F66">
            <w:rPr>
              <w:rFonts w:ascii="Arial" w:hAnsi="Arial" w:cs="Arial"/>
            </w:rPr>
            <w:fldChar w:fldCharType="separate"/>
          </w:r>
          <w:r w:rsidR="007F71A6" w:rsidRPr="007F71A6">
            <w:rPr>
              <w:rFonts w:ascii="Arial" w:hAnsi="Arial" w:cs="Arial"/>
              <w:noProof/>
            </w:rPr>
            <w:t>(Home Office, 2024)</w:t>
          </w:r>
          <w:r w:rsidR="00434F66">
            <w:rPr>
              <w:rFonts w:ascii="Arial" w:hAnsi="Arial" w:cs="Arial"/>
            </w:rPr>
            <w:fldChar w:fldCharType="end"/>
          </w:r>
        </w:sdtContent>
      </w:sdt>
      <w:r w:rsidRPr="00D733DF">
        <w:rPr>
          <w:rFonts w:ascii="Arial" w:hAnsi="Arial" w:cs="Arial"/>
        </w:rPr>
        <w:t>. Contrastingly, there were “</w:t>
      </w:r>
      <w:r w:rsidR="00434F66">
        <w:rPr>
          <w:rFonts w:ascii="Arial" w:hAnsi="Arial" w:cs="Arial"/>
        </w:rPr>
        <w:t>2,799</w:t>
      </w:r>
      <w:r w:rsidRPr="00D733DF">
        <w:rPr>
          <w:rFonts w:ascii="Arial" w:hAnsi="Arial" w:cs="Arial"/>
        </w:rPr>
        <w:t xml:space="preserve">” hate crimes against transgender people ending in the year 2020/21 (Home Office, 2024). This is a clear demonstration that, as well as there being a significant amount of hate crime towards transgender people, there is also an increase, making it a growing issue that must be </w:t>
      </w:r>
      <w:r w:rsidRPr="00D733DF">
        <w:rPr>
          <w:rFonts w:ascii="Arial" w:hAnsi="Arial" w:cs="Arial"/>
        </w:rPr>
        <w:lastRenderedPageBreak/>
        <w:t>addressed. This problem is only amplified when considering that “62% - 73% of transgender people have experienced harassment and violence because they were identified as transgender”</w:t>
      </w:r>
      <w:r w:rsidR="00720145">
        <w:rPr>
          <w:rFonts w:ascii="Arial" w:hAnsi="Arial" w:cs="Arial"/>
        </w:rPr>
        <w:t xml:space="preserve"> </w:t>
      </w:r>
      <w:sdt>
        <w:sdtPr>
          <w:rPr>
            <w:rFonts w:ascii="Arial" w:hAnsi="Arial" w:cs="Arial"/>
          </w:rPr>
          <w:id w:val="-395053575"/>
          <w:citation/>
        </w:sdtPr>
        <w:sdtContent>
          <w:r w:rsidR="00720145">
            <w:rPr>
              <w:rFonts w:ascii="Arial" w:hAnsi="Arial" w:cs="Arial"/>
            </w:rPr>
            <w:fldChar w:fldCharType="begin"/>
          </w:r>
          <w:r w:rsidR="00720145">
            <w:rPr>
              <w:rFonts w:ascii="Arial" w:hAnsi="Arial" w:cs="Arial"/>
            </w:rPr>
            <w:instrText xml:space="preserve"> CITATION Cro22 \l 2057 </w:instrText>
          </w:r>
          <w:r w:rsidR="00720145">
            <w:rPr>
              <w:rFonts w:ascii="Arial" w:hAnsi="Arial" w:cs="Arial"/>
            </w:rPr>
            <w:fldChar w:fldCharType="separate"/>
          </w:r>
          <w:r w:rsidR="007F71A6" w:rsidRPr="007F71A6">
            <w:rPr>
              <w:rFonts w:ascii="Arial" w:hAnsi="Arial" w:cs="Arial"/>
              <w:noProof/>
            </w:rPr>
            <w:t>(Crown Prosecution Service, 2022)</w:t>
          </w:r>
          <w:r w:rsidR="00720145">
            <w:rPr>
              <w:rFonts w:ascii="Arial" w:hAnsi="Arial" w:cs="Arial"/>
            </w:rPr>
            <w:fldChar w:fldCharType="end"/>
          </w:r>
        </w:sdtContent>
      </w:sdt>
      <w:r w:rsidRPr="00D733DF">
        <w:rPr>
          <w:rFonts w:ascii="Arial" w:hAnsi="Arial" w:cs="Arial"/>
        </w:rPr>
        <w:t>. This shows the issue is not made up of a few victims in a particular community, but on a vast scale, affecting many people who consider themselves transgender.</w:t>
      </w:r>
    </w:p>
    <w:p w14:paraId="1C62D5E2" w14:textId="77777777" w:rsidR="00D733DF" w:rsidRPr="00D733DF" w:rsidRDefault="00D733DF" w:rsidP="00D733DF">
      <w:pPr>
        <w:rPr>
          <w:rFonts w:ascii="Arial" w:hAnsi="Arial" w:cs="Arial"/>
        </w:rPr>
      </w:pPr>
    </w:p>
    <w:p w14:paraId="16B40ADB" w14:textId="7A619FA9" w:rsidR="00D733DF" w:rsidRDefault="00D733DF" w:rsidP="00D733DF">
      <w:pPr>
        <w:rPr>
          <w:rFonts w:ascii="Arial" w:hAnsi="Arial" w:cs="Arial"/>
        </w:rPr>
      </w:pPr>
      <w:r w:rsidRPr="00D733DF">
        <w:rPr>
          <w:rFonts w:ascii="Arial" w:hAnsi="Arial" w:cs="Arial"/>
        </w:rPr>
        <w:t>Furthermore, these statistics should be considered with the reservation that they only represent crimes that have been reported. It is claimed that “the Government’s research shows that over 90% of anti-LGBT+ hate crimes go unreported”</w:t>
      </w:r>
      <w:r w:rsidR="00720145">
        <w:rPr>
          <w:rFonts w:ascii="Arial" w:hAnsi="Arial" w:cs="Arial"/>
        </w:rPr>
        <w:t xml:space="preserve">, </w:t>
      </w:r>
      <w:sdt>
        <w:sdtPr>
          <w:rPr>
            <w:rFonts w:ascii="Arial" w:hAnsi="Arial" w:cs="Arial"/>
          </w:rPr>
          <w:id w:val="-792601506"/>
          <w:citation/>
        </w:sdtPr>
        <w:sdtContent>
          <w:r w:rsidR="00720145">
            <w:rPr>
              <w:rFonts w:ascii="Arial" w:hAnsi="Arial" w:cs="Arial"/>
            </w:rPr>
            <w:fldChar w:fldCharType="begin"/>
          </w:r>
          <w:r w:rsidR="00720145">
            <w:rPr>
              <w:rFonts w:ascii="Arial" w:hAnsi="Arial" w:cs="Arial"/>
            </w:rPr>
            <w:instrText xml:space="preserve"> CITATION Gal23 \l 2057 </w:instrText>
          </w:r>
          <w:r w:rsidR="00720145">
            <w:rPr>
              <w:rFonts w:ascii="Arial" w:hAnsi="Arial" w:cs="Arial"/>
            </w:rPr>
            <w:fldChar w:fldCharType="separate"/>
          </w:r>
          <w:r w:rsidR="007F71A6" w:rsidRPr="007F71A6">
            <w:rPr>
              <w:rFonts w:ascii="Arial" w:hAnsi="Arial" w:cs="Arial"/>
              <w:noProof/>
            </w:rPr>
            <w:t>(Galop, 2023)</w:t>
          </w:r>
          <w:r w:rsidR="00720145">
            <w:rPr>
              <w:rFonts w:ascii="Arial" w:hAnsi="Arial" w:cs="Arial"/>
            </w:rPr>
            <w:fldChar w:fldCharType="end"/>
          </w:r>
        </w:sdtContent>
      </w:sdt>
      <w:r w:rsidRPr="00D733DF">
        <w:rPr>
          <w:rFonts w:ascii="Arial" w:hAnsi="Arial" w:cs="Arial"/>
        </w:rPr>
        <w:t xml:space="preserve">. </w:t>
      </w:r>
      <w:r w:rsidR="00720145" w:rsidRPr="00D733DF">
        <w:rPr>
          <w:rFonts w:ascii="Arial" w:hAnsi="Arial" w:cs="Arial"/>
        </w:rPr>
        <w:t>So,</w:t>
      </w:r>
      <w:r w:rsidRPr="00D733DF">
        <w:rPr>
          <w:rFonts w:ascii="Arial" w:hAnsi="Arial" w:cs="Arial"/>
        </w:rPr>
        <w:t xml:space="preserve"> it can be said that while the government’s statistics can offer some insight into the issues of hate crime against those who are transgender, it may not be able to offer a full picture when taking into account the vast number of crimes that go unreported by those who are transgender. This demonstrates that the criminal justice system is failing a significant number of transgender victims.</w:t>
      </w:r>
    </w:p>
    <w:p w14:paraId="32515CBC" w14:textId="77777777" w:rsidR="002F4159" w:rsidRPr="00D733DF" w:rsidRDefault="002F4159" w:rsidP="00D733DF">
      <w:pPr>
        <w:rPr>
          <w:rFonts w:ascii="Arial" w:hAnsi="Arial" w:cs="Arial"/>
        </w:rPr>
      </w:pPr>
    </w:p>
    <w:p w14:paraId="14113F8A" w14:textId="710A870F" w:rsidR="00D733DF" w:rsidRPr="00D733DF" w:rsidRDefault="00D733DF" w:rsidP="00D733DF">
      <w:pPr>
        <w:rPr>
          <w:rFonts w:ascii="Arial" w:hAnsi="Arial" w:cs="Arial"/>
        </w:rPr>
      </w:pPr>
      <w:r w:rsidRPr="00D733DF">
        <w:rPr>
          <w:rFonts w:ascii="Arial" w:hAnsi="Arial" w:cs="Arial"/>
        </w:rPr>
        <w:t>Another issue is trust in the police, as it is believed that “trans people may be reluctant to report to the police due to a history of tensions and prejudice”</w:t>
      </w:r>
      <w:r w:rsidR="00720145">
        <w:rPr>
          <w:rFonts w:ascii="Arial" w:hAnsi="Arial" w:cs="Arial"/>
        </w:rPr>
        <w:t xml:space="preserve"> </w:t>
      </w:r>
      <w:sdt>
        <w:sdtPr>
          <w:rPr>
            <w:rFonts w:ascii="Arial" w:hAnsi="Arial" w:cs="Arial"/>
          </w:rPr>
          <w:id w:val="-2135012347"/>
          <w:citation/>
        </w:sdtPr>
        <w:sdtContent>
          <w:r w:rsidR="00720145">
            <w:rPr>
              <w:rFonts w:ascii="Arial" w:hAnsi="Arial" w:cs="Arial"/>
            </w:rPr>
            <w:fldChar w:fldCharType="begin"/>
          </w:r>
          <w:r w:rsidR="00720145">
            <w:rPr>
              <w:rFonts w:ascii="Arial" w:hAnsi="Arial" w:cs="Arial"/>
            </w:rPr>
            <w:instrText xml:space="preserve"> CITATION Vic25 \l 2057 </w:instrText>
          </w:r>
          <w:r w:rsidR="00720145">
            <w:rPr>
              <w:rFonts w:ascii="Arial" w:hAnsi="Arial" w:cs="Arial"/>
            </w:rPr>
            <w:fldChar w:fldCharType="separate"/>
          </w:r>
          <w:r w:rsidR="007F71A6" w:rsidRPr="007F71A6">
            <w:rPr>
              <w:rFonts w:ascii="Arial" w:hAnsi="Arial" w:cs="Arial"/>
              <w:noProof/>
            </w:rPr>
            <w:t>(Victim Support, 2025)</w:t>
          </w:r>
          <w:r w:rsidR="00720145">
            <w:rPr>
              <w:rFonts w:ascii="Arial" w:hAnsi="Arial" w:cs="Arial"/>
            </w:rPr>
            <w:fldChar w:fldCharType="end"/>
          </w:r>
        </w:sdtContent>
      </w:sdt>
      <w:r w:rsidR="00720145">
        <w:rPr>
          <w:rFonts w:ascii="Arial" w:hAnsi="Arial" w:cs="Arial"/>
        </w:rPr>
        <w:t>.</w:t>
      </w:r>
      <w:r w:rsidRPr="00D733DF">
        <w:rPr>
          <w:rFonts w:ascii="Arial" w:hAnsi="Arial" w:cs="Arial"/>
        </w:rPr>
        <w:t xml:space="preserve"> This further demonstrates that the existing statistics about hate crime against transgender people are inaccurate, as there is a reluctance to report crimes. This will further isolate transgender people and mean that they are unable to receive the support they require as well as the justice they deserve.</w:t>
      </w:r>
    </w:p>
    <w:p w14:paraId="74BF4BA6" w14:textId="77777777" w:rsidR="00D733DF" w:rsidRPr="00D733DF" w:rsidRDefault="00D733DF" w:rsidP="00D733DF">
      <w:pPr>
        <w:rPr>
          <w:rFonts w:ascii="Arial" w:hAnsi="Arial" w:cs="Arial"/>
        </w:rPr>
      </w:pPr>
      <w:r w:rsidRPr="00D733DF">
        <w:rPr>
          <w:rFonts w:ascii="Arial" w:hAnsi="Arial" w:cs="Arial"/>
        </w:rPr>
        <w:t> </w:t>
      </w:r>
    </w:p>
    <w:p w14:paraId="69C61A2F" w14:textId="23ACBB9C" w:rsidR="00D733DF" w:rsidRPr="00D733DF" w:rsidRDefault="00D733DF" w:rsidP="00D733DF">
      <w:pPr>
        <w:rPr>
          <w:rFonts w:ascii="Arial" w:hAnsi="Arial" w:cs="Arial"/>
        </w:rPr>
      </w:pPr>
      <w:r w:rsidRPr="00D733DF">
        <w:rPr>
          <w:rFonts w:ascii="Arial" w:hAnsi="Arial" w:cs="Arial"/>
        </w:rPr>
        <w:t xml:space="preserve">Moving on, violence and harassment of transgender people in the criminal justice system must be addressed. For example, while in prison, transgender people have experienced </w:t>
      </w:r>
      <w:r w:rsidR="00720145" w:rsidRPr="00D733DF">
        <w:rPr>
          <w:rFonts w:ascii="Arial" w:hAnsi="Arial" w:cs="Arial"/>
        </w:rPr>
        <w:t>“‘</w:t>
      </w:r>
      <w:r w:rsidRPr="00D733DF">
        <w:rPr>
          <w:rFonts w:ascii="Arial" w:hAnsi="Arial" w:cs="Arial"/>
        </w:rPr>
        <w:t>potting’ (i.e., having excrement thrown at them). The perpetrators were rarely, if ever, punished”</w:t>
      </w:r>
      <w:sdt>
        <w:sdtPr>
          <w:rPr>
            <w:rFonts w:ascii="Arial" w:hAnsi="Arial" w:cs="Arial"/>
          </w:rPr>
          <w:id w:val="-1400663395"/>
          <w:citation/>
        </w:sdtPr>
        <w:sdtContent>
          <w:r w:rsidR="0098140D">
            <w:rPr>
              <w:rFonts w:ascii="Arial" w:hAnsi="Arial" w:cs="Arial"/>
            </w:rPr>
            <w:fldChar w:fldCharType="begin"/>
          </w:r>
          <w:r w:rsidR="0098140D">
            <w:rPr>
              <w:rFonts w:ascii="Arial" w:hAnsi="Arial" w:cs="Arial"/>
            </w:rPr>
            <w:instrText xml:space="preserve"> CITATION Tra25 \l 2057 </w:instrText>
          </w:r>
          <w:r w:rsidR="0098140D">
            <w:rPr>
              <w:rFonts w:ascii="Arial" w:hAnsi="Arial" w:cs="Arial"/>
            </w:rPr>
            <w:fldChar w:fldCharType="separate"/>
          </w:r>
          <w:r w:rsidR="007F71A6">
            <w:rPr>
              <w:rFonts w:ascii="Arial" w:hAnsi="Arial" w:cs="Arial"/>
              <w:noProof/>
            </w:rPr>
            <w:t xml:space="preserve"> </w:t>
          </w:r>
          <w:r w:rsidR="007F71A6" w:rsidRPr="007F71A6">
            <w:rPr>
              <w:rFonts w:ascii="Arial" w:hAnsi="Arial" w:cs="Arial"/>
              <w:noProof/>
            </w:rPr>
            <w:t>(TransLucent, 2025)</w:t>
          </w:r>
          <w:r w:rsidR="0098140D">
            <w:rPr>
              <w:rFonts w:ascii="Arial" w:hAnsi="Arial" w:cs="Arial"/>
            </w:rPr>
            <w:fldChar w:fldCharType="end"/>
          </w:r>
        </w:sdtContent>
      </w:sdt>
      <w:r w:rsidRPr="00D733DF">
        <w:rPr>
          <w:rFonts w:ascii="Arial" w:hAnsi="Arial" w:cs="Arial"/>
        </w:rPr>
        <w:t>. Those in prison deserve to be treated equally and with respect. Receiving this level of treatment from fellow inmates because they are transgender is a form of discrimination.</w:t>
      </w:r>
    </w:p>
    <w:p w14:paraId="6FE77914" w14:textId="77777777" w:rsidR="00D733DF" w:rsidRPr="00D733DF" w:rsidRDefault="00D733DF" w:rsidP="00D733DF">
      <w:pPr>
        <w:rPr>
          <w:rFonts w:ascii="Arial" w:hAnsi="Arial" w:cs="Arial"/>
        </w:rPr>
      </w:pPr>
      <w:r w:rsidRPr="00D733DF">
        <w:rPr>
          <w:rFonts w:ascii="Arial" w:hAnsi="Arial" w:cs="Arial"/>
        </w:rPr>
        <w:t> </w:t>
      </w:r>
    </w:p>
    <w:p w14:paraId="1E1CE5B6" w14:textId="19CA42A7" w:rsidR="00D733DF" w:rsidRPr="00D733DF" w:rsidRDefault="00D733DF" w:rsidP="00D733DF">
      <w:pPr>
        <w:rPr>
          <w:rFonts w:ascii="Arial" w:hAnsi="Arial" w:cs="Arial"/>
        </w:rPr>
      </w:pPr>
      <w:r w:rsidRPr="00D733DF">
        <w:rPr>
          <w:rFonts w:ascii="Arial" w:hAnsi="Arial" w:cs="Arial"/>
        </w:rPr>
        <w:t xml:space="preserve">Another issue transgender people face is with prison housing. It has been reported that over “90% of transgender women in prison are housed in men’s prisons, and most do not request a move to a women’s prison. There is no obligation to move transgender prisoners according to their wishes.” </w:t>
      </w:r>
      <w:sdt>
        <w:sdtPr>
          <w:rPr>
            <w:rFonts w:ascii="Arial" w:hAnsi="Arial" w:cs="Arial"/>
          </w:rPr>
          <w:id w:val="1932938202"/>
          <w:citation/>
        </w:sdtPr>
        <w:sdtContent>
          <w:r w:rsidR="0098140D">
            <w:rPr>
              <w:rFonts w:ascii="Arial" w:hAnsi="Arial" w:cs="Arial"/>
            </w:rPr>
            <w:fldChar w:fldCharType="begin"/>
          </w:r>
          <w:r w:rsidR="0098140D">
            <w:rPr>
              <w:rFonts w:ascii="Arial" w:hAnsi="Arial" w:cs="Arial"/>
            </w:rPr>
            <w:instrText xml:space="preserve">CITATION Upd23 \l 2057 </w:instrText>
          </w:r>
          <w:r w:rsidR="0098140D">
            <w:rPr>
              <w:rFonts w:ascii="Arial" w:hAnsi="Arial" w:cs="Arial"/>
            </w:rPr>
            <w:fldChar w:fldCharType="separate"/>
          </w:r>
          <w:r w:rsidR="007F71A6" w:rsidRPr="007F71A6">
            <w:rPr>
              <w:rFonts w:ascii="Arial" w:hAnsi="Arial" w:cs="Arial"/>
              <w:noProof/>
            </w:rPr>
            <w:t>(Ministry of Justice, 2023)</w:t>
          </w:r>
          <w:r w:rsidR="0098140D">
            <w:rPr>
              <w:rFonts w:ascii="Arial" w:hAnsi="Arial" w:cs="Arial"/>
            </w:rPr>
            <w:fldChar w:fldCharType="end"/>
          </w:r>
        </w:sdtContent>
      </w:sdt>
      <w:r w:rsidRPr="00D733DF">
        <w:rPr>
          <w:rFonts w:ascii="Arial" w:hAnsi="Arial" w:cs="Arial"/>
        </w:rPr>
        <w:t>. While the majority of transgender inmates do not wish to be moved, there are still those who do want to be. If the majority of requests are not met, this further begs the question whether transgender inmates truly do not want to be moved, or whether they simply do not make this request as they know it will not be seriously considered. Those who run prisons can be oblivious to the issues faced by transgender people, such as prisoners having difficult home lives and being misgendered by other</w:t>
      </w:r>
      <w:r w:rsidR="00DE33A4">
        <w:rPr>
          <w:rFonts w:ascii="Arial" w:hAnsi="Arial" w:cs="Arial"/>
        </w:rPr>
        <w:t>s</w:t>
      </w:r>
      <w:r w:rsidR="0098140D">
        <w:rPr>
          <w:rFonts w:ascii="Arial" w:hAnsi="Arial" w:cs="Arial"/>
        </w:rPr>
        <w:t xml:space="preserve"> </w:t>
      </w:r>
      <w:sdt>
        <w:sdtPr>
          <w:rPr>
            <w:rFonts w:ascii="Arial" w:hAnsi="Arial" w:cs="Arial"/>
          </w:rPr>
          <w:id w:val="306828731"/>
          <w:citation/>
        </w:sdtPr>
        <w:sdtContent>
          <w:r w:rsidR="00DE33A4">
            <w:rPr>
              <w:rFonts w:ascii="Arial" w:hAnsi="Arial" w:cs="Arial"/>
            </w:rPr>
            <w:fldChar w:fldCharType="begin"/>
          </w:r>
          <w:r w:rsidR="00DE33A4">
            <w:rPr>
              <w:rFonts w:ascii="Arial" w:hAnsi="Arial" w:cs="Arial"/>
            </w:rPr>
            <w:instrText xml:space="preserve"> CITATION Cat24 \l 2057 </w:instrText>
          </w:r>
          <w:r w:rsidR="00DE33A4">
            <w:rPr>
              <w:rFonts w:ascii="Arial" w:hAnsi="Arial" w:cs="Arial"/>
            </w:rPr>
            <w:fldChar w:fldCharType="separate"/>
          </w:r>
          <w:r w:rsidR="007F71A6" w:rsidRPr="007F71A6">
            <w:rPr>
              <w:rFonts w:ascii="Arial" w:hAnsi="Arial" w:cs="Arial"/>
              <w:noProof/>
            </w:rPr>
            <w:t>(Catch 22, 2024)</w:t>
          </w:r>
          <w:r w:rsidR="00DE33A4">
            <w:rPr>
              <w:rFonts w:ascii="Arial" w:hAnsi="Arial" w:cs="Arial"/>
            </w:rPr>
            <w:fldChar w:fldCharType="end"/>
          </w:r>
        </w:sdtContent>
      </w:sdt>
      <w:r w:rsidRPr="00D733DF">
        <w:rPr>
          <w:rFonts w:ascii="Arial" w:hAnsi="Arial" w:cs="Arial"/>
        </w:rPr>
        <w:t xml:space="preserve">. As prisons are not aware of these issues, they may be unable to offer support for transgender people and counteract any possible harassment they would receive in prison from staff or other inmates. It is thought that transgender inmates will likely face a rather large chance of succumbing to self-harm or suicide, especially as they are more susceptible to being vulnerable about mental issues and being targeted by others in the form of being bullied in prison </w:t>
      </w:r>
      <w:sdt>
        <w:sdtPr>
          <w:rPr>
            <w:rFonts w:ascii="Arial" w:hAnsi="Arial" w:cs="Arial"/>
          </w:rPr>
          <w:id w:val="-1968583451"/>
          <w:citation/>
        </w:sdtPr>
        <w:sdtContent>
          <w:r w:rsidR="00DE33A4">
            <w:rPr>
              <w:rFonts w:ascii="Arial" w:hAnsi="Arial" w:cs="Arial"/>
            </w:rPr>
            <w:fldChar w:fldCharType="begin"/>
          </w:r>
          <w:r w:rsidR="00DE33A4">
            <w:rPr>
              <w:rFonts w:ascii="Arial" w:hAnsi="Arial" w:cs="Arial"/>
            </w:rPr>
            <w:instrText xml:space="preserve">CITATION htt19 \l 2057 </w:instrText>
          </w:r>
          <w:r w:rsidR="00DE33A4">
            <w:rPr>
              <w:rFonts w:ascii="Arial" w:hAnsi="Arial" w:cs="Arial"/>
            </w:rPr>
            <w:fldChar w:fldCharType="separate"/>
          </w:r>
          <w:r w:rsidR="007F71A6" w:rsidRPr="007F71A6">
            <w:rPr>
              <w:rFonts w:ascii="Arial" w:hAnsi="Arial" w:cs="Arial"/>
              <w:noProof/>
            </w:rPr>
            <w:t>(Saunders Law, 2019)</w:t>
          </w:r>
          <w:r w:rsidR="00DE33A4">
            <w:rPr>
              <w:rFonts w:ascii="Arial" w:hAnsi="Arial" w:cs="Arial"/>
            </w:rPr>
            <w:fldChar w:fldCharType="end"/>
          </w:r>
        </w:sdtContent>
      </w:sdt>
      <w:r w:rsidRPr="00D733DF">
        <w:rPr>
          <w:rFonts w:ascii="Arial" w:hAnsi="Arial" w:cs="Arial"/>
        </w:rPr>
        <w:t xml:space="preserve">. This is another example of how the criminal justice system is not prepared to combat these issues, as prisoners who are transgender are not receiving the correct level of care or safeguarding that they need while they are in prison. </w:t>
      </w:r>
      <w:r w:rsidR="009211CF" w:rsidRPr="009211CF">
        <w:rPr>
          <w:rFonts w:ascii="Arial" w:hAnsi="Arial" w:cs="Arial"/>
        </w:rPr>
        <w:t>For Women Scotland Ltd (Appellant) v The Scottish Ministers, 2025</w:t>
      </w:r>
      <w:r w:rsidR="009211CF">
        <w:rPr>
          <w:rFonts w:ascii="Arial" w:hAnsi="Arial" w:cs="Arial"/>
        </w:rPr>
        <w:t xml:space="preserve"> </w:t>
      </w:r>
      <w:r w:rsidRPr="002F4159">
        <w:rPr>
          <w:rFonts w:ascii="Arial" w:hAnsi="Arial" w:cs="Arial"/>
        </w:rPr>
        <w:t>determine</w:t>
      </w:r>
      <w:r w:rsidR="002F4159" w:rsidRPr="002F4159">
        <w:rPr>
          <w:rFonts w:ascii="Arial" w:hAnsi="Arial" w:cs="Arial"/>
        </w:rPr>
        <w:t>d</w:t>
      </w:r>
      <w:r w:rsidRPr="00D733DF">
        <w:rPr>
          <w:rFonts w:ascii="Arial" w:hAnsi="Arial" w:cs="Arial"/>
        </w:rPr>
        <w:t xml:space="preserve"> “that the terms 'man', 'woman', and 'sex' in the E</w:t>
      </w:r>
      <w:r w:rsidR="009211CF">
        <w:rPr>
          <w:rFonts w:ascii="Arial" w:hAnsi="Arial" w:cs="Arial"/>
        </w:rPr>
        <w:t>quality Act</w:t>
      </w:r>
      <w:r w:rsidRPr="00D733DF">
        <w:rPr>
          <w:rFonts w:ascii="Arial" w:hAnsi="Arial" w:cs="Arial"/>
        </w:rPr>
        <w:t xml:space="preserve"> 2010 refer to biological sex.”. This, in turn, confuses the housing of prisoners as there will be those who are biologically their gender and those who are transgender, leaving uncertainty of where to house those who are transgender, who consider themselves to be a different gender.</w:t>
      </w:r>
    </w:p>
    <w:p w14:paraId="55A52AE4" w14:textId="77777777" w:rsidR="00D733DF" w:rsidRPr="00D733DF" w:rsidRDefault="00D733DF" w:rsidP="00D733DF">
      <w:pPr>
        <w:rPr>
          <w:rFonts w:ascii="Arial" w:hAnsi="Arial" w:cs="Arial"/>
        </w:rPr>
      </w:pPr>
      <w:r w:rsidRPr="00D733DF">
        <w:rPr>
          <w:rFonts w:ascii="Arial" w:hAnsi="Arial" w:cs="Arial"/>
        </w:rPr>
        <w:t> </w:t>
      </w:r>
    </w:p>
    <w:p w14:paraId="3C6B5A60" w14:textId="56F7380E" w:rsidR="00D733DF" w:rsidRPr="00D733DF" w:rsidRDefault="00D733DF" w:rsidP="00D733DF">
      <w:pPr>
        <w:rPr>
          <w:rFonts w:ascii="Arial" w:hAnsi="Arial" w:cs="Arial"/>
        </w:rPr>
      </w:pPr>
      <w:r w:rsidRPr="00D733DF">
        <w:rPr>
          <w:rFonts w:ascii="Arial" w:hAnsi="Arial" w:cs="Arial"/>
        </w:rPr>
        <w:t>A different issue throughout the prison service is poor health care for those who are transgender. Transgender people are regularly not allowed the chance to receive assistance with mental issues or drug treatment, since it is sometimes thought of as far too complex or that their mental issues or drug issues are a part of being a transgender person</w:t>
      </w:r>
      <w:r w:rsidR="00C32D0A">
        <w:rPr>
          <w:rFonts w:ascii="Arial" w:hAnsi="Arial" w:cs="Arial"/>
        </w:rPr>
        <w:t>.</w:t>
      </w:r>
      <w:r w:rsidR="00707D6F">
        <w:rPr>
          <w:rFonts w:ascii="Arial" w:hAnsi="Arial" w:cs="Arial"/>
        </w:rPr>
        <w:t xml:space="preserve"> </w:t>
      </w:r>
      <w:sdt>
        <w:sdtPr>
          <w:rPr>
            <w:rFonts w:ascii="Arial" w:hAnsi="Arial" w:cs="Arial"/>
          </w:rPr>
          <w:id w:val="-363751457"/>
          <w:citation/>
        </w:sdtPr>
        <w:sdtContent>
          <w:r w:rsidR="00707D6F">
            <w:rPr>
              <w:rFonts w:ascii="Arial" w:hAnsi="Arial" w:cs="Arial"/>
            </w:rPr>
            <w:fldChar w:fldCharType="begin"/>
          </w:r>
          <w:r w:rsidR="00707D6F">
            <w:rPr>
              <w:rFonts w:ascii="Arial" w:hAnsi="Arial" w:cs="Arial"/>
            </w:rPr>
            <w:instrText xml:space="preserve">CITATION UKG252 \l 2057 </w:instrText>
          </w:r>
          <w:r w:rsidR="00707D6F">
            <w:rPr>
              <w:rFonts w:ascii="Arial" w:hAnsi="Arial" w:cs="Arial"/>
            </w:rPr>
            <w:fldChar w:fldCharType="separate"/>
          </w:r>
          <w:r w:rsidR="007F71A6" w:rsidRPr="007F71A6">
            <w:rPr>
              <w:rFonts w:ascii="Arial" w:hAnsi="Arial" w:cs="Arial"/>
              <w:noProof/>
            </w:rPr>
            <w:t>(UK Parliament, 2025)</w:t>
          </w:r>
          <w:r w:rsidR="00707D6F">
            <w:rPr>
              <w:rFonts w:ascii="Arial" w:hAnsi="Arial" w:cs="Arial"/>
            </w:rPr>
            <w:fldChar w:fldCharType="end"/>
          </w:r>
        </w:sdtContent>
      </w:sdt>
      <w:r w:rsidR="009211CF">
        <w:rPr>
          <w:rFonts w:ascii="Arial" w:hAnsi="Arial" w:cs="Arial"/>
        </w:rPr>
        <w:t xml:space="preserve"> </w:t>
      </w:r>
      <w:r w:rsidRPr="00D733DF">
        <w:rPr>
          <w:rFonts w:ascii="Arial" w:hAnsi="Arial" w:cs="Arial"/>
        </w:rPr>
        <w:t xml:space="preserve">. From this, it is clear that there is a level of negligence towards transgender people as they are having their mental well-being is disregarded by the criminal justice </w:t>
      </w:r>
      <w:r w:rsidR="00A61FEB">
        <w:rPr>
          <w:rFonts w:ascii="Arial" w:hAnsi="Arial" w:cs="Arial"/>
        </w:rPr>
        <w:t>system</w:t>
      </w:r>
      <w:r w:rsidRPr="00D733DF">
        <w:rPr>
          <w:rFonts w:ascii="Arial" w:hAnsi="Arial" w:cs="Arial"/>
        </w:rPr>
        <w:t>. A person's mental and physical well-being should be treated with equal importance, regardless of their protected characteristics.</w:t>
      </w:r>
    </w:p>
    <w:p w14:paraId="7D76DDC7" w14:textId="77777777" w:rsidR="00D733DF" w:rsidRPr="00D733DF" w:rsidRDefault="00D733DF" w:rsidP="00D733DF">
      <w:pPr>
        <w:rPr>
          <w:rFonts w:ascii="Arial" w:hAnsi="Arial" w:cs="Arial"/>
        </w:rPr>
      </w:pPr>
      <w:r w:rsidRPr="00D733DF">
        <w:rPr>
          <w:rFonts w:ascii="Arial" w:hAnsi="Arial" w:cs="Arial"/>
        </w:rPr>
        <w:t> </w:t>
      </w:r>
    </w:p>
    <w:p w14:paraId="54271161" w14:textId="464BA29C" w:rsidR="00D733DF" w:rsidRPr="00D733DF" w:rsidRDefault="00D733DF" w:rsidP="00D733DF">
      <w:pPr>
        <w:rPr>
          <w:rFonts w:ascii="Arial" w:hAnsi="Arial" w:cs="Arial"/>
        </w:rPr>
      </w:pPr>
      <w:r w:rsidRPr="00D733DF">
        <w:rPr>
          <w:rFonts w:ascii="Arial" w:hAnsi="Arial" w:cs="Arial"/>
        </w:rPr>
        <w:t xml:space="preserve">Some people who consider themselves transgender suffer from gender dysphoria. The NHS offers “treatment for gender dysphoria </w:t>
      </w:r>
      <w:r w:rsidR="00A61FEB">
        <w:rPr>
          <w:rFonts w:ascii="Arial" w:hAnsi="Arial" w:cs="Arial"/>
        </w:rPr>
        <w:t xml:space="preserve">[which] </w:t>
      </w:r>
      <w:r w:rsidRPr="00D733DF">
        <w:rPr>
          <w:rFonts w:ascii="Arial" w:hAnsi="Arial" w:cs="Arial"/>
        </w:rPr>
        <w:t>aims to help people live the way they want to, in their preferred gender identity or as non-binary.”</w:t>
      </w:r>
      <w:sdt>
        <w:sdtPr>
          <w:rPr>
            <w:rFonts w:ascii="Arial" w:hAnsi="Arial" w:cs="Arial"/>
          </w:rPr>
          <w:id w:val="-1875378813"/>
          <w:citation/>
        </w:sdtPr>
        <w:sdtContent>
          <w:r w:rsidR="00707D6F">
            <w:rPr>
              <w:rFonts w:ascii="Arial" w:hAnsi="Arial" w:cs="Arial"/>
            </w:rPr>
            <w:fldChar w:fldCharType="begin"/>
          </w:r>
          <w:r w:rsidR="00707D6F">
            <w:rPr>
              <w:rFonts w:ascii="Arial" w:hAnsi="Arial" w:cs="Arial"/>
            </w:rPr>
            <w:instrText xml:space="preserve"> CITATION NHS20 \l 2057 </w:instrText>
          </w:r>
          <w:r w:rsidR="00707D6F">
            <w:rPr>
              <w:rFonts w:ascii="Arial" w:hAnsi="Arial" w:cs="Arial"/>
            </w:rPr>
            <w:fldChar w:fldCharType="separate"/>
          </w:r>
          <w:r w:rsidR="007F71A6">
            <w:rPr>
              <w:rFonts w:ascii="Arial" w:hAnsi="Arial" w:cs="Arial"/>
              <w:noProof/>
            </w:rPr>
            <w:t xml:space="preserve"> </w:t>
          </w:r>
          <w:r w:rsidR="007F71A6" w:rsidRPr="007F71A6">
            <w:rPr>
              <w:rFonts w:ascii="Arial" w:hAnsi="Arial" w:cs="Arial"/>
              <w:noProof/>
            </w:rPr>
            <w:t>(NHS, 2020)</w:t>
          </w:r>
          <w:r w:rsidR="00707D6F">
            <w:rPr>
              <w:rFonts w:ascii="Arial" w:hAnsi="Arial" w:cs="Arial"/>
            </w:rPr>
            <w:fldChar w:fldCharType="end"/>
          </w:r>
        </w:sdtContent>
      </w:sdt>
      <w:r w:rsidR="00707D6F">
        <w:rPr>
          <w:rFonts w:ascii="Arial" w:hAnsi="Arial" w:cs="Arial"/>
        </w:rPr>
        <w:t>.</w:t>
      </w:r>
      <w:r w:rsidRPr="00D733DF">
        <w:rPr>
          <w:rFonts w:ascii="Arial" w:hAnsi="Arial" w:cs="Arial"/>
        </w:rPr>
        <w:t xml:space="preserve"> It is important to note that “gender dysphoria is not a mental illness, but some people may develop mental health problems because of gender dysphoria”</w:t>
      </w:r>
      <w:r w:rsidR="002144AE">
        <w:rPr>
          <w:rFonts w:ascii="Arial" w:hAnsi="Arial" w:cs="Arial"/>
        </w:rPr>
        <w:t xml:space="preserve"> </w:t>
      </w:r>
      <w:sdt>
        <w:sdtPr>
          <w:rPr>
            <w:rFonts w:ascii="Arial" w:hAnsi="Arial" w:cs="Arial"/>
          </w:rPr>
          <w:id w:val="641234715"/>
          <w:citation/>
        </w:sdtPr>
        <w:sdtContent>
          <w:r w:rsidR="002144AE">
            <w:rPr>
              <w:rFonts w:ascii="Arial" w:hAnsi="Arial" w:cs="Arial"/>
            </w:rPr>
            <w:fldChar w:fldCharType="begin"/>
          </w:r>
          <w:r w:rsidR="002144AE">
            <w:rPr>
              <w:rFonts w:ascii="Arial" w:hAnsi="Arial" w:cs="Arial"/>
            </w:rPr>
            <w:instrText xml:space="preserve"> CITATION NHS201 \l 2057 </w:instrText>
          </w:r>
          <w:r w:rsidR="002144AE">
            <w:rPr>
              <w:rFonts w:ascii="Arial" w:hAnsi="Arial" w:cs="Arial"/>
            </w:rPr>
            <w:fldChar w:fldCharType="separate"/>
          </w:r>
          <w:r w:rsidR="007F71A6" w:rsidRPr="007F71A6">
            <w:rPr>
              <w:rFonts w:ascii="Arial" w:hAnsi="Arial" w:cs="Arial"/>
              <w:noProof/>
            </w:rPr>
            <w:t>(NHS, 2020)</w:t>
          </w:r>
          <w:r w:rsidR="002144AE">
            <w:rPr>
              <w:rFonts w:ascii="Arial" w:hAnsi="Arial" w:cs="Arial"/>
            </w:rPr>
            <w:fldChar w:fldCharType="end"/>
          </w:r>
        </w:sdtContent>
      </w:sdt>
      <w:r w:rsidRPr="00D733DF">
        <w:rPr>
          <w:rFonts w:ascii="Arial" w:hAnsi="Arial" w:cs="Arial"/>
        </w:rPr>
        <w:t xml:space="preserve">. From this, it is clear to see that those who suffer from gender dysphoria may need mental health assistance from the criminal justice system, whether this be as a victim or as an inmate. However, as previously stated, as per </w:t>
      </w:r>
      <w:r w:rsidRPr="00A61FEB">
        <w:rPr>
          <w:rFonts w:ascii="Arial" w:hAnsi="Arial" w:cs="Arial"/>
        </w:rPr>
        <w:t>the UK Parliament (2025),</w:t>
      </w:r>
      <w:r w:rsidRPr="00D733DF">
        <w:rPr>
          <w:rFonts w:ascii="Arial" w:hAnsi="Arial" w:cs="Arial"/>
        </w:rPr>
        <w:t xml:space="preserve"> they may be unable to offer this help. It is understood that in Scotland, “searches will be carried out by an officer of the same biological sex as the transgender person - but if a person requests an officer of their lived gender, police will try to accommodate them” </w:t>
      </w:r>
      <w:sdt>
        <w:sdtPr>
          <w:rPr>
            <w:rFonts w:ascii="Arial" w:hAnsi="Arial" w:cs="Arial"/>
          </w:rPr>
          <w:id w:val="150338691"/>
          <w:citation/>
        </w:sdtPr>
        <w:sdtContent>
          <w:r w:rsidR="00A65688">
            <w:rPr>
              <w:rFonts w:ascii="Arial" w:hAnsi="Arial" w:cs="Arial"/>
            </w:rPr>
            <w:fldChar w:fldCharType="begin"/>
          </w:r>
          <w:r w:rsidR="00A65688">
            <w:rPr>
              <w:rFonts w:ascii="Arial" w:hAnsi="Arial" w:cs="Arial"/>
            </w:rPr>
            <w:instrText xml:space="preserve"> CITATION BBC25 \l 2057 </w:instrText>
          </w:r>
          <w:r w:rsidR="00A65688">
            <w:rPr>
              <w:rFonts w:ascii="Arial" w:hAnsi="Arial" w:cs="Arial"/>
            </w:rPr>
            <w:fldChar w:fldCharType="separate"/>
          </w:r>
          <w:r w:rsidR="007F71A6" w:rsidRPr="007F71A6">
            <w:rPr>
              <w:rFonts w:ascii="Arial" w:hAnsi="Arial" w:cs="Arial"/>
              <w:noProof/>
            </w:rPr>
            <w:t>(BBC NEWS, 2025)</w:t>
          </w:r>
          <w:r w:rsidR="00A65688">
            <w:rPr>
              <w:rFonts w:ascii="Arial" w:hAnsi="Arial" w:cs="Arial"/>
            </w:rPr>
            <w:fldChar w:fldCharType="end"/>
          </w:r>
        </w:sdtContent>
      </w:sdt>
      <w:r w:rsidRPr="00D733DF">
        <w:rPr>
          <w:rFonts w:ascii="Arial" w:hAnsi="Arial" w:cs="Arial"/>
        </w:rPr>
        <w:t xml:space="preserve">. This is a strategy that should be implemented throughout the criminal justice system. It gives the person the opportunity to request a person whom they would feel most comfortable with. While those who are the same biological sex may feel comfortable, those who are transgender may have the option of having the same gender as they identify, </w:t>
      </w:r>
      <w:r w:rsidRPr="00D733DF">
        <w:rPr>
          <w:rFonts w:ascii="Arial" w:hAnsi="Arial" w:cs="Arial"/>
        </w:rPr>
        <w:lastRenderedPageBreak/>
        <w:t>allowing them to feel recognised, safe and comfortable. Whereas currently, they may identify themselves as a different gender biologically, and there is no certainty of having searches carried out to cater to transgender people correctly.</w:t>
      </w:r>
    </w:p>
    <w:p w14:paraId="79D29A44" w14:textId="77777777" w:rsidR="00D733DF" w:rsidRPr="00D733DF" w:rsidRDefault="00D733DF" w:rsidP="00D733DF">
      <w:pPr>
        <w:rPr>
          <w:rFonts w:ascii="Arial" w:hAnsi="Arial" w:cs="Arial"/>
        </w:rPr>
      </w:pPr>
    </w:p>
    <w:p w14:paraId="1F750F5A" w14:textId="12B75AA6" w:rsidR="00D733DF" w:rsidRPr="00D733DF" w:rsidRDefault="00D733DF" w:rsidP="00D733DF">
      <w:pPr>
        <w:rPr>
          <w:rFonts w:ascii="Arial" w:hAnsi="Arial" w:cs="Arial"/>
        </w:rPr>
      </w:pPr>
      <w:r w:rsidRPr="00D733DF">
        <w:rPr>
          <w:rFonts w:ascii="Arial" w:hAnsi="Arial" w:cs="Arial"/>
        </w:rPr>
        <w:t xml:space="preserve">A significant change that will be required is for the police to receive additional training to combat hate crime against those who identify as transgender, as well as training in ways to safeguard transgender people throughout the criminal justice system. An example where training has already been established is in Hertfordshire, where they trained 30 officers to become LGBTQ+ Liaison Officers. Along with their normal responsibilities as police officers, they will be required to advise and support LGBTQ+ members to report hate crimes to the police, work with the LGBTQ+, speak to other officers </w:t>
      </w:r>
      <w:r w:rsidR="005438BC">
        <w:rPr>
          <w:rFonts w:ascii="Arial" w:hAnsi="Arial" w:cs="Arial"/>
        </w:rPr>
        <w:t>on</w:t>
      </w:r>
      <w:r w:rsidRPr="00D733DF">
        <w:rPr>
          <w:rFonts w:ascii="Arial" w:hAnsi="Arial" w:cs="Arial"/>
        </w:rPr>
        <w:t xml:space="preserve"> how to manage hate </w:t>
      </w:r>
      <w:r w:rsidR="00C32D0A">
        <w:rPr>
          <w:rFonts w:ascii="Arial" w:hAnsi="Arial" w:cs="Arial"/>
        </w:rPr>
        <w:t>crimes</w:t>
      </w:r>
      <w:r w:rsidRPr="00D733DF">
        <w:rPr>
          <w:rFonts w:ascii="Arial" w:hAnsi="Arial" w:cs="Arial"/>
        </w:rPr>
        <w:t xml:space="preserve">, and advise other officers </w:t>
      </w:r>
      <w:r w:rsidR="00C32D0A">
        <w:rPr>
          <w:rFonts w:ascii="Arial" w:hAnsi="Arial" w:cs="Arial"/>
        </w:rPr>
        <w:t>on</w:t>
      </w:r>
      <w:r w:rsidRPr="00D733DF">
        <w:rPr>
          <w:rFonts w:ascii="Arial" w:hAnsi="Arial" w:cs="Arial"/>
        </w:rPr>
        <w:t xml:space="preserve"> how to assist the LGBTQ+ by giving background information</w:t>
      </w:r>
      <w:r w:rsidR="00C32D0A">
        <w:rPr>
          <w:rFonts w:ascii="Arial" w:hAnsi="Arial" w:cs="Arial"/>
        </w:rPr>
        <w:t>.</w:t>
      </w:r>
      <w:r w:rsidR="005438BC">
        <w:rPr>
          <w:rFonts w:ascii="Arial" w:hAnsi="Arial" w:cs="Arial"/>
        </w:rPr>
        <w:t xml:space="preserve"> </w:t>
      </w:r>
      <w:sdt>
        <w:sdtPr>
          <w:rPr>
            <w:rFonts w:ascii="Arial" w:hAnsi="Arial" w:cs="Arial"/>
          </w:rPr>
          <w:id w:val="1701740038"/>
          <w:citation/>
        </w:sdtPr>
        <w:sdtContent>
          <w:r w:rsidR="005438BC">
            <w:rPr>
              <w:rFonts w:ascii="Arial" w:hAnsi="Arial" w:cs="Arial"/>
            </w:rPr>
            <w:fldChar w:fldCharType="begin"/>
          </w:r>
          <w:r w:rsidR="005438BC">
            <w:rPr>
              <w:rFonts w:ascii="Arial" w:hAnsi="Arial" w:cs="Arial"/>
            </w:rPr>
            <w:instrText xml:space="preserve"> CITATION Her23 \l 2057 </w:instrText>
          </w:r>
          <w:r w:rsidR="005438BC">
            <w:rPr>
              <w:rFonts w:ascii="Arial" w:hAnsi="Arial" w:cs="Arial"/>
            </w:rPr>
            <w:fldChar w:fldCharType="separate"/>
          </w:r>
          <w:r w:rsidR="007F71A6" w:rsidRPr="007F71A6">
            <w:rPr>
              <w:rFonts w:ascii="Arial" w:hAnsi="Arial" w:cs="Arial"/>
              <w:noProof/>
            </w:rPr>
            <w:t>(Hertfordshire Constabulary , 2023)</w:t>
          </w:r>
          <w:r w:rsidR="005438BC">
            <w:rPr>
              <w:rFonts w:ascii="Arial" w:hAnsi="Arial" w:cs="Arial"/>
            </w:rPr>
            <w:fldChar w:fldCharType="end"/>
          </w:r>
        </w:sdtContent>
      </w:sdt>
      <w:r w:rsidRPr="00D733DF">
        <w:rPr>
          <w:rFonts w:ascii="Arial" w:hAnsi="Arial" w:cs="Arial"/>
        </w:rPr>
        <w:t>. Having these types of officers that are trained to understand LGBTQ+ means that it not only assists transgender people but also other officers; It allows officers to have a better understanding of transgender people and will know what to look out for in terms of assisting them and preventing hate crime.</w:t>
      </w:r>
    </w:p>
    <w:p w14:paraId="68DAB1DB" w14:textId="77777777" w:rsidR="00D733DF" w:rsidRPr="00D733DF" w:rsidRDefault="00D733DF" w:rsidP="00D733DF">
      <w:pPr>
        <w:rPr>
          <w:rFonts w:ascii="Arial" w:hAnsi="Arial" w:cs="Arial"/>
        </w:rPr>
      </w:pPr>
    </w:p>
    <w:p w14:paraId="28E6074F" w14:textId="2386CAF4" w:rsidR="00D733DF" w:rsidRPr="00D733DF" w:rsidRDefault="00D733DF" w:rsidP="00D733DF">
      <w:pPr>
        <w:rPr>
          <w:rFonts w:ascii="Arial" w:hAnsi="Arial" w:cs="Arial"/>
        </w:rPr>
      </w:pPr>
      <w:r w:rsidRPr="00D733DF">
        <w:rPr>
          <w:rFonts w:ascii="Arial" w:hAnsi="Arial" w:cs="Arial"/>
        </w:rPr>
        <w:t>In terms of the prison service, a systematic change that should be incorporated to better accommodate transgender people is to use the correct terminology. Gender diverse people could recognise themselves in diverse ways and want to use specific terminology. By asking those individuals what they identify as, along with the pronouns they want to be recognised with, this will foster a good and respectful relationship</w:t>
      </w:r>
      <w:r w:rsidR="00C32D0A">
        <w:rPr>
          <w:rFonts w:ascii="Arial" w:hAnsi="Arial" w:cs="Arial"/>
        </w:rPr>
        <w:t>.</w:t>
      </w:r>
      <w:r w:rsidRPr="00D733DF">
        <w:rPr>
          <w:rFonts w:ascii="Arial" w:hAnsi="Arial" w:cs="Arial"/>
        </w:rPr>
        <w:t xml:space="preserve"> </w:t>
      </w:r>
      <w:sdt>
        <w:sdtPr>
          <w:rPr>
            <w:rFonts w:ascii="Arial" w:hAnsi="Arial" w:cs="Arial"/>
          </w:rPr>
          <w:id w:val="1252314060"/>
          <w:citation/>
        </w:sdtPr>
        <w:sdtContent>
          <w:r w:rsidR="003D1A1D">
            <w:rPr>
              <w:rFonts w:ascii="Arial" w:hAnsi="Arial" w:cs="Arial"/>
            </w:rPr>
            <w:fldChar w:fldCharType="begin"/>
          </w:r>
          <w:r w:rsidR="00295A7A">
            <w:rPr>
              <w:rFonts w:ascii="Arial" w:hAnsi="Arial" w:cs="Arial"/>
            </w:rPr>
            <w:instrText xml:space="preserve">CITATION Sco24 \l 2057 </w:instrText>
          </w:r>
          <w:r w:rsidR="003D1A1D">
            <w:rPr>
              <w:rFonts w:ascii="Arial" w:hAnsi="Arial" w:cs="Arial"/>
            </w:rPr>
            <w:fldChar w:fldCharType="separate"/>
          </w:r>
          <w:r w:rsidR="007F71A6" w:rsidRPr="007F71A6">
            <w:rPr>
              <w:rFonts w:ascii="Arial" w:hAnsi="Arial" w:cs="Arial"/>
              <w:noProof/>
            </w:rPr>
            <w:t>(Scottish Prison Service, 2024)</w:t>
          </w:r>
          <w:r w:rsidR="003D1A1D">
            <w:rPr>
              <w:rFonts w:ascii="Arial" w:hAnsi="Arial" w:cs="Arial"/>
            </w:rPr>
            <w:fldChar w:fldCharType="end"/>
          </w:r>
        </w:sdtContent>
      </w:sdt>
      <w:r w:rsidRPr="00D733DF">
        <w:rPr>
          <w:rFonts w:ascii="Arial" w:hAnsi="Arial" w:cs="Arial"/>
        </w:rPr>
        <w:t>. By doing this across the UK, it would make inmates more comfortable as they are being recognised for who they are, and there would be less miscommunication between transgender people and the prison service. It also would mean the prison service has a better chance of recognising when others are not using the correct terminology intentionally in order to discriminate, and this identification could help with the prevention of hate crime. This change would be a first small step in improving how transgender people are treated within the criminal justice system. The correct recognition should allow for more awareness and, in turn, would hopefully result in transgender individuals being taken more seriously with their requests.</w:t>
      </w:r>
    </w:p>
    <w:p w14:paraId="1BB338FE" w14:textId="77777777" w:rsidR="00D733DF" w:rsidRPr="00D733DF" w:rsidRDefault="00D733DF" w:rsidP="00D733DF">
      <w:pPr>
        <w:rPr>
          <w:rFonts w:ascii="Arial" w:hAnsi="Arial" w:cs="Arial"/>
        </w:rPr>
      </w:pPr>
      <w:r w:rsidRPr="00D733DF">
        <w:rPr>
          <w:rFonts w:ascii="Arial" w:hAnsi="Arial" w:cs="Arial"/>
        </w:rPr>
        <w:t> </w:t>
      </w:r>
    </w:p>
    <w:p w14:paraId="459E3334" w14:textId="6E844641" w:rsidR="00D733DF" w:rsidRPr="00D733DF" w:rsidRDefault="00D733DF" w:rsidP="00D733DF">
      <w:pPr>
        <w:rPr>
          <w:rFonts w:ascii="Arial" w:hAnsi="Arial" w:cs="Arial"/>
        </w:rPr>
      </w:pPr>
      <w:r w:rsidRPr="00D733DF">
        <w:rPr>
          <w:rFonts w:ascii="Arial" w:hAnsi="Arial" w:cs="Arial"/>
        </w:rPr>
        <w:t>A possible long-term solution would be to have transgender organisations aid those in prisons in a larger capacity. An example of this would be Clinks, as they give talk</w:t>
      </w:r>
      <w:r w:rsidR="004D22D5">
        <w:rPr>
          <w:rFonts w:ascii="Arial" w:hAnsi="Arial" w:cs="Arial"/>
        </w:rPr>
        <w:t xml:space="preserve">s </w:t>
      </w:r>
      <w:r w:rsidRPr="00D733DF">
        <w:rPr>
          <w:rFonts w:ascii="Arial" w:hAnsi="Arial" w:cs="Arial"/>
        </w:rPr>
        <w:t>about transgenderism and discuss equality training for those in charge within the criminal justice system. Clinks members also go to prisons in person to help transgender people and other gender diverse inmates, as well as offering help when they are released</w:t>
      </w:r>
      <w:r w:rsidR="004D22D5">
        <w:rPr>
          <w:rFonts w:ascii="Arial" w:hAnsi="Arial" w:cs="Arial"/>
        </w:rPr>
        <w:t xml:space="preserve"> </w:t>
      </w:r>
      <w:sdt>
        <w:sdtPr>
          <w:rPr>
            <w:rFonts w:ascii="Arial" w:hAnsi="Arial" w:cs="Arial"/>
          </w:rPr>
          <w:id w:val="-1673634501"/>
          <w:citation/>
        </w:sdtPr>
        <w:sdtContent>
          <w:r w:rsidR="004D22D5">
            <w:rPr>
              <w:rFonts w:ascii="Arial" w:hAnsi="Arial" w:cs="Arial"/>
            </w:rPr>
            <w:fldChar w:fldCharType="begin"/>
          </w:r>
          <w:r w:rsidR="004D22D5">
            <w:rPr>
              <w:rFonts w:ascii="Arial" w:hAnsi="Arial" w:cs="Arial"/>
            </w:rPr>
            <w:instrText xml:space="preserve"> CITATION Cli23 \l 2057 </w:instrText>
          </w:r>
          <w:r w:rsidR="004D22D5">
            <w:rPr>
              <w:rFonts w:ascii="Arial" w:hAnsi="Arial" w:cs="Arial"/>
            </w:rPr>
            <w:fldChar w:fldCharType="separate"/>
          </w:r>
          <w:r w:rsidR="007F71A6" w:rsidRPr="007F71A6">
            <w:rPr>
              <w:rFonts w:ascii="Arial" w:hAnsi="Arial" w:cs="Arial"/>
              <w:noProof/>
            </w:rPr>
            <w:t>(Clinks, 2023)</w:t>
          </w:r>
          <w:r w:rsidR="004D22D5">
            <w:rPr>
              <w:rFonts w:ascii="Arial" w:hAnsi="Arial" w:cs="Arial"/>
            </w:rPr>
            <w:fldChar w:fldCharType="end"/>
          </w:r>
        </w:sdtContent>
      </w:sdt>
      <w:r w:rsidRPr="00D733DF">
        <w:rPr>
          <w:rFonts w:ascii="Arial" w:hAnsi="Arial" w:cs="Arial"/>
        </w:rPr>
        <w:t xml:space="preserve">. By having this type of support for transgender </w:t>
      </w:r>
      <w:r w:rsidRPr="00D733DF">
        <w:rPr>
          <w:rFonts w:ascii="Arial" w:hAnsi="Arial" w:cs="Arial"/>
        </w:rPr>
        <w:lastRenderedPageBreak/>
        <w:t>inmates throughout their time in prison and upon release, it will allow their support and care needs to be identified and taken seriously. Additionally, it will also mean the prisons have a higher level of understanding and can accommodate transgender prisoners better once they have communicated with the organisations and can identify where support may be lacking.</w:t>
      </w:r>
    </w:p>
    <w:p w14:paraId="611F1DF1" w14:textId="77777777" w:rsidR="00D733DF" w:rsidRPr="00D733DF" w:rsidRDefault="00D733DF" w:rsidP="00D733DF">
      <w:pPr>
        <w:rPr>
          <w:rFonts w:ascii="Arial" w:hAnsi="Arial" w:cs="Arial"/>
        </w:rPr>
      </w:pPr>
      <w:r w:rsidRPr="00D733DF">
        <w:rPr>
          <w:rFonts w:ascii="Arial" w:hAnsi="Arial" w:cs="Arial"/>
        </w:rPr>
        <w:t> </w:t>
      </w:r>
    </w:p>
    <w:p w14:paraId="01CC8E68" w14:textId="77777777" w:rsidR="00D733DF" w:rsidRPr="00D733DF" w:rsidRDefault="00D733DF" w:rsidP="00D733DF">
      <w:pPr>
        <w:rPr>
          <w:rFonts w:ascii="Arial" w:hAnsi="Arial" w:cs="Arial"/>
        </w:rPr>
      </w:pPr>
      <w:r w:rsidRPr="00D733DF">
        <w:rPr>
          <w:rFonts w:ascii="Arial" w:hAnsi="Arial" w:cs="Arial"/>
        </w:rPr>
        <w:t>All changes will need to be monitored and reviewed to make sure that there is consistency and that they are having a positive impact towards the prisoners and their environment. Where changes are not creating a positive impact, they will need to be reconsidered using the information of what went wrong to help develop a new idea to improve, to ensure they are impactful and beneficial.</w:t>
      </w:r>
    </w:p>
    <w:p w14:paraId="1F7FD5D1" w14:textId="77777777" w:rsidR="00D733DF" w:rsidRPr="00D733DF" w:rsidRDefault="00D733DF" w:rsidP="00D733DF">
      <w:pPr>
        <w:rPr>
          <w:rFonts w:ascii="Arial" w:hAnsi="Arial" w:cs="Arial"/>
        </w:rPr>
      </w:pPr>
      <w:r w:rsidRPr="00D733DF">
        <w:rPr>
          <w:rFonts w:ascii="Arial" w:hAnsi="Arial" w:cs="Arial"/>
        </w:rPr>
        <w:t> </w:t>
      </w:r>
    </w:p>
    <w:p w14:paraId="368A443C" w14:textId="063A88F3" w:rsidR="00B36F85" w:rsidRPr="00D733DF" w:rsidRDefault="00D733DF" w:rsidP="00D733DF">
      <w:pPr>
        <w:rPr>
          <w:rFonts w:ascii="Arial" w:hAnsi="Arial" w:cs="Arial"/>
        </w:rPr>
      </w:pPr>
      <w:r w:rsidRPr="00D733DF">
        <w:rPr>
          <w:rFonts w:ascii="Arial" w:hAnsi="Arial" w:cs="Arial"/>
        </w:rPr>
        <w:t>In conclusion, transgender people face many systemic challenges in the criminal justice system. There are increasing hate crime rates and a significant percentage of unreported crime. These problems are made worse when considering there are legal uncertainties, neglect from the criminal justice system, which in turn undermines the equality and dignity of those who are transgender. The transgender community must be given the correct help throughout the criminal justice system, whether that be to victims or inmates. By having a system that works with other organisations, it can assist those transgender people who need it. The UK can work towards a system that aids every person throughout the criminal justice system by implementing training and strategies to recognise and support transgender people. Given the increasing issues for transgender people, changes must be impactful so the criminal justice system can increase the principles of equality and respect for all.</w:t>
      </w:r>
    </w:p>
    <w:p w14:paraId="4FDC1F41" w14:textId="77777777" w:rsidR="00B36F85" w:rsidRPr="00D733DF" w:rsidRDefault="00B36F85" w:rsidP="00513FA7">
      <w:pPr>
        <w:rPr>
          <w:rFonts w:ascii="Arial" w:hAnsi="Arial" w:cs="Arial"/>
        </w:rPr>
      </w:pPr>
    </w:p>
    <w:p w14:paraId="22BF7979" w14:textId="77777777" w:rsidR="00B36F85" w:rsidRPr="00D733DF" w:rsidRDefault="00B36F85" w:rsidP="00513FA7">
      <w:pPr>
        <w:rPr>
          <w:rFonts w:ascii="Arial" w:hAnsi="Arial" w:cs="Arial"/>
        </w:rPr>
      </w:pPr>
    </w:p>
    <w:p w14:paraId="766B810B" w14:textId="77777777" w:rsidR="00B36F85" w:rsidRPr="00D733DF" w:rsidRDefault="00B36F85" w:rsidP="00513FA7">
      <w:pPr>
        <w:rPr>
          <w:rFonts w:ascii="Arial" w:hAnsi="Arial" w:cs="Arial"/>
        </w:rPr>
      </w:pPr>
    </w:p>
    <w:p w14:paraId="314EA8B1" w14:textId="77777777" w:rsidR="00B36F85" w:rsidRPr="00D733DF" w:rsidRDefault="00B36F85" w:rsidP="00513FA7">
      <w:pPr>
        <w:rPr>
          <w:rFonts w:ascii="Arial" w:hAnsi="Arial" w:cs="Arial"/>
        </w:rPr>
      </w:pPr>
    </w:p>
    <w:p w14:paraId="7116A27F" w14:textId="77777777" w:rsidR="00B36F85" w:rsidRPr="00D733DF" w:rsidRDefault="00B36F85" w:rsidP="00513FA7">
      <w:pPr>
        <w:rPr>
          <w:rFonts w:ascii="Arial" w:hAnsi="Arial" w:cs="Arial"/>
        </w:rPr>
      </w:pPr>
    </w:p>
    <w:p w14:paraId="15E44E6D" w14:textId="77777777" w:rsidR="00B36F85" w:rsidRPr="00D733DF" w:rsidRDefault="00B36F85" w:rsidP="00513FA7">
      <w:pPr>
        <w:rPr>
          <w:rFonts w:ascii="Arial" w:hAnsi="Arial" w:cs="Arial"/>
        </w:rPr>
      </w:pPr>
    </w:p>
    <w:p w14:paraId="357B3A0C" w14:textId="77777777" w:rsidR="00B36F85" w:rsidRPr="00D733DF" w:rsidRDefault="00B36F85" w:rsidP="00513FA7">
      <w:pPr>
        <w:rPr>
          <w:rFonts w:ascii="Arial" w:hAnsi="Arial" w:cs="Arial"/>
        </w:rPr>
      </w:pPr>
    </w:p>
    <w:p w14:paraId="584A1D75" w14:textId="77777777" w:rsidR="00B36F85" w:rsidRDefault="00B36F85" w:rsidP="00513FA7">
      <w:pPr>
        <w:rPr>
          <w:rFonts w:ascii="Arial" w:hAnsi="Arial" w:cs="Arial"/>
        </w:rPr>
      </w:pPr>
    </w:p>
    <w:p w14:paraId="2B4DD424" w14:textId="77777777" w:rsidR="00C32D0A" w:rsidRDefault="00C32D0A" w:rsidP="00513FA7">
      <w:pPr>
        <w:rPr>
          <w:rFonts w:ascii="Arial" w:hAnsi="Arial" w:cs="Arial"/>
        </w:rPr>
      </w:pPr>
    </w:p>
    <w:p w14:paraId="47F75F4B" w14:textId="77777777" w:rsidR="00C32D0A" w:rsidRDefault="00C32D0A" w:rsidP="00513FA7">
      <w:pPr>
        <w:rPr>
          <w:rFonts w:ascii="Arial" w:hAnsi="Arial" w:cs="Arial"/>
        </w:rPr>
      </w:pPr>
    </w:p>
    <w:p w14:paraId="16AD3AAA" w14:textId="68A4E43C" w:rsidR="00D733DF" w:rsidRDefault="00D733DF" w:rsidP="00513FA7">
      <w:pPr>
        <w:rPr>
          <w:rFonts w:ascii="Arial" w:hAnsi="Arial" w:cs="Arial"/>
        </w:rPr>
      </w:pPr>
    </w:p>
    <w:sdt>
      <w:sdtPr>
        <w:id w:val="-983312317"/>
        <w:docPartObj>
          <w:docPartGallery w:val="Bibliographies"/>
          <w:docPartUnique/>
        </w:docPartObj>
      </w:sdtPr>
      <w:sdtEndPr>
        <w:rPr>
          <w:rFonts w:asciiTheme="minorHAnsi" w:eastAsiaTheme="minorEastAsia" w:hAnsiTheme="minorHAnsi" w:cstheme="minorBidi"/>
          <w:color w:val="auto"/>
          <w:sz w:val="24"/>
          <w:szCs w:val="24"/>
        </w:rPr>
      </w:sdtEndPr>
      <w:sdtContent>
        <w:p w14:paraId="69AEB943" w14:textId="1460A36F" w:rsidR="00D733DF" w:rsidRDefault="00D733DF">
          <w:pPr>
            <w:pStyle w:val="Heading1"/>
          </w:pPr>
          <w:r>
            <w:t>Bibliography</w:t>
          </w:r>
        </w:p>
        <w:sdt>
          <w:sdtPr>
            <w:id w:val="111145805"/>
            <w:bibliography/>
          </w:sdtPr>
          <w:sdtContent>
            <w:p w14:paraId="65BB3359" w14:textId="77777777" w:rsidR="007F71A6" w:rsidRDefault="00D733DF" w:rsidP="007F71A6">
              <w:pPr>
                <w:pStyle w:val="Bibliography"/>
                <w:ind w:left="720" w:hanging="720"/>
                <w:rPr>
                  <w:noProof/>
                  <w:kern w:val="0"/>
                  <w14:ligatures w14:val="none"/>
                </w:rPr>
              </w:pPr>
              <w:r>
                <w:fldChar w:fldCharType="begin"/>
              </w:r>
              <w:r>
                <w:instrText xml:space="preserve"> BIBLIOGRAPHY </w:instrText>
              </w:r>
              <w:r>
                <w:fldChar w:fldCharType="separate"/>
              </w:r>
              <w:r w:rsidR="007F71A6">
                <w:rPr>
                  <w:noProof/>
                </w:rPr>
                <w:t xml:space="preserve">BBC NEWS. (2025, June 25). </w:t>
              </w:r>
              <w:r w:rsidR="007F71A6">
                <w:rPr>
                  <w:i/>
                  <w:iCs/>
                  <w:noProof/>
                </w:rPr>
                <w:t>Police searches to be based on biological sex</w:t>
              </w:r>
              <w:r w:rsidR="007F71A6">
                <w:rPr>
                  <w:noProof/>
                </w:rPr>
                <w:t>. Retrieved from BBC NEWS: https://www.bbc.co.uk/news/articles/cn0qj5029vyo.amp</w:t>
              </w:r>
            </w:p>
            <w:p w14:paraId="59ADBA64" w14:textId="77777777" w:rsidR="007F71A6" w:rsidRDefault="007F71A6" w:rsidP="007F71A6">
              <w:pPr>
                <w:pStyle w:val="Bibliography"/>
                <w:ind w:left="720" w:hanging="720"/>
                <w:rPr>
                  <w:noProof/>
                </w:rPr>
              </w:pPr>
              <w:r>
                <w:rPr>
                  <w:noProof/>
                </w:rPr>
                <w:t xml:space="preserve">Catch 22. (2024, May 29). </w:t>
              </w:r>
              <w:r>
                <w:rPr>
                  <w:i/>
                  <w:iCs/>
                  <w:noProof/>
                </w:rPr>
                <w:t>The challenges of being transgender in prison</w:t>
              </w:r>
              <w:r>
                <w:rPr>
                  <w:noProof/>
                </w:rPr>
                <w:t>. Retrieved from Catch 22: https://www.catch-22.org.uk/resources/the-challenges-of-being-transgender-in-prison/</w:t>
              </w:r>
            </w:p>
            <w:p w14:paraId="78D47F18" w14:textId="77777777" w:rsidR="007F71A6" w:rsidRDefault="007F71A6" w:rsidP="007F71A6">
              <w:pPr>
                <w:pStyle w:val="Bibliography"/>
                <w:ind w:left="720" w:hanging="720"/>
                <w:rPr>
                  <w:noProof/>
                </w:rPr>
              </w:pPr>
              <w:r>
                <w:rPr>
                  <w:noProof/>
                </w:rPr>
                <w:t xml:space="preserve">Clinks. (2023, January 24). </w:t>
              </w:r>
              <w:r>
                <w:rPr>
                  <w:i/>
                  <w:iCs/>
                  <w:noProof/>
                </w:rPr>
                <w:t>Unique - Transgender Network</w:t>
              </w:r>
              <w:r>
                <w:rPr>
                  <w:noProof/>
                </w:rPr>
                <w:t>. Retrieved from Clinks: https://www.clinks.org/directory/112058</w:t>
              </w:r>
            </w:p>
            <w:p w14:paraId="0B1CA3B9" w14:textId="77777777" w:rsidR="007F71A6" w:rsidRDefault="007F71A6" w:rsidP="007F71A6">
              <w:pPr>
                <w:pStyle w:val="Bibliography"/>
                <w:ind w:left="720" w:hanging="720"/>
                <w:rPr>
                  <w:noProof/>
                </w:rPr>
              </w:pPr>
              <w:r>
                <w:rPr>
                  <w:noProof/>
                </w:rPr>
                <w:t xml:space="preserve">Crown Prosecution Service. (2022). </w:t>
              </w:r>
              <w:r>
                <w:rPr>
                  <w:i/>
                  <w:iCs/>
                  <w:noProof/>
                </w:rPr>
                <w:t>Context and characteristics of hostility towards sexual orientation and transgender identity</w:t>
              </w:r>
              <w:r>
                <w:rPr>
                  <w:noProof/>
                </w:rPr>
                <w:t>. Retrieved from Crown Prosecution Service: https://www.cps.gov.uk/crime-info/hate-crime/context-and-characteristics-hostility-towards-sexual-orientation-and-transgender-identity</w:t>
              </w:r>
            </w:p>
            <w:p w14:paraId="64C1A82D" w14:textId="77777777" w:rsidR="007F71A6" w:rsidRDefault="007F71A6" w:rsidP="007F71A6">
              <w:pPr>
                <w:pStyle w:val="Bibliography"/>
                <w:ind w:left="720" w:hanging="720"/>
                <w:rPr>
                  <w:noProof/>
                </w:rPr>
              </w:pPr>
              <w:r>
                <w:rPr>
                  <w:noProof/>
                </w:rPr>
                <w:t xml:space="preserve">Galop. (2023, October 5). </w:t>
              </w:r>
              <w:r>
                <w:rPr>
                  <w:i/>
                  <w:iCs/>
                  <w:noProof/>
                </w:rPr>
                <w:t>Galop’s statement on the 2022-2023 Official Statistics for Hate Crime</w:t>
              </w:r>
              <w:r>
                <w:rPr>
                  <w:noProof/>
                </w:rPr>
                <w:t>. Retrieved from Galop: https://www.galop.org.uk/news/galops-statement-on-the-2022-2023-official-statistics-for-hate-crime</w:t>
              </w:r>
            </w:p>
            <w:p w14:paraId="745DBA7C" w14:textId="77777777" w:rsidR="007F71A6" w:rsidRDefault="007F71A6" w:rsidP="007F71A6">
              <w:pPr>
                <w:pStyle w:val="Bibliography"/>
                <w:ind w:left="720" w:hanging="720"/>
                <w:rPr>
                  <w:noProof/>
                </w:rPr>
              </w:pPr>
              <w:r>
                <w:rPr>
                  <w:noProof/>
                </w:rPr>
                <w:t xml:space="preserve">Hertfordshire Constabulary . (2023, May 26). </w:t>
              </w:r>
              <w:r>
                <w:rPr>
                  <w:i/>
                  <w:iCs/>
                  <w:noProof/>
                </w:rPr>
                <w:t>Officers receive training to support LGBTQ+ community</w:t>
              </w:r>
              <w:r>
                <w:rPr>
                  <w:noProof/>
                </w:rPr>
                <w:t>. Retrieved from Hertfordshire Constabulary : https://www.herts.police.uk/news/hertfordshire/news/2023/may-2023/officers-receive-training-to-support-lgbtq-community/</w:t>
              </w:r>
            </w:p>
            <w:p w14:paraId="4AC815B7" w14:textId="77777777" w:rsidR="007F71A6" w:rsidRDefault="007F71A6" w:rsidP="007F71A6">
              <w:pPr>
                <w:pStyle w:val="Bibliography"/>
                <w:ind w:left="720" w:hanging="720"/>
                <w:rPr>
                  <w:noProof/>
                </w:rPr>
              </w:pPr>
              <w:r>
                <w:rPr>
                  <w:noProof/>
                </w:rPr>
                <w:t xml:space="preserve">Home Office. (2024, October 10). </w:t>
              </w:r>
              <w:r>
                <w:rPr>
                  <w:i/>
                  <w:iCs/>
                  <w:noProof/>
                </w:rPr>
                <w:t>Hate crime, England and Wales, year ending March 2024</w:t>
              </w:r>
              <w:r>
                <w:rPr>
                  <w:noProof/>
                </w:rPr>
                <w:t>. Retrieved from GOV.UK: https://www.gov.uk/government/statistics/hate-crime-england-and-wales-year-ending-march-2024/hate-crime-england-and-wales-year-ending-march-2024</w:t>
              </w:r>
            </w:p>
            <w:p w14:paraId="78F5F242" w14:textId="77777777" w:rsidR="007F71A6" w:rsidRDefault="007F71A6" w:rsidP="007F71A6">
              <w:pPr>
                <w:pStyle w:val="Bibliography"/>
                <w:ind w:left="720" w:hanging="720"/>
                <w:rPr>
                  <w:noProof/>
                </w:rPr>
              </w:pPr>
              <w:r>
                <w:rPr>
                  <w:noProof/>
                </w:rPr>
                <w:t xml:space="preserve">House of Commons. (2022, February 18). </w:t>
              </w:r>
              <w:r>
                <w:rPr>
                  <w:i/>
                  <w:iCs/>
                  <w:noProof/>
                </w:rPr>
                <w:t>Gender Recognition Act reform: consultation and outcome</w:t>
              </w:r>
              <w:r>
                <w:rPr>
                  <w:noProof/>
                </w:rPr>
                <w:t>. Retrieved from House of Commons: https://commonslibrary.parliament.uk/research-briefings/cbp-9079/</w:t>
              </w:r>
            </w:p>
            <w:p w14:paraId="0E5BB395" w14:textId="77777777" w:rsidR="007F71A6" w:rsidRDefault="007F71A6" w:rsidP="007F71A6">
              <w:pPr>
                <w:pStyle w:val="Bibliography"/>
                <w:ind w:left="720" w:hanging="720"/>
                <w:rPr>
                  <w:noProof/>
                </w:rPr>
              </w:pPr>
              <w:r>
                <w:rPr>
                  <w:noProof/>
                </w:rPr>
                <w:t xml:space="preserve">Ministry of Justice. (2023, January 25). </w:t>
              </w:r>
              <w:r>
                <w:rPr>
                  <w:i/>
                  <w:iCs/>
                  <w:noProof/>
                </w:rPr>
                <w:t>Update on changes to transgender prisoner policy framework</w:t>
              </w:r>
              <w:r>
                <w:rPr>
                  <w:noProof/>
                </w:rPr>
                <w:t>. Retrieved from GOV.UK: https://www.gov.uk/government/news/update-on-changes-to-transgender-prisoner-policy-framework</w:t>
              </w:r>
            </w:p>
            <w:p w14:paraId="6F051A4A" w14:textId="77777777" w:rsidR="007F71A6" w:rsidRDefault="007F71A6" w:rsidP="007F71A6">
              <w:pPr>
                <w:pStyle w:val="Bibliography"/>
                <w:ind w:left="720" w:hanging="720"/>
                <w:rPr>
                  <w:noProof/>
                </w:rPr>
              </w:pPr>
              <w:r>
                <w:rPr>
                  <w:noProof/>
                </w:rPr>
                <w:t xml:space="preserve">NHS. (2020, May 28). </w:t>
              </w:r>
              <w:r>
                <w:rPr>
                  <w:i/>
                  <w:iCs/>
                  <w:noProof/>
                </w:rPr>
                <w:t>Gender Dysphoria</w:t>
              </w:r>
              <w:r>
                <w:rPr>
                  <w:noProof/>
                </w:rPr>
                <w:t>. Retrieved from NHS: https://www.nhs.uk/conditions/gender-dysphoria/</w:t>
              </w:r>
            </w:p>
            <w:p w14:paraId="31CE8DCF" w14:textId="77777777" w:rsidR="007F71A6" w:rsidRDefault="007F71A6" w:rsidP="007F71A6">
              <w:pPr>
                <w:pStyle w:val="Bibliography"/>
                <w:ind w:left="720" w:hanging="720"/>
                <w:rPr>
                  <w:noProof/>
                </w:rPr>
              </w:pPr>
              <w:r>
                <w:rPr>
                  <w:noProof/>
                </w:rPr>
                <w:t xml:space="preserve">NHS. (2020, May 28). </w:t>
              </w:r>
              <w:r>
                <w:rPr>
                  <w:i/>
                  <w:iCs/>
                  <w:noProof/>
                </w:rPr>
                <w:t>Gender dysphoria - Treatment</w:t>
              </w:r>
              <w:r>
                <w:rPr>
                  <w:noProof/>
                </w:rPr>
                <w:t>. Retrieved from NHS: https://www.nhs.uk/conditions/gender-dysphoria/treatment/</w:t>
              </w:r>
            </w:p>
            <w:p w14:paraId="5C22FAAA" w14:textId="77777777" w:rsidR="007F71A6" w:rsidRDefault="007F71A6" w:rsidP="007F71A6">
              <w:pPr>
                <w:pStyle w:val="Bibliography"/>
                <w:ind w:left="720" w:hanging="720"/>
                <w:rPr>
                  <w:noProof/>
                </w:rPr>
              </w:pPr>
              <w:r>
                <w:rPr>
                  <w:noProof/>
                </w:rPr>
                <w:lastRenderedPageBreak/>
                <w:t xml:space="preserve">Saunders Law. (2019, April 8). </w:t>
              </w:r>
              <w:r>
                <w:rPr>
                  <w:i/>
                  <w:iCs/>
                  <w:noProof/>
                </w:rPr>
                <w:t>Transgender prisoners routinely failed by the current system</w:t>
              </w:r>
              <w:r>
                <w:rPr>
                  <w:noProof/>
                </w:rPr>
                <w:t>. Retrieved from Saunders Law: https://www.saunders.co.uk/news/transgender-prisoners-routinely-failed-by-the-current-system/#:~:text=Prisoners%20who%20are%20transgender%20face%20a%20disproportionately,mental%20health%20problems%20and%20bullying%20whilst%20imprisoned.</w:t>
              </w:r>
            </w:p>
            <w:p w14:paraId="44F73C00" w14:textId="77777777" w:rsidR="007F71A6" w:rsidRDefault="007F71A6" w:rsidP="007F71A6">
              <w:pPr>
                <w:pStyle w:val="Bibliography"/>
                <w:ind w:left="720" w:hanging="720"/>
                <w:rPr>
                  <w:noProof/>
                </w:rPr>
              </w:pPr>
              <w:r>
                <w:rPr>
                  <w:noProof/>
                </w:rPr>
                <w:t xml:space="preserve">Scottish Prison Service. (2024, February). </w:t>
              </w:r>
              <w:r>
                <w:rPr>
                  <w:i/>
                  <w:iCs/>
                  <w:noProof/>
                </w:rPr>
                <w:t>Managing Gender Diverse People in custody.</w:t>
              </w:r>
              <w:r>
                <w:rPr>
                  <w:noProof/>
                </w:rPr>
                <w:t xml:space="preserve"> Retrieved from Scottish Prison Service: https://www.sps.gov.uk/sites/default/files/2024-02/Management%20of%20Gender%20Diverse%20People%20in%20Custody%20Operational%20Guidance%202024.pdf</w:t>
              </w:r>
            </w:p>
            <w:p w14:paraId="5BC5A996" w14:textId="77777777" w:rsidR="007F71A6" w:rsidRDefault="007F71A6" w:rsidP="007F71A6">
              <w:pPr>
                <w:pStyle w:val="Bibliography"/>
                <w:ind w:left="720" w:hanging="720"/>
                <w:rPr>
                  <w:noProof/>
                </w:rPr>
              </w:pPr>
              <w:r>
                <w:rPr>
                  <w:noProof/>
                </w:rPr>
                <w:t xml:space="preserve">The House of Commons Library. (2020, July 16). </w:t>
              </w:r>
              <w:r>
                <w:rPr>
                  <w:i/>
                  <w:iCs/>
                  <w:noProof/>
                </w:rPr>
                <w:t>Gender recognition and the rights of transgender people</w:t>
              </w:r>
              <w:r>
                <w:rPr>
                  <w:noProof/>
                </w:rPr>
                <w:t>. Retrieved from The House of Commons Library: https://commonslibrary.parliament.uk/research-briefings/cbp-8969/</w:t>
              </w:r>
            </w:p>
            <w:p w14:paraId="4907B450" w14:textId="77777777" w:rsidR="007F71A6" w:rsidRDefault="007F71A6" w:rsidP="007F71A6">
              <w:pPr>
                <w:pStyle w:val="Bibliography"/>
                <w:ind w:left="720" w:hanging="720"/>
                <w:rPr>
                  <w:noProof/>
                </w:rPr>
              </w:pPr>
              <w:r>
                <w:rPr>
                  <w:noProof/>
                </w:rPr>
                <w:t xml:space="preserve">TransLucent. (2025, January 18). </w:t>
              </w:r>
              <w:r>
                <w:rPr>
                  <w:i/>
                  <w:iCs/>
                  <w:noProof/>
                </w:rPr>
                <w:t>Transgender People, Crime and Prisons – Briefing Note</w:t>
              </w:r>
              <w:r>
                <w:rPr>
                  <w:noProof/>
                </w:rPr>
                <w:t>. Retrieved from TransLucent: https://translucent.org.uk/transgender-people-crime-and-prisons/?amp=1</w:t>
              </w:r>
            </w:p>
            <w:p w14:paraId="479D2C37" w14:textId="77777777" w:rsidR="007F71A6" w:rsidRDefault="007F71A6" w:rsidP="007F71A6">
              <w:pPr>
                <w:pStyle w:val="Bibliography"/>
                <w:ind w:left="720" w:hanging="720"/>
                <w:rPr>
                  <w:noProof/>
                </w:rPr>
              </w:pPr>
              <w:r>
                <w:rPr>
                  <w:noProof/>
                </w:rPr>
                <w:t xml:space="preserve">UK Parliament. (2025). </w:t>
              </w:r>
              <w:r>
                <w:rPr>
                  <w:i/>
                  <w:iCs/>
                  <w:noProof/>
                </w:rPr>
                <w:t>Written evidence submitted by Action for Trans Health to the Transgender Equality Inquiry</w:t>
              </w:r>
              <w:r>
                <w:rPr>
                  <w:noProof/>
                </w:rPr>
                <w:t>. Retrieved from UK Parliament: https://committees.parliament.uk/writtenevidence/57463/html/#:~:text=Moreover%2C%20trans%20people%20are%20often%20denied%20access,problems%20are%20related%20to%20their%20trans%20status.&amp;text=It%20allows%20for%20trans%20prisoners%20to%20have,in%20place%20s</w:t>
              </w:r>
            </w:p>
            <w:p w14:paraId="73B61AEF" w14:textId="77777777" w:rsidR="007F71A6" w:rsidRDefault="007F71A6" w:rsidP="007F71A6">
              <w:pPr>
                <w:pStyle w:val="Bibliography"/>
                <w:ind w:left="720" w:hanging="720"/>
                <w:rPr>
                  <w:noProof/>
                </w:rPr>
              </w:pPr>
              <w:r>
                <w:rPr>
                  <w:noProof/>
                </w:rPr>
                <w:t xml:space="preserve">Victim Support. (2025). </w:t>
              </w:r>
              <w:r>
                <w:rPr>
                  <w:i/>
                  <w:iCs/>
                  <w:noProof/>
                </w:rPr>
                <w:t>Transgender Identity</w:t>
              </w:r>
              <w:r>
                <w:rPr>
                  <w:noProof/>
                </w:rPr>
                <w:t>. Retrieved from Victim Support: https://reporthate.victimsupport.org.uk/get-support/transgender-identity/</w:t>
              </w:r>
            </w:p>
            <w:p w14:paraId="61B9E6C1" w14:textId="023A253A" w:rsidR="00E838B7" w:rsidRPr="00C32D0A" w:rsidRDefault="00D733DF" w:rsidP="007F71A6">
              <w:r>
                <w:rPr>
                  <w:b/>
                  <w:bCs/>
                  <w:noProof/>
                </w:rPr>
                <w:fldChar w:fldCharType="end"/>
              </w:r>
            </w:p>
          </w:sdtContent>
        </w:sdt>
      </w:sdtContent>
    </w:sdt>
    <w:p w14:paraId="2C25C639" w14:textId="3BDB4D49" w:rsidR="006626E9" w:rsidRDefault="001503E5" w:rsidP="00513FA7">
      <w:pPr>
        <w:rPr>
          <w:rFonts w:ascii="Arial" w:hAnsi="Arial" w:cs="Arial"/>
          <w:u w:val="single"/>
        </w:rPr>
      </w:pPr>
      <w:r w:rsidRPr="001503E5">
        <w:rPr>
          <w:rFonts w:ascii="Arial" w:hAnsi="Arial" w:cs="Arial"/>
          <w:u w:val="single"/>
        </w:rPr>
        <w:t>Legislation</w:t>
      </w:r>
    </w:p>
    <w:p w14:paraId="73B6EB2D" w14:textId="797E423A" w:rsidR="009211CF" w:rsidRDefault="001503E5" w:rsidP="009211CF">
      <w:pPr>
        <w:pStyle w:val="ListParagraph"/>
        <w:numPr>
          <w:ilvl w:val="0"/>
          <w:numId w:val="3"/>
        </w:numPr>
        <w:rPr>
          <w:rFonts w:ascii="Arial" w:hAnsi="Arial" w:cs="Arial"/>
        </w:rPr>
      </w:pPr>
      <w:r w:rsidRPr="009211CF">
        <w:rPr>
          <w:rFonts w:ascii="Arial" w:hAnsi="Arial" w:cs="Arial"/>
        </w:rPr>
        <w:t>Equality Act 2010, S7</w:t>
      </w:r>
    </w:p>
    <w:p w14:paraId="21285453" w14:textId="0085A0F4" w:rsidR="009211CF" w:rsidRDefault="009211CF" w:rsidP="009211CF">
      <w:pPr>
        <w:pStyle w:val="ListParagraph"/>
        <w:rPr>
          <w:rFonts w:ascii="Arial" w:hAnsi="Arial" w:cs="Arial"/>
        </w:rPr>
      </w:pPr>
      <w:hyperlink r:id="rId6" w:history="1">
        <w:r w:rsidRPr="00482ED7">
          <w:rPr>
            <w:rStyle w:val="Hyperlink"/>
            <w:rFonts w:ascii="Arial" w:hAnsi="Arial" w:cs="Arial"/>
          </w:rPr>
          <w:t>https://www.legislation.gov.uk/ukpga/2010/15/section/7</w:t>
        </w:r>
      </w:hyperlink>
      <w:r>
        <w:rPr>
          <w:rFonts w:ascii="Arial" w:hAnsi="Arial" w:cs="Arial"/>
        </w:rPr>
        <w:t xml:space="preserve"> </w:t>
      </w:r>
    </w:p>
    <w:p w14:paraId="361C453F" w14:textId="77777777" w:rsidR="009211CF" w:rsidRPr="009211CF" w:rsidRDefault="009211CF" w:rsidP="009211CF">
      <w:pPr>
        <w:pStyle w:val="ListParagraph"/>
        <w:rPr>
          <w:rFonts w:ascii="Arial" w:hAnsi="Arial" w:cs="Arial"/>
        </w:rPr>
      </w:pPr>
    </w:p>
    <w:p w14:paraId="3F34E052" w14:textId="77777777" w:rsidR="009211CF" w:rsidRDefault="009211CF" w:rsidP="00513FA7">
      <w:pPr>
        <w:pStyle w:val="ListParagraph"/>
        <w:numPr>
          <w:ilvl w:val="0"/>
          <w:numId w:val="3"/>
        </w:numPr>
        <w:rPr>
          <w:rFonts w:ascii="Arial" w:hAnsi="Arial" w:cs="Arial"/>
        </w:rPr>
      </w:pPr>
      <w:r w:rsidRPr="009211CF">
        <w:rPr>
          <w:rFonts w:ascii="Arial" w:hAnsi="Arial" w:cs="Arial"/>
        </w:rPr>
        <w:t>For Women Scotland Ltd (Appellant) v The Scottish Ministers, 2025</w:t>
      </w:r>
      <w:r>
        <w:rPr>
          <w:rFonts w:ascii="Arial" w:hAnsi="Arial" w:cs="Arial"/>
        </w:rPr>
        <w:t>:</w:t>
      </w:r>
    </w:p>
    <w:p w14:paraId="39E89582" w14:textId="46B1C909" w:rsidR="00FE311E" w:rsidRPr="00D733DF" w:rsidRDefault="009211CF" w:rsidP="00A61FEB">
      <w:pPr>
        <w:pStyle w:val="ListParagraph"/>
        <w:rPr>
          <w:rFonts w:ascii="Arial" w:hAnsi="Arial" w:cs="Arial"/>
        </w:rPr>
      </w:pPr>
      <w:hyperlink r:id="rId7" w:history="1">
        <w:r w:rsidRPr="00482ED7">
          <w:rPr>
            <w:rStyle w:val="Hyperlink"/>
            <w:rFonts w:ascii="Arial" w:hAnsi="Arial" w:cs="Arial"/>
          </w:rPr>
          <w:t>https://supremecourt.uk/uploads/uksc_2024_0042_press_summary_8a42145662.pdf</w:t>
        </w:r>
      </w:hyperlink>
    </w:p>
    <w:sectPr w:rsidR="00FE311E" w:rsidRPr="00D733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36F0A"/>
    <w:multiLevelType w:val="hybridMultilevel"/>
    <w:tmpl w:val="30AA5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6A712B"/>
    <w:multiLevelType w:val="hybridMultilevel"/>
    <w:tmpl w:val="0B2E4ED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2F4050"/>
    <w:multiLevelType w:val="hybridMultilevel"/>
    <w:tmpl w:val="DF5ED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5486207">
    <w:abstractNumId w:val="1"/>
  </w:num>
  <w:num w:numId="2" w16cid:durableId="73477713">
    <w:abstractNumId w:val="0"/>
  </w:num>
  <w:num w:numId="3" w16cid:durableId="13490207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F9E"/>
    <w:rsid w:val="0001019F"/>
    <w:rsid w:val="00015185"/>
    <w:rsid w:val="00020453"/>
    <w:rsid w:val="00020BD2"/>
    <w:rsid w:val="00031340"/>
    <w:rsid w:val="0005091E"/>
    <w:rsid w:val="00067F83"/>
    <w:rsid w:val="00072169"/>
    <w:rsid w:val="00076397"/>
    <w:rsid w:val="00091617"/>
    <w:rsid w:val="0009617B"/>
    <w:rsid w:val="000A1552"/>
    <w:rsid w:val="000A5F0B"/>
    <w:rsid w:val="000D5DBC"/>
    <w:rsid w:val="000D70C3"/>
    <w:rsid w:val="000E2D8F"/>
    <w:rsid w:val="000E577E"/>
    <w:rsid w:val="000F2EC6"/>
    <w:rsid w:val="001056BE"/>
    <w:rsid w:val="00111EFF"/>
    <w:rsid w:val="0011496A"/>
    <w:rsid w:val="00135CA0"/>
    <w:rsid w:val="001503E5"/>
    <w:rsid w:val="0015410B"/>
    <w:rsid w:val="00156C1F"/>
    <w:rsid w:val="00170957"/>
    <w:rsid w:val="00177E1C"/>
    <w:rsid w:val="0018196D"/>
    <w:rsid w:val="00182B09"/>
    <w:rsid w:val="001A2565"/>
    <w:rsid w:val="001A46B6"/>
    <w:rsid w:val="001B4F8E"/>
    <w:rsid w:val="001C3DE4"/>
    <w:rsid w:val="001D25FF"/>
    <w:rsid w:val="001D2CFE"/>
    <w:rsid w:val="001D3C53"/>
    <w:rsid w:val="001D69C2"/>
    <w:rsid w:val="001E2CFB"/>
    <w:rsid w:val="001F6409"/>
    <w:rsid w:val="001F7DE3"/>
    <w:rsid w:val="00210437"/>
    <w:rsid w:val="00211D7D"/>
    <w:rsid w:val="0021423E"/>
    <w:rsid w:val="002144AE"/>
    <w:rsid w:val="00230CD2"/>
    <w:rsid w:val="002313A7"/>
    <w:rsid w:val="002335E3"/>
    <w:rsid w:val="002360C6"/>
    <w:rsid w:val="00250E16"/>
    <w:rsid w:val="002510B6"/>
    <w:rsid w:val="002536D4"/>
    <w:rsid w:val="00254982"/>
    <w:rsid w:val="00255ED1"/>
    <w:rsid w:val="00260AE3"/>
    <w:rsid w:val="00260C2B"/>
    <w:rsid w:val="00262180"/>
    <w:rsid w:val="002744DD"/>
    <w:rsid w:val="00277B2E"/>
    <w:rsid w:val="00284B2E"/>
    <w:rsid w:val="00285B34"/>
    <w:rsid w:val="00287AE3"/>
    <w:rsid w:val="002910D9"/>
    <w:rsid w:val="00293D92"/>
    <w:rsid w:val="002940F8"/>
    <w:rsid w:val="00295A7A"/>
    <w:rsid w:val="0029740F"/>
    <w:rsid w:val="002B1254"/>
    <w:rsid w:val="002B4005"/>
    <w:rsid w:val="002B46A7"/>
    <w:rsid w:val="002C4916"/>
    <w:rsid w:val="002E5DE9"/>
    <w:rsid w:val="002F3325"/>
    <w:rsid w:val="002F4159"/>
    <w:rsid w:val="003021B1"/>
    <w:rsid w:val="00315052"/>
    <w:rsid w:val="003159CE"/>
    <w:rsid w:val="003174D4"/>
    <w:rsid w:val="0033628F"/>
    <w:rsid w:val="003425FE"/>
    <w:rsid w:val="00352D93"/>
    <w:rsid w:val="0036032E"/>
    <w:rsid w:val="003649A6"/>
    <w:rsid w:val="003662E1"/>
    <w:rsid w:val="00377AE8"/>
    <w:rsid w:val="00385132"/>
    <w:rsid w:val="003910C0"/>
    <w:rsid w:val="00391617"/>
    <w:rsid w:val="00391AAD"/>
    <w:rsid w:val="00392533"/>
    <w:rsid w:val="003A473D"/>
    <w:rsid w:val="003B4862"/>
    <w:rsid w:val="003B6DC1"/>
    <w:rsid w:val="003B7BBB"/>
    <w:rsid w:val="003C1CEC"/>
    <w:rsid w:val="003D112D"/>
    <w:rsid w:val="003D12CC"/>
    <w:rsid w:val="003D1A1D"/>
    <w:rsid w:val="003D1B4D"/>
    <w:rsid w:val="003D3C1C"/>
    <w:rsid w:val="003E1145"/>
    <w:rsid w:val="003E4BA1"/>
    <w:rsid w:val="00412F08"/>
    <w:rsid w:val="00415C2C"/>
    <w:rsid w:val="00422E7E"/>
    <w:rsid w:val="004252F8"/>
    <w:rsid w:val="0042724D"/>
    <w:rsid w:val="00427D6D"/>
    <w:rsid w:val="004306A5"/>
    <w:rsid w:val="00432513"/>
    <w:rsid w:val="0043354D"/>
    <w:rsid w:val="00434F66"/>
    <w:rsid w:val="00435533"/>
    <w:rsid w:val="00437CB1"/>
    <w:rsid w:val="00440D12"/>
    <w:rsid w:val="00442538"/>
    <w:rsid w:val="00451554"/>
    <w:rsid w:val="0045323D"/>
    <w:rsid w:val="00464193"/>
    <w:rsid w:val="0046480C"/>
    <w:rsid w:val="004723F4"/>
    <w:rsid w:val="0047259B"/>
    <w:rsid w:val="00474F64"/>
    <w:rsid w:val="00480798"/>
    <w:rsid w:val="00486DC1"/>
    <w:rsid w:val="00486F50"/>
    <w:rsid w:val="004870A7"/>
    <w:rsid w:val="00490315"/>
    <w:rsid w:val="004910A2"/>
    <w:rsid w:val="0049546E"/>
    <w:rsid w:val="0049792E"/>
    <w:rsid w:val="004B1D92"/>
    <w:rsid w:val="004D2292"/>
    <w:rsid w:val="004D22D5"/>
    <w:rsid w:val="004F1F4E"/>
    <w:rsid w:val="004F43BE"/>
    <w:rsid w:val="005116FC"/>
    <w:rsid w:val="00513FA7"/>
    <w:rsid w:val="005307AF"/>
    <w:rsid w:val="00530B8F"/>
    <w:rsid w:val="005438BC"/>
    <w:rsid w:val="00546D03"/>
    <w:rsid w:val="005478BD"/>
    <w:rsid w:val="00547A97"/>
    <w:rsid w:val="00551C22"/>
    <w:rsid w:val="00560874"/>
    <w:rsid w:val="00560B2D"/>
    <w:rsid w:val="00572ECA"/>
    <w:rsid w:val="00586101"/>
    <w:rsid w:val="00590858"/>
    <w:rsid w:val="005A4E3F"/>
    <w:rsid w:val="005B207E"/>
    <w:rsid w:val="005B530F"/>
    <w:rsid w:val="005D0004"/>
    <w:rsid w:val="005D0681"/>
    <w:rsid w:val="005E7CBB"/>
    <w:rsid w:val="005F6BAC"/>
    <w:rsid w:val="00606344"/>
    <w:rsid w:val="00624DA9"/>
    <w:rsid w:val="00635769"/>
    <w:rsid w:val="00655A4D"/>
    <w:rsid w:val="006626E9"/>
    <w:rsid w:val="006660EE"/>
    <w:rsid w:val="00671624"/>
    <w:rsid w:val="0067593B"/>
    <w:rsid w:val="006767C2"/>
    <w:rsid w:val="0067741E"/>
    <w:rsid w:val="00681412"/>
    <w:rsid w:val="00684BFE"/>
    <w:rsid w:val="00692087"/>
    <w:rsid w:val="006922FB"/>
    <w:rsid w:val="006946A7"/>
    <w:rsid w:val="00696E88"/>
    <w:rsid w:val="006B748C"/>
    <w:rsid w:val="006C43E1"/>
    <w:rsid w:val="006D3D65"/>
    <w:rsid w:val="006E1517"/>
    <w:rsid w:val="006F4C31"/>
    <w:rsid w:val="006F5517"/>
    <w:rsid w:val="006F7CA7"/>
    <w:rsid w:val="00700088"/>
    <w:rsid w:val="00704592"/>
    <w:rsid w:val="00706D9E"/>
    <w:rsid w:val="00706DA6"/>
    <w:rsid w:val="00707D6F"/>
    <w:rsid w:val="00712B17"/>
    <w:rsid w:val="00720145"/>
    <w:rsid w:val="00722AC4"/>
    <w:rsid w:val="00746009"/>
    <w:rsid w:val="0075531D"/>
    <w:rsid w:val="00762641"/>
    <w:rsid w:val="007839A6"/>
    <w:rsid w:val="00784297"/>
    <w:rsid w:val="00785962"/>
    <w:rsid w:val="0079298E"/>
    <w:rsid w:val="007933A8"/>
    <w:rsid w:val="00796A99"/>
    <w:rsid w:val="007A3D79"/>
    <w:rsid w:val="007B32D8"/>
    <w:rsid w:val="007B7D44"/>
    <w:rsid w:val="007C0465"/>
    <w:rsid w:val="007C4CC5"/>
    <w:rsid w:val="007D0201"/>
    <w:rsid w:val="007D746B"/>
    <w:rsid w:val="007E275F"/>
    <w:rsid w:val="007F13AF"/>
    <w:rsid w:val="007F71A6"/>
    <w:rsid w:val="008039FF"/>
    <w:rsid w:val="00811592"/>
    <w:rsid w:val="00821494"/>
    <w:rsid w:val="00822C80"/>
    <w:rsid w:val="008251CD"/>
    <w:rsid w:val="0082681B"/>
    <w:rsid w:val="00826A8F"/>
    <w:rsid w:val="00834DEC"/>
    <w:rsid w:val="00856364"/>
    <w:rsid w:val="0087055C"/>
    <w:rsid w:val="00873649"/>
    <w:rsid w:val="00880E55"/>
    <w:rsid w:val="0088211D"/>
    <w:rsid w:val="00894091"/>
    <w:rsid w:val="00896304"/>
    <w:rsid w:val="008967F6"/>
    <w:rsid w:val="008A41DE"/>
    <w:rsid w:val="008A6AFD"/>
    <w:rsid w:val="008B4FAE"/>
    <w:rsid w:val="008C1AD7"/>
    <w:rsid w:val="008D43DD"/>
    <w:rsid w:val="008D45BC"/>
    <w:rsid w:val="008D4C0A"/>
    <w:rsid w:val="008E5870"/>
    <w:rsid w:val="008F1257"/>
    <w:rsid w:val="009045A9"/>
    <w:rsid w:val="0090587F"/>
    <w:rsid w:val="00906CD2"/>
    <w:rsid w:val="0090746F"/>
    <w:rsid w:val="00914C77"/>
    <w:rsid w:val="00916B4B"/>
    <w:rsid w:val="00917B23"/>
    <w:rsid w:val="009211CF"/>
    <w:rsid w:val="00923F74"/>
    <w:rsid w:val="0092566E"/>
    <w:rsid w:val="0092672C"/>
    <w:rsid w:val="00927F02"/>
    <w:rsid w:val="00930100"/>
    <w:rsid w:val="00930881"/>
    <w:rsid w:val="00942203"/>
    <w:rsid w:val="00942595"/>
    <w:rsid w:val="00954313"/>
    <w:rsid w:val="0096334F"/>
    <w:rsid w:val="0096478D"/>
    <w:rsid w:val="009756D9"/>
    <w:rsid w:val="00975AAB"/>
    <w:rsid w:val="009767F0"/>
    <w:rsid w:val="0098140D"/>
    <w:rsid w:val="009824E4"/>
    <w:rsid w:val="00984AE9"/>
    <w:rsid w:val="00990D69"/>
    <w:rsid w:val="009A018F"/>
    <w:rsid w:val="009A1575"/>
    <w:rsid w:val="009A5B57"/>
    <w:rsid w:val="009B1C8B"/>
    <w:rsid w:val="009B269B"/>
    <w:rsid w:val="009D5A0D"/>
    <w:rsid w:val="009D5E28"/>
    <w:rsid w:val="009F0CC5"/>
    <w:rsid w:val="009F1E94"/>
    <w:rsid w:val="009F3CB3"/>
    <w:rsid w:val="00A00001"/>
    <w:rsid w:val="00A031EB"/>
    <w:rsid w:val="00A12875"/>
    <w:rsid w:val="00A211D5"/>
    <w:rsid w:val="00A2173C"/>
    <w:rsid w:val="00A3083A"/>
    <w:rsid w:val="00A30DE9"/>
    <w:rsid w:val="00A33A00"/>
    <w:rsid w:val="00A33F37"/>
    <w:rsid w:val="00A37C06"/>
    <w:rsid w:val="00A40A43"/>
    <w:rsid w:val="00A477E7"/>
    <w:rsid w:val="00A5572C"/>
    <w:rsid w:val="00A56CF3"/>
    <w:rsid w:val="00A614FF"/>
    <w:rsid w:val="00A61FEB"/>
    <w:rsid w:val="00A63C78"/>
    <w:rsid w:val="00A65688"/>
    <w:rsid w:val="00A72372"/>
    <w:rsid w:val="00A80ACB"/>
    <w:rsid w:val="00A84680"/>
    <w:rsid w:val="00A91719"/>
    <w:rsid w:val="00A92580"/>
    <w:rsid w:val="00A96961"/>
    <w:rsid w:val="00AA0613"/>
    <w:rsid w:val="00AA3119"/>
    <w:rsid w:val="00AA349F"/>
    <w:rsid w:val="00AB7DC9"/>
    <w:rsid w:val="00AC014B"/>
    <w:rsid w:val="00AD6729"/>
    <w:rsid w:val="00AE68AB"/>
    <w:rsid w:val="00AF2610"/>
    <w:rsid w:val="00AF5FDC"/>
    <w:rsid w:val="00B00AF6"/>
    <w:rsid w:val="00B03B9C"/>
    <w:rsid w:val="00B13249"/>
    <w:rsid w:val="00B160A8"/>
    <w:rsid w:val="00B25705"/>
    <w:rsid w:val="00B264C9"/>
    <w:rsid w:val="00B267A1"/>
    <w:rsid w:val="00B36693"/>
    <w:rsid w:val="00B36F85"/>
    <w:rsid w:val="00B37755"/>
    <w:rsid w:val="00B41A86"/>
    <w:rsid w:val="00B467AB"/>
    <w:rsid w:val="00B5073B"/>
    <w:rsid w:val="00B51A44"/>
    <w:rsid w:val="00B541A3"/>
    <w:rsid w:val="00B56B07"/>
    <w:rsid w:val="00B56D6D"/>
    <w:rsid w:val="00B61E14"/>
    <w:rsid w:val="00B72968"/>
    <w:rsid w:val="00B75887"/>
    <w:rsid w:val="00B816E2"/>
    <w:rsid w:val="00B8781F"/>
    <w:rsid w:val="00B92F9E"/>
    <w:rsid w:val="00B943B8"/>
    <w:rsid w:val="00BA523D"/>
    <w:rsid w:val="00BA5C31"/>
    <w:rsid w:val="00BA7007"/>
    <w:rsid w:val="00BA7CCA"/>
    <w:rsid w:val="00BC3001"/>
    <w:rsid w:val="00BC5785"/>
    <w:rsid w:val="00BC5DEE"/>
    <w:rsid w:val="00BE228A"/>
    <w:rsid w:val="00BE76EE"/>
    <w:rsid w:val="00BE77B9"/>
    <w:rsid w:val="00BE791B"/>
    <w:rsid w:val="00BF0913"/>
    <w:rsid w:val="00C047B0"/>
    <w:rsid w:val="00C24C78"/>
    <w:rsid w:val="00C32D0A"/>
    <w:rsid w:val="00C40983"/>
    <w:rsid w:val="00C438D1"/>
    <w:rsid w:val="00C43C9B"/>
    <w:rsid w:val="00C4671D"/>
    <w:rsid w:val="00C47BB7"/>
    <w:rsid w:val="00C50041"/>
    <w:rsid w:val="00C5412A"/>
    <w:rsid w:val="00C554D8"/>
    <w:rsid w:val="00C65988"/>
    <w:rsid w:val="00C665B0"/>
    <w:rsid w:val="00C66D2C"/>
    <w:rsid w:val="00C735C3"/>
    <w:rsid w:val="00C75B3C"/>
    <w:rsid w:val="00C82702"/>
    <w:rsid w:val="00C82708"/>
    <w:rsid w:val="00C846EE"/>
    <w:rsid w:val="00C9526E"/>
    <w:rsid w:val="00C95DDB"/>
    <w:rsid w:val="00C961BE"/>
    <w:rsid w:val="00C96ADE"/>
    <w:rsid w:val="00CC3540"/>
    <w:rsid w:val="00CD1189"/>
    <w:rsid w:val="00CE4C17"/>
    <w:rsid w:val="00CF008F"/>
    <w:rsid w:val="00CF0D13"/>
    <w:rsid w:val="00CF657F"/>
    <w:rsid w:val="00CF6616"/>
    <w:rsid w:val="00D011BE"/>
    <w:rsid w:val="00D07BAE"/>
    <w:rsid w:val="00D14B85"/>
    <w:rsid w:val="00D224EA"/>
    <w:rsid w:val="00D2398A"/>
    <w:rsid w:val="00D24DB0"/>
    <w:rsid w:val="00D26966"/>
    <w:rsid w:val="00D601A1"/>
    <w:rsid w:val="00D60691"/>
    <w:rsid w:val="00D647E6"/>
    <w:rsid w:val="00D64CD1"/>
    <w:rsid w:val="00D679A1"/>
    <w:rsid w:val="00D733DF"/>
    <w:rsid w:val="00D76596"/>
    <w:rsid w:val="00DA3285"/>
    <w:rsid w:val="00DA545B"/>
    <w:rsid w:val="00DB3243"/>
    <w:rsid w:val="00DB5BFE"/>
    <w:rsid w:val="00DC4726"/>
    <w:rsid w:val="00DE33A4"/>
    <w:rsid w:val="00DE4CB7"/>
    <w:rsid w:val="00DE5086"/>
    <w:rsid w:val="00DF49AA"/>
    <w:rsid w:val="00E0567A"/>
    <w:rsid w:val="00E074AA"/>
    <w:rsid w:val="00E075D5"/>
    <w:rsid w:val="00E22F03"/>
    <w:rsid w:val="00E357F7"/>
    <w:rsid w:val="00E36356"/>
    <w:rsid w:val="00E37894"/>
    <w:rsid w:val="00E740E7"/>
    <w:rsid w:val="00E75158"/>
    <w:rsid w:val="00E838B7"/>
    <w:rsid w:val="00E83FF9"/>
    <w:rsid w:val="00E8444A"/>
    <w:rsid w:val="00E973C4"/>
    <w:rsid w:val="00EA05CF"/>
    <w:rsid w:val="00EB2AB5"/>
    <w:rsid w:val="00EC3BD5"/>
    <w:rsid w:val="00EC45AD"/>
    <w:rsid w:val="00ED3DA8"/>
    <w:rsid w:val="00EE0DDB"/>
    <w:rsid w:val="00F03369"/>
    <w:rsid w:val="00F04705"/>
    <w:rsid w:val="00F05886"/>
    <w:rsid w:val="00F07AE8"/>
    <w:rsid w:val="00F16678"/>
    <w:rsid w:val="00F419F7"/>
    <w:rsid w:val="00F44804"/>
    <w:rsid w:val="00F51713"/>
    <w:rsid w:val="00F618F7"/>
    <w:rsid w:val="00F63665"/>
    <w:rsid w:val="00F738E2"/>
    <w:rsid w:val="00F7570B"/>
    <w:rsid w:val="00F75A03"/>
    <w:rsid w:val="00FA18E5"/>
    <w:rsid w:val="00FA5F41"/>
    <w:rsid w:val="00FB5035"/>
    <w:rsid w:val="00FB738F"/>
    <w:rsid w:val="00FC1283"/>
    <w:rsid w:val="00FE3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C902B2"/>
  <w15:chartTrackingRefBased/>
  <w15:docId w15:val="{EC3D440C-ED28-40F3-B7E7-0AFAA8AA8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2F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2F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2F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2F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2F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2F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2F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2F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2F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F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2F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2F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2F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2F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2F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2F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2F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2F9E"/>
    <w:rPr>
      <w:rFonts w:eastAsiaTheme="majorEastAsia" w:cstheme="majorBidi"/>
      <w:color w:val="272727" w:themeColor="text1" w:themeTint="D8"/>
    </w:rPr>
  </w:style>
  <w:style w:type="paragraph" w:styleId="Title">
    <w:name w:val="Title"/>
    <w:basedOn w:val="Normal"/>
    <w:next w:val="Normal"/>
    <w:link w:val="TitleChar"/>
    <w:uiPriority w:val="10"/>
    <w:qFormat/>
    <w:rsid w:val="00B92F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2F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2F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2F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2F9E"/>
    <w:pPr>
      <w:spacing w:before="160"/>
      <w:jc w:val="center"/>
    </w:pPr>
    <w:rPr>
      <w:i/>
      <w:iCs/>
      <w:color w:val="404040" w:themeColor="text1" w:themeTint="BF"/>
    </w:rPr>
  </w:style>
  <w:style w:type="character" w:customStyle="1" w:styleId="QuoteChar">
    <w:name w:val="Quote Char"/>
    <w:basedOn w:val="DefaultParagraphFont"/>
    <w:link w:val="Quote"/>
    <w:uiPriority w:val="29"/>
    <w:rsid w:val="00B92F9E"/>
    <w:rPr>
      <w:i/>
      <w:iCs/>
      <w:color w:val="404040" w:themeColor="text1" w:themeTint="BF"/>
    </w:rPr>
  </w:style>
  <w:style w:type="paragraph" w:styleId="ListParagraph">
    <w:name w:val="List Paragraph"/>
    <w:basedOn w:val="Normal"/>
    <w:uiPriority w:val="34"/>
    <w:qFormat/>
    <w:rsid w:val="00B92F9E"/>
    <w:pPr>
      <w:ind w:left="720"/>
      <w:contextualSpacing/>
    </w:pPr>
  </w:style>
  <w:style w:type="character" w:styleId="IntenseEmphasis">
    <w:name w:val="Intense Emphasis"/>
    <w:basedOn w:val="DefaultParagraphFont"/>
    <w:uiPriority w:val="21"/>
    <w:qFormat/>
    <w:rsid w:val="00B92F9E"/>
    <w:rPr>
      <w:i/>
      <w:iCs/>
      <w:color w:val="0F4761" w:themeColor="accent1" w:themeShade="BF"/>
    </w:rPr>
  </w:style>
  <w:style w:type="paragraph" w:styleId="IntenseQuote">
    <w:name w:val="Intense Quote"/>
    <w:basedOn w:val="Normal"/>
    <w:next w:val="Normal"/>
    <w:link w:val="IntenseQuoteChar"/>
    <w:uiPriority w:val="30"/>
    <w:qFormat/>
    <w:rsid w:val="00B92F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2F9E"/>
    <w:rPr>
      <w:i/>
      <w:iCs/>
      <w:color w:val="0F4761" w:themeColor="accent1" w:themeShade="BF"/>
    </w:rPr>
  </w:style>
  <w:style w:type="character" w:styleId="IntenseReference">
    <w:name w:val="Intense Reference"/>
    <w:basedOn w:val="DefaultParagraphFont"/>
    <w:uiPriority w:val="32"/>
    <w:qFormat/>
    <w:rsid w:val="00B92F9E"/>
    <w:rPr>
      <w:b/>
      <w:bCs/>
      <w:smallCaps/>
      <w:color w:val="0F4761" w:themeColor="accent1" w:themeShade="BF"/>
      <w:spacing w:val="5"/>
    </w:rPr>
  </w:style>
  <w:style w:type="character" w:styleId="Strong">
    <w:name w:val="Strong"/>
    <w:basedOn w:val="DefaultParagraphFont"/>
    <w:uiPriority w:val="22"/>
    <w:qFormat/>
    <w:rsid w:val="006F4C31"/>
    <w:rPr>
      <w:b/>
      <w:bCs/>
    </w:rPr>
  </w:style>
  <w:style w:type="character" w:styleId="Hyperlink">
    <w:name w:val="Hyperlink"/>
    <w:basedOn w:val="DefaultParagraphFont"/>
    <w:uiPriority w:val="99"/>
    <w:unhideWhenUsed/>
    <w:rsid w:val="002335E3"/>
    <w:rPr>
      <w:color w:val="467886" w:themeColor="hyperlink"/>
      <w:u w:val="single"/>
    </w:rPr>
  </w:style>
  <w:style w:type="character" w:styleId="UnresolvedMention">
    <w:name w:val="Unresolved Mention"/>
    <w:basedOn w:val="DefaultParagraphFont"/>
    <w:uiPriority w:val="99"/>
    <w:semiHidden/>
    <w:unhideWhenUsed/>
    <w:rsid w:val="002335E3"/>
    <w:rPr>
      <w:color w:val="605E5C"/>
      <w:shd w:val="clear" w:color="auto" w:fill="E1DFDD"/>
    </w:rPr>
  </w:style>
  <w:style w:type="paragraph" w:customStyle="1" w:styleId="p1">
    <w:name w:val="p1"/>
    <w:basedOn w:val="Normal"/>
    <w:rsid w:val="00B56D6D"/>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B56D6D"/>
    <w:rPr>
      <w:rFonts w:ascii="Helvetica" w:hAnsi="Helvetica" w:hint="default"/>
      <w:b w:val="0"/>
      <w:bCs w:val="0"/>
      <w:i w:val="0"/>
      <w:iCs w:val="0"/>
      <w:sz w:val="18"/>
      <w:szCs w:val="18"/>
    </w:rPr>
  </w:style>
  <w:style w:type="character" w:customStyle="1" w:styleId="apple-converted-space">
    <w:name w:val="apple-converted-space"/>
    <w:basedOn w:val="DefaultParagraphFont"/>
    <w:rsid w:val="00F419F7"/>
  </w:style>
  <w:style w:type="character" w:styleId="FollowedHyperlink">
    <w:name w:val="FollowedHyperlink"/>
    <w:basedOn w:val="DefaultParagraphFont"/>
    <w:uiPriority w:val="99"/>
    <w:semiHidden/>
    <w:unhideWhenUsed/>
    <w:rsid w:val="00D733DF"/>
    <w:rPr>
      <w:color w:val="96607D" w:themeColor="followedHyperlink"/>
      <w:u w:val="single"/>
    </w:rPr>
  </w:style>
  <w:style w:type="paragraph" w:styleId="Bibliography">
    <w:name w:val="Bibliography"/>
    <w:basedOn w:val="Normal"/>
    <w:next w:val="Normal"/>
    <w:uiPriority w:val="37"/>
    <w:unhideWhenUsed/>
    <w:rsid w:val="009074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71193">
      <w:bodyDiv w:val="1"/>
      <w:marLeft w:val="0"/>
      <w:marRight w:val="0"/>
      <w:marTop w:val="0"/>
      <w:marBottom w:val="0"/>
      <w:divBdr>
        <w:top w:val="none" w:sz="0" w:space="0" w:color="auto"/>
        <w:left w:val="none" w:sz="0" w:space="0" w:color="auto"/>
        <w:bottom w:val="none" w:sz="0" w:space="0" w:color="auto"/>
        <w:right w:val="none" w:sz="0" w:space="0" w:color="auto"/>
      </w:divBdr>
    </w:div>
    <w:div w:id="36588723">
      <w:bodyDiv w:val="1"/>
      <w:marLeft w:val="0"/>
      <w:marRight w:val="0"/>
      <w:marTop w:val="0"/>
      <w:marBottom w:val="0"/>
      <w:divBdr>
        <w:top w:val="none" w:sz="0" w:space="0" w:color="auto"/>
        <w:left w:val="none" w:sz="0" w:space="0" w:color="auto"/>
        <w:bottom w:val="none" w:sz="0" w:space="0" w:color="auto"/>
        <w:right w:val="none" w:sz="0" w:space="0" w:color="auto"/>
      </w:divBdr>
    </w:div>
    <w:div w:id="69888419">
      <w:bodyDiv w:val="1"/>
      <w:marLeft w:val="0"/>
      <w:marRight w:val="0"/>
      <w:marTop w:val="0"/>
      <w:marBottom w:val="0"/>
      <w:divBdr>
        <w:top w:val="none" w:sz="0" w:space="0" w:color="auto"/>
        <w:left w:val="none" w:sz="0" w:space="0" w:color="auto"/>
        <w:bottom w:val="none" w:sz="0" w:space="0" w:color="auto"/>
        <w:right w:val="none" w:sz="0" w:space="0" w:color="auto"/>
      </w:divBdr>
    </w:div>
    <w:div w:id="77142914">
      <w:bodyDiv w:val="1"/>
      <w:marLeft w:val="0"/>
      <w:marRight w:val="0"/>
      <w:marTop w:val="0"/>
      <w:marBottom w:val="0"/>
      <w:divBdr>
        <w:top w:val="none" w:sz="0" w:space="0" w:color="auto"/>
        <w:left w:val="none" w:sz="0" w:space="0" w:color="auto"/>
        <w:bottom w:val="none" w:sz="0" w:space="0" w:color="auto"/>
        <w:right w:val="none" w:sz="0" w:space="0" w:color="auto"/>
      </w:divBdr>
    </w:div>
    <w:div w:id="82410531">
      <w:bodyDiv w:val="1"/>
      <w:marLeft w:val="0"/>
      <w:marRight w:val="0"/>
      <w:marTop w:val="0"/>
      <w:marBottom w:val="0"/>
      <w:divBdr>
        <w:top w:val="none" w:sz="0" w:space="0" w:color="auto"/>
        <w:left w:val="none" w:sz="0" w:space="0" w:color="auto"/>
        <w:bottom w:val="none" w:sz="0" w:space="0" w:color="auto"/>
        <w:right w:val="none" w:sz="0" w:space="0" w:color="auto"/>
      </w:divBdr>
    </w:div>
    <w:div w:id="90509803">
      <w:bodyDiv w:val="1"/>
      <w:marLeft w:val="0"/>
      <w:marRight w:val="0"/>
      <w:marTop w:val="0"/>
      <w:marBottom w:val="0"/>
      <w:divBdr>
        <w:top w:val="none" w:sz="0" w:space="0" w:color="auto"/>
        <w:left w:val="none" w:sz="0" w:space="0" w:color="auto"/>
        <w:bottom w:val="none" w:sz="0" w:space="0" w:color="auto"/>
        <w:right w:val="none" w:sz="0" w:space="0" w:color="auto"/>
      </w:divBdr>
    </w:div>
    <w:div w:id="101266131">
      <w:bodyDiv w:val="1"/>
      <w:marLeft w:val="0"/>
      <w:marRight w:val="0"/>
      <w:marTop w:val="0"/>
      <w:marBottom w:val="0"/>
      <w:divBdr>
        <w:top w:val="none" w:sz="0" w:space="0" w:color="auto"/>
        <w:left w:val="none" w:sz="0" w:space="0" w:color="auto"/>
        <w:bottom w:val="none" w:sz="0" w:space="0" w:color="auto"/>
        <w:right w:val="none" w:sz="0" w:space="0" w:color="auto"/>
      </w:divBdr>
    </w:div>
    <w:div w:id="109789673">
      <w:bodyDiv w:val="1"/>
      <w:marLeft w:val="0"/>
      <w:marRight w:val="0"/>
      <w:marTop w:val="0"/>
      <w:marBottom w:val="0"/>
      <w:divBdr>
        <w:top w:val="none" w:sz="0" w:space="0" w:color="auto"/>
        <w:left w:val="none" w:sz="0" w:space="0" w:color="auto"/>
        <w:bottom w:val="none" w:sz="0" w:space="0" w:color="auto"/>
        <w:right w:val="none" w:sz="0" w:space="0" w:color="auto"/>
      </w:divBdr>
    </w:div>
    <w:div w:id="111176250">
      <w:bodyDiv w:val="1"/>
      <w:marLeft w:val="0"/>
      <w:marRight w:val="0"/>
      <w:marTop w:val="0"/>
      <w:marBottom w:val="0"/>
      <w:divBdr>
        <w:top w:val="none" w:sz="0" w:space="0" w:color="auto"/>
        <w:left w:val="none" w:sz="0" w:space="0" w:color="auto"/>
        <w:bottom w:val="none" w:sz="0" w:space="0" w:color="auto"/>
        <w:right w:val="none" w:sz="0" w:space="0" w:color="auto"/>
      </w:divBdr>
    </w:div>
    <w:div w:id="154534208">
      <w:bodyDiv w:val="1"/>
      <w:marLeft w:val="0"/>
      <w:marRight w:val="0"/>
      <w:marTop w:val="0"/>
      <w:marBottom w:val="0"/>
      <w:divBdr>
        <w:top w:val="none" w:sz="0" w:space="0" w:color="auto"/>
        <w:left w:val="none" w:sz="0" w:space="0" w:color="auto"/>
        <w:bottom w:val="none" w:sz="0" w:space="0" w:color="auto"/>
        <w:right w:val="none" w:sz="0" w:space="0" w:color="auto"/>
      </w:divBdr>
    </w:div>
    <w:div w:id="164975091">
      <w:bodyDiv w:val="1"/>
      <w:marLeft w:val="0"/>
      <w:marRight w:val="0"/>
      <w:marTop w:val="0"/>
      <w:marBottom w:val="0"/>
      <w:divBdr>
        <w:top w:val="none" w:sz="0" w:space="0" w:color="auto"/>
        <w:left w:val="none" w:sz="0" w:space="0" w:color="auto"/>
        <w:bottom w:val="none" w:sz="0" w:space="0" w:color="auto"/>
        <w:right w:val="none" w:sz="0" w:space="0" w:color="auto"/>
      </w:divBdr>
    </w:div>
    <w:div w:id="168377029">
      <w:bodyDiv w:val="1"/>
      <w:marLeft w:val="0"/>
      <w:marRight w:val="0"/>
      <w:marTop w:val="0"/>
      <w:marBottom w:val="0"/>
      <w:divBdr>
        <w:top w:val="none" w:sz="0" w:space="0" w:color="auto"/>
        <w:left w:val="none" w:sz="0" w:space="0" w:color="auto"/>
        <w:bottom w:val="none" w:sz="0" w:space="0" w:color="auto"/>
        <w:right w:val="none" w:sz="0" w:space="0" w:color="auto"/>
      </w:divBdr>
    </w:div>
    <w:div w:id="192352134">
      <w:bodyDiv w:val="1"/>
      <w:marLeft w:val="0"/>
      <w:marRight w:val="0"/>
      <w:marTop w:val="0"/>
      <w:marBottom w:val="0"/>
      <w:divBdr>
        <w:top w:val="none" w:sz="0" w:space="0" w:color="auto"/>
        <w:left w:val="none" w:sz="0" w:space="0" w:color="auto"/>
        <w:bottom w:val="none" w:sz="0" w:space="0" w:color="auto"/>
        <w:right w:val="none" w:sz="0" w:space="0" w:color="auto"/>
      </w:divBdr>
    </w:div>
    <w:div w:id="215364076">
      <w:bodyDiv w:val="1"/>
      <w:marLeft w:val="0"/>
      <w:marRight w:val="0"/>
      <w:marTop w:val="0"/>
      <w:marBottom w:val="0"/>
      <w:divBdr>
        <w:top w:val="none" w:sz="0" w:space="0" w:color="auto"/>
        <w:left w:val="none" w:sz="0" w:space="0" w:color="auto"/>
        <w:bottom w:val="none" w:sz="0" w:space="0" w:color="auto"/>
        <w:right w:val="none" w:sz="0" w:space="0" w:color="auto"/>
      </w:divBdr>
    </w:div>
    <w:div w:id="217782601">
      <w:bodyDiv w:val="1"/>
      <w:marLeft w:val="0"/>
      <w:marRight w:val="0"/>
      <w:marTop w:val="0"/>
      <w:marBottom w:val="0"/>
      <w:divBdr>
        <w:top w:val="none" w:sz="0" w:space="0" w:color="auto"/>
        <w:left w:val="none" w:sz="0" w:space="0" w:color="auto"/>
        <w:bottom w:val="none" w:sz="0" w:space="0" w:color="auto"/>
        <w:right w:val="none" w:sz="0" w:space="0" w:color="auto"/>
      </w:divBdr>
    </w:div>
    <w:div w:id="246111078">
      <w:bodyDiv w:val="1"/>
      <w:marLeft w:val="0"/>
      <w:marRight w:val="0"/>
      <w:marTop w:val="0"/>
      <w:marBottom w:val="0"/>
      <w:divBdr>
        <w:top w:val="none" w:sz="0" w:space="0" w:color="auto"/>
        <w:left w:val="none" w:sz="0" w:space="0" w:color="auto"/>
        <w:bottom w:val="none" w:sz="0" w:space="0" w:color="auto"/>
        <w:right w:val="none" w:sz="0" w:space="0" w:color="auto"/>
      </w:divBdr>
    </w:div>
    <w:div w:id="271281498">
      <w:bodyDiv w:val="1"/>
      <w:marLeft w:val="0"/>
      <w:marRight w:val="0"/>
      <w:marTop w:val="0"/>
      <w:marBottom w:val="0"/>
      <w:divBdr>
        <w:top w:val="none" w:sz="0" w:space="0" w:color="auto"/>
        <w:left w:val="none" w:sz="0" w:space="0" w:color="auto"/>
        <w:bottom w:val="none" w:sz="0" w:space="0" w:color="auto"/>
        <w:right w:val="none" w:sz="0" w:space="0" w:color="auto"/>
      </w:divBdr>
    </w:div>
    <w:div w:id="288167910">
      <w:bodyDiv w:val="1"/>
      <w:marLeft w:val="0"/>
      <w:marRight w:val="0"/>
      <w:marTop w:val="0"/>
      <w:marBottom w:val="0"/>
      <w:divBdr>
        <w:top w:val="none" w:sz="0" w:space="0" w:color="auto"/>
        <w:left w:val="none" w:sz="0" w:space="0" w:color="auto"/>
        <w:bottom w:val="none" w:sz="0" w:space="0" w:color="auto"/>
        <w:right w:val="none" w:sz="0" w:space="0" w:color="auto"/>
      </w:divBdr>
    </w:div>
    <w:div w:id="304509546">
      <w:bodyDiv w:val="1"/>
      <w:marLeft w:val="0"/>
      <w:marRight w:val="0"/>
      <w:marTop w:val="0"/>
      <w:marBottom w:val="0"/>
      <w:divBdr>
        <w:top w:val="none" w:sz="0" w:space="0" w:color="auto"/>
        <w:left w:val="none" w:sz="0" w:space="0" w:color="auto"/>
        <w:bottom w:val="none" w:sz="0" w:space="0" w:color="auto"/>
        <w:right w:val="none" w:sz="0" w:space="0" w:color="auto"/>
      </w:divBdr>
    </w:div>
    <w:div w:id="309139496">
      <w:bodyDiv w:val="1"/>
      <w:marLeft w:val="0"/>
      <w:marRight w:val="0"/>
      <w:marTop w:val="0"/>
      <w:marBottom w:val="0"/>
      <w:divBdr>
        <w:top w:val="none" w:sz="0" w:space="0" w:color="auto"/>
        <w:left w:val="none" w:sz="0" w:space="0" w:color="auto"/>
        <w:bottom w:val="none" w:sz="0" w:space="0" w:color="auto"/>
        <w:right w:val="none" w:sz="0" w:space="0" w:color="auto"/>
      </w:divBdr>
    </w:div>
    <w:div w:id="314604052">
      <w:bodyDiv w:val="1"/>
      <w:marLeft w:val="0"/>
      <w:marRight w:val="0"/>
      <w:marTop w:val="0"/>
      <w:marBottom w:val="0"/>
      <w:divBdr>
        <w:top w:val="none" w:sz="0" w:space="0" w:color="auto"/>
        <w:left w:val="none" w:sz="0" w:space="0" w:color="auto"/>
        <w:bottom w:val="none" w:sz="0" w:space="0" w:color="auto"/>
        <w:right w:val="none" w:sz="0" w:space="0" w:color="auto"/>
      </w:divBdr>
    </w:div>
    <w:div w:id="320887508">
      <w:bodyDiv w:val="1"/>
      <w:marLeft w:val="0"/>
      <w:marRight w:val="0"/>
      <w:marTop w:val="0"/>
      <w:marBottom w:val="0"/>
      <w:divBdr>
        <w:top w:val="none" w:sz="0" w:space="0" w:color="auto"/>
        <w:left w:val="none" w:sz="0" w:space="0" w:color="auto"/>
        <w:bottom w:val="none" w:sz="0" w:space="0" w:color="auto"/>
        <w:right w:val="none" w:sz="0" w:space="0" w:color="auto"/>
      </w:divBdr>
    </w:div>
    <w:div w:id="327445943">
      <w:bodyDiv w:val="1"/>
      <w:marLeft w:val="0"/>
      <w:marRight w:val="0"/>
      <w:marTop w:val="0"/>
      <w:marBottom w:val="0"/>
      <w:divBdr>
        <w:top w:val="none" w:sz="0" w:space="0" w:color="auto"/>
        <w:left w:val="none" w:sz="0" w:space="0" w:color="auto"/>
        <w:bottom w:val="none" w:sz="0" w:space="0" w:color="auto"/>
        <w:right w:val="none" w:sz="0" w:space="0" w:color="auto"/>
      </w:divBdr>
    </w:div>
    <w:div w:id="329648738">
      <w:bodyDiv w:val="1"/>
      <w:marLeft w:val="0"/>
      <w:marRight w:val="0"/>
      <w:marTop w:val="0"/>
      <w:marBottom w:val="0"/>
      <w:divBdr>
        <w:top w:val="none" w:sz="0" w:space="0" w:color="auto"/>
        <w:left w:val="none" w:sz="0" w:space="0" w:color="auto"/>
        <w:bottom w:val="none" w:sz="0" w:space="0" w:color="auto"/>
        <w:right w:val="none" w:sz="0" w:space="0" w:color="auto"/>
      </w:divBdr>
    </w:div>
    <w:div w:id="339088783">
      <w:bodyDiv w:val="1"/>
      <w:marLeft w:val="0"/>
      <w:marRight w:val="0"/>
      <w:marTop w:val="0"/>
      <w:marBottom w:val="0"/>
      <w:divBdr>
        <w:top w:val="none" w:sz="0" w:space="0" w:color="auto"/>
        <w:left w:val="none" w:sz="0" w:space="0" w:color="auto"/>
        <w:bottom w:val="none" w:sz="0" w:space="0" w:color="auto"/>
        <w:right w:val="none" w:sz="0" w:space="0" w:color="auto"/>
      </w:divBdr>
    </w:div>
    <w:div w:id="339241114">
      <w:bodyDiv w:val="1"/>
      <w:marLeft w:val="0"/>
      <w:marRight w:val="0"/>
      <w:marTop w:val="0"/>
      <w:marBottom w:val="0"/>
      <w:divBdr>
        <w:top w:val="none" w:sz="0" w:space="0" w:color="auto"/>
        <w:left w:val="none" w:sz="0" w:space="0" w:color="auto"/>
        <w:bottom w:val="none" w:sz="0" w:space="0" w:color="auto"/>
        <w:right w:val="none" w:sz="0" w:space="0" w:color="auto"/>
      </w:divBdr>
    </w:div>
    <w:div w:id="371075705">
      <w:bodyDiv w:val="1"/>
      <w:marLeft w:val="0"/>
      <w:marRight w:val="0"/>
      <w:marTop w:val="0"/>
      <w:marBottom w:val="0"/>
      <w:divBdr>
        <w:top w:val="none" w:sz="0" w:space="0" w:color="auto"/>
        <w:left w:val="none" w:sz="0" w:space="0" w:color="auto"/>
        <w:bottom w:val="none" w:sz="0" w:space="0" w:color="auto"/>
        <w:right w:val="none" w:sz="0" w:space="0" w:color="auto"/>
      </w:divBdr>
    </w:div>
    <w:div w:id="372119579">
      <w:bodyDiv w:val="1"/>
      <w:marLeft w:val="0"/>
      <w:marRight w:val="0"/>
      <w:marTop w:val="0"/>
      <w:marBottom w:val="0"/>
      <w:divBdr>
        <w:top w:val="none" w:sz="0" w:space="0" w:color="auto"/>
        <w:left w:val="none" w:sz="0" w:space="0" w:color="auto"/>
        <w:bottom w:val="none" w:sz="0" w:space="0" w:color="auto"/>
        <w:right w:val="none" w:sz="0" w:space="0" w:color="auto"/>
      </w:divBdr>
    </w:div>
    <w:div w:id="407533786">
      <w:bodyDiv w:val="1"/>
      <w:marLeft w:val="0"/>
      <w:marRight w:val="0"/>
      <w:marTop w:val="0"/>
      <w:marBottom w:val="0"/>
      <w:divBdr>
        <w:top w:val="none" w:sz="0" w:space="0" w:color="auto"/>
        <w:left w:val="none" w:sz="0" w:space="0" w:color="auto"/>
        <w:bottom w:val="none" w:sz="0" w:space="0" w:color="auto"/>
        <w:right w:val="none" w:sz="0" w:space="0" w:color="auto"/>
      </w:divBdr>
    </w:div>
    <w:div w:id="430321441">
      <w:bodyDiv w:val="1"/>
      <w:marLeft w:val="0"/>
      <w:marRight w:val="0"/>
      <w:marTop w:val="0"/>
      <w:marBottom w:val="0"/>
      <w:divBdr>
        <w:top w:val="none" w:sz="0" w:space="0" w:color="auto"/>
        <w:left w:val="none" w:sz="0" w:space="0" w:color="auto"/>
        <w:bottom w:val="none" w:sz="0" w:space="0" w:color="auto"/>
        <w:right w:val="none" w:sz="0" w:space="0" w:color="auto"/>
      </w:divBdr>
    </w:div>
    <w:div w:id="457992766">
      <w:bodyDiv w:val="1"/>
      <w:marLeft w:val="0"/>
      <w:marRight w:val="0"/>
      <w:marTop w:val="0"/>
      <w:marBottom w:val="0"/>
      <w:divBdr>
        <w:top w:val="none" w:sz="0" w:space="0" w:color="auto"/>
        <w:left w:val="none" w:sz="0" w:space="0" w:color="auto"/>
        <w:bottom w:val="none" w:sz="0" w:space="0" w:color="auto"/>
        <w:right w:val="none" w:sz="0" w:space="0" w:color="auto"/>
      </w:divBdr>
    </w:div>
    <w:div w:id="458575305">
      <w:bodyDiv w:val="1"/>
      <w:marLeft w:val="0"/>
      <w:marRight w:val="0"/>
      <w:marTop w:val="0"/>
      <w:marBottom w:val="0"/>
      <w:divBdr>
        <w:top w:val="none" w:sz="0" w:space="0" w:color="auto"/>
        <w:left w:val="none" w:sz="0" w:space="0" w:color="auto"/>
        <w:bottom w:val="none" w:sz="0" w:space="0" w:color="auto"/>
        <w:right w:val="none" w:sz="0" w:space="0" w:color="auto"/>
      </w:divBdr>
    </w:div>
    <w:div w:id="475073584">
      <w:bodyDiv w:val="1"/>
      <w:marLeft w:val="0"/>
      <w:marRight w:val="0"/>
      <w:marTop w:val="0"/>
      <w:marBottom w:val="0"/>
      <w:divBdr>
        <w:top w:val="none" w:sz="0" w:space="0" w:color="auto"/>
        <w:left w:val="none" w:sz="0" w:space="0" w:color="auto"/>
        <w:bottom w:val="none" w:sz="0" w:space="0" w:color="auto"/>
        <w:right w:val="none" w:sz="0" w:space="0" w:color="auto"/>
      </w:divBdr>
    </w:div>
    <w:div w:id="526910307">
      <w:bodyDiv w:val="1"/>
      <w:marLeft w:val="0"/>
      <w:marRight w:val="0"/>
      <w:marTop w:val="0"/>
      <w:marBottom w:val="0"/>
      <w:divBdr>
        <w:top w:val="none" w:sz="0" w:space="0" w:color="auto"/>
        <w:left w:val="none" w:sz="0" w:space="0" w:color="auto"/>
        <w:bottom w:val="none" w:sz="0" w:space="0" w:color="auto"/>
        <w:right w:val="none" w:sz="0" w:space="0" w:color="auto"/>
      </w:divBdr>
    </w:div>
    <w:div w:id="538934118">
      <w:bodyDiv w:val="1"/>
      <w:marLeft w:val="0"/>
      <w:marRight w:val="0"/>
      <w:marTop w:val="0"/>
      <w:marBottom w:val="0"/>
      <w:divBdr>
        <w:top w:val="none" w:sz="0" w:space="0" w:color="auto"/>
        <w:left w:val="none" w:sz="0" w:space="0" w:color="auto"/>
        <w:bottom w:val="none" w:sz="0" w:space="0" w:color="auto"/>
        <w:right w:val="none" w:sz="0" w:space="0" w:color="auto"/>
      </w:divBdr>
    </w:div>
    <w:div w:id="541097510">
      <w:bodyDiv w:val="1"/>
      <w:marLeft w:val="0"/>
      <w:marRight w:val="0"/>
      <w:marTop w:val="0"/>
      <w:marBottom w:val="0"/>
      <w:divBdr>
        <w:top w:val="none" w:sz="0" w:space="0" w:color="auto"/>
        <w:left w:val="none" w:sz="0" w:space="0" w:color="auto"/>
        <w:bottom w:val="none" w:sz="0" w:space="0" w:color="auto"/>
        <w:right w:val="none" w:sz="0" w:space="0" w:color="auto"/>
      </w:divBdr>
    </w:div>
    <w:div w:id="550189711">
      <w:bodyDiv w:val="1"/>
      <w:marLeft w:val="0"/>
      <w:marRight w:val="0"/>
      <w:marTop w:val="0"/>
      <w:marBottom w:val="0"/>
      <w:divBdr>
        <w:top w:val="none" w:sz="0" w:space="0" w:color="auto"/>
        <w:left w:val="none" w:sz="0" w:space="0" w:color="auto"/>
        <w:bottom w:val="none" w:sz="0" w:space="0" w:color="auto"/>
        <w:right w:val="none" w:sz="0" w:space="0" w:color="auto"/>
      </w:divBdr>
    </w:div>
    <w:div w:id="555819181">
      <w:bodyDiv w:val="1"/>
      <w:marLeft w:val="0"/>
      <w:marRight w:val="0"/>
      <w:marTop w:val="0"/>
      <w:marBottom w:val="0"/>
      <w:divBdr>
        <w:top w:val="none" w:sz="0" w:space="0" w:color="auto"/>
        <w:left w:val="none" w:sz="0" w:space="0" w:color="auto"/>
        <w:bottom w:val="none" w:sz="0" w:space="0" w:color="auto"/>
        <w:right w:val="none" w:sz="0" w:space="0" w:color="auto"/>
      </w:divBdr>
    </w:div>
    <w:div w:id="622031009">
      <w:bodyDiv w:val="1"/>
      <w:marLeft w:val="0"/>
      <w:marRight w:val="0"/>
      <w:marTop w:val="0"/>
      <w:marBottom w:val="0"/>
      <w:divBdr>
        <w:top w:val="none" w:sz="0" w:space="0" w:color="auto"/>
        <w:left w:val="none" w:sz="0" w:space="0" w:color="auto"/>
        <w:bottom w:val="none" w:sz="0" w:space="0" w:color="auto"/>
        <w:right w:val="none" w:sz="0" w:space="0" w:color="auto"/>
      </w:divBdr>
    </w:div>
    <w:div w:id="655765267">
      <w:bodyDiv w:val="1"/>
      <w:marLeft w:val="0"/>
      <w:marRight w:val="0"/>
      <w:marTop w:val="0"/>
      <w:marBottom w:val="0"/>
      <w:divBdr>
        <w:top w:val="none" w:sz="0" w:space="0" w:color="auto"/>
        <w:left w:val="none" w:sz="0" w:space="0" w:color="auto"/>
        <w:bottom w:val="none" w:sz="0" w:space="0" w:color="auto"/>
        <w:right w:val="none" w:sz="0" w:space="0" w:color="auto"/>
      </w:divBdr>
    </w:div>
    <w:div w:id="675814436">
      <w:bodyDiv w:val="1"/>
      <w:marLeft w:val="0"/>
      <w:marRight w:val="0"/>
      <w:marTop w:val="0"/>
      <w:marBottom w:val="0"/>
      <w:divBdr>
        <w:top w:val="none" w:sz="0" w:space="0" w:color="auto"/>
        <w:left w:val="none" w:sz="0" w:space="0" w:color="auto"/>
        <w:bottom w:val="none" w:sz="0" w:space="0" w:color="auto"/>
        <w:right w:val="none" w:sz="0" w:space="0" w:color="auto"/>
      </w:divBdr>
    </w:div>
    <w:div w:id="705983088">
      <w:bodyDiv w:val="1"/>
      <w:marLeft w:val="0"/>
      <w:marRight w:val="0"/>
      <w:marTop w:val="0"/>
      <w:marBottom w:val="0"/>
      <w:divBdr>
        <w:top w:val="none" w:sz="0" w:space="0" w:color="auto"/>
        <w:left w:val="none" w:sz="0" w:space="0" w:color="auto"/>
        <w:bottom w:val="none" w:sz="0" w:space="0" w:color="auto"/>
        <w:right w:val="none" w:sz="0" w:space="0" w:color="auto"/>
      </w:divBdr>
    </w:div>
    <w:div w:id="721439028">
      <w:bodyDiv w:val="1"/>
      <w:marLeft w:val="0"/>
      <w:marRight w:val="0"/>
      <w:marTop w:val="0"/>
      <w:marBottom w:val="0"/>
      <w:divBdr>
        <w:top w:val="none" w:sz="0" w:space="0" w:color="auto"/>
        <w:left w:val="none" w:sz="0" w:space="0" w:color="auto"/>
        <w:bottom w:val="none" w:sz="0" w:space="0" w:color="auto"/>
        <w:right w:val="none" w:sz="0" w:space="0" w:color="auto"/>
      </w:divBdr>
    </w:div>
    <w:div w:id="731347495">
      <w:bodyDiv w:val="1"/>
      <w:marLeft w:val="0"/>
      <w:marRight w:val="0"/>
      <w:marTop w:val="0"/>
      <w:marBottom w:val="0"/>
      <w:divBdr>
        <w:top w:val="none" w:sz="0" w:space="0" w:color="auto"/>
        <w:left w:val="none" w:sz="0" w:space="0" w:color="auto"/>
        <w:bottom w:val="none" w:sz="0" w:space="0" w:color="auto"/>
        <w:right w:val="none" w:sz="0" w:space="0" w:color="auto"/>
      </w:divBdr>
    </w:div>
    <w:div w:id="735317361">
      <w:bodyDiv w:val="1"/>
      <w:marLeft w:val="0"/>
      <w:marRight w:val="0"/>
      <w:marTop w:val="0"/>
      <w:marBottom w:val="0"/>
      <w:divBdr>
        <w:top w:val="none" w:sz="0" w:space="0" w:color="auto"/>
        <w:left w:val="none" w:sz="0" w:space="0" w:color="auto"/>
        <w:bottom w:val="none" w:sz="0" w:space="0" w:color="auto"/>
        <w:right w:val="none" w:sz="0" w:space="0" w:color="auto"/>
      </w:divBdr>
    </w:div>
    <w:div w:id="750852020">
      <w:bodyDiv w:val="1"/>
      <w:marLeft w:val="0"/>
      <w:marRight w:val="0"/>
      <w:marTop w:val="0"/>
      <w:marBottom w:val="0"/>
      <w:divBdr>
        <w:top w:val="none" w:sz="0" w:space="0" w:color="auto"/>
        <w:left w:val="none" w:sz="0" w:space="0" w:color="auto"/>
        <w:bottom w:val="none" w:sz="0" w:space="0" w:color="auto"/>
        <w:right w:val="none" w:sz="0" w:space="0" w:color="auto"/>
      </w:divBdr>
    </w:div>
    <w:div w:id="761755030">
      <w:bodyDiv w:val="1"/>
      <w:marLeft w:val="0"/>
      <w:marRight w:val="0"/>
      <w:marTop w:val="0"/>
      <w:marBottom w:val="0"/>
      <w:divBdr>
        <w:top w:val="none" w:sz="0" w:space="0" w:color="auto"/>
        <w:left w:val="none" w:sz="0" w:space="0" w:color="auto"/>
        <w:bottom w:val="none" w:sz="0" w:space="0" w:color="auto"/>
        <w:right w:val="none" w:sz="0" w:space="0" w:color="auto"/>
      </w:divBdr>
    </w:div>
    <w:div w:id="781532690">
      <w:bodyDiv w:val="1"/>
      <w:marLeft w:val="0"/>
      <w:marRight w:val="0"/>
      <w:marTop w:val="0"/>
      <w:marBottom w:val="0"/>
      <w:divBdr>
        <w:top w:val="none" w:sz="0" w:space="0" w:color="auto"/>
        <w:left w:val="none" w:sz="0" w:space="0" w:color="auto"/>
        <w:bottom w:val="none" w:sz="0" w:space="0" w:color="auto"/>
        <w:right w:val="none" w:sz="0" w:space="0" w:color="auto"/>
      </w:divBdr>
    </w:div>
    <w:div w:id="803472002">
      <w:bodyDiv w:val="1"/>
      <w:marLeft w:val="0"/>
      <w:marRight w:val="0"/>
      <w:marTop w:val="0"/>
      <w:marBottom w:val="0"/>
      <w:divBdr>
        <w:top w:val="none" w:sz="0" w:space="0" w:color="auto"/>
        <w:left w:val="none" w:sz="0" w:space="0" w:color="auto"/>
        <w:bottom w:val="none" w:sz="0" w:space="0" w:color="auto"/>
        <w:right w:val="none" w:sz="0" w:space="0" w:color="auto"/>
      </w:divBdr>
    </w:div>
    <w:div w:id="827016263">
      <w:bodyDiv w:val="1"/>
      <w:marLeft w:val="0"/>
      <w:marRight w:val="0"/>
      <w:marTop w:val="0"/>
      <w:marBottom w:val="0"/>
      <w:divBdr>
        <w:top w:val="none" w:sz="0" w:space="0" w:color="auto"/>
        <w:left w:val="none" w:sz="0" w:space="0" w:color="auto"/>
        <w:bottom w:val="none" w:sz="0" w:space="0" w:color="auto"/>
        <w:right w:val="none" w:sz="0" w:space="0" w:color="auto"/>
      </w:divBdr>
    </w:div>
    <w:div w:id="831943810">
      <w:bodyDiv w:val="1"/>
      <w:marLeft w:val="0"/>
      <w:marRight w:val="0"/>
      <w:marTop w:val="0"/>
      <w:marBottom w:val="0"/>
      <w:divBdr>
        <w:top w:val="none" w:sz="0" w:space="0" w:color="auto"/>
        <w:left w:val="none" w:sz="0" w:space="0" w:color="auto"/>
        <w:bottom w:val="none" w:sz="0" w:space="0" w:color="auto"/>
        <w:right w:val="none" w:sz="0" w:space="0" w:color="auto"/>
      </w:divBdr>
    </w:div>
    <w:div w:id="834296189">
      <w:bodyDiv w:val="1"/>
      <w:marLeft w:val="0"/>
      <w:marRight w:val="0"/>
      <w:marTop w:val="0"/>
      <w:marBottom w:val="0"/>
      <w:divBdr>
        <w:top w:val="none" w:sz="0" w:space="0" w:color="auto"/>
        <w:left w:val="none" w:sz="0" w:space="0" w:color="auto"/>
        <w:bottom w:val="none" w:sz="0" w:space="0" w:color="auto"/>
        <w:right w:val="none" w:sz="0" w:space="0" w:color="auto"/>
      </w:divBdr>
    </w:div>
    <w:div w:id="858197366">
      <w:bodyDiv w:val="1"/>
      <w:marLeft w:val="0"/>
      <w:marRight w:val="0"/>
      <w:marTop w:val="0"/>
      <w:marBottom w:val="0"/>
      <w:divBdr>
        <w:top w:val="none" w:sz="0" w:space="0" w:color="auto"/>
        <w:left w:val="none" w:sz="0" w:space="0" w:color="auto"/>
        <w:bottom w:val="none" w:sz="0" w:space="0" w:color="auto"/>
        <w:right w:val="none" w:sz="0" w:space="0" w:color="auto"/>
      </w:divBdr>
    </w:div>
    <w:div w:id="880362959">
      <w:bodyDiv w:val="1"/>
      <w:marLeft w:val="0"/>
      <w:marRight w:val="0"/>
      <w:marTop w:val="0"/>
      <w:marBottom w:val="0"/>
      <w:divBdr>
        <w:top w:val="none" w:sz="0" w:space="0" w:color="auto"/>
        <w:left w:val="none" w:sz="0" w:space="0" w:color="auto"/>
        <w:bottom w:val="none" w:sz="0" w:space="0" w:color="auto"/>
        <w:right w:val="none" w:sz="0" w:space="0" w:color="auto"/>
      </w:divBdr>
    </w:div>
    <w:div w:id="892155344">
      <w:bodyDiv w:val="1"/>
      <w:marLeft w:val="0"/>
      <w:marRight w:val="0"/>
      <w:marTop w:val="0"/>
      <w:marBottom w:val="0"/>
      <w:divBdr>
        <w:top w:val="none" w:sz="0" w:space="0" w:color="auto"/>
        <w:left w:val="none" w:sz="0" w:space="0" w:color="auto"/>
        <w:bottom w:val="none" w:sz="0" w:space="0" w:color="auto"/>
        <w:right w:val="none" w:sz="0" w:space="0" w:color="auto"/>
      </w:divBdr>
    </w:div>
    <w:div w:id="916860132">
      <w:bodyDiv w:val="1"/>
      <w:marLeft w:val="0"/>
      <w:marRight w:val="0"/>
      <w:marTop w:val="0"/>
      <w:marBottom w:val="0"/>
      <w:divBdr>
        <w:top w:val="none" w:sz="0" w:space="0" w:color="auto"/>
        <w:left w:val="none" w:sz="0" w:space="0" w:color="auto"/>
        <w:bottom w:val="none" w:sz="0" w:space="0" w:color="auto"/>
        <w:right w:val="none" w:sz="0" w:space="0" w:color="auto"/>
      </w:divBdr>
    </w:div>
    <w:div w:id="919363173">
      <w:bodyDiv w:val="1"/>
      <w:marLeft w:val="0"/>
      <w:marRight w:val="0"/>
      <w:marTop w:val="0"/>
      <w:marBottom w:val="0"/>
      <w:divBdr>
        <w:top w:val="none" w:sz="0" w:space="0" w:color="auto"/>
        <w:left w:val="none" w:sz="0" w:space="0" w:color="auto"/>
        <w:bottom w:val="none" w:sz="0" w:space="0" w:color="auto"/>
        <w:right w:val="none" w:sz="0" w:space="0" w:color="auto"/>
      </w:divBdr>
    </w:div>
    <w:div w:id="930243146">
      <w:bodyDiv w:val="1"/>
      <w:marLeft w:val="0"/>
      <w:marRight w:val="0"/>
      <w:marTop w:val="0"/>
      <w:marBottom w:val="0"/>
      <w:divBdr>
        <w:top w:val="none" w:sz="0" w:space="0" w:color="auto"/>
        <w:left w:val="none" w:sz="0" w:space="0" w:color="auto"/>
        <w:bottom w:val="none" w:sz="0" w:space="0" w:color="auto"/>
        <w:right w:val="none" w:sz="0" w:space="0" w:color="auto"/>
      </w:divBdr>
    </w:div>
    <w:div w:id="935989869">
      <w:bodyDiv w:val="1"/>
      <w:marLeft w:val="0"/>
      <w:marRight w:val="0"/>
      <w:marTop w:val="0"/>
      <w:marBottom w:val="0"/>
      <w:divBdr>
        <w:top w:val="none" w:sz="0" w:space="0" w:color="auto"/>
        <w:left w:val="none" w:sz="0" w:space="0" w:color="auto"/>
        <w:bottom w:val="none" w:sz="0" w:space="0" w:color="auto"/>
        <w:right w:val="none" w:sz="0" w:space="0" w:color="auto"/>
      </w:divBdr>
    </w:div>
    <w:div w:id="957222082">
      <w:bodyDiv w:val="1"/>
      <w:marLeft w:val="0"/>
      <w:marRight w:val="0"/>
      <w:marTop w:val="0"/>
      <w:marBottom w:val="0"/>
      <w:divBdr>
        <w:top w:val="none" w:sz="0" w:space="0" w:color="auto"/>
        <w:left w:val="none" w:sz="0" w:space="0" w:color="auto"/>
        <w:bottom w:val="none" w:sz="0" w:space="0" w:color="auto"/>
        <w:right w:val="none" w:sz="0" w:space="0" w:color="auto"/>
      </w:divBdr>
    </w:div>
    <w:div w:id="958949357">
      <w:bodyDiv w:val="1"/>
      <w:marLeft w:val="0"/>
      <w:marRight w:val="0"/>
      <w:marTop w:val="0"/>
      <w:marBottom w:val="0"/>
      <w:divBdr>
        <w:top w:val="none" w:sz="0" w:space="0" w:color="auto"/>
        <w:left w:val="none" w:sz="0" w:space="0" w:color="auto"/>
        <w:bottom w:val="none" w:sz="0" w:space="0" w:color="auto"/>
        <w:right w:val="none" w:sz="0" w:space="0" w:color="auto"/>
      </w:divBdr>
    </w:div>
    <w:div w:id="968239429">
      <w:bodyDiv w:val="1"/>
      <w:marLeft w:val="0"/>
      <w:marRight w:val="0"/>
      <w:marTop w:val="0"/>
      <w:marBottom w:val="0"/>
      <w:divBdr>
        <w:top w:val="none" w:sz="0" w:space="0" w:color="auto"/>
        <w:left w:val="none" w:sz="0" w:space="0" w:color="auto"/>
        <w:bottom w:val="none" w:sz="0" w:space="0" w:color="auto"/>
        <w:right w:val="none" w:sz="0" w:space="0" w:color="auto"/>
      </w:divBdr>
    </w:div>
    <w:div w:id="986979680">
      <w:bodyDiv w:val="1"/>
      <w:marLeft w:val="0"/>
      <w:marRight w:val="0"/>
      <w:marTop w:val="0"/>
      <w:marBottom w:val="0"/>
      <w:divBdr>
        <w:top w:val="none" w:sz="0" w:space="0" w:color="auto"/>
        <w:left w:val="none" w:sz="0" w:space="0" w:color="auto"/>
        <w:bottom w:val="none" w:sz="0" w:space="0" w:color="auto"/>
        <w:right w:val="none" w:sz="0" w:space="0" w:color="auto"/>
      </w:divBdr>
    </w:div>
    <w:div w:id="1000742190">
      <w:bodyDiv w:val="1"/>
      <w:marLeft w:val="0"/>
      <w:marRight w:val="0"/>
      <w:marTop w:val="0"/>
      <w:marBottom w:val="0"/>
      <w:divBdr>
        <w:top w:val="none" w:sz="0" w:space="0" w:color="auto"/>
        <w:left w:val="none" w:sz="0" w:space="0" w:color="auto"/>
        <w:bottom w:val="none" w:sz="0" w:space="0" w:color="auto"/>
        <w:right w:val="none" w:sz="0" w:space="0" w:color="auto"/>
      </w:divBdr>
    </w:div>
    <w:div w:id="1034891798">
      <w:bodyDiv w:val="1"/>
      <w:marLeft w:val="0"/>
      <w:marRight w:val="0"/>
      <w:marTop w:val="0"/>
      <w:marBottom w:val="0"/>
      <w:divBdr>
        <w:top w:val="none" w:sz="0" w:space="0" w:color="auto"/>
        <w:left w:val="none" w:sz="0" w:space="0" w:color="auto"/>
        <w:bottom w:val="none" w:sz="0" w:space="0" w:color="auto"/>
        <w:right w:val="none" w:sz="0" w:space="0" w:color="auto"/>
      </w:divBdr>
    </w:div>
    <w:div w:id="1035078835">
      <w:bodyDiv w:val="1"/>
      <w:marLeft w:val="0"/>
      <w:marRight w:val="0"/>
      <w:marTop w:val="0"/>
      <w:marBottom w:val="0"/>
      <w:divBdr>
        <w:top w:val="none" w:sz="0" w:space="0" w:color="auto"/>
        <w:left w:val="none" w:sz="0" w:space="0" w:color="auto"/>
        <w:bottom w:val="none" w:sz="0" w:space="0" w:color="auto"/>
        <w:right w:val="none" w:sz="0" w:space="0" w:color="auto"/>
      </w:divBdr>
    </w:div>
    <w:div w:id="1037897368">
      <w:bodyDiv w:val="1"/>
      <w:marLeft w:val="0"/>
      <w:marRight w:val="0"/>
      <w:marTop w:val="0"/>
      <w:marBottom w:val="0"/>
      <w:divBdr>
        <w:top w:val="none" w:sz="0" w:space="0" w:color="auto"/>
        <w:left w:val="none" w:sz="0" w:space="0" w:color="auto"/>
        <w:bottom w:val="none" w:sz="0" w:space="0" w:color="auto"/>
        <w:right w:val="none" w:sz="0" w:space="0" w:color="auto"/>
      </w:divBdr>
    </w:div>
    <w:div w:id="1062876155">
      <w:bodyDiv w:val="1"/>
      <w:marLeft w:val="0"/>
      <w:marRight w:val="0"/>
      <w:marTop w:val="0"/>
      <w:marBottom w:val="0"/>
      <w:divBdr>
        <w:top w:val="none" w:sz="0" w:space="0" w:color="auto"/>
        <w:left w:val="none" w:sz="0" w:space="0" w:color="auto"/>
        <w:bottom w:val="none" w:sz="0" w:space="0" w:color="auto"/>
        <w:right w:val="none" w:sz="0" w:space="0" w:color="auto"/>
      </w:divBdr>
    </w:div>
    <w:div w:id="1117213055">
      <w:bodyDiv w:val="1"/>
      <w:marLeft w:val="0"/>
      <w:marRight w:val="0"/>
      <w:marTop w:val="0"/>
      <w:marBottom w:val="0"/>
      <w:divBdr>
        <w:top w:val="none" w:sz="0" w:space="0" w:color="auto"/>
        <w:left w:val="none" w:sz="0" w:space="0" w:color="auto"/>
        <w:bottom w:val="none" w:sz="0" w:space="0" w:color="auto"/>
        <w:right w:val="none" w:sz="0" w:space="0" w:color="auto"/>
      </w:divBdr>
    </w:div>
    <w:div w:id="1159425263">
      <w:bodyDiv w:val="1"/>
      <w:marLeft w:val="0"/>
      <w:marRight w:val="0"/>
      <w:marTop w:val="0"/>
      <w:marBottom w:val="0"/>
      <w:divBdr>
        <w:top w:val="none" w:sz="0" w:space="0" w:color="auto"/>
        <w:left w:val="none" w:sz="0" w:space="0" w:color="auto"/>
        <w:bottom w:val="none" w:sz="0" w:space="0" w:color="auto"/>
        <w:right w:val="none" w:sz="0" w:space="0" w:color="auto"/>
      </w:divBdr>
    </w:div>
    <w:div w:id="1165321140">
      <w:bodyDiv w:val="1"/>
      <w:marLeft w:val="0"/>
      <w:marRight w:val="0"/>
      <w:marTop w:val="0"/>
      <w:marBottom w:val="0"/>
      <w:divBdr>
        <w:top w:val="none" w:sz="0" w:space="0" w:color="auto"/>
        <w:left w:val="none" w:sz="0" w:space="0" w:color="auto"/>
        <w:bottom w:val="none" w:sz="0" w:space="0" w:color="auto"/>
        <w:right w:val="none" w:sz="0" w:space="0" w:color="auto"/>
      </w:divBdr>
    </w:div>
    <w:div w:id="1206529763">
      <w:bodyDiv w:val="1"/>
      <w:marLeft w:val="0"/>
      <w:marRight w:val="0"/>
      <w:marTop w:val="0"/>
      <w:marBottom w:val="0"/>
      <w:divBdr>
        <w:top w:val="none" w:sz="0" w:space="0" w:color="auto"/>
        <w:left w:val="none" w:sz="0" w:space="0" w:color="auto"/>
        <w:bottom w:val="none" w:sz="0" w:space="0" w:color="auto"/>
        <w:right w:val="none" w:sz="0" w:space="0" w:color="auto"/>
      </w:divBdr>
    </w:div>
    <w:div w:id="1259098943">
      <w:bodyDiv w:val="1"/>
      <w:marLeft w:val="0"/>
      <w:marRight w:val="0"/>
      <w:marTop w:val="0"/>
      <w:marBottom w:val="0"/>
      <w:divBdr>
        <w:top w:val="none" w:sz="0" w:space="0" w:color="auto"/>
        <w:left w:val="none" w:sz="0" w:space="0" w:color="auto"/>
        <w:bottom w:val="none" w:sz="0" w:space="0" w:color="auto"/>
        <w:right w:val="none" w:sz="0" w:space="0" w:color="auto"/>
      </w:divBdr>
    </w:div>
    <w:div w:id="1283807309">
      <w:bodyDiv w:val="1"/>
      <w:marLeft w:val="0"/>
      <w:marRight w:val="0"/>
      <w:marTop w:val="0"/>
      <w:marBottom w:val="0"/>
      <w:divBdr>
        <w:top w:val="none" w:sz="0" w:space="0" w:color="auto"/>
        <w:left w:val="none" w:sz="0" w:space="0" w:color="auto"/>
        <w:bottom w:val="none" w:sz="0" w:space="0" w:color="auto"/>
        <w:right w:val="none" w:sz="0" w:space="0" w:color="auto"/>
      </w:divBdr>
    </w:div>
    <w:div w:id="1299458008">
      <w:bodyDiv w:val="1"/>
      <w:marLeft w:val="0"/>
      <w:marRight w:val="0"/>
      <w:marTop w:val="0"/>
      <w:marBottom w:val="0"/>
      <w:divBdr>
        <w:top w:val="none" w:sz="0" w:space="0" w:color="auto"/>
        <w:left w:val="none" w:sz="0" w:space="0" w:color="auto"/>
        <w:bottom w:val="none" w:sz="0" w:space="0" w:color="auto"/>
        <w:right w:val="none" w:sz="0" w:space="0" w:color="auto"/>
      </w:divBdr>
    </w:div>
    <w:div w:id="1305549733">
      <w:bodyDiv w:val="1"/>
      <w:marLeft w:val="0"/>
      <w:marRight w:val="0"/>
      <w:marTop w:val="0"/>
      <w:marBottom w:val="0"/>
      <w:divBdr>
        <w:top w:val="none" w:sz="0" w:space="0" w:color="auto"/>
        <w:left w:val="none" w:sz="0" w:space="0" w:color="auto"/>
        <w:bottom w:val="none" w:sz="0" w:space="0" w:color="auto"/>
        <w:right w:val="none" w:sz="0" w:space="0" w:color="auto"/>
      </w:divBdr>
    </w:div>
    <w:div w:id="1314213698">
      <w:bodyDiv w:val="1"/>
      <w:marLeft w:val="0"/>
      <w:marRight w:val="0"/>
      <w:marTop w:val="0"/>
      <w:marBottom w:val="0"/>
      <w:divBdr>
        <w:top w:val="none" w:sz="0" w:space="0" w:color="auto"/>
        <w:left w:val="none" w:sz="0" w:space="0" w:color="auto"/>
        <w:bottom w:val="none" w:sz="0" w:space="0" w:color="auto"/>
        <w:right w:val="none" w:sz="0" w:space="0" w:color="auto"/>
      </w:divBdr>
    </w:div>
    <w:div w:id="1319189457">
      <w:bodyDiv w:val="1"/>
      <w:marLeft w:val="0"/>
      <w:marRight w:val="0"/>
      <w:marTop w:val="0"/>
      <w:marBottom w:val="0"/>
      <w:divBdr>
        <w:top w:val="none" w:sz="0" w:space="0" w:color="auto"/>
        <w:left w:val="none" w:sz="0" w:space="0" w:color="auto"/>
        <w:bottom w:val="none" w:sz="0" w:space="0" w:color="auto"/>
        <w:right w:val="none" w:sz="0" w:space="0" w:color="auto"/>
      </w:divBdr>
    </w:div>
    <w:div w:id="1336153768">
      <w:bodyDiv w:val="1"/>
      <w:marLeft w:val="0"/>
      <w:marRight w:val="0"/>
      <w:marTop w:val="0"/>
      <w:marBottom w:val="0"/>
      <w:divBdr>
        <w:top w:val="none" w:sz="0" w:space="0" w:color="auto"/>
        <w:left w:val="none" w:sz="0" w:space="0" w:color="auto"/>
        <w:bottom w:val="none" w:sz="0" w:space="0" w:color="auto"/>
        <w:right w:val="none" w:sz="0" w:space="0" w:color="auto"/>
      </w:divBdr>
    </w:div>
    <w:div w:id="1356883075">
      <w:bodyDiv w:val="1"/>
      <w:marLeft w:val="0"/>
      <w:marRight w:val="0"/>
      <w:marTop w:val="0"/>
      <w:marBottom w:val="0"/>
      <w:divBdr>
        <w:top w:val="none" w:sz="0" w:space="0" w:color="auto"/>
        <w:left w:val="none" w:sz="0" w:space="0" w:color="auto"/>
        <w:bottom w:val="none" w:sz="0" w:space="0" w:color="auto"/>
        <w:right w:val="none" w:sz="0" w:space="0" w:color="auto"/>
      </w:divBdr>
    </w:div>
    <w:div w:id="1396781613">
      <w:bodyDiv w:val="1"/>
      <w:marLeft w:val="0"/>
      <w:marRight w:val="0"/>
      <w:marTop w:val="0"/>
      <w:marBottom w:val="0"/>
      <w:divBdr>
        <w:top w:val="none" w:sz="0" w:space="0" w:color="auto"/>
        <w:left w:val="none" w:sz="0" w:space="0" w:color="auto"/>
        <w:bottom w:val="none" w:sz="0" w:space="0" w:color="auto"/>
        <w:right w:val="none" w:sz="0" w:space="0" w:color="auto"/>
      </w:divBdr>
    </w:div>
    <w:div w:id="1429155000">
      <w:bodyDiv w:val="1"/>
      <w:marLeft w:val="0"/>
      <w:marRight w:val="0"/>
      <w:marTop w:val="0"/>
      <w:marBottom w:val="0"/>
      <w:divBdr>
        <w:top w:val="none" w:sz="0" w:space="0" w:color="auto"/>
        <w:left w:val="none" w:sz="0" w:space="0" w:color="auto"/>
        <w:bottom w:val="none" w:sz="0" w:space="0" w:color="auto"/>
        <w:right w:val="none" w:sz="0" w:space="0" w:color="auto"/>
      </w:divBdr>
    </w:div>
    <w:div w:id="1431967066">
      <w:bodyDiv w:val="1"/>
      <w:marLeft w:val="0"/>
      <w:marRight w:val="0"/>
      <w:marTop w:val="0"/>
      <w:marBottom w:val="0"/>
      <w:divBdr>
        <w:top w:val="none" w:sz="0" w:space="0" w:color="auto"/>
        <w:left w:val="none" w:sz="0" w:space="0" w:color="auto"/>
        <w:bottom w:val="none" w:sz="0" w:space="0" w:color="auto"/>
        <w:right w:val="none" w:sz="0" w:space="0" w:color="auto"/>
      </w:divBdr>
    </w:div>
    <w:div w:id="1448501792">
      <w:bodyDiv w:val="1"/>
      <w:marLeft w:val="0"/>
      <w:marRight w:val="0"/>
      <w:marTop w:val="0"/>
      <w:marBottom w:val="0"/>
      <w:divBdr>
        <w:top w:val="none" w:sz="0" w:space="0" w:color="auto"/>
        <w:left w:val="none" w:sz="0" w:space="0" w:color="auto"/>
        <w:bottom w:val="none" w:sz="0" w:space="0" w:color="auto"/>
        <w:right w:val="none" w:sz="0" w:space="0" w:color="auto"/>
      </w:divBdr>
    </w:div>
    <w:div w:id="1449540705">
      <w:bodyDiv w:val="1"/>
      <w:marLeft w:val="0"/>
      <w:marRight w:val="0"/>
      <w:marTop w:val="0"/>
      <w:marBottom w:val="0"/>
      <w:divBdr>
        <w:top w:val="none" w:sz="0" w:space="0" w:color="auto"/>
        <w:left w:val="none" w:sz="0" w:space="0" w:color="auto"/>
        <w:bottom w:val="none" w:sz="0" w:space="0" w:color="auto"/>
        <w:right w:val="none" w:sz="0" w:space="0" w:color="auto"/>
      </w:divBdr>
    </w:div>
    <w:div w:id="1453867836">
      <w:bodyDiv w:val="1"/>
      <w:marLeft w:val="0"/>
      <w:marRight w:val="0"/>
      <w:marTop w:val="0"/>
      <w:marBottom w:val="0"/>
      <w:divBdr>
        <w:top w:val="none" w:sz="0" w:space="0" w:color="auto"/>
        <w:left w:val="none" w:sz="0" w:space="0" w:color="auto"/>
        <w:bottom w:val="none" w:sz="0" w:space="0" w:color="auto"/>
        <w:right w:val="none" w:sz="0" w:space="0" w:color="auto"/>
      </w:divBdr>
    </w:div>
    <w:div w:id="1463885777">
      <w:bodyDiv w:val="1"/>
      <w:marLeft w:val="0"/>
      <w:marRight w:val="0"/>
      <w:marTop w:val="0"/>
      <w:marBottom w:val="0"/>
      <w:divBdr>
        <w:top w:val="none" w:sz="0" w:space="0" w:color="auto"/>
        <w:left w:val="none" w:sz="0" w:space="0" w:color="auto"/>
        <w:bottom w:val="none" w:sz="0" w:space="0" w:color="auto"/>
        <w:right w:val="none" w:sz="0" w:space="0" w:color="auto"/>
      </w:divBdr>
    </w:div>
    <w:div w:id="1465462663">
      <w:bodyDiv w:val="1"/>
      <w:marLeft w:val="0"/>
      <w:marRight w:val="0"/>
      <w:marTop w:val="0"/>
      <w:marBottom w:val="0"/>
      <w:divBdr>
        <w:top w:val="none" w:sz="0" w:space="0" w:color="auto"/>
        <w:left w:val="none" w:sz="0" w:space="0" w:color="auto"/>
        <w:bottom w:val="none" w:sz="0" w:space="0" w:color="auto"/>
        <w:right w:val="none" w:sz="0" w:space="0" w:color="auto"/>
      </w:divBdr>
    </w:div>
    <w:div w:id="1471552031">
      <w:bodyDiv w:val="1"/>
      <w:marLeft w:val="0"/>
      <w:marRight w:val="0"/>
      <w:marTop w:val="0"/>
      <w:marBottom w:val="0"/>
      <w:divBdr>
        <w:top w:val="none" w:sz="0" w:space="0" w:color="auto"/>
        <w:left w:val="none" w:sz="0" w:space="0" w:color="auto"/>
        <w:bottom w:val="none" w:sz="0" w:space="0" w:color="auto"/>
        <w:right w:val="none" w:sz="0" w:space="0" w:color="auto"/>
      </w:divBdr>
    </w:div>
    <w:div w:id="1494837613">
      <w:bodyDiv w:val="1"/>
      <w:marLeft w:val="0"/>
      <w:marRight w:val="0"/>
      <w:marTop w:val="0"/>
      <w:marBottom w:val="0"/>
      <w:divBdr>
        <w:top w:val="none" w:sz="0" w:space="0" w:color="auto"/>
        <w:left w:val="none" w:sz="0" w:space="0" w:color="auto"/>
        <w:bottom w:val="none" w:sz="0" w:space="0" w:color="auto"/>
        <w:right w:val="none" w:sz="0" w:space="0" w:color="auto"/>
      </w:divBdr>
    </w:div>
    <w:div w:id="1519007352">
      <w:bodyDiv w:val="1"/>
      <w:marLeft w:val="0"/>
      <w:marRight w:val="0"/>
      <w:marTop w:val="0"/>
      <w:marBottom w:val="0"/>
      <w:divBdr>
        <w:top w:val="none" w:sz="0" w:space="0" w:color="auto"/>
        <w:left w:val="none" w:sz="0" w:space="0" w:color="auto"/>
        <w:bottom w:val="none" w:sz="0" w:space="0" w:color="auto"/>
        <w:right w:val="none" w:sz="0" w:space="0" w:color="auto"/>
      </w:divBdr>
    </w:div>
    <w:div w:id="1553149447">
      <w:bodyDiv w:val="1"/>
      <w:marLeft w:val="0"/>
      <w:marRight w:val="0"/>
      <w:marTop w:val="0"/>
      <w:marBottom w:val="0"/>
      <w:divBdr>
        <w:top w:val="none" w:sz="0" w:space="0" w:color="auto"/>
        <w:left w:val="none" w:sz="0" w:space="0" w:color="auto"/>
        <w:bottom w:val="none" w:sz="0" w:space="0" w:color="auto"/>
        <w:right w:val="none" w:sz="0" w:space="0" w:color="auto"/>
      </w:divBdr>
    </w:div>
    <w:div w:id="1555698483">
      <w:bodyDiv w:val="1"/>
      <w:marLeft w:val="0"/>
      <w:marRight w:val="0"/>
      <w:marTop w:val="0"/>
      <w:marBottom w:val="0"/>
      <w:divBdr>
        <w:top w:val="none" w:sz="0" w:space="0" w:color="auto"/>
        <w:left w:val="none" w:sz="0" w:space="0" w:color="auto"/>
        <w:bottom w:val="none" w:sz="0" w:space="0" w:color="auto"/>
        <w:right w:val="none" w:sz="0" w:space="0" w:color="auto"/>
      </w:divBdr>
    </w:div>
    <w:div w:id="1562056035">
      <w:bodyDiv w:val="1"/>
      <w:marLeft w:val="0"/>
      <w:marRight w:val="0"/>
      <w:marTop w:val="0"/>
      <w:marBottom w:val="0"/>
      <w:divBdr>
        <w:top w:val="none" w:sz="0" w:space="0" w:color="auto"/>
        <w:left w:val="none" w:sz="0" w:space="0" w:color="auto"/>
        <w:bottom w:val="none" w:sz="0" w:space="0" w:color="auto"/>
        <w:right w:val="none" w:sz="0" w:space="0" w:color="auto"/>
      </w:divBdr>
    </w:div>
    <w:div w:id="1569877672">
      <w:bodyDiv w:val="1"/>
      <w:marLeft w:val="0"/>
      <w:marRight w:val="0"/>
      <w:marTop w:val="0"/>
      <w:marBottom w:val="0"/>
      <w:divBdr>
        <w:top w:val="none" w:sz="0" w:space="0" w:color="auto"/>
        <w:left w:val="none" w:sz="0" w:space="0" w:color="auto"/>
        <w:bottom w:val="none" w:sz="0" w:space="0" w:color="auto"/>
        <w:right w:val="none" w:sz="0" w:space="0" w:color="auto"/>
      </w:divBdr>
    </w:div>
    <w:div w:id="1572471386">
      <w:bodyDiv w:val="1"/>
      <w:marLeft w:val="0"/>
      <w:marRight w:val="0"/>
      <w:marTop w:val="0"/>
      <w:marBottom w:val="0"/>
      <w:divBdr>
        <w:top w:val="none" w:sz="0" w:space="0" w:color="auto"/>
        <w:left w:val="none" w:sz="0" w:space="0" w:color="auto"/>
        <w:bottom w:val="none" w:sz="0" w:space="0" w:color="auto"/>
        <w:right w:val="none" w:sz="0" w:space="0" w:color="auto"/>
      </w:divBdr>
    </w:div>
    <w:div w:id="1621373016">
      <w:bodyDiv w:val="1"/>
      <w:marLeft w:val="0"/>
      <w:marRight w:val="0"/>
      <w:marTop w:val="0"/>
      <w:marBottom w:val="0"/>
      <w:divBdr>
        <w:top w:val="none" w:sz="0" w:space="0" w:color="auto"/>
        <w:left w:val="none" w:sz="0" w:space="0" w:color="auto"/>
        <w:bottom w:val="none" w:sz="0" w:space="0" w:color="auto"/>
        <w:right w:val="none" w:sz="0" w:space="0" w:color="auto"/>
      </w:divBdr>
    </w:div>
    <w:div w:id="1623270044">
      <w:bodyDiv w:val="1"/>
      <w:marLeft w:val="0"/>
      <w:marRight w:val="0"/>
      <w:marTop w:val="0"/>
      <w:marBottom w:val="0"/>
      <w:divBdr>
        <w:top w:val="none" w:sz="0" w:space="0" w:color="auto"/>
        <w:left w:val="none" w:sz="0" w:space="0" w:color="auto"/>
        <w:bottom w:val="none" w:sz="0" w:space="0" w:color="auto"/>
        <w:right w:val="none" w:sz="0" w:space="0" w:color="auto"/>
      </w:divBdr>
    </w:div>
    <w:div w:id="1641228700">
      <w:bodyDiv w:val="1"/>
      <w:marLeft w:val="0"/>
      <w:marRight w:val="0"/>
      <w:marTop w:val="0"/>
      <w:marBottom w:val="0"/>
      <w:divBdr>
        <w:top w:val="none" w:sz="0" w:space="0" w:color="auto"/>
        <w:left w:val="none" w:sz="0" w:space="0" w:color="auto"/>
        <w:bottom w:val="none" w:sz="0" w:space="0" w:color="auto"/>
        <w:right w:val="none" w:sz="0" w:space="0" w:color="auto"/>
      </w:divBdr>
    </w:div>
    <w:div w:id="1644037828">
      <w:bodyDiv w:val="1"/>
      <w:marLeft w:val="0"/>
      <w:marRight w:val="0"/>
      <w:marTop w:val="0"/>
      <w:marBottom w:val="0"/>
      <w:divBdr>
        <w:top w:val="none" w:sz="0" w:space="0" w:color="auto"/>
        <w:left w:val="none" w:sz="0" w:space="0" w:color="auto"/>
        <w:bottom w:val="none" w:sz="0" w:space="0" w:color="auto"/>
        <w:right w:val="none" w:sz="0" w:space="0" w:color="auto"/>
      </w:divBdr>
    </w:div>
    <w:div w:id="1645961020">
      <w:bodyDiv w:val="1"/>
      <w:marLeft w:val="0"/>
      <w:marRight w:val="0"/>
      <w:marTop w:val="0"/>
      <w:marBottom w:val="0"/>
      <w:divBdr>
        <w:top w:val="none" w:sz="0" w:space="0" w:color="auto"/>
        <w:left w:val="none" w:sz="0" w:space="0" w:color="auto"/>
        <w:bottom w:val="none" w:sz="0" w:space="0" w:color="auto"/>
        <w:right w:val="none" w:sz="0" w:space="0" w:color="auto"/>
      </w:divBdr>
    </w:div>
    <w:div w:id="1656762469">
      <w:bodyDiv w:val="1"/>
      <w:marLeft w:val="0"/>
      <w:marRight w:val="0"/>
      <w:marTop w:val="0"/>
      <w:marBottom w:val="0"/>
      <w:divBdr>
        <w:top w:val="none" w:sz="0" w:space="0" w:color="auto"/>
        <w:left w:val="none" w:sz="0" w:space="0" w:color="auto"/>
        <w:bottom w:val="none" w:sz="0" w:space="0" w:color="auto"/>
        <w:right w:val="none" w:sz="0" w:space="0" w:color="auto"/>
      </w:divBdr>
    </w:div>
    <w:div w:id="1695693336">
      <w:bodyDiv w:val="1"/>
      <w:marLeft w:val="0"/>
      <w:marRight w:val="0"/>
      <w:marTop w:val="0"/>
      <w:marBottom w:val="0"/>
      <w:divBdr>
        <w:top w:val="none" w:sz="0" w:space="0" w:color="auto"/>
        <w:left w:val="none" w:sz="0" w:space="0" w:color="auto"/>
        <w:bottom w:val="none" w:sz="0" w:space="0" w:color="auto"/>
        <w:right w:val="none" w:sz="0" w:space="0" w:color="auto"/>
      </w:divBdr>
    </w:div>
    <w:div w:id="1700811298">
      <w:bodyDiv w:val="1"/>
      <w:marLeft w:val="0"/>
      <w:marRight w:val="0"/>
      <w:marTop w:val="0"/>
      <w:marBottom w:val="0"/>
      <w:divBdr>
        <w:top w:val="none" w:sz="0" w:space="0" w:color="auto"/>
        <w:left w:val="none" w:sz="0" w:space="0" w:color="auto"/>
        <w:bottom w:val="none" w:sz="0" w:space="0" w:color="auto"/>
        <w:right w:val="none" w:sz="0" w:space="0" w:color="auto"/>
      </w:divBdr>
    </w:div>
    <w:div w:id="1701202233">
      <w:bodyDiv w:val="1"/>
      <w:marLeft w:val="0"/>
      <w:marRight w:val="0"/>
      <w:marTop w:val="0"/>
      <w:marBottom w:val="0"/>
      <w:divBdr>
        <w:top w:val="none" w:sz="0" w:space="0" w:color="auto"/>
        <w:left w:val="none" w:sz="0" w:space="0" w:color="auto"/>
        <w:bottom w:val="none" w:sz="0" w:space="0" w:color="auto"/>
        <w:right w:val="none" w:sz="0" w:space="0" w:color="auto"/>
      </w:divBdr>
    </w:div>
    <w:div w:id="1746104849">
      <w:bodyDiv w:val="1"/>
      <w:marLeft w:val="0"/>
      <w:marRight w:val="0"/>
      <w:marTop w:val="0"/>
      <w:marBottom w:val="0"/>
      <w:divBdr>
        <w:top w:val="none" w:sz="0" w:space="0" w:color="auto"/>
        <w:left w:val="none" w:sz="0" w:space="0" w:color="auto"/>
        <w:bottom w:val="none" w:sz="0" w:space="0" w:color="auto"/>
        <w:right w:val="none" w:sz="0" w:space="0" w:color="auto"/>
      </w:divBdr>
    </w:div>
    <w:div w:id="1770077632">
      <w:bodyDiv w:val="1"/>
      <w:marLeft w:val="0"/>
      <w:marRight w:val="0"/>
      <w:marTop w:val="0"/>
      <w:marBottom w:val="0"/>
      <w:divBdr>
        <w:top w:val="none" w:sz="0" w:space="0" w:color="auto"/>
        <w:left w:val="none" w:sz="0" w:space="0" w:color="auto"/>
        <w:bottom w:val="none" w:sz="0" w:space="0" w:color="auto"/>
        <w:right w:val="none" w:sz="0" w:space="0" w:color="auto"/>
      </w:divBdr>
    </w:div>
    <w:div w:id="1788818702">
      <w:bodyDiv w:val="1"/>
      <w:marLeft w:val="0"/>
      <w:marRight w:val="0"/>
      <w:marTop w:val="0"/>
      <w:marBottom w:val="0"/>
      <w:divBdr>
        <w:top w:val="none" w:sz="0" w:space="0" w:color="auto"/>
        <w:left w:val="none" w:sz="0" w:space="0" w:color="auto"/>
        <w:bottom w:val="none" w:sz="0" w:space="0" w:color="auto"/>
        <w:right w:val="none" w:sz="0" w:space="0" w:color="auto"/>
      </w:divBdr>
    </w:div>
    <w:div w:id="1793938205">
      <w:bodyDiv w:val="1"/>
      <w:marLeft w:val="0"/>
      <w:marRight w:val="0"/>
      <w:marTop w:val="0"/>
      <w:marBottom w:val="0"/>
      <w:divBdr>
        <w:top w:val="none" w:sz="0" w:space="0" w:color="auto"/>
        <w:left w:val="none" w:sz="0" w:space="0" w:color="auto"/>
        <w:bottom w:val="none" w:sz="0" w:space="0" w:color="auto"/>
        <w:right w:val="none" w:sz="0" w:space="0" w:color="auto"/>
      </w:divBdr>
    </w:div>
    <w:div w:id="1799253589">
      <w:bodyDiv w:val="1"/>
      <w:marLeft w:val="0"/>
      <w:marRight w:val="0"/>
      <w:marTop w:val="0"/>
      <w:marBottom w:val="0"/>
      <w:divBdr>
        <w:top w:val="none" w:sz="0" w:space="0" w:color="auto"/>
        <w:left w:val="none" w:sz="0" w:space="0" w:color="auto"/>
        <w:bottom w:val="none" w:sz="0" w:space="0" w:color="auto"/>
        <w:right w:val="none" w:sz="0" w:space="0" w:color="auto"/>
      </w:divBdr>
    </w:div>
    <w:div w:id="1801652244">
      <w:bodyDiv w:val="1"/>
      <w:marLeft w:val="0"/>
      <w:marRight w:val="0"/>
      <w:marTop w:val="0"/>
      <w:marBottom w:val="0"/>
      <w:divBdr>
        <w:top w:val="none" w:sz="0" w:space="0" w:color="auto"/>
        <w:left w:val="none" w:sz="0" w:space="0" w:color="auto"/>
        <w:bottom w:val="none" w:sz="0" w:space="0" w:color="auto"/>
        <w:right w:val="none" w:sz="0" w:space="0" w:color="auto"/>
      </w:divBdr>
    </w:div>
    <w:div w:id="1806462973">
      <w:bodyDiv w:val="1"/>
      <w:marLeft w:val="0"/>
      <w:marRight w:val="0"/>
      <w:marTop w:val="0"/>
      <w:marBottom w:val="0"/>
      <w:divBdr>
        <w:top w:val="none" w:sz="0" w:space="0" w:color="auto"/>
        <w:left w:val="none" w:sz="0" w:space="0" w:color="auto"/>
        <w:bottom w:val="none" w:sz="0" w:space="0" w:color="auto"/>
        <w:right w:val="none" w:sz="0" w:space="0" w:color="auto"/>
      </w:divBdr>
    </w:div>
    <w:div w:id="1818840177">
      <w:bodyDiv w:val="1"/>
      <w:marLeft w:val="0"/>
      <w:marRight w:val="0"/>
      <w:marTop w:val="0"/>
      <w:marBottom w:val="0"/>
      <w:divBdr>
        <w:top w:val="none" w:sz="0" w:space="0" w:color="auto"/>
        <w:left w:val="none" w:sz="0" w:space="0" w:color="auto"/>
        <w:bottom w:val="none" w:sz="0" w:space="0" w:color="auto"/>
        <w:right w:val="none" w:sz="0" w:space="0" w:color="auto"/>
      </w:divBdr>
    </w:div>
    <w:div w:id="1820149907">
      <w:bodyDiv w:val="1"/>
      <w:marLeft w:val="0"/>
      <w:marRight w:val="0"/>
      <w:marTop w:val="0"/>
      <w:marBottom w:val="0"/>
      <w:divBdr>
        <w:top w:val="none" w:sz="0" w:space="0" w:color="auto"/>
        <w:left w:val="none" w:sz="0" w:space="0" w:color="auto"/>
        <w:bottom w:val="none" w:sz="0" w:space="0" w:color="auto"/>
        <w:right w:val="none" w:sz="0" w:space="0" w:color="auto"/>
      </w:divBdr>
    </w:div>
    <w:div w:id="1881432093">
      <w:bodyDiv w:val="1"/>
      <w:marLeft w:val="0"/>
      <w:marRight w:val="0"/>
      <w:marTop w:val="0"/>
      <w:marBottom w:val="0"/>
      <w:divBdr>
        <w:top w:val="none" w:sz="0" w:space="0" w:color="auto"/>
        <w:left w:val="none" w:sz="0" w:space="0" w:color="auto"/>
        <w:bottom w:val="none" w:sz="0" w:space="0" w:color="auto"/>
        <w:right w:val="none" w:sz="0" w:space="0" w:color="auto"/>
      </w:divBdr>
    </w:div>
    <w:div w:id="1932160166">
      <w:bodyDiv w:val="1"/>
      <w:marLeft w:val="0"/>
      <w:marRight w:val="0"/>
      <w:marTop w:val="0"/>
      <w:marBottom w:val="0"/>
      <w:divBdr>
        <w:top w:val="none" w:sz="0" w:space="0" w:color="auto"/>
        <w:left w:val="none" w:sz="0" w:space="0" w:color="auto"/>
        <w:bottom w:val="none" w:sz="0" w:space="0" w:color="auto"/>
        <w:right w:val="none" w:sz="0" w:space="0" w:color="auto"/>
      </w:divBdr>
    </w:div>
    <w:div w:id="1943681087">
      <w:bodyDiv w:val="1"/>
      <w:marLeft w:val="0"/>
      <w:marRight w:val="0"/>
      <w:marTop w:val="0"/>
      <w:marBottom w:val="0"/>
      <w:divBdr>
        <w:top w:val="none" w:sz="0" w:space="0" w:color="auto"/>
        <w:left w:val="none" w:sz="0" w:space="0" w:color="auto"/>
        <w:bottom w:val="none" w:sz="0" w:space="0" w:color="auto"/>
        <w:right w:val="none" w:sz="0" w:space="0" w:color="auto"/>
      </w:divBdr>
    </w:div>
    <w:div w:id="2036688651">
      <w:bodyDiv w:val="1"/>
      <w:marLeft w:val="0"/>
      <w:marRight w:val="0"/>
      <w:marTop w:val="0"/>
      <w:marBottom w:val="0"/>
      <w:divBdr>
        <w:top w:val="none" w:sz="0" w:space="0" w:color="auto"/>
        <w:left w:val="none" w:sz="0" w:space="0" w:color="auto"/>
        <w:bottom w:val="none" w:sz="0" w:space="0" w:color="auto"/>
        <w:right w:val="none" w:sz="0" w:space="0" w:color="auto"/>
      </w:divBdr>
    </w:div>
    <w:div w:id="2042900042">
      <w:bodyDiv w:val="1"/>
      <w:marLeft w:val="0"/>
      <w:marRight w:val="0"/>
      <w:marTop w:val="0"/>
      <w:marBottom w:val="0"/>
      <w:divBdr>
        <w:top w:val="none" w:sz="0" w:space="0" w:color="auto"/>
        <w:left w:val="none" w:sz="0" w:space="0" w:color="auto"/>
        <w:bottom w:val="none" w:sz="0" w:space="0" w:color="auto"/>
        <w:right w:val="none" w:sz="0" w:space="0" w:color="auto"/>
      </w:divBdr>
    </w:div>
    <w:div w:id="2068339971">
      <w:bodyDiv w:val="1"/>
      <w:marLeft w:val="0"/>
      <w:marRight w:val="0"/>
      <w:marTop w:val="0"/>
      <w:marBottom w:val="0"/>
      <w:divBdr>
        <w:top w:val="none" w:sz="0" w:space="0" w:color="auto"/>
        <w:left w:val="none" w:sz="0" w:space="0" w:color="auto"/>
        <w:bottom w:val="none" w:sz="0" w:space="0" w:color="auto"/>
        <w:right w:val="none" w:sz="0" w:space="0" w:color="auto"/>
      </w:divBdr>
    </w:div>
    <w:div w:id="2076008372">
      <w:bodyDiv w:val="1"/>
      <w:marLeft w:val="0"/>
      <w:marRight w:val="0"/>
      <w:marTop w:val="0"/>
      <w:marBottom w:val="0"/>
      <w:divBdr>
        <w:top w:val="none" w:sz="0" w:space="0" w:color="auto"/>
        <w:left w:val="none" w:sz="0" w:space="0" w:color="auto"/>
        <w:bottom w:val="none" w:sz="0" w:space="0" w:color="auto"/>
        <w:right w:val="none" w:sz="0" w:space="0" w:color="auto"/>
      </w:divBdr>
    </w:div>
    <w:div w:id="2080856444">
      <w:bodyDiv w:val="1"/>
      <w:marLeft w:val="0"/>
      <w:marRight w:val="0"/>
      <w:marTop w:val="0"/>
      <w:marBottom w:val="0"/>
      <w:divBdr>
        <w:top w:val="none" w:sz="0" w:space="0" w:color="auto"/>
        <w:left w:val="none" w:sz="0" w:space="0" w:color="auto"/>
        <w:bottom w:val="none" w:sz="0" w:space="0" w:color="auto"/>
        <w:right w:val="none" w:sz="0" w:space="0" w:color="auto"/>
      </w:divBdr>
    </w:div>
    <w:div w:id="2081633327">
      <w:bodyDiv w:val="1"/>
      <w:marLeft w:val="0"/>
      <w:marRight w:val="0"/>
      <w:marTop w:val="0"/>
      <w:marBottom w:val="0"/>
      <w:divBdr>
        <w:top w:val="none" w:sz="0" w:space="0" w:color="auto"/>
        <w:left w:val="none" w:sz="0" w:space="0" w:color="auto"/>
        <w:bottom w:val="none" w:sz="0" w:space="0" w:color="auto"/>
        <w:right w:val="none" w:sz="0" w:space="0" w:color="auto"/>
      </w:divBdr>
    </w:div>
    <w:div w:id="2083061810">
      <w:bodyDiv w:val="1"/>
      <w:marLeft w:val="0"/>
      <w:marRight w:val="0"/>
      <w:marTop w:val="0"/>
      <w:marBottom w:val="0"/>
      <w:divBdr>
        <w:top w:val="none" w:sz="0" w:space="0" w:color="auto"/>
        <w:left w:val="none" w:sz="0" w:space="0" w:color="auto"/>
        <w:bottom w:val="none" w:sz="0" w:space="0" w:color="auto"/>
        <w:right w:val="none" w:sz="0" w:space="0" w:color="auto"/>
      </w:divBdr>
    </w:div>
    <w:div w:id="2094666011">
      <w:bodyDiv w:val="1"/>
      <w:marLeft w:val="0"/>
      <w:marRight w:val="0"/>
      <w:marTop w:val="0"/>
      <w:marBottom w:val="0"/>
      <w:divBdr>
        <w:top w:val="none" w:sz="0" w:space="0" w:color="auto"/>
        <w:left w:val="none" w:sz="0" w:space="0" w:color="auto"/>
        <w:bottom w:val="none" w:sz="0" w:space="0" w:color="auto"/>
        <w:right w:val="none" w:sz="0" w:space="0" w:color="auto"/>
      </w:divBdr>
    </w:div>
    <w:div w:id="2100756743">
      <w:bodyDiv w:val="1"/>
      <w:marLeft w:val="0"/>
      <w:marRight w:val="0"/>
      <w:marTop w:val="0"/>
      <w:marBottom w:val="0"/>
      <w:divBdr>
        <w:top w:val="none" w:sz="0" w:space="0" w:color="auto"/>
        <w:left w:val="none" w:sz="0" w:space="0" w:color="auto"/>
        <w:bottom w:val="none" w:sz="0" w:space="0" w:color="auto"/>
        <w:right w:val="none" w:sz="0" w:space="0" w:color="auto"/>
      </w:divBdr>
    </w:div>
    <w:div w:id="2137989691">
      <w:bodyDiv w:val="1"/>
      <w:marLeft w:val="0"/>
      <w:marRight w:val="0"/>
      <w:marTop w:val="0"/>
      <w:marBottom w:val="0"/>
      <w:divBdr>
        <w:top w:val="none" w:sz="0" w:space="0" w:color="auto"/>
        <w:left w:val="none" w:sz="0" w:space="0" w:color="auto"/>
        <w:bottom w:val="none" w:sz="0" w:space="0" w:color="auto"/>
        <w:right w:val="none" w:sz="0" w:space="0" w:color="auto"/>
      </w:divBdr>
    </w:div>
    <w:div w:id="2145463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supremecourt.uk/uploads/uksc_2024_0042_press_summary_8a42145662.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egislation.gov.uk/ukpga/2010/15/section/7"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The16</b:Tag>
    <b:SourceType>InternetSite</b:SourceType>
    <b:Guid>{DCCF9C08-7BB4-462A-AB33-1C05B7878616}</b:Guid>
    <b:Author>
      <b:Author>
        <b:Corporate>The House of Commons Library</b:Corporate>
      </b:Author>
    </b:Author>
    <b:Title>Gender recognition and the rights of transgender people</b:Title>
    <b:Year>2020</b:Year>
    <b:InternetSiteTitle>The House of Commons Library</b:InternetSiteTitle>
    <b:Month>July</b:Month>
    <b:Day>16</b:Day>
    <b:URL>https://commonslibrary.parliament.uk/research-briefings/cbp-8969/</b:URL>
    <b:RefOrder>1</b:RefOrder>
  </b:Source>
  <b:Source>
    <b:Tag>Hou222</b:Tag>
    <b:SourceType>InternetSite</b:SourceType>
    <b:Guid>{B53CE16F-3BFE-4773-82EB-A96D47171DB9}</b:Guid>
    <b:Author>
      <b:Author>
        <b:Corporate>House of Commons</b:Corporate>
      </b:Author>
    </b:Author>
    <b:Title>Gender Recognition Act reform: consultation and outcome</b:Title>
    <b:InternetSiteTitle>House of Commons</b:InternetSiteTitle>
    <b:Year>2022</b:Year>
    <b:Month>February</b:Month>
    <b:Day>18</b:Day>
    <b:URL>https://commonslibrary.parliament.uk/research-briefings/cbp-9079/</b:URL>
    <b:RefOrder>2</b:RefOrder>
  </b:Source>
  <b:Source>
    <b:Tag>Hom244</b:Tag>
    <b:SourceType>InternetSite</b:SourceType>
    <b:Guid>{857789BB-01AB-45DE-8982-F300F4F47594}</b:Guid>
    <b:Author>
      <b:Author>
        <b:Corporate>Home Office</b:Corporate>
      </b:Author>
    </b:Author>
    <b:Title>Hate crime, England and Wales, year ending March 2024</b:Title>
    <b:InternetSiteTitle>GOV.UK</b:InternetSiteTitle>
    <b:Year>2024</b:Year>
    <b:Month>October</b:Month>
    <b:Day>10</b:Day>
    <b:URL>https://www.gov.uk/government/statistics/hate-crime-england-and-wales-year-ending-march-2024/hate-crime-england-and-wales-year-ending-march-2024</b:URL>
    <b:RefOrder>3</b:RefOrder>
  </b:Source>
  <b:Source>
    <b:Tag>Cro22</b:Tag>
    <b:SourceType>InternetSite</b:SourceType>
    <b:Guid>{63D7A19D-04DD-45B3-95DF-E854119435FD}</b:Guid>
    <b:Author>
      <b:Author>
        <b:Corporate>Crown Prosecution Service</b:Corporate>
      </b:Author>
    </b:Author>
    <b:Title>Context and characteristics of hostility towards sexual orientation and transgender identity</b:Title>
    <b:InternetSiteTitle>Crown Prosecution Service</b:InternetSiteTitle>
    <b:Year>2022</b:Year>
    <b:URL>https://www.cps.gov.uk/crime-info/hate-crime/context-and-characteristics-hostility-towards-sexual-orientation-and-transgender-identity</b:URL>
    <b:RefOrder>4</b:RefOrder>
  </b:Source>
  <b:Source>
    <b:Tag>Gal23</b:Tag>
    <b:SourceType>InternetSite</b:SourceType>
    <b:Guid>{26D2B055-9B2E-4FB9-8C1B-FB691F00E222}</b:Guid>
    <b:Author>
      <b:Author>
        <b:Corporate>Galop</b:Corporate>
      </b:Author>
    </b:Author>
    <b:Title>Galop’s statement on the 2022-2023 Official Statistics for Hate Crime</b:Title>
    <b:InternetSiteTitle>Galop</b:InternetSiteTitle>
    <b:Year>2023</b:Year>
    <b:Month>October</b:Month>
    <b:Day>5</b:Day>
    <b:URL>https://www.galop.org.uk/news/galops-statement-on-the-2022-2023-official-statistics-for-hate-crime</b:URL>
    <b:RefOrder>5</b:RefOrder>
  </b:Source>
  <b:Source>
    <b:Tag>Vic25</b:Tag>
    <b:SourceType>InternetSite</b:SourceType>
    <b:Guid>{A5472119-7DA5-4C96-B57A-56C8D97055BC}</b:Guid>
    <b:Author>
      <b:Author>
        <b:Corporate>Victim Support</b:Corporate>
      </b:Author>
    </b:Author>
    <b:Title>Transgender Identity</b:Title>
    <b:InternetSiteTitle>Victim Support</b:InternetSiteTitle>
    <b:Year>2025</b:Year>
    <b:URL>https://reporthate.victimsupport.org.uk/get-support/transgender-identity/</b:URL>
    <b:RefOrder>6</b:RefOrder>
  </b:Source>
  <b:Source>
    <b:Tag>Tra25</b:Tag>
    <b:SourceType>InternetSite</b:SourceType>
    <b:Guid>{FE9AA8BE-3BF6-4902-8529-317D3BA6C325}</b:Guid>
    <b:Author>
      <b:Author>
        <b:Corporate>TransLucent</b:Corporate>
      </b:Author>
    </b:Author>
    <b:Title>Transgender People, Crime and Prisons – Briefing Note</b:Title>
    <b:InternetSiteTitle>TransLucent</b:InternetSiteTitle>
    <b:Year>2025</b:Year>
    <b:Month>January</b:Month>
    <b:Day>18</b:Day>
    <b:URL>https://translucent.org.uk/transgender-people-crime-and-prisons/?amp=1</b:URL>
    <b:RefOrder>7</b:RefOrder>
  </b:Source>
  <b:Source>
    <b:Tag>Upd23</b:Tag>
    <b:SourceType>InternetSite</b:SourceType>
    <b:Guid>{8086F610-1F95-4B9A-8E43-A5734B385E41}</b:Guid>
    <b:Title>Update on changes to transgender prisoner policy framework</b:Title>
    <b:InternetSiteTitle>GOV.UK</b:InternetSiteTitle>
    <b:Year>2023</b:Year>
    <b:Month>January</b:Month>
    <b:Day>25</b:Day>
    <b:URL>https://www.gov.uk/government/news/update-on-changes-to-transgender-prisoner-policy-framework</b:URL>
    <b:Author>
      <b:Author>
        <b:Corporate>Ministry of Justice</b:Corporate>
      </b:Author>
    </b:Author>
    <b:RefOrder>8</b:RefOrder>
  </b:Source>
  <b:Source>
    <b:Tag>Cat24</b:Tag>
    <b:SourceType>InternetSite</b:SourceType>
    <b:Guid>{0FF75AC1-9766-4D8C-82D2-94EBA98DB166}</b:Guid>
    <b:Author>
      <b:Author>
        <b:Corporate>Catch 22</b:Corporate>
      </b:Author>
    </b:Author>
    <b:Title>The challenges of being transgender in prison</b:Title>
    <b:InternetSiteTitle>Catch 22</b:InternetSiteTitle>
    <b:Year>2024</b:Year>
    <b:Month>May</b:Month>
    <b:Day>29</b:Day>
    <b:URL>https://www.catch-22.org.uk/resources/the-challenges-of-being-transgender-in-prison/</b:URL>
    <b:RefOrder>9</b:RefOrder>
  </b:Source>
  <b:Source>
    <b:Tag>htt19</b:Tag>
    <b:SourceType>InternetSite</b:SourceType>
    <b:Guid>{7F62D19C-CED7-49BE-84BB-2B0A9FFFEF98}</b:Guid>
    <b:InternetSiteTitle>Saunders Law</b:InternetSiteTitle>
    <b:Year>2019</b:Year>
    <b:Month>April</b:Month>
    <b:Day>8</b:Day>
    <b:URL>https://www.saunders.co.uk/news/transgender-prisoners-routinely-failed-by-the-current-system/#:~:text=Prisoners%20who%20are%20transgender%20face%20a%20disproportionately,mental%20health%20problems%20and%20bullying%20whilst%20imprisoned.</b:URL>
    <b:Author>
      <b:Author>
        <b:Corporate>Saunders Law</b:Corporate>
      </b:Author>
    </b:Author>
    <b:Title>Transgender prisoners routinely failed by the current system</b:Title>
    <b:RefOrder>10</b:RefOrder>
  </b:Source>
  <b:Source>
    <b:Tag>UKG252</b:Tag>
    <b:SourceType>InternetSite</b:SourceType>
    <b:Guid>{88B22857-3FDB-41E6-B7C0-536F6FB07E1C}</b:Guid>
    <b:Author>
      <b:Author>
        <b:Corporate>UK Parliament</b:Corporate>
      </b:Author>
    </b:Author>
    <b:Title>Written evidence submitted by Action for Trans Health to the Transgender Equality Inquiry</b:Title>
    <b:InternetSiteTitle>UK Parliament</b:InternetSiteTitle>
    <b:Year>2025</b:Year>
    <b:URL>https://committees.parliament.uk/writtenevidence/57463/html/#:~:text=Moreover%2C%20trans%20people%20are%20often%20denied%20access,problems%20are%20related%20to%20their%20trans%20status.&amp;text=It%20allows%20for%20trans%20prisoners%20to%20have,in%20place%20s</b:URL>
    <b:RefOrder>11</b:RefOrder>
  </b:Source>
  <b:Source>
    <b:Tag>NHS20</b:Tag>
    <b:SourceType>InternetSite</b:SourceType>
    <b:Guid>{816D63E8-03B7-4D99-8256-016FD75C3C0F}</b:Guid>
    <b:Author>
      <b:Author>
        <b:Corporate>NHS</b:Corporate>
      </b:Author>
    </b:Author>
    <b:Title>Gender dysphoria - Treatment</b:Title>
    <b:InternetSiteTitle>NHS</b:InternetSiteTitle>
    <b:Year>2020</b:Year>
    <b:Month>May</b:Month>
    <b:Day>28</b:Day>
    <b:URL>https://www.nhs.uk/conditions/gender-dysphoria/treatment/</b:URL>
    <b:RefOrder>12</b:RefOrder>
  </b:Source>
  <b:Source>
    <b:Tag>NHS201</b:Tag>
    <b:SourceType>InternetSite</b:SourceType>
    <b:Guid>{A16134A7-8A66-4A10-BA04-CC590DD7B602}</b:Guid>
    <b:Author>
      <b:Author>
        <b:Corporate>NHS</b:Corporate>
      </b:Author>
    </b:Author>
    <b:Title>Gender Dysphoria</b:Title>
    <b:Year>2020</b:Year>
    <b:InternetSiteTitle>NHS</b:InternetSiteTitle>
    <b:Month>May </b:Month>
    <b:Day>28</b:Day>
    <b:URL>https://www.nhs.uk/conditions/gender-dysphoria/</b:URL>
    <b:RefOrder>13</b:RefOrder>
  </b:Source>
  <b:Source>
    <b:Tag>BBC25</b:Tag>
    <b:SourceType>InternetSite</b:SourceType>
    <b:Guid>{0D9ED0C5-1FCA-43FE-9BC1-4B8E4F31FC66}</b:Guid>
    <b:Author>
      <b:Author>
        <b:Corporate>BBC NEWS</b:Corporate>
      </b:Author>
    </b:Author>
    <b:Title>Police searches to be based on biological sex</b:Title>
    <b:InternetSiteTitle>BBC NEWS</b:InternetSiteTitle>
    <b:Year>2025</b:Year>
    <b:Month>June</b:Month>
    <b:Day>25</b:Day>
    <b:URL>https://www.bbc.co.uk/news/articles/cn0qj5029vyo.amp</b:URL>
    <b:RefOrder>14</b:RefOrder>
  </b:Source>
  <b:Source>
    <b:Tag>Her23</b:Tag>
    <b:SourceType>InternetSite</b:SourceType>
    <b:Guid>{3D548716-F78C-48B8-ACA9-47D59E5C814F}</b:Guid>
    <b:Author>
      <b:Author>
        <b:Corporate>Hertfordshire Constabulary </b:Corporate>
      </b:Author>
    </b:Author>
    <b:Title>Officers receive training to support LGBTQ+ community</b:Title>
    <b:InternetSiteTitle>Hertfordshire Constabulary </b:InternetSiteTitle>
    <b:Year>2023</b:Year>
    <b:Month>May</b:Month>
    <b:Day>26</b:Day>
    <b:URL>https://www.herts.police.uk/news/hertfordshire/news/2023/may-2023/officers-receive-training-to-support-lgbtq-community/</b:URL>
    <b:RefOrder>15</b:RefOrder>
  </b:Source>
  <b:Source>
    <b:Tag>Cli23</b:Tag>
    <b:SourceType>InternetSite</b:SourceType>
    <b:Guid>{02D5D9B0-B73A-4386-A871-BD71E3FD445F}</b:Guid>
    <b:Title>Unique - Transgender Network</b:Title>
    <b:InternetSiteTitle>Clinks</b:InternetSiteTitle>
    <b:Year>2023</b:Year>
    <b:Month>January</b:Month>
    <b:Day>24</b:Day>
    <b:URL>https://www.clinks.org/directory/112058</b:URL>
    <b:Author>
      <b:Author>
        <b:Corporate>Clinks</b:Corporate>
      </b:Author>
    </b:Author>
    <b:RefOrder>17</b:RefOrder>
  </b:Source>
  <b:Source>
    <b:Tag>Sco24</b:Tag>
    <b:SourceType>DocumentFromInternetSite</b:SourceType>
    <b:Guid>{BC9168ED-12D0-4EAE-97DA-27E2BED9884D}</b:Guid>
    <b:Title>Managing Gender Diverse People in custody</b:Title>
    <b:InternetSiteTitle>Scottish Prison Service</b:InternetSiteTitle>
    <b:Year>2024</b:Year>
    <b:Month>February</b:Month>
    <b:URL>https://www.sps.gov.uk/sites/default/files/2024-02/Management%20of%20Gender%20Diverse%20People%20in%20Custody%20Operational%20Guidance%202024.pdf</b:URL>
    <b:Author>
      <b:Author>
        <b:Corporate>Scottish Prison Service</b:Corporate>
      </b:Author>
    </b:Author>
    <b:RefOrder>16</b:RefOrder>
  </b:Source>
</b:Sources>
</file>

<file path=customXml/itemProps1.xml><?xml version="1.0" encoding="utf-8"?>
<ds:datastoreItem xmlns:ds="http://schemas.openxmlformats.org/officeDocument/2006/customXml" ds:itemID="{215F3426-8D7C-468D-846A-5B008F61E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8</Pages>
  <Words>2489</Words>
  <Characters>15230</Characters>
  <Application>Microsoft Office Word</Application>
  <DocSecurity>0</DocSecurity>
  <Lines>292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Bright (2115653)</dc:creator>
  <cp:keywords/>
  <dc:description/>
  <cp:lastModifiedBy>Harri Bright</cp:lastModifiedBy>
  <cp:revision>12</cp:revision>
  <dcterms:created xsi:type="dcterms:W3CDTF">2025-07-04T17:12:00Z</dcterms:created>
  <dcterms:modified xsi:type="dcterms:W3CDTF">2025-07-04T19:30:00Z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aa341a1b-553e-4ab4-8139-eeb8841e7a4f</vt:lpwstr>
  </property>
</Properties>
</file>