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3EF3C" w14:textId="77777777" w:rsidR="008559CB" w:rsidRDefault="008559CB">
      <w:pPr>
        <w:rPr>
          <w:color w:val="FF0000"/>
        </w:rPr>
      </w:pPr>
      <w:r w:rsidRPr="008559CB">
        <w:t>What insights does your chosen source offer regarding the history of slavery and</w:t>
      </w:r>
      <w:r w:rsidR="001349A1">
        <w:t>/or</w:t>
      </w:r>
      <w:r w:rsidRPr="008559CB">
        <w:t xml:space="preserve"> abolition? </w:t>
      </w:r>
      <w:r w:rsidRPr="001349A1">
        <w:rPr>
          <w:color w:val="FF0000"/>
        </w:rPr>
        <w:t>Level 6 students’ answers should also comment on the importance of the gender of their chosen author.</w:t>
      </w:r>
    </w:p>
    <w:p w14:paraId="5EAD9ECC" w14:textId="778BFFE4" w:rsidR="001349A1" w:rsidRDefault="001349A1" w:rsidP="001349A1">
      <w:r w:rsidRPr="001349A1">
        <w:t xml:space="preserve">The </w:t>
      </w:r>
      <w:r w:rsidRPr="004A03C7">
        <w:rPr>
          <w:i/>
          <w:iCs/>
        </w:rPr>
        <w:t>Narrative of the Life of Frederick Douglass</w:t>
      </w:r>
      <w:r>
        <w:t xml:space="preserve"> delivers significan</w:t>
      </w:r>
      <w:r w:rsidR="005734C9">
        <w:t>t</w:t>
      </w:r>
      <w:r>
        <w:t xml:space="preserve"> insight regarding the history of slavery. Fredrick Douglas was a born a slave and escaped to freedom in the North, his life is an important source as it highlights the treatment of slaves. Also due to his feminist views in his writings there is some acknowledgment to the </w:t>
      </w:r>
      <w:r w:rsidR="007A24A8">
        <w:t xml:space="preserve">trials </w:t>
      </w:r>
      <w:r>
        <w:t xml:space="preserve">and tribulations of female slaves. </w:t>
      </w:r>
      <w:r w:rsidR="005734C9">
        <w:t>Although as Fredrick is a male the source mainly focuses on the experience of a male slave rather than a female,</w:t>
      </w:r>
      <w:r w:rsidR="004A03C7">
        <w:t xml:space="preserve"> which is important as Winifred Jones points out “gender influenced even the way in which bondage was experienced”</w:t>
      </w:r>
      <w:r w:rsidR="004A03C7">
        <w:rPr>
          <w:rStyle w:val="FootnoteReference"/>
        </w:rPr>
        <w:footnoteReference w:id="1"/>
      </w:r>
      <w:r w:rsidR="005734C9">
        <w:t xml:space="preserve">. </w:t>
      </w:r>
    </w:p>
    <w:p w14:paraId="45B1D552" w14:textId="73514844" w:rsidR="001349A1" w:rsidRDefault="001349A1" w:rsidP="001349A1">
      <w:r>
        <w:t xml:space="preserve">Important to note about Fredrick Douglas is that he was mixed race he had a black mother and a white father though he did not know who </w:t>
      </w:r>
      <w:r w:rsidR="007A24A8">
        <w:t xml:space="preserve">his father </w:t>
      </w:r>
      <w:r>
        <w:t xml:space="preserve">was. </w:t>
      </w:r>
      <w:r w:rsidR="0069118D">
        <w:t xml:space="preserve">This is important as it details the family dynamics of a slave would have been subjected to. </w:t>
      </w:r>
      <w:r>
        <w:t>Though in the text he suggests, “</w:t>
      </w:r>
      <w:r w:rsidRPr="001349A1">
        <w:t>that my master was my father</w:t>
      </w:r>
      <w:r>
        <w:t>”</w:t>
      </w:r>
      <w:r w:rsidR="00F907C3">
        <w:rPr>
          <w:rStyle w:val="FootnoteReference"/>
        </w:rPr>
        <w:footnoteReference w:id="2"/>
      </w:r>
      <w:r>
        <w:t xml:space="preserve"> his parentage is left unknown to what he equates to the fact that a slave master would not want to outline their infidelity to their wives. Furthermore, having their slaves also be their children could bring a spitefulness from their master</w:t>
      </w:r>
      <w:r w:rsidR="007A24A8">
        <w:t>’</w:t>
      </w:r>
      <w:r>
        <w:t xml:space="preserve">s wife. Also important to note is that Douglas does not know his own birthday </w:t>
      </w:r>
      <w:r w:rsidR="00F907C3">
        <w:t>nor, “</w:t>
      </w:r>
      <w:r w:rsidR="00F907C3" w:rsidRPr="00F907C3">
        <w:t xml:space="preserve">have </w:t>
      </w:r>
      <w:r w:rsidR="006B191F">
        <w:t>n</w:t>
      </w:r>
      <w:r w:rsidR="00F907C3" w:rsidRPr="00F907C3">
        <w:t>ever met a slave who could tell of his birthday</w:t>
      </w:r>
      <w:r w:rsidR="00F907C3">
        <w:t>”</w:t>
      </w:r>
      <w:r w:rsidR="00F907C3">
        <w:rPr>
          <w:rStyle w:val="FootnoteReference"/>
        </w:rPr>
        <w:footnoteReference w:id="3"/>
      </w:r>
      <w:r w:rsidR="00F907C3">
        <w:t xml:space="preserve">. This is significant as it presents that slaves were not viewed as people as they were not given birthdays, it also implies this as if a slave knew their age if their master sold them saying that they were a younger age they could perhaps get more money as it implies they have longer to live and therefore to work. </w:t>
      </w:r>
      <w:r w:rsidR="0085597D">
        <w:t xml:space="preserve">Douglas also states how he did not have a relationship with his mother and scarcely saw her before she died. This seems to be another tactic by the slave masters to make the slaves lives solely about work and </w:t>
      </w:r>
      <w:r w:rsidR="0069118D">
        <w:t xml:space="preserve">therefore to keep them focused on work they took away family relations as it may provide distractions. </w:t>
      </w:r>
      <w:r w:rsidR="002467BC">
        <w:t>As Stephen M. Weissman points out, one of the most important aspects of slavery was, “its disruptive and the destructive impact on the traditional family unit”</w:t>
      </w:r>
      <w:r w:rsidR="002467BC">
        <w:rPr>
          <w:rStyle w:val="FootnoteReference"/>
        </w:rPr>
        <w:footnoteReference w:id="4"/>
      </w:r>
      <w:r w:rsidR="002467BC">
        <w:t xml:space="preserve">. </w:t>
      </w:r>
    </w:p>
    <w:p w14:paraId="2AF1C5A3" w14:textId="3963F32D" w:rsidR="0069118D" w:rsidRDefault="0069118D" w:rsidP="001349A1">
      <w:r>
        <w:t xml:space="preserve">Douglas spends time to also talk about slave songs which could be said to inspire the blues of the Harlem Renaissance. </w:t>
      </w:r>
      <w:r w:rsidR="007D5816">
        <w:t xml:space="preserve">These were songs sung by the slave in sombre tone or jovial but each left a lasting effect and each </w:t>
      </w:r>
      <w:r w:rsidR="006B191F">
        <w:t>had the lyrics of a</w:t>
      </w:r>
      <w:r w:rsidR="007D5816">
        <w:t xml:space="preserve"> sad song. Douglas impresses upon the reader the importance of slave songs as he, “</w:t>
      </w:r>
      <w:r w:rsidR="007D5816" w:rsidRPr="007D5816">
        <w:t>thought that the mere hearing of those songs would do more to impress some minds with the horrible character of slavery</w:t>
      </w:r>
      <w:r w:rsidR="007D5816">
        <w:t>”</w:t>
      </w:r>
      <w:r w:rsidR="007D5816">
        <w:rPr>
          <w:rStyle w:val="FootnoteReference"/>
        </w:rPr>
        <w:footnoteReference w:id="5"/>
      </w:r>
      <w:r w:rsidR="007D5816">
        <w:t>. Therefore</w:t>
      </w:r>
      <w:r w:rsidR="00645609">
        <w:t>, this is</w:t>
      </w:r>
      <w:r w:rsidR="007D5816">
        <w:t xml:space="preserve"> similar to blues which</w:t>
      </w:r>
      <w:r w:rsidR="00645609">
        <w:t xml:space="preserve"> theatre scholar, Larry Neal points out, </w:t>
      </w:r>
      <w:r w:rsidR="007D5816">
        <w:t xml:space="preserve"> “were shaped in the context of social and political suppression”</w:t>
      </w:r>
      <w:r w:rsidR="00DA5A30">
        <w:rPr>
          <w:rStyle w:val="FootnoteReference"/>
        </w:rPr>
        <w:footnoteReference w:id="6"/>
      </w:r>
      <w:r w:rsidR="00DA5A30">
        <w:t>.</w:t>
      </w:r>
      <w:r w:rsidR="00B91897">
        <w:t xml:space="preserve"> Slaves may have also done this as it was one of the only ways they could express themselves as they could not talk back to their masters and were also not allowed to read or write. </w:t>
      </w:r>
      <w:r w:rsidR="00991FAD">
        <w:t xml:space="preserve">It also linked back to their African heritage as music was a key part of life as seen in Olaudah Equiano who describes his childhood in Africa </w:t>
      </w:r>
      <w:r w:rsidR="00C35B40">
        <w:t>describing it as “a nation of dancers, musicians and poets”</w:t>
      </w:r>
      <w:r w:rsidR="00C35B40">
        <w:rPr>
          <w:rStyle w:val="FootnoteReference"/>
        </w:rPr>
        <w:footnoteReference w:id="7"/>
      </w:r>
      <w:r w:rsidR="001811BE">
        <w:t xml:space="preserve">. </w:t>
      </w:r>
    </w:p>
    <w:p w14:paraId="52518321" w14:textId="68CE5AEC" w:rsidR="001349A1" w:rsidRDefault="00F907C3">
      <w:r>
        <w:lastRenderedPageBreak/>
        <w:t>Douglas’ work also gives an insight to the difference between work in rural and urban settings</w:t>
      </w:r>
      <w:r w:rsidR="000A25A2">
        <w:t>, as well as the differences in the experiences of slavery depending on the gender of the slave</w:t>
      </w:r>
      <w:r>
        <w:t xml:space="preserve">. As he is worked to collapsing in the rural setting and given dangerous jobs to perform. Whereas, in the urban setting he is treated </w:t>
      </w:r>
      <w:r w:rsidR="003E6F63">
        <w:t xml:space="preserve">somewhat </w:t>
      </w:r>
      <w:r>
        <w:t xml:space="preserve">better as a slave as nobody wanted to be seen as cruel or not have a properly dressed slave as it would reflect badly on the owner. </w:t>
      </w:r>
      <w:r w:rsidR="00161DD5">
        <w:t>However</w:t>
      </w:r>
      <w:r w:rsidR="00645609">
        <w:t>,</w:t>
      </w:r>
      <w:r w:rsidR="00161DD5">
        <w:t xml:space="preserve"> as he points out this was not always the case as some slaves were treated just as horribly in the urban setting as the rural presented by the neighbours slaves in the urban setting who are starved and whipped daily, interestingly </w:t>
      </w:r>
      <w:r w:rsidR="00645609">
        <w:t>these slaves were</w:t>
      </w:r>
      <w:r w:rsidR="00161DD5">
        <w:t xml:space="preserve"> women that this happened to and not Douglas who was a boy. </w:t>
      </w:r>
      <w:r w:rsidR="003E6F63">
        <w:t xml:space="preserve">Douglas also points out how he felt </w:t>
      </w:r>
      <w:r w:rsidR="006B191F">
        <w:t>s</w:t>
      </w:r>
      <w:r w:rsidR="007E711B">
        <w:t>ympathy</w:t>
      </w:r>
      <w:r w:rsidR="003E6F63">
        <w:t xml:space="preserve"> for </w:t>
      </w:r>
      <w:r w:rsidR="006B191F">
        <w:t>female</w:t>
      </w:r>
      <w:r w:rsidR="003E6F63">
        <w:t xml:space="preserve"> slaves</w:t>
      </w:r>
      <w:r w:rsidR="007E711B">
        <w:t>,</w:t>
      </w:r>
      <w:r w:rsidR="003E6F63">
        <w:t xml:space="preserve"> as they were taken advantage of by the</w:t>
      </w:r>
      <w:r w:rsidR="007E711B">
        <w:t>ir</w:t>
      </w:r>
      <w:r w:rsidR="003E6F63">
        <w:t xml:space="preserve"> masters and as he reports of a slave called “Caroline”</w:t>
      </w:r>
      <w:r w:rsidR="00297624">
        <w:rPr>
          <w:rStyle w:val="FootnoteReference"/>
        </w:rPr>
        <w:footnoteReference w:id="8"/>
      </w:r>
      <w:r w:rsidR="003E6F63">
        <w:t xml:space="preserve"> was bought as what is described as a “breeder”</w:t>
      </w:r>
      <w:r w:rsidR="00297624">
        <w:rPr>
          <w:rStyle w:val="FootnoteReference"/>
        </w:rPr>
        <w:footnoteReference w:id="9"/>
      </w:r>
      <w:r w:rsidR="003E6F63">
        <w:t xml:space="preserve"> to have children so they could be slaves as well. Thus portraying how women were treated as essentially livestock to be bred and for the masters pleasure and seem to face a</w:t>
      </w:r>
      <w:r w:rsidR="00B93C5F">
        <w:t xml:space="preserve">s well as the hardships the male slaves faced but also sexual harassment from their masters. As Douglas points out as the mixed race children of the masters faced persecution so would the mothers as depicted by Harriet Jacob and her experience of fending off advances of her male master and the jealousy of her mistress. </w:t>
      </w:r>
    </w:p>
    <w:p w14:paraId="1F8F4CED" w14:textId="240DE20F" w:rsidR="00B93C5F" w:rsidRDefault="00B93C5F">
      <w:r>
        <w:t>In conclusion Fredrick Douglas’ narrative of his life gives significant insight into the family dynamics of a slave and why th</w:t>
      </w:r>
      <w:r w:rsidR="000A25A2">
        <w:t>is was the case</w:t>
      </w:r>
      <w:r>
        <w:t xml:space="preserve">. He also gives insight into the importance of music which carried on after the abolition of slavery in the Harlem Renaissance which gave rise to the musical genres of the blues and jazz. </w:t>
      </w:r>
      <w:r w:rsidR="000A25A2">
        <w:t>Also he points out the differences of the experience between male and female slaves which is important to note that they faced different challenges during slavery.</w:t>
      </w:r>
      <w:bookmarkStart w:id="1" w:name="_GoBack"/>
      <w:bookmarkEnd w:id="1"/>
    </w:p>
    <w:p w14:paraId="43A61EA5" w14:textId="56F2832F" w:rsidR="00645609" w:rsidRDefault="00645609"/>
    <w:p w14:paraId="386D36DA" w14:textId="77777777" w:rsidR="000C23FA" w:rsidRDefault="000C23FA">
      <w:pPr>
        <w:rPr>
          <w:b/>
          <w:bCs/>
          <w:u w:val="single"/>
        </w:rPr>
      </w:pPr>
    </w:p>
    <w:p w14:paraId="714CABF8" w14:textId="77777777" w:rsidR="000C23FA" w:rsidRDefault="000C23FA">
      <w:pPr>
        <w:rPr>
          <w:b/>
          <w:bCs/>
          <w:u w:val="single"/>
        </w:rPr>
      </w:pPr>
    </w:p>
    <w:p w14:paraId="126C20E1" w14:textId="77777777" w:rsidR="000C23FA" w:rsidRDefault="000C23FA">
      <w:pPr>
        <w:rPr>
          <w:b/>
          <w:bCs/>
          <w:u w:val="single"/>
        </w:rPr>
      </w:pPr>
    </w:p>
    <w:p w14:paraId="309F7F23" w14:textId="256E457A" w:rsidR="00645609" w:rsidRDefault="00645609">
      <w:pPr>
        <w:rPr>
          <w:b/>
          <w:bCs/>
          <w:u w:val="single"/>
        </w:rPr>
      </w:pPr>
      <w:r w:rsidRPr="00645609">
        <w:rPr>
          <w:b/>
          <w:bCs/>
          <w:u w:val="single"/>
        </w:rPr>
        <w:t xml:space="preserve">Bibliography </w:t>
      </w:r>
    </w:p>
    <w:p w14:paraId="3123ADEA" w14:textId="443DD98F" w:rsidR="00645609" w:rsidRDefault="002521EE">
      <w:pPr>
        <w:rPr>
          <w:b/>
          <w:bCs/>
          <w:u w:val="single"/>
        </w:rPr>
      </w:pPr>
      <w:r>
        <w:rPr>
          <w:b/>
          <w:bCs/>
          <w:u w:val="single"/>
        </w:rPr>
        <w:t>Secondary Sources:</w:t>
      </w:r>
    </w:p>
    <w:p w14:paraId="56897395" w14:textId="77777777" w:rsidR="001510C2" w:rsidRPr="002E5445" w:rsidRDefault="001510C2" w:rsidP="002E5445">
      <w:pPr>
        <w:pStyle w:val="FootnoteText"/>
      </w:pPr>
      <w:r>
        <w:t>Douglass Frederick,</w:t>
      </w:r>
      <w:r>
        <w:rPr>
          <w:i/>
          <w:iCs/>
        </w:rPr>
        <w:t xml:space="preserve"> </w:t>
      </w:r>
      <w:r w:rsidRPr="002E5445">
        <w:rPr>
          <w:i/>
          <w:iCs/>
        </w:rPr>
        <w:t>Narrative of the Life of Frederick Douglass</w:t>
      </w:r>
      <w:r>
        <w:rPr>
          <w:i/>
          <w:iCs/>
        </w:rPr>
        <w:t xml:space="preserve">, </w:t>
      </w:r>
      <w:r>
        <w:t>(Boston: Anti-Slavery Office, 1845).</w:t>
      </w:r>
    </w:p>
    <w:p w14:paraId="60FEA9B9" w14:textId="24C2139F" w:rsidR="00A02D0F" w:rsidRDefault="00A02D0F" w:rsidP="002521EE">
      <w:pPr>
        <w:pStyle w:val="FootnoteText"/>
      </w:pPr>
    </w:p>
    <w:p w14:paraId="44778670" w14:textId="692A6FD2" w:rsidR="00A02D0F" w:rsidRDefault="00A02D0F" w:rsidP="002521EE">
      <w:pPr>
        <w:pStyle w:val="FootnoteText"/>
      </w:pPr>
      <w:r w:rsidRPr="00A02D0F">
        <w:t>Morgan</w:t>
      </w:r>
      <w:r w:rsidRPr="00A02D0F">
        <w:t xml:space="preserve"> </w:t>
      </w:r>
      <w:r w:rsidRPr="00A02D0F">
        <w:t xml:space="preserve">Winifred, ‘Gender-Related Difference in the Slave Narratives of Harriet Jacobs and Frederick Douglass’, </w:t>
      </w:r>
      <w:r w:rsidRPr="00A02D0F">
        <w:rPr>
          <w:i/>
          <w:iCs/>
        </w:rPr>
        <w:t>American Studies</w:t>
      </w:r>
      <w:r w:rsidRPr="00A02D0F">
        <w:t>, 35.2 (1994), 73-94</w:t>
      </w:r>
    </w:p>
    <w:p w14:paraId="5757BE74" w14:textId="77777777" w:rsidR="00A02D0F" w:rsidRDefault="00A02D0F" w:rsidP="002521EE">
      <w:pPr>
        <w:pStyle w:val="FootnoteText"/>
      </w:pPr>
    </w:p>
    <w:p w14:paraId="7224102A" w14:textId="5B34E6BB" w:rsidR="001510C2" w:rsidRDefault="001510C2" w:rsidP="002521EE">
      <w:pPr>
        <w:pStyle w:val="FootnoteText"/>
      </w:pPr>
      <w:r w:rsidRPr="00DA5A30">
        <w:t xml:space="preserve">Neal Larry , 'The Ethos of the Blues', </w:t>
      </w:r>
      <w:r w:rsidRPr="00DA5A30">
        <w:rPr>
          <w:i/>
          <w:iCs/>
        </w:rPr>
        <w:t>The Black Scholar</w:t>
      </w:r>
      <w:r w:rsidRPr="00DA5A30">
        <w:t>, 3.10, (1972), 42-48.</w:t>
      </w:r>
    </w:p>
    <w:p w14:paraId="4ED1A1B1" w14:textId="77777777" w:rsidR="001510C2" w:rsidRDefault="001510C2"/>
    <w:p w14:paraId="0916E47F" w14:textId="4E4882E0" w:rsidR="001510C2" w:rsidRDefault="001510C2">
      <w:r w:rsidRPr="00C35B40">
        <w:t>Olaudah Equiano</w:t>
      </w:r>
      <w:r>
        <w:t xml:space="preserve">, </w:t>
      </w:r>
      <w:r w:rsidRPr="00C35B40">
        <w:rPr>
          <w:i/>
          <w:iCs/>
        </w:rPr>
        <w:t xml:space="preserve">The life of Olaudah Equiano, or, Gustavus </w:t>
      </w:r>
      <w:proofErr w:type="spellStart"/>
      <w:r w:rsidRPr="00C35B40">
        <w:rPr>
          <w:i/>
          <w:iCs/>
        </w:rPr>
        <w:t>Vassa</w:t>
      </w:r>
      <w:proofErr w:type="spellEnd"/>
      <w:r w:rsidRPr="00C35B40">
        <w:rPr>
          <w:i/>
          <w:iCs/>
        </w:rPr>
        <w:t>, the African</w:t>
      </w:r>
      <w:r>
        <w:rPr>
          <w:i/>
          <w:iCs/>
        </w:rPr>
        <w:t xml:space="preserve">, </w:t>
      </w:r>
      <w:r>
        <w:t xml:space="preserve">(Boston: </w:t>
      </w:r>
      <w:r w:rsidRPr="00C35B40">
        <w:t>I. Knapp</w:t>
      </w:r>
      <w:r>
        <w:t>, 1837).</w:t>
      </w:r>
    </w:p>
    <w:p w14:paraId="7ACB21FA" w14:textId="786D02F2" w:rsidR="001510C2" w:rsidRDefault="001510C2">
      <w:r w:rsidRPr="00645609">
        <w:t>Weissman M.</w:t>
      </w:r>
      <w:r w:rsidRPr="002E5445">
        <w:t xml:space="preserve"> </w:t>
      </w:r>
      <w:r w:rsidRPr="00645609">
        <w:t>Stephen, ‘Frederick Douglass, Portrait of a Black Militant, A Study in the Family Romance’,</w:t>
      </w:r>
      <w:r>
        <w:t xml:space="preserve"> </w:t>
      </w:r>
      <w:r w:rsidRPr="00645609">
        <w:rPr>
          <w:i/>
          <w:iCs/>
        </w:rPr>
        <w:t>The Psychoanalytic Study of the Child</w:t>
      </w:r>
      <w:r>
        <w:t xml:space="preserve">, 30.1 (1975), </w:t>
      </w:r>
      <w:r w:rsidRPr="00645609">
        <w:t>725-751</w:t>
      </w:r>
      <w:r>
        <w:t>.</w:t>
      </w:r>
    </w:p>
    <w:p w14:paraId="4014C554" w14:textId="77777777" w:rsidR="002E5445" w:rsidRPr="00645609" w:rsidRDefault="002E5445">
      <w:pPr>
        <w:rPr>
          <w:b/>
          <w:bCs/>
          <w:u w:val="single"/>
        </w:rPr>
      </w:pPr>
    </w:p>
    <w:sectPr w:rsidR="002E5445" w:rsidRPr="006456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C0FFC" w14:textId="77777777" w:rsidR="00CF08E9" w:rsidRDefault="00CF08E9" w:rsidP="00F907C3">
      <w:pPr>
        <w:spacing w:after="0" w:line="240" w:lineRule="auto"/>
      </w:pPr>
      <w:r>
        <w:separator/>
      </w:r>
    </w:p>
  </w:endnote>
  <w:endnote w:type="continuationSeparator" w:id="0">
    <w:p w14:paraId="6981CE99" w14:textId="77777777" w:rsidR="00CF08E9" w:rsidRDefault="00CF08E9" w:rsidP="00F90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F0632" w14:textId="77777777" w:rsidR="00CF08E9" w:rsidRDefault="00CF08E9" w:rsidP="00F907C3">
      <w:pPr>
        <w:spacing w:after="0" w:line="240" w:lineRule="auto"/>
      </w:pPr>
      <w:r>
        <w:separator/>
      </w:r>
    </w:p>
  </w:footnote>
  <w:footnote w:type="continuationSeparator" w:id="0">
    <w:p w14:paraId="7224AC21" w14:textId="77777777" w:rsidR="00CF08E9" w:rsidRDefault="00CF08E9" w:rsidP="00F907C3">
      <w:pPr>
        <w:spacing w:after="0" w:line="240" w:lineRule="auto"/>
      </w:pPr>
      <w:r>
        <w:continuationSeparator/>
      </w:r>
    </w:p>
  </w:footnote>
  <w:footnote w:id="1">
    <w:p w14:paraId="50E4D260" w14:textId="79E9659A" w:rsidR="004A03C7" w:rsidRPr="004A03C7" w:rsidRDefault="004A03C7">
      <w:pPr>
        <w:pStyle w:val="FootnoteText"/>
      </w:pPr>
      <w:bookmarkStart w:id="0" w:name="_Hlk30355284"/>
      <w:r>
        <w:rPr>
          <w:rStyle w:val="FootnoteReference"/>
        </w:rPr>
        <w:footnoteRef/>
      </w:r>
      <w:r>
        <w:t xml:space="preserve"> </w:t>
      </w:r>
      <w:r w:rsidRPr="004A03C7">
        <w:t>Winifred Morgan</w:t>
      </w:r>
      <w:r>
        <w:t>, ‘</w:t>
      </w:r>
      <w:r w:rsidRPr="004A03C7">
        <w:t>Gender-Related Difference in the Slave Narratives of Harriet Jacobs and Frederick Douglass</w:t>
      </w:r>
      <w:r>
        <w:t xml:space="preserve">’, </w:t>
      </w:r>
      <w:r w:rsidRPr="004A03C7">
        <w:rPr>
          <w:i/>
          <w:iCs/>
        </w:rPr>
        <w:t>American Studies</w:t>
      </w:r>
      <w:r>
        <w:rPr>
          <w:i/>
          <w:iCs/>
        </w:rPr>
        <w:t xml:space="preserve">, </w:t>
      </w:r>
      <w:r>
        <w:t>35.2 (1994), 73-94</w:t>
      </w:r>
      <w:bookmarkEnd w:id="0"/>
      <w:r w:rsidR="00A02D0F">
        <w:t xml:space="preserve"> (p. 74). </w:t>
      </w:r>
      <w:r>
        <w:t xml:space="preserve"> </w:t>
      </w:r>
    </w:p>
  </w:footnote>
  <w:footnote w:id="2">
    <w:p w14:paraId="478F6F9F" w14:textId="7331CB9F" w:rsidR="00F907C3" w:rsidRDefault="00F907C3">
      <w:pPr>
        <w:pStyle w:val="FootnoteText"/>
      </w:pPr>
      <w:r>
        <w:rPr>
          <w:rStyle w:val="FootnoteReference"/>
        </w:rPr>
        <w:footnoteRef/>
      </w:r>
      <w:r>
        <w:t xml:space="preserve"> </w:t>
      </w:r>
      <w:r w:rsidR="006B191F" w:rsidRPr="006B191F">
        <w:t>Frederick</w:t>
      </w:r>
      <w:r w:rsidR="006B191F" w:rsidRPr="006B191F">
        <w:t xml:space="preserve"> </w:t>
      </w:r>
      <w:r w:rsidR="006B191F" w:rsidRPr="006B191F">
        <w:t xml:space="preserve">Douglass, </w:t>
      </w:r>
      <w:r w:rsidR="006B191F" w:rsidRPr="006B191F">
        <w:rPr>
          <w:i/>
          <w:iCs/>
        </w:rPr>
        <w:t>Narrative of the Life of Frederick Douglass</w:t>
      </w:r>
      <w:r w:rsidR="006B191F" w:rsidRPr="006B191F">
        <w:t>, (Boston: Anti-Slavery Office, 1845)</w:t>
      </w:r>
      <w:r w:rsidR="006B191F">
        <w:t xml:space="preserve"> p.2</w:t>
      </w:r>
      <w:r w:rsidR="006B191F" w:rsidRPr="006B191F">
        <w:t>.</w:t>
      </w:r>
    </w:p>
  </w:footnote>
  <w:footnote w:id="3">
    <w:p w14:paraId="64B9F150" w14:textId="63777196" w:rsidR="00F907C3" w:rsidRDefault="00F907C3">
      <w:pPr>
        <w:pStyle w:val="FootnoteText"/>
      </w:pPr>
      <w:r>
        <w:rPr>
          <w:rStyle w:val="FootnoteReference"/>
        </w:rPr>
        <w:footnoteRef/>
      </w:r>
      <w:r>
        <w:t xml:space="preserve"> </w:t>
      </w:r>
      <w:r w:rsidR="00872740">
        <w:t>Ibid</w:t>
      </w:r>
      <w:r w:rsidR="006B191F">
        <w:t xml:space="preserve"> p. 1</w:t>
      </w:r>
      <w:r w:rsidR="00872740">
        <w:t>.</w:t>
      </w:r>
    </w:p>
  </w:footnote>
  <w:footnote w:id="4">
    <w:p w14:paraId="2B095B5B" w14:textId="161F2B13" w:rsidR="002467BC" w:rsidRDefault="002467BC" w:rsidP="00645609">
      <w:r>
        <w:rPr>
          <w:rStyle w:val="FootnoteReference"/>
        </w:rPr>
        <w:footnoteRef/>
      </w:r>
      <w:r>
        <w:t xml:space="preserve"> </w:t>
      </w:r>
      <w:r w:rsidRPr="00645609">
        <w:t>Stephen M. Weissman, ‘Frederick Douglass, Portrait of a Black Militant, A Study in the Family Romance’,</w:t>
      </w:r>
      <w:r w:rsidR="00645609">
        <w:t xml:space="preserve"> </w:t>
      </w:r>
      <w:r w:rsidR="00645609" w:rsidRPr="00645609">
        <w:rPr>
          <w:i/>
          <w:iCs/>
        </w:rPr>
        <w:t>The Psychoanalytic Study of the Child</w:t>
      </w:r>
      <w:r w:rsidR="00645609">
        <w:t xml:space="preserve">, 30.1 (1975), </w:t>
      </w:r>
      <w:r w:rsidR="00645609" w:rsidRPr="00645609">
        <w:t>725-751</w:t>
      </w:r>
      <w:r w:rsidR="00645609">
        <w:t xml:space="preserve">. </w:t>
      </w:r>
    </w:p>
  </w:footnote>
  <w:footnote w:id="5">
    <w:p w14:paraId="0E81F401" w14:textId="57278DC6" w:rsidR="007D5816" w:rsidRDefault="007D5816">
      <w:pPr>
        <w:pStyle w:val="FootnoteText"/>
      </w:pPr>
      <w:r>
        <w:rPr>
          <w:rStyle w:val="FootnoteReference"/>
        </w:rPr>
        <w:footnoteRef/>
      </w:r>
      <w:r>
        <w:t xml:space="preserve"> </w:t>
      </w:r>
      <w:r w:rsidR="006B191F" w:rsidRPr="006B191F">
        <w:rPr>
          <w:i/>
          <w:iCs/>
        </w:rPr>
        <w:t>Narrative of the Life of Frederick Douglass</w:t>
      </w:r>
      <w:r w:rsidR="006B191F">
        <w:rPr>
          <w:i/>
          <w:iCs/>
        </w:rPr>
        <w:t xml:space="preserve">, </w:t>
      </w:r>
      <w:r w:rsidR="006B191F">
        <w:t>p. 13-14</w:t>
      </w:r>
      <w:r w:rsidR="00872740">
        <w:t xml:space="preserve">. </w:t>
      </w:r>
    </w:p>
  </w:footnote>
  <w:footnote w:id="6">
    <w:p w14:paraId="64CCFB27" w14:textId="19D2695B" w:rsidR="00DA5A30" w:rsidRDefault="00DA5A30">
      <w:pPr>
        <w:pStyle w:val="FootnoteText"/>
      </w:pPr>
      <w:r>
        <w:rPr>
          <w:rStyle w:val="FootnoteReference"/>
        </w:rPr>
        <w:footnoteRef/>
      </w:r>
      <w:r>
        <w:t xml:space="preserve"> </w:t>
      </w:r>
      <w:r w:rsidRPr="00DA5A30">
        <w:t xml:space="preserve">Larry Neal , 'The Ethos of the Blues', </w:t>
      </w:r>
      <w:r w:rsidRPr="00DA5A30">
        <w:rPr>
          <w:i/>
          <w:iCs/>
        </w:rPr>
        <w:t>The Black Scholar</w:t>
      </w:r>
      <w:r w:rsidRPr="00DA5A30">
        <w:t>, 3.10, (1972), 42-48.</w:t>
      </w:r>
    </w:p>
  </w:footnote>
  <w:footnote w:id="7">
    <w:p w14:paraId="255FEA9E" w14:textId="45C68C72" w:rsidR="00C35B40" w:rsidRPr="00C35B40" w:rsidRDefault="00C35B40">
      <w:pPr>
        <w:pStyle w:val="FootnoteText"/>
      </w:pPr>
      <w:r>
        <w:rPr>
          <w:rStyle w:val="FootnoteReference"/>
        </w:rPr>
        <w:footnoteRef/>
      </w:r>
      <w:r>
        <w:t xml:space="preserve"> </w:t>
      </w:r>
      <w:r w:rsidRPr="00C35B40">
        <w:t>Olaudah Equiano</w:t>
      </w:r>
      <w:r>
        <w:t xml:space="preserve">, </w:t>
      </w:r>
      <w:r w:rsidRPr="00C35B40">
        <w:rPr>
          <w:i/>
          <w:iCs/>
        </w:rPr>
        <w:t xml:space="preserve">The life of Olaudah Equiano, or, Gustavus </w:t>
      </w:r>
      <w:proofErr w:type="spellStart"/>
      <w:r w:rsidRPr="00C35B40">
        <w:rPr>
          <w:i/>
          <w:iCs/>
        </w:rPr>
        <w:t>Vassa</w:t>
      </w:r>
      <w:proofErr w:type="spellEnd"/>
      <w:r w:rsidRPr="00C35B40">
        <w:rPr>
          <w:i/>
          <w:iCs/>
        </w:rPr>
        <w:t>, the African</w:t>
      </w:r>
      <w:r>
        <w:rPr>
          <w:i/>
          <w:iCs/>
        </w:rPr>
        <w:t xml:space="preserve">, </w:t>
      </w:r>
      <w:r>
        <w:t xml:space="preserve">(Boston: </w:t>
      </w:r>
      <w:r w:rsidRPr="00C35B40">
        <w:t>I. Knapp</w:t>
      </w:r>
      <w:r>
        <w:t xml:space="preserve">, 1837) p. 11. </w:t>
      </w:r>
    </w:p>
  </w:footnote>
  <w:footnote w:id="8">
    <w:p w14:paraId="79D37A3C" w14:textId="16A12590" w:rsidR="00297624" w:rsidRPr="000C23FA" w:rsidRDefault="00297624">
      <w:pPr>
        <w:pStyle w:val="FootnoteText"/>
      </w:pPr>
      <w:r>
        <w:rPr>
          <w:rStyle w:val="FootnoteReference"/>
        </w:rPr>
        <w:footnoteRef/>
      </w:r>
      <w:r>
        <w:t xml:space="preserve"> </w:t>
      </w:r>
      <w:r w:rsidR="00BD2E5C" w:rsidRPr="000C23FA">
        <w:rPr>
          <w:i/>
          <w:iCs/>
        </w:rPr>
        <w:t>Narrative of the Life of Frederick Douglass</w:t>
      </w:r>
      <w:r w:rsidR="000C23FA">
        <w:rPr>
          <w:i/>
          <w:iCs/>
        </w:rPr>
        <w:t xml:space="preserve">, </w:t>
      </w:r>
      <w:r w:rsidR="000C23FA">
        <w:t>p.62</w:t>
      </w:r>
      <w:r w:rsidR="000C23FA">
        <w:rPr>
          <w:i/>
          <w:iCs/>
        </w:rPr>
        <w:t xml:space="preserve"> </w:t>
      </w:r>
    </w:p>
  </w:footnote>
  <w:footnote w:id="9">
    <w:p w14:paraId="2012A037" w14:textId="77CEFCC7" w:rsidR="00297624" w:rsidRDefault="00297624">
      <w:pPr>
        <w:pStyle w:val="FootnoteText"/>
      </w:pPr>
      <w:r>
        <w:rPr>
          <w:rStyle w:val="FootnoteReference"/>
        </w:rPr>
        <w:footnoteRef/>
      </w:r>
      <w:r>
        <w:t xml:space="preserve"> </w:t>
      </w:r>
      <w:r w:rsidR="000C23FA">
        <w:t xml:space="preserve">Ibid.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1MzG1MLIwtDA0MjNQ0lEKTi0uzszPAykwqwUArkWNmCwAAAA="/>
  </w:docVars>
  <w:rsids>
    <w:rsidRoot w:val="008559CB"/>
    <w:rsid w:val="000A25A2"/>
    <w:rsid w:val="000C23FA"/>
    <w:rsid w:val="001349A1"/>
    <w:rsid w:val="001510C2"/>
    <w:rsid w:val="00161DD5"/>
    <w:rsid w:val="001811BE"/>
    <w:rsid w:val="002467BC"/>
    <w:rsid w:val="002521EE"/>
    <w:rsid w:val="002610EE"/>
    <w:rsid w:val="00297624"/>
    <w:rsid w:val="002E5445"/>
    <w:rsid w:val="003543F8"/>
    <w:rsid w:val="003E6F63"/>
    <w:rsid w:val="00475686"/>
    <w:rsid w:val="004A03C7"/>
    <w:rsid w:val="005734C9"/>
    <w:rsid w:val="00645609"/>
    <w:rsid w:val="00674919"/>
    <w:rsid w:val="0069118D"/>
    <w:rsid w:val="006B191F"/>
    <w:rsid w:val="00796DCC"/>
    <w:rsid w:val="007A24A8"/>
    <w:rsid w:val="007D5816"/>
    <w:rsid w:val="007E711B"/>
    <w:rsid w:val="0085597D"/>
    <w:rsid w:val="008559CB"/>
    <w:rsid w:val="00862ED5"/>
    <w:rsid w:val="00872740"/>
    <w:rsid w:val="00991FAD"/>
    <w:rsid w:val="00A02D0F"/>
    <w:rsid w:val="00B35F18"/>
    <w:rsid w:val="00B91897"/>
    <w:rsid w:val="00B93C5F"/>
    <w:rsid w:val="00B95BC7"/>
    <w:rsid w:val="00BA0BAF"/>
    <w:rsid w:val="00BD2E5C"/>
    <w:rsid w:val="00C35B40"/>
    <w:rsid w:val="00CF08E9"/>
    <w:rsid w:val="00DA5A30"/>
    <w:rsid w:val="00F23F46"/>
    <w:rsid w:val="00F241DB"/>
    <w:rsid w:val="00F7462F"/>
    <w:rsid w:val="00F9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65A53F"/>
  <w15:chartTrackingRefBased/>
  <w15:docId w15:val="{4484843D-3B57-4953-A126-8E3247A96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49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349A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9A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349A1"/>
    <w:rPr>
      <w:rFonts w:ascii="Times New Roman" w:eastAsia="Times New Roman" w:hAnsi="Times New Roman" w:cs="Times New Roman"/>
      <w:b/>
      <w:bCs/>
      <w:sz w:val="36"/>
      <w:szCs w:val="36"/>
      <w:lang w:eastAsia="en-GB"/>
    </w:rPr>
  </w:style>
  <w:style w:type="paragraph" w:styleId="FootnoteText">
    <w:name w:val="footnote text"/>
    <w:basedOn w:val="Normal"/>
    <w:link w:val="FootnoteTextChar"/>
    <w:uiPriority w:val="99"/>
    <w:semiHidden/>
    <w:unhideWhenUsed/>
    <w:rsid w:val="00F907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7C3"/>
    <w:rPr>
      <w:sz w:val="20"/>
      <w:szCs w:val="20"/>
    </w:rPr>
  </w:style>
  <w:style w:type="character" w:styleId="FootnoteReference">
    <w:name w:val="footnote reference"/>
    <w:basedOn w:val="DefaultParagraphFont"/>
    <w:uiPriority w:val="99"/>
    <w:semiHidden/>
    <w:unhideWhenUsed/>
    <w:rsid w:val="00F907C3"/>
    <w:rPr>
      <w:vertAlign w:val="superscript"/>
    </w:rPr>
  </w:style>
  <w:style w:type="character" w:customStyle="1" w:styleId="nlmsubtitle">
    <w:name w:val="nlm_subtitle"/>
    <w:basedOn w:val="DefaultParagraphFont"/>
    <w:rsid w:val="00246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621181">
      <w:bodyDiv w:val="1"/>
      <w:marLeft w:val="0"/>
      <w:marRight w:val="0"/>
      <w:marTop w:val="0"/>
      <w:marBottom w:val="0"/>
      <w:divBdr>
        <w:top w:val="none" w:sz="0" w:space="0" w:color="auto"/>
        <w:left w:val="none" w:sz="0" w:space="0" w:color="auto"/>
        <w:bottom w:val="none" w:sz="0" w:space="0" w:color="auto"/>
        <w:right w:val="none" w:sz="0" w:space="0" w:color="auto"/>
      </w:divBdr>
    </w:div>
    <w:div w:id="1582645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D4F3D7A-8019-420B-B5E4-BED07FD7A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878</Words>
  <Characters>5009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5</cp:revision>
  <dcterms:created xsi:type="dcterms:W3CDTF">2020-01-19T19:31:00Z</dcterms:created>
  <dcterms:modified xsi:type="dcterms:W3CDTF">2020-01-19T19:43:00Z</dcterms:modified>
</cp:coreProperties>
</file>