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FDA6FF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200BF">
              <w:rPr>
                <w:b/>
                <w:color w:val="auto"/>
                <w:sz w:val="32"/>
              </w:rPr>
              <w:t>Jessica Thomas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0202EB7" w:rsidR="005A1BA3" w:rsidRDefault="001200BF" w:rsidP="00340E9A">
            <w:pPr>
              <w:overflowPunct/>
              <w:autoSpaceDE/>
              <w:autoSpaceDN/>
              <w:adjustRightInd/>
              <w:ind w:right="237"/>
              <w:textAlignment w:val="auto"/>
              <w:rPr>
                <w:b/>
                <w:color w:val="auto"/>
                <w:sz w:val="32"/>
              </w:rPr>
            </w:pPr>
            <w:r w:rsidRPr="001200BF">
              <w:rPr>
                <w:b/>
                <w:color w:val="auto"/>
                <w:sz w:val="32"/>
              </w:rPr>
              <w:t>1910648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1200BF">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1200BF">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1200BF">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585643"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449E676" w14:textId="77777777" w:rsidR="0049333D" w:rsidRDefault="0049333D" w:rsidP="0049333D">
      <w:pPr>
        <w:spacing w:line="360" w:lineRule="auto"/>
        <w:ind w:right="237"/>
        <w:jc w:val="both"/>
        <w:rPr>
          <w:sz w:val="24"/>
          <w:szCs w:val="24"/>
        </w:rPr>
      </w:pPr>
    </w:p>
    <w:p w14:paraId="30FE419E" w14:textId="3D494DA4" w:rsidR="0049333D" w:rsidRDefault="0049333D" w:rsidP="0049333D">
      <w:pPr>
        <w:spacing w:line="360" w:lineRule="auto"/>
        <w:ind w:right="237"/>
        <w:jc w:val="both"/>
        <w:rPr>
          <w:sz w:val="24"/>
          <w:szCs w:val="24"/>
        </w:rPr>
      </w:pPr>
      <w:bookmarkStart w:id="0" w:name="_GoBack"/>
      <w:r w:rsidRPr="0049333D">
        <w:rPr>
          <w:sz w:val="24"/>
          <w:szCs w:val="24"/>
        </w:rPr>
        <w:t>Organisational justice, first populated by Greenberg (1987), “refers to the extent to which employees perceive workplace procedures, interactions and outcomes to be fair in nature” (Baldwin, 2006). Baldwin (2006) highlights three types of organisational justice. Distributive, procedural and interactional. Distributive justice is how fairly individuals feel that inputs and rewards are allocated within their organisation. Procedural justice is how fairly individuals feel decision-making processes are and how well these decisions are communicated within their organisation (College of Policing, 2015) and interactional justice is the quality of interpersonal treatment employees feel they receive from their organisation (Baldwin, 2006). In this essay I am going to be discussing the impact organisational justice has had on myself since joining the Police as well as discussing the steps that South Wales Police are taking to raise ethical standards within the force. I will be referring to the Gibbs reflective cycle (1988) throughout.</w:t>
      </w:r>
    </w:p>
    <w:p w14:paraId="730DD3AA" w14:textId="77777777" w:rsidR="0049333D" w:rsidRPr="0049333D" w:rsidRDefault="0049333D" w:rsidP="0049333D">
      <w:pPr>
        <w:spacing w:line="360" w:lineRule="auto"/>
        <w:ind w:right="237"/>
        <w:jc w:val="both"/>
        <w:rPr>
          <w:sz w:val="24"/>
          <w:szCs w:val="24"/>
        </w:rPr>
      </w:pPr>
    </w:p>
    <w:p w14:paraId="252818DA" w14:textId="2CA211CA" w:rsidR="0049333D" w:rsidRDefault="0049333D" w:rsidP="0049333D">
      <w:pPr>
        <w:spacing w:line="360" w:lineRule="auto"/>
        <w:ind w:right="237"/>
        <w:jc w:val="both"/>
        <w:rPr>
          <w:sz w:val="24"/>
          <w:szCs w:val="24"/>
        </w:rPr>
      </w:pPr>
      <w:r w:rsidRPr="0049333D">
        <w:rPr>
          <w:sz w:val="24"/>
          <w:szCs w:val="24"/>
        </w:rPr>
        <w:t xml:space="preserve">One aspect of organisational injustice I have experienced as a female Police Officer is the assumption that victims of sexual assault want to speak with female officers only. As the only female officer on my team, I was often allocated every call relating to victims of sexual assault. The first couple of incidents I attended did not bother me, but when I began to notice none of my male colleagues were being allocated to incidents of this nature I started to feel as though I was being unfairly approached as a female officer. During one shift, I attended a call relating to a sexual assault </w:t>
      </w:r>
      <w:r w:rsidRPr="0049333D">
        <w:rPr>
          <w:sz w:val="24"/>
          <w:szCs w:val="24"/>
        </w:rPr>
        <w:lastRenderedPageBreak/>
        <w:t xml:space="preserve">where a 14 year old girl had been touched inappropriately in school by another student. I spent a long time at the call, building a rapport with the victim and reassuring her. I completed all the relevant paperwork to safeguard the victim and made sure the file was ready for the suspect to be arrested. Later on that day, another report of a sexual assault came in and I was asked to attend again. I was confused, as none of my male colleagues were engaged with anything and all free to attend. I regarded this as procedural injustice, as I felt as though I was being unfairly chosen to attend incidents. I was more than happy to attend and deal with the incident however, I felt discouraged knowing I was the least experienced officer on my team attending these incidents on my own just because I was a female officer. A report written by Lonsway and Archambault (2020) analysed whether law enforcement agencies should have a policy of assigning female officers to interview sexual assault victims. Lonsway and Archambault highlighted that some supervisors believe when assigning a female officer to a sexual assault incident, this inevitably means the victim will receive a compassionate response however, concluded that there is no reason to suggest that a female officer will be any more equipped than a male in investigating sexual assault (Lonsway &amp; Archambault, 2020). I decided at the end of the shift to raise my concerns with my supervisor and ask why I was always allocated every sexual offence incident. I was anxious as I did not want my supervisor to misinterpret my concerns, as it was not that I felt incapable of dealing and investigating such offences, I just wanted to understand why I was the only one doing it. After approaching my supervisor, he explained to me that I was allocated to these calls because he thought I would be the most competent in dealing with them. He explained that from having seen me communicate with other members of the public and victims of crime, he knows I can communicate well and in a compassionate and reassuring manner. He explained his reasoning for sending me to both incidents was because he wanted to challenge me in more demanding situations to help build my confidence further. I felt better after being explained the reasoning behind my supervisor’s decisions. GOV.UK (2019) stated that explaining the reasons for a particular decision and offering people the chance to ask questions and voice their concerns can promote procedural justice. This is supported by Baldwin (2006) who discussed the voice principle and stated, “having a voice can serve both a preventative and a remedial role in promoting organisational justice”. During the conversation with my supervisor I felt as though he understood me and </w:t>
      </w:r>
      <w:r w:rsidRPr="0049333D">
        <w:rPr>
          <w:sz w:val="24"/>
          <w:szCs w:val="24"/>
        </w:rPr>
        <w:lastRenderedPageBreak/>
        <w:t xml:space="preserve">listened to my concerns. I felt as though I had been treated fairly and I could address any further concerns I had with him again. </w:t>
      </w:r>
    </w:p>
    <w:p w14:paraId="5A489F4A" w14:textId="77777777" w:rsidR="0049333D" w:rsidRPr="0049333D" w:rsidRDefault="0049333D" w:rsidP="0049333D">
      <w:pPr>
        <w:spacing w:line="360" w:lineRule="auto"/>
        <w:ind w:right="237"/>
        <w:jc w:val="both"/>
        <w:rPr>
          <w:sz w:val="24"/>
          <w:szCs w:val="24"/>
        </w:rPr>
      </w:pPr>
    </w:p>
    <w:p w14:paraId="0E4E1D7E" w14:textId="300929BD" w:rsidR="0049333D" w:rsidRDefault="0049333D" w:rsidP="0049333D">
      <w:pPr>
        <w:spacing w:line="360" w:lineRule="auto"/>
        <w:ind w:right="237"/>
        <w:jc w:val="both"/>
        <w:rPr>
          <w:sz w:val="24"/>
          <w:szCs w:val="24"/>
        </w:rPr>
      </w:pPr>
      <w:r w:rsidRPr="0049333D">
        <w:rPr>
          <w:sz w:val="24"/>
          <w:szCs w:val="24"/>
        </w:rPr>
        <w:t xml:space="preserve">The Code of Ethics is a written guide that details the standards of behaviour that every Police Officer in England and Wales are expected to uphold (South Wales Police, 2021). Within the Code of Ethics there are nine policing principles. These include accountability, fairness, honesty, integrity, leadership, objectivity, openness, respect and selflessness (College of Policing, 2014). Fairness and openness are two important principles of the Code of Ethics when trying to maintain organisational justice within the Police. If these principles were not upheld by all members of the Police, there would be a considerable amount of perceived injustice. However, just maintaining and upholding the Code of Ethics isn’t enough to achieve organisational justice. Police forces should strive to raise ethical standards and make a conscious effort to ensure that their officers and staff are being treated justly. South Wales Police currently has a Joint Independent Ethics Committee which “provides advice, support and assistance concerning ethical challenges arising from operational, administrative or organisational matters facing South Wales Police” (South Wales Police, 2021). The committee meets every couple of months to discuss issues surrounding ethical standards within the force and its aim is to promote the highest standard of ethical conduct and promote confidence within the communities of South Wales Police. The College of Policing (2015) suggest that when officers feel as though they have been treated fairly, they are more likely to be committed to the organisation, perform better and support ethical policing. Alternatively, if officers feel as though they have not be treated fairly they are likely to disengage and see less value in delivering a quality service to the public. </w:t>
      </w:r>
    </w:p>
    <w:p w14:paraId="6A9315D8" w14:textId="77777777" w:rsidR="00502031" w:rsidRPr="0049333D" w:rsidRDefault="00502031" w:rsidP="0049333D">
      <w:pPr>
        <w:spacing w:line="360" w:lineRule="auto"/>
        <w:ind w:right="237"/>
        <w:jc w:val="both"/>
        <w:rPr>
          <w:sz w:val="24"/>
          <w:szCs w:val="24"/>
        </w:rPr>
      </w:pPr>
    </w:p>
    <w:p w14:paraId="0EDC798F" w14:textId="77777777" w:rsidR="00502031" w:rsidRDefault="0049333D" w:rsidP="0049333D">
      <w:pPr>
        <w:spacing w:line="360" w:lineRule="auto"/>
        <w:ind w:right="237"/>
        <w:jc w:val="both"/>
        <w:rPr>
          <w:sz w:val="24"/>
          <w:szCs w:val="24"/>
        </w:rPr>
      </w:pPr>
      <w:r w:rsidRPr="0049333D">
        <w:rPr>
          <w:sz w:val="24"/>
          <w:szCs w:val="24"/>
        </w:rPr>
        <w:t xml:space="preserve">To conclude, when a Police force has clear organisational values and goals, consistent with the Code of Ethics, organisational justice can be easily achieved. This incident has taught me the importance of challenging decisions which you perceive to be unfair. When I was first asked to attend the incident, I felt frustrated and discouraged however, after discussion with my supervisor, gaining a clear insight into his thought process and decision making I felt reassured and encouraged that I wasn’t being singled out unfairly. </w:t>
      </w:r>
    </w:p>
    <w:bookmarkEnd w:id="0"/>
    <w:p w14:paraId="3B855813" w14:textId="1371C698" w:rsidR="00FF7784" w:rsidRPr="00270EEB" w:rsidRDefault="0049333D" w:rsidP="0049333D">
      <w:pPr>
        <w:spacing w:line="360" w:lineRule="auto"/>
        <w:ind w:right="237"/>
        <w:jc w:val="both"/>
        <w:rPr>
          <w:sz w:val="24"/>
          <w:szCs w:val="24"/>
        </w:rPr>
      </w:pPr>
      <w:r w:rsidRPr="0049333D">
        <w:rPr>
          <w:sz w:val="24"/>
          <w:szCs w:val="24"/>
        </w:rPr>
        <w:lastRenderedPageBreak/>
        <w:t>1100 words.</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8B37EE">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B335C01" w14:textId="472F5892" w:rsidR="00585643" w:rsidRDefault="00585643" w:rsidP="00585643">
      <w:pPr>
        <w:spacing w:line="360" w:lineRule="auto"/>
        <w:ind w:right="237"/>
        <w:jc w:val="both"/>
        <w:rPr>
          <w:sz w:val="24"/>
          <w:szCs w:val="24"/>
        </w:rPr>
      </w:pPr>
      <w:r w:rsidRPr="00585643">
        <w:rPr>
          <w:sz w:val="24"/>
          <w:szCs w:val="24"/>
        </w:rPr>
        <w:t>“It is estimated that over 20% of Police time is spent responding to people with mental health problems” (Home Office, 2021) and the demand for the Police to respond to mental health (MH) related incidents is increasing. From 2014 to 2018 the number of MH related incidents the Police responded increased by more than a quarter, with 385,206 incidents in 2014 and 494,159 in 2018 (Jones, 2019). In this essay I am going to be reflecting on an incident I attended whereby a female with MH problems had assaulted her elderly mother. I will be discussing what options I considered when adopting a multi-agency approach and how I evaluated all available evidence with partner agencies to achieve a common resolution. I will be referring to the Kolb Reflective Cycle (1984) throughout.</w:t>
      </w:r>
    </w:p>
    <w:p w14:paraId="7E65BA11" w14:textId="77777777" w:rsidR="00585643" w:rsidRPr="00585643" w:rsidRDefault="00585643" w:rsidP="00585643">
      <w:pPr>
        <w:spacing w:line="360" w:lineRule="auto"/>
        <w:ind w:right="237"/>
        <w:jc w:val="both"/>
        <w:rPr>
          <w:sz w:val="24"/>
          <w:szCs w:val="24"/>
        </w:rPr>
      </w:pPr>
    </w:p>
    <w:p w14:paraId="4C5D4311" w14:textId="2262A0C4" w:rsidR="00585643" w:rsidRDefault="00585643" w:rsidP="00585643">
      <w:pPr>
        <w:spacing w:line="360" w:lineRule="auto"/>
        <w:ind w:right="237"/>
        <w:jc w:val="both"/>
        <w:rPr>
          <w:sz w:val="24"/>
          <w:szCs w:val="24"/>
        </w:rPr>
      </w:pPr>
      <w:r w:rsidRPr="00585643">
        <w:rPr>
          <w:sz w:val="24"/>
          <w:szCs w:val="24"/>
        </w:rPr>
        <w:t xml:space="preserve">Over a duration of three months, I attended six calls involving the same female who suffered from MH problems. On one occasion, I attended an incident reported by the female herself, who was very distressed, stating she had her assaulted her mother. On arrival at the address the female appeared in crisis and was visibly </w:t>
      </w:r>
      <w:r w:rsidR="004C63F5">
        <w:rPr>
          <w:sz w:val="24"/>
          <w:szCs w:val="24"/>
        </w:rPr>
        <w:lastRenderedPageBreak/>
        <w:t>distraught. She</w:t>
      </w:r>
      <w:r w:rsidRPr="00585643">
        <w:rPr>
          <w:sz w:val="24"/>
          <w:szCs w:val="24"/>
        </w:rPr>
        <w:t xml:space="preserve"> made continued remarks about how she only wanted to harm herself, not her mother and made a number of attempts to grab knives whilst I was present in the address. Upon speaking to the female’s mother, she out</w:t>
      </w:r>
      <w:r w:rsidR="004C63F5">
        <w:rPr>
          <w:sz w:val="24"/>
          <w:szCs w:val="24"/>
        </w:rPr>
        <w:t>lined that her daughter had grabbed</w:t>
      </w:r>
      <w:r w:rsidRPr="00585643">
        <w:rPr>
          <w:sz w:val="24"/>
          <w:szCs w:val="24"/>
        </w:rPr>
        <w:t xml:space="preserve"> a k</w:t>
      </w:r>
      <w:r w:rsidR="004C63F5">
        <w:rPr>
          <w:sz w:val="24"/>
          <w:szCs w:val="24"/>
        </w:rPr>
        <w:t>nife from the kitchen to harm</w:t>
      </w:r>
      <w:r w:rsidRPr="00585643">
        <w:rPr>
          <w:sz w:val="24"/>
          <w:szCs w:val="24"/>
        </w:rPr>
        <w:t xml:space="preserve"> herself and when she attempted to remove the knife from her, the female accidentally cut the mothers arm. The mother was not concerned about her injury, as the cut was superficial, but was seriously concerned for her daughter’s MH which had rapidly deteriorated. The mother pleaded for help as she no longer knew where to turn to get help for her daughter. She had no intention of providing a for</w:t>
      </w:r>
      <w:r w:rsidR="004C63F5">
        <w:rPr>
          <w:sz w:val="24"/>
          <w:szCs w:val="24"/>
        </w:rPr>
        <w:t>mal account or complaint and</w:t>
      </w:r>
      <w:r w:rsidRPr="00585643">
        <w:rPr>
          <w:sz w:val="24"/>
          <w:szCs w:val="24"/>
        </w:rPr>
        <w:t xml:space="preserve"> simply implored us to help her daughter. It’s clear that past policing interventions were not successful in supporting the female and despite the fact she had committed a criminal offence, I did not feel arresting her was the best course of action. The female was in clear need of expert help and needed to be cared for in a healthcare setting. Police officers aren’t equipped with the skills required to support individuals with MH problems but are often responsible for their safety and welfare, that other professionals would be better suited to deal with (HMICFRS, 2018). I therefore decided to implement a multi-agency approach.</w:t>
      </w:r>
    </w:p>
    <w:p w14:paraId="42194F05" w14:textId="77777777" w:rsidR="00585643" w:rsidRPr="00585643" w:rsidRDefault="00585643" w:rsidP="00585643">
      <w:pPr>
        <w:spacing w:line="360" w:lineRule="auto"/>
        <w:ind w:right="237"/>
        <w:jc w:val="both"/>
        <w:rPr>
          <w:sz w:val="24"/>
          <w:szCs w:val="24"/>
        </w:rPr>
      </w:pPr>
    </w:p>
    <w:p w14:paraId="30E2BF90" w14:textId="22664B09" w:rsidR="00585643" w:rsidRDefault="00585643" w:rsidP="00585643">
      <w:pPr>
        <w:spacing w:line="360" w:lineRule="auto"/>
        <w:ind w:right="237"/>
        <w:jc w:val="both"/>
        <w:rPr>
          <w:sz w:val="24"/>
          <w:szCs w:val="24"/>
        </w:rPr>
      </w:pPr>
      <w:r w:rsidRPr="00585643">
        <w:rPr>
          <w:sz w:val="24"/>
          <w:szCs w:val="24"/>
        </w:rPr>
        <w:t xml:space="preserve">Multi-agency policing is “the coordinated response of public sector agencies to address crime, social disorder and community safety” (Wakefield &amp; Fleming, 2009). It is a distinctive feature of policing and is vital to crime prevention. Multi-agency approaches have been implemented in the past with this female however proved inefficient as the female was still calling police for help. I knew I needed to establish a better understanding of the issues and what worked previously in regards to a policing intervention. I therefore considered an evidence based policing (EBP) approach, which is something that was discussed in my initial police training. The concept of EBP was developed by Professor Lawrence Sherman (1988) whose theory suggests that scientific evaluations should inform policing decisions. Sherman (1988) stated that, “EBP uses research to guide practice and evaluate practitioners”. An EBP approach can be used to develop a better understanding of an issue and assess the effect of a policing intervention (College of Policing, 2021a). In practice EBP is intended to help decision-making by the police and partner organisations (Bryant &amp; Bryant, 2019). The College of Policing’s What Works Centre </w:t>
      </w:r>
      <w:r w:rsidRPr="00585643">
        <w:rPr>
          <w:sz w:val="24"/>
          <w:szCs w:val="24"/>
        </w:rPr>
        <w:lastRenderedPageBreak/>
        <w:t>for Crime Reduction (WWCFCR) was established in 2013 for the purpose of sharing research evidence on crime reduction and supporting its use in practice (College of Policing, 2021b). One of the ways WWCCR achieves this is by conducting crime reduction systematic reviews, which “identifies, appraises, synthesises and impartially interprets all relevant unpublished and published research that has been carried out to address a particular research question” (College of Policing, 2021c). One systematic review th</w:t>
      </w:r>
      <w:r w:rsidR="004C63F5">
        <w:rPr>
          <w:sz w:val="24"/>
          <w:szCs w:val="24"/>
        </w:rPr>
        <w:t xml:space="preserve">at has been carried out is the </w:t>
      </w:r>
      <w:r w:rsidRPr="00585643">
        <w:rPr>
          <w:sz w:val="24"/>
          <w:szCs w:val="24"/>
        </w:rPr>
        <w:t>pre-arrest diversion of p</w:t>
      </w:r>
      <w:r w:rsidR="004C63F5">
        <w:rPr>
          <w:sz w:val="24"/>
          <w:szCs w:val="24"/>
        </w:rPr>
        <w:t>eople with mental health issues</w:t>
      </w:r>
      <w:r w:rsidRPr="00585643">
        <w:rPr>
          <w:sz w:val="24"/>
          <w:szCs w:val="24"/>
        </w:rPr>
        <w:t>, undertaken by Dr Karen Schucan Bird. This systematic review discusses whether the pre-arrest diversion of people with MH issues, away from the criminal justice system and towards mental health services, reduces crime (College of Policing, 2021d). The review concluded that there was no evidence to suggest that pre-arrest diversion reduced crime however, found evidence to suggest that the intervention increased the likelihood of MH medication being prescribed and improved links between individuals with MH issues and community services (Schucan Bird et al., 2017). This pre-arrest diversion strategy is what I adopted in this incident.</w:t>
      </w:r>
    </w:p>
    <w:p w14:paraId="006D8FE1" w14:textId="77777777" w:rsidR="00585643" w:rsidRPr="00585643" w:rsidRDefault="00585643" w:rsidP="00585643">
      <w:pPr>
        <w:spacing w:line="360" w:lineRule="auto"/>
        <w:ind w:right="237"/>
        <w:jc w:val="both"/>
        <w:rPr>
          <w:sz w:val="24"/>
          <w:szCs w:val="24"/>
        </w:rPr>
      </w:pPr>
    </w:p>
    <w:p w14:paraId="36139D81" w14:textId="29B76CC1" w:rsidR="00585643" w:rsidRDefault="00585643" w:rsidP="00585643">
      <w:pPr>
        <w:spacing w:line="360" w:lineRule="auto"/>
        <w:ind w:right="237"/>
        <w:jc w:val="both"/>
        <w:rPr>
          <w:sz w:val="24"/>
          <w:szCs w:val="24"/>
        </w:rPr>
      </w:pPr>
      <w:r w:rsidRPr="00585643">
        <w:rPr>
          <w:sz w:val="24"/>
          <w:szCs w:val="24"/>
        </w:rPr>
        <w:t xml:space="preserve">Whilst at the call I decided to contact the Crisis Team as the female seemed keen to speak with a MH professional. She was upset that she had assaulted her mother and felt great remorse. The crisis team is part of the MH services and can be contacted when someone needs urgent MH support. Support from a crisis team can help you deal with a crisis at home, assist with self-help strategies or assist in arranging a MH assessment in hospital (Mind, 2018). When I rung up the crisis team for this incident, I spoke with a psychiatrist. I informed her what had happened and the current of disposition the female. As the female was happy to attend the hospital voluntarily, the psychiatrist arranged for the female to have a MH assessment in the hospital by the mental health team (MHT) as soon as possible. I conveyed the female to the hospital and waited with her until the MHT arrived for her MH assessment. This was nearing the seventh call Police had received from this female within three months and I had serious concerns for her elderly mother’s safety, as this was the first time the female went as far as assaulting her. When the female is undergoing MH episodes, she is unpredictable, which makes her mother extremely vulnerable and I had concerns that her mother was no longer capable of looking </w:t>
      </w:r>
      <w:r w:rsidRPr="00585643">
        <w:rPr>
          <w:sz w:val="24"/>
          <w:szCs w:val="24"/>
        </w:rPr>
        <w:lastRenderedPageBreak/>
        <w:t>after her. As I had not arrested the female, restrictions such as bail conditions could not imposed to safeguard the mother so whilst I was in hospital with the female, I expressed these concerns to the MHT who were assessing the female</w:t>
      </w:r>
      <w:r w:rsidR="004C63F5">
        <w:rPr>
          <w:sz w:val="24"/>
          <w:szCs w:val="24"/>
        </w:rPr>
        <w:t xml:space="preserve">. I did this in hope that it would </w:t>
      </w:r>
      <w:r w:rsidRPr="00585643">
        <w:rPr>
          <w:sz w:val="24"/>
          <w:szCs w:val="24"/>
        </w:rPr>
        <w:t xml:space="preserve">influence </w:t>
      </w:r>
      <w:r w:rsidR="004C63F5">
        <w:rPr>
          <w:sz w:val="24"/>
          <w:szCs w:val="24"/>
        </w:rPr>
        <w:t xml:space="preserve">the MHT’s </w:t>
      </w:r>
      <w:r w:rsidRPr="00585643">
        <w:rPr>
          <w:sz w:val="24"/>
          <w:szCs w:val="24"/>
        </w:rPr>
        <w:t xml:space="preserve">decision </w:t>
      </w:r>
      <w:r w:rsidR="004C63F5">
        <w:rPr>
          <w:sz w:val="24"/>
          <w:szCs w:val="24"/>
        </w:rPr>
        <w:t xml:space="preserve">when deciding whether the keep the female under their care. </w:t>
      </w:r>
      <w:r w:rsidRPr="00585643">
        <w:rPr>
          <w:sz w:val="24"/>
          <w:szCs w:val="24"/>
        </w:rPr>
        <w:t xml:space="preserve">Following </w:t>
      </w:r>
      <w:r w:rsidR="004C63F5">
        <w:rPr>
          <w:sz w:val="24"/>
          <w:szCs w:val="24"/>
        </w:rPr>
        <w:t xml:space="preserve">the </w:t>
      </w:r>
      <w:r w:rsidRPr="00585643">
        <w:rPr>
          <w:sz w:val="24"/>
          <w:szCs w:val="24"/>
        </w:rPr>
        <w:t xml:space="preserve">assessment it was decided that she would not be admitted to a MH ward in the hospital and this concerned me as </w:t>
      </w:r>
      <w:r w:rsidR="004C63F5">
        <w:rPr>
          <w:sz w:val="24"/>
          <w:szCs w:val="24"/>
        </w:rPr>
        <w:t xml:space="preserve">I did not think it was safe for the female to return home to her mother. </w:t>
      </w:r>
      <w:r w:rsidRPr="00585643">
        <w:rPr>
          <w:sz w:val="24"/>
          <w:szCs w:val="24"/>
        </w:rPr>
        <w:t>After liaising with the MHT and the females support worker, expressing my concerns that this female could not be cared for sufficiently by her mother anymore</w:t>
      </w:r>
      <w:r w:rsidR="004C63F5">
        <w:rPr>
          <w:sz w:val="24"/>
          <w:szCs w:val="24"/>
        </w:rPr>
        <w:t>,</w:t>
      </w:r>
      <w:r w:rsidRPr="00585643">
        <w:rPr>
          <w:sz w:val="24"/>
          <w:szCs w:val="24"/>
        </w:rPr>
        <w:t xml:space="preserve"> it was decided that the female would move into supported housing. The supported housing chosen for the female offers residential care, specifically for women with MH problems. The home was not far from the females mother’s home address so they could still each ot</w:t>
      </w:r>
      <w:r w:rsidR="00B42A7B">
        <w:rPr>
          <w:sz w:val="24"/>
          <w:szCs w:val="24"/>
        </w:rPr>
        <w:t>her regularly however,</w:t>
      </w:r>
      <w:r w:rsidR="004C63F5">
        <w:rPr>
          <w:sz w:val="24"/>
          <w:szCs w:val="24"/>
        </w:rPr>
        <w:t xml:space="preserve"> the female</w:t>
      </w:r>
      <w:r w:rsidRPr="00585643">
        <w:rPr>
          <w:sz w:val="24"/>
          <w:szCs w:val="24"/>
        </w:rPr>
        <w:t xml:space="preserve"> was </w:t>
      </w:r>
      <w:r w:rsidR="004C63F5">
        <w:rPr>
          <w:sz w:val="24"/>
          <w:szCs w:val="24"/>
        </w:rPr>
        <w:t xml:space="preserve">now </w:t>
      </w:r>
      <w:r w:rsidRPr="00585643">
        <w:rPr>
          <w:sz w:val="24"/>
          <w:szCs w:val="24"/>
        </w:rPr>
        <w:t>in a safe and secure home, with expert staff that could specifically care for her needs 24 hours a day.</w:t>
      </w:r>
    </w:p>
    <w:p w14:paraId="05DBCFBB" w14:textId="534C6D8D" w:rsidR="00585643" w:rsidRPr="00585643" w:rsidRDefault="00585643" w:rsidP="00585643">
      <w:pPr>
        <w:spacing w:line="360" w:lineRule="auto"/>
        <w:ind w:right="237"/>
        <w:jc w:val="both"/>
        <w:rPr>
          <w:sz w:val="24"/>
          <w:szCs w:val="24"/>
        </w:rPr>
      </w:pPr>
      <w:r w:rsidRPr="00585643">
        <w:rPr>
          <w:sz w:val="24"/>
          <w:szCs w:val="24"/>
        </w:rPr>
        <w:t xml:space="preserve"> </w:t>
      </w:r>
    </w:p>
    <w:p w14:paraId="79C6F38B" w14:textId="5CBCF94C" w:rsidR="00AA666E" w:rsidRPr="00270EEB" w:rsidRDefault="00585643" w:rsidP="00585643">
      <w:pPr>
        <w:spacing w:line="360" w:lineRule="auto"/>
        <w:ind w:right="237"/>
        <w:jc w:val="both"/>
        <w:rPr>
          <w:sz w:val="24"/>
          <w:szCs w:val="24"/>
        </w:rPr>
      </w:pPr>
      <w:r w:rsidRPr="00585643">
        <w:rPr>
          <w:sz w:val="24"/>
          <w:szCs w:val="24"/>
        </w:rPr>
        <w:t>To conclude, I believe early intervention for individuals with MH problems should be given much higher priority. Individuals with MH problems need expert support and too often police are called to deal with these individuals when they are in crisis, contemplating suicide or engaging in dangerous behaviour. The successful outcome of this incident couldn’t have been achieved without a multi-agency approach. The female, as a result of multiagency policing, is now living in supported housing with staff that can specifically care for her MH needs. Overall, EBP has also proven worthwhile and should be integrated into routine policing and utilised more in practice.</w:t>
      </w:r>
    </w:p>
    <w:p w14:paraId="607A0D29" w14:textId="77777777" w:rsidR="00AA666E" w:rsidRPr="00270EEB" w:rsidRDefault="00AA666E" w:rsidP="00340E9A">
      <w:pPr>
        <w:ind w:right="237"/>
        <w:jc w:val="both"/>
        <w:rPr>
          <w:sz w:val="24"/>
          <w:szCs w:val="24"/>
        </w:rPr>
      </w:pPr>
    </w:p>
    <w:p w14:paraId="4557CCDD" w14:textId="799E9E86" w:rsidR="008B28E7" w:rsidRPr="00270EEB" w:rsidRDefault="00B42A7B" w:rsidP="00340E9A">
      <w:pPr>
        <w:ind w:right="237"/>
        <w:jc w:val="both"/>
        <w:rPr>
          <w:sz w:val="24"/>
          <w:szCs w:val="24"/>
        </w:rPr>
      </w:pPr>
      <w:r>
        <w:rPr>
          <w:sz w:val="24"/>
          <w:szCs w:val="24"/>
        </w:rPr>
        <w:t>1318</w:t>
      </w:r>
      <w:r w:rsidR="00585643">
        <w:rPr>
          <w:sz w:val="24"/>
          <w:szCs w:val="24"/>
        </w:rPr>
        <w:t xml:space="preserve"> words.</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5E747DA1" w14:textId="147A71B9" w:rsidR="00640E08" w:rsidRDefault="00640E08" w:rsidP="00640E08">
      <w:pPr>
        <w:spacing w:line="360" w:lineRule="auto"/>
        <w:ind w:right="237"/>
        <w:jc w:val="both"/>
        <w:rPr>
          <w:sz w:val="24"/>
        </w:rPr>
      </w:pPr>
      <w:r w:rsidRPr="00640E08">
        <w:rPr>
          <w:sz w:val="24"/>
        </w:rPr>
        <w:t xml:space="preserve">Domestic violence comprises at least 15 per cent of all violent incidents reported in England and Wales with a substantial proportion of these cases involving repeat victimisation (Home Office, 2013). In this essay, I am going to be discussing a domestic incident I attended where a female had been assaulted by her partner. I will be evaluating the appropriateness of different approaches in supporting or managing vulnerable people as well as evaluating what works in relation tackling repeat victimisation and repeat offending. I will also be referring to the Gibbs reflective cycle (1988) throughout. </w:t>
      </w:r>
    </w:p>
    <w:p w14:paraId="386989DE" w14:textId="77777777" w:rsidR="00640E08" w:rsidRPr="00640E08" w:rsidRDefault="00640E08" w:rsidP="00640E08">
      <w:pPr>
        <w:spacing w:line="360" w:lineRule="auto"/>
        <w:ind w:right="237"/>
        <w:jc w:val="both"/>
        <w:rPr>
          <w:sz w:val="24"/>
        </w:rPr>
      </w:pPr>
    </w:p>
    <w:p w14:paraId="3604728A" w14:textId="535F9205" w:rsidR="00640E08" w:rsidRDefault="00640E08" w:rsidP="00640E08">
      <w:pPr>
        <w:spacing w:line="360" w:lineRule="auto"/>
        <w:ind w:right="237"/>
        <w:jc w:val="both"/>
        <w:rPr>
          <w:sz w:val="24"/>
        </w:rPr>
      </w:pPr>
      <w:r w:rsidRPr="00640E08">
        <w:rPr>
          <w:sz w:val="24"/>
        </w:rPr>
        <w:t xml:space="preserve">The initial call I received disclosed that there was a domestic incident ongoing at a nearby address. A distressed female was reporting that her partner had assaulted her and a marker against the woman’s address noted that she was a high-risk victim of domestic abuse. On arrival at the call, the female allowed my colleague and I into the address which I could immediately see was in a dishevelled state. I observed that there were clear signs that a disturbance of some sort had gone on in the address as there were broken glass bottles discarded on the floor in the hallway and broken crockery in the living room. The female confirmed that her partner had left the address prior to police arrival and explained that this evening he had become </w:t>
      </w:r>
      <w:r w:rsidRPr="00640E08">
        <w:rPr>
          <w:sz w:val="24"/>
        </w:rPr>
        <w:lastRenderedPageBreak/>
        <w:t>agitated and placed a small pillow over her neck, pressing down hard using both his hands. He held the pillow to her neck for a duration of time, rendering her unconscious and unable to breathe. The female couldn’t remember how long she blacked out for but when she awoke, her partner was dragging her around the living room by her hair and punching her. The female stated that this went on for around an hour before she was able to ring 999 for help however, as soon as she phoned her partner left. She explained that she and her partner have been together 10 years and during that time she has reported six separate domestic incidents to the police. Three of these incidents resulted in her partner being incarcerated for domestic assault against her and I could see that the most recent incident was referred to a multi-agency risk assessment conference (MARAC), which graded that particular case as high risk. The female’s partner has previously broken her nose and she has five inch scare on her forehead from where he head-butted early on in the relationship. The female then disclosed to me that the reason she had no injuries was because her partner is very clever and knows not to leave marks on her when assaulting her. This why she was strangled with a pillow and not her partner’s bare hands as he knows if he was to strangle to female with his bare hands she would have been left with reddening around her neck. The female had little faith in the criminal justice system and stated that whenever she had provided a statement in the past, the courts have always allowed her partner out too soon, causing him to return home and continue abusing her. The female was extremely scared and believes one day her partner will go as far as killing her. At this stage I knew the female was extremely vulnerable and all measures needed to be taken to safeguard her.</w:t>
      </w:r>
    </w:p>
    <w:p w14:paraId="1471A934" w14:textId="77777777" w:rsidR="00640E08" w:rsidRPr="00640E08" w:rsidRDefault="00640E08" w:rsidP="00640E08">
      <w:pPr>
        <w:spacing w:line="360" w:lineRule="auto"/>
        <w:ind w:right="237"/>
        <w:jc w:val="both"/>
        <w:rPr>
          <w:sz w:val="24"/>
        </w:rPr>
      </w:pPr>
    </w:p>
    <w:p w14:paraId="63AAE4EF" w14:textId="6AA3BBAA" w:rsidR="00640E08" w:rsidRDefault="00640E08" w:rsidP="00640E08">
      <w:pPr>
        <w:spacing w:line="360" w:lineRule="auto"/>
        <w:ind w:right="237"/>
        <w:jc w:val="both"/>
        <w:rPr>
          <w:sz w:val="24"/>
        </w:rPr>
      </w:pPr>
      <w:r w:rsidRPr="00640E08">
        <w:rPr>
          <w:sz w:val="24"/>
        </w:rPr>
        <w:t xml:space="preserve">Many victims of domestic abuse are considered vulnerable due to their personal circumstances however, not all victims of domestic abuse are necessarily vulnerable adults. The female in this incident was extremely vulnerable due to her history of repeat victimisation. 57% of all violent incidents in 2018 were experienced by repeat victims, most of which being victims of domestic abuse (Office for National Statistics, 2019). With this in mind, one method I implemented to support the victim was by completing a public protection notification document (PPN). A PPN summarises the vulnerabilities of victims and once completed is sent to the force public protection </w:t>
      </w:r>
      <w:r w:rsidRPr="00640E08">
        <w:rPr>
          <w:sz w:val="24"/>
        </w:rPr>
        <w:lastRenderedPageBreak/>
        <w:t>unit (PPU), which then uses the information included to assess the risk of the victim (HMIC, 2015). PPN’s are a simple yet efficient way of adopting a multi-agency approach which can address and prevent further domestic violence incidents. One example being MARACs which are often carried out for high risk victims of domestic abuse and provide a forum for the sharing of information to develop a multi-agency risk management plan (Bryant &amp; Bryant, 2019). Although PPN’s are often utilised well by attending officers, many will record the risk grading inaccurately. It is down to the individual officer who is submitting the PPN to grade how at risk they believe the victim to be. This decision should be made based on the DASH risk assessment, domestic history and police intelligence however this is not always the case (Bryant &amp; Bryant, 2019). An example of this was discussed in the Independent Office for Police Conduct (IOPC) Protecting Vulnerable People report (2018) where an officer completed a DASH risk assessment with a victim but did not consider or acknowledge it when recording the level of risk. The officer recorded the risk as standard, simply on the basis that the offender had been arrested and was in police custody and as a result the offender was bailed back to his address which he resided at with the victim. Hours later the victim was found dead within the property and the inquest into her death found that it was as a result of unlawful killing (IOPC, 2018). The HMIC (2015) inspection also noted issues surrounding PPN’s within South Wales Police. PPNs are prioritised in line with their risk grading, meaning those that are graded high risk are dealt with first but remaining PPNs graded lower will wait in a queue to be reviewed. HMIC noted a backlog of 95 PPN’s graded as standard and medium risk in one BCU of South Wales Police, including one PPN that had not been reviewed for 19 days. Which creates a severe ongoing risk to the victim, potentially exposing them to preventable harm (HMIC, 2015).</w:t>
      </w:r>
    </w:p>
    <w:p w14:paraId="266355A1" w14:textId="77777777" w:rsidR="00640E08" w:rsidRPr="00640E08" w:rsidRDefault="00640E08" w:rsidP="00640E08">
      <w:pPr>
        <w:spacing w:line="360" w:lineRule="auto"/>
        <w:ind w:right="237"/>
        <w:jc w:val="both"/>
        <w:rPr>
          <w:sz w:val="24"/>
        </w:rPr>
      </w:pPr>
    </w:p>
    <w:p w14:paraId="2E1D85A2" w14:textId="01D607C2" w:rsidR="00640E08" w:rsidRDefault="00640E08" w:rsidP="00640E08">
      <w:pPr>
        <w:spacing w:line="360" w:lineRule="auto"/>
        <w:ind w:right="237"/>
        <w:jc w:val="both"/>
        <w:rPr>
          <w:sz w:val="24"/>
        </w:rPr>
      </w:pPr>
      <w:r w:rsidRPr="00640E08">
        <w:rPr>
          <w:sz w:val="24"/>
        </w:rPr>
        <w:t xml:space="preserve">Although a PPN is effective in providing victims with support and reassurance, I do not believe it to be effective in breaking the cycle of repeat victimisation and offending. “Repeat victimisation is defined as the experience of being a victim of more than one crime of the same type within the last 12 months” (Office for National Statistics, 2019). The female is a repeat victim of domestic violence and has had a number of PPNs submitted in the past however, has never had sufficient support to be able to break away from her violent partner. Despite the fact her partner was </w:t>
      </w:r>
      <w:r w:rsidRPr="00640E08">
        <w:rPr>
          <w:sz w:val="24"/>
        </w:rPr>
        <w:lastRenderedPageBreak/>
        <w:t>arrested and would be in police custody for up to 24 hours, this meant the female was only safeguarded temporarily and I knew measures had to be put in place to safeguard the female for longer. I had concerns, because the female had withdrew her statement of complaint after her partner was arrested that the CPS would be unlikely to charge and remand him. I therefore decided to complete a Domestic Violence Protection Notice (DVPN) application. DVPN’s are imposed by the police on perpetrators of domestic violence, where there are no other enforceable restrictions that can be placed upon them but the victim remains at risk (Home Office, 2013). They are in effect for 48 hours during which time the police apply to the magistrates’ court for a Domestic Violence Protection Order (DVPO), which is a civil order that lasts between 14 to 28 days (Bryant &amp; Bryant, 2019). When the DVPN or DVPO is in place, it offers victim’s time to think without fear and can help them consider long term protection measures (Home Office, 2013). An evaluation conducted by the Home Office (2013), looked into the effectiveness of DVPO’s in reducing domestic violence and the impact that they had on repeat victimisation. The report concluded that overall, DVPOs are effective in reducing repeat victimisation however, additionally highlighted some potential barriers to the wider use of both DVPN’s and DVPO’s. One being the length of DVPN’s, which in my personal experience I found caused me a lot of stress, as I had just 48 hours to complete a DVPO application for court. I think the amount of paperwork to complete in just 48 hours may make some Police Officers reluctant to complete DVPN’s however, I do not think that this influences the effectiveness of DVPN’s and DVPO’s in tackling repeat victimisation.</w:t>
      </w:r>
    </w:p>
    <w:p w14:paraId="0AF45CDF" w14:textId="77777777" w:rsidR="00640E08" w:rsidRPr="00640E08" w:rsidRDefault="00640E08" w:rsidP="00640E08">
      <w:pPr>
        <w:spacing w:line="360" w:lineRule="auto"/>
        <w:ind w:right="237"/>
        <w:jc w:val="both"/>
        <w:rPr>
          <w:sz w:val="24"/>
        </w:rPr>
      </w:pPr>
    </w:p>
    <w:p w14:paraId="3BBDE61A" w14:textId="3D9C6567" w:rsidR="5B63D80E" w:rsidRPr="00640E08" w:rsidRDefault="00640E08" w:rsidP="00640E08">
      <w:pPr>
        <w:spacing w:line="360" w:lineRule="auto"/>
        <w:ind w:right="237"/>
        <w:jc w:val="both"/>
        <w:rPr>
          <w:sz w:val="24"/>
        </w:rPr>
      </w:pPr>
      <w:r w:rsidRPr="00640E08">
        <w:rPr>
          <w:sz w:val="24"/>
        </w:rPr>
        <w:t xml:space="preserve">Overall, I believe this incident was successful with male perpetrator being issued with a DVPO following the initial DVPN application. During the period of the DVPO the female moved address, meaning her partner was no longer aware of where she lived, allowing her to be safeguarded for longer. This incident has taught me the difficulties repeat victims of domestic abuse face when trying to leave an abusive partner and the effectiveness of DVPN’s in breaking the cycle of repeat victimisation. By recognising the risk posed to the victim, I ensured that she was safeguarded and with the additional support from partner agencies can only hope that I have broken </w:t>
      </w:r>
      <w:r w:rsidRPr="00640E08">
        <w:rPr>
          <w:sz w:val="24"/>
        </w:rPr>
        <w:lastRenderedPageBreak/>
        <w:t>the cycle of violence for her and she will remain safe and free from violence in the future.</w:t>
      </w:r>
    </w:p>
    <w:p w14:paraId="6C05C820" w14:textId="77777777" w:rsidR="00640E08" w:rsidRDefault="00640E08" w:rsidP="00640E08">
      <w:pPr>
        <w:spacing w:line="360" w:lineRule="auto"/>
        <w:rPr>
          <w:sz w:val="24"/>
        </w:rPr>
      </w:pPr>
    </w:p>
    <w:p w14:paraId="6A8AA445" w14:textId="67ACD21E" w:rsidR="5B63D80E" w:rsidRDefault="00640E08" w:rsidP="00640E08">
      <w:pPr>
        <w:spacing w:line="360" w:lineRule="auto"/>
      </w:pPr>
      <w:r w:rsidRPr="00640E08">
        <w:rPr>
          <w:sz w:val="24"/>
        </w:rPr>
        <w:t xml:space="preserve">1537 words. </w:t>
      </w:r>
      <w:r w:rsidR="5B63D80E">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AA055B1" w14:textId="747B61AD" w:rsidR="00190477" w:rsidRDefault="00190477" w:rsidP="00190477">
      <w:pPr>
        <w:spacing w:line="360" w:lineRule="auto"/>
        <w:ind w:right="237"/>
        <w:jc w:val="both"/>
        <w:rPr>
          <w:sz w:val="24"/>
          <w:szCs w:val="24"/>
        </w:rPr>
      </w:pPr>
      <w:r w:rsidRPr="00190477">
        <w:rPr>
          <w:sz w:val="24"/>
          <w:szCs w:val="24"/>
        </w:rPr>
        <w:t>Throughout this essay I am going to be reflecting on an incident I dealt with during my Criminal Investigations Department (CID) attachment and discussing how I gathered, analysed and evaluated relevant information and intelligence from a range of sources as part of the investigation. I will also be discussing how I developed the information and intelligence for the purpose of informing the tasking and co-ordination process as well as explaining how I applied knowledge learnt from pervious investigations. I will be referring to the Kolb Reflective Cycle (1984) throughout.</w:t>
      </w:r>
    </w:p>
    <w:p w14:paraId="1CA4FF0C" w14:textId="77777777" w:rsidR="00190477" w:rsidRPr="00190477" w:rsidRDefault="00190477" w:rsidP="00190477">
      <w:pPr>
        <w:spacing w:line="360" w:lineRule="auto"/>
        <w:ind w:right="237"/>
        <w:jc w:val="both"/>
        <w:rPr>
          <w:sz w:val="24"/>
          <w:szCs w:val="24"/>
        </w:rPr>
      </w:pPr>
    </w:p>
    <w:p w14:paraId="24044483" w14:textId="21D7FCC0" w:rsidR="00190477" w:rsidRDefault="00190477" w:rsidP="00190477">
      <w:pPr>
        <w:spacing w:line="360" w:lineRule="auto"/>
        <w:ind w:right="237"/>
        <w:jc w:val="both"/>
        <w:rPr>
          <w:sz w:val="24"/>
          <w:szCs w:val="24"/>
        </w:rPr>
      </w:pPr>
      <w:r w:rsidRPr="00190477">
        <w:rPr>
          <w:sz w:val="24"/>
          <w:szCs w:val="24"/>
        </w:rPr>
        <w:t xml:space="preserve">During my CID attachment, I assisted with the initial investigation of a Robbery that had taken place outside a corner shop in the Cardiff area. The robbery was initially reported by a male via a 999 telephone call, who stated that he had been attacked and had his electric scooter stolen. The male went on to describe the person </w:t>
      </w:r>
      <w:r w:rsidRPr="00190477">
        <w:rPr>
          <w:sz w:val="24"/>
          <w:szCs w:val="24"/>
        </w:rPr>
        <w:lastRenderedPageBreak/>
        <w:t>responsible as a white male, in his late teens before terminating the call. The male failed to provide any details to identify himself and so together with another Detective attended the scene to see if we could locate the male caller. Local response officers arrived at the incident first however and informed us that the victim was not present at the scene. On arrival together with the other plain clothes officer we located an independent witness who approached us in the street. I began talking with the witness who stated that the male victim, who he does not know, had been robbed by a young male upon exiting the corner shop. The witness explained that he observed the victim walk into the corner shop with his scooter and outside there were several youths, who he describes as being around 15-16 years old. The victim then walked out of the shop and seconds later the witness heard a commotion outside. The witness ran outside and saw punches being thrown towards the victim and the one male make off with the victim’s electric scooter. The witness explained that the victim was then ringing someone on his phone and followed the offender in the same direction of travel. This witness then provided a statement which corroborated the robbery but did not add much evidentially in terms of identifying the offenders or even victim at this stage. So as things stood at the time, I was aware an offence had taken place but had not identified a victim nor suspect. I knew I had a number of outstanding enquires to conduct and felt quite overwhelmed as I didn’t immediately know where to start in locating both the victim and the suspect of this incident.</w:t>
      </w:r>
    </w:p>
    <w:p w14:paraId="76080479" w14:textId="77777777" w:rsidR="00190477" w:rsidRPr="00190477" w:rsidRDefault="00190477" w:rsidP="00190477">
      <w:pPr>
        <w:spacing w:line="360" w:lineRule="auto"/>
        <w:ind w:right="237"/>
        <w:jc w:val="both"/>
        <w:rPr>
          <w:sz w:val="24"/>
          <w:szCs w:val="24"/>
        </w:rPr>
      </w:pPr>
    </w:p>
    <w:p w14:paraId="52C52DEE" w14:textId="7C72AB90" w:rsidR="00190477" w:rsidRDefault="00190477" w:rsidP="00190477">
      <w:pPr>
        <w:spacing w:line="360" w:lineRule="auto"/>
        <w:ind w:right="237"/>
        <w:jc w:val="both"/>
        <w:rPr>
          <w:sz w:val="24"/>
          <w:szCs w:val="24"/>
        </w:rPr>
      </w:pPr>
      <w:r w:rsidRPr="00190477">
        <w:rPr>
          <w:sz w:val="24"/>
          <w:szCs w:val="24"/>
        </w:rPr>
        <w:t xml:space="preserve">Sufficient gathering, analysis and evaluation of information and intelligence in a criminal investigation is crucial. “Many serious and organised crime investigations which result in a successful prosecution have their origins in good intelligence” (Bryant &amp; Bryant, 2019). As stated by United Nations Office on Drugs and Crime (2011), “Information is quite simply raw data of any type, whilst in contrast intelligence is data which has been worked on, given added value or significance”. I began gathering all relevant information and intelligence for this incident by conducting enquires to locate the victim as other officers began conducting a CCTV trawl. I identified the victim by running checks on the telephone number that reported the incident and located him at his home address. A statement was obtained from the victim which provided us with a much better description of the offender a much </w:t>
      </w:r>
      <w:r w:rsidRPr="00190477">
        <w:rPr>
          <w:sz w:val="24"/>
          <w:szCs w:val="24"/>
        </w:rPr>
        <w:lastRenderedPageBreak/>
        <w:t xml:space="preserve">more accurate time frame for the offence taking place. I therefore reviewed the relevant CCTV we had to a much smaller timescale. CCTV collected from a commercial premises on the street, showed a vehicle parked on the corner of a junction in the direction of where the suspect made off. The vehicle can be seen turning into a separate street immediately after the suspect. I informed my supervisor of this vehicle I had seen on the CCTV and they informed me to try and locate the driver in hope of them having useful information to assist in identifying a suspect. Automatic number plate recognition (ANPR) and Police national computer (PNC) checks were done on the vehicle and revealed the current registered keeper. ANPR is a great tool to have during investigations as when integrated with other sources of intelligence such as CCTV is can provide further lines of enquiry, as it has in this instance (College of Policing, 2020). When I spoke to this witness he stated that he could recall seeing a male riding an electric scooter and then enter a white van, parked on the street he turned into. From this information we then conducted a further CCTV trawl on this street and managed to get CCTV from a commercial property. The commercial property’s CCTV showed the registration number of the van and a male on an electric scooter matching the description of the suspect get into it. Further ANPR and PNC checks linked the vehicle to a male whose niche photos resembled the suspect seen on CCTV. </w:t>
      </w:r>
    </w:p>
    <w:p w14:paraId="562CB2EA" w14:textId="77777777" w:rsidR="00190477" w:rsidRPr="00190477" w:rsidRDefault="00190477" w:rsidP="00190477">
      <w:pPr>
        <w:spacing w:line="360" w:lineRule="auto"/>
        <w:ind w:right="237"/>
        <w:jc w:val="both"/>
        <w:rPr>
          <w:sz w:val="24"/>
          <w:szCs w:val="24"/>
        </w:rPr>
      </w:pPr>
    </w:p>
    <w:p w14:paraId="717FE337" w14:textId="59326C15" w:rsidR="00190477" w:rsidRDefault="00190477" w:rsidP="00190477">
      <w:pPr>
        <w:spacing w:line="360" w:lineRule="auto"/>
        <w:ind w:right="237"/>
        <w:jc w:val="both"/>
        <w:rPr>
          <w:sz w:val="24"/>
          <w:szCs w:val="24"/>
        </w:rPr>
      </w:pPr>
      <w:r w:rsidRPr="00190477">
        <w:rPr>
          <w:sz w:val="24"/>
          <w:szCs w:val="24"/>
        </w:rPr>
        <w:t xml:space="preserve">As part of the tasking and coordination (T&amp;C) process in this investigation, I requested for the suspect to be included in the daily management meeting (DMM) for the following morning so that they could be circulated as a high priority suspect. The T&amp;C process is a key element of the National Intelligence Model (NIM) (College of Policing, 2015). NIM was introduced in 2000 (Bryant &amp; Bryant, 2019) and was described as “a validated model of policing, representing best practice in the use of intelligence to fight crime” (Home Office, 2001). NIM provides structure in a police investigation to process information and turn it into actionable intelligence. “The T&amp;C process of NIM provides managers with a mechanism for operational decision making at strategic and tactical levels” (College of Policing, 2015) and a fundamental part of the T&amp;C process are DMM’s. The suspect had a number of linked addresses across the city and therefore DMM would be the best way of informing all sectors to conduct arrest enquiries. As a result, the suspect was </w:t>
      </w:r>
      <w:r w:rsidRPr="00190477">
        <w:rPr>
          <w:sz w:val="24"/>
          <w:szCs w:val="24"/>
        </w:rPr>
        <w:lastRenderedPageBreak/>
        <w:t xml:space="preserve">arrested by response officer’s hours after DMM and whilst in custody a search was conducted on his home address which resulted in finding the stolen electric scooter. Fingerprint analysis of the scooter matched fingerprint lifts of the suspect who was later charged with the offence of Robbery. </w:t>
      </w:r>
    </w:p>
    <w:p w14:paraId="7E6953D1" w14:textId="77777777" w:rsidR="00190477" w:rsidRPr="00190477" w:rsidRDefault="00190477" w:rsidP="00190477">
      <w:pPr>
        <w:spacing w:line="360" w:lineRule="auto"/>
        <w:ind w:right="237"/>
        <w:jc w:val="both"/>
        <w:rPr>
          <w:sz w:val="24"/>
          <w:szCs w:val="24"/>
        </w:rPr>
      </w:pPr>
    </w:p>
    <w:p w14:paraId="523CBA6D" w14:textId="77777777" w:rsidR="00190477" w:rsidRPr="00190477" w:rsidRDefault="00190477" w:rsidP="00190477">
      <w:pPr>
        <w:spacing w:line="360" w:lineRule="auto"/>
        <w:ind w:right="237"/>
        <w:jc w:val="both"/>
        <w:rPr>
          <w:sz w:val="24"/>
          <w:szCs w:val="24"/>
        </w:rPr>
      </w:pPr>
      <w:r w:rsidRPr="00190477">
        <w:rPr>
          <w:sz w:val="24"/>
          <w:szCs w:val="24"/>
        </w:rPr>
        <w:t xml:space="preserve">During this investigation I gathered, analysed and evaluated information from a wide range sources, including personal data. Therefore I was very considerate of abiding by the data protection principles set out by the Data Protection Act 2018 (DPA). “The Data Protection Act 2018 controls how personal information is used by organisations or the government and is the UK’s implementation of the General Data Protection Regulation (GDPR)” (GOV.UK, 2021). Personal data held on systems such as PNC, ANPR and intelligence reporting systems should only be accessed for a genuine purpose. Failure to abide by this could be a breach of DPA 2018, GDPR 2016 and Article 8 of the European Convention of Human Rights 1996 (Bryant &amp; Bryant, 2019). I was also considerate of the Golden Hour principles throughout this investigation. I know from previous incidents I’ve attended the importance of the Golden Hour to obtain crucial evidence, information and intelligence. “The Golden Hour is a term for the period immediately following the commission of an offence when material is abundant and readily available to the police” (Core Investigation Doctrine, 2005). Best evidence is achieved as soon as a crime has been reported or identified and utilising the golden hour maximises the preservation of evidence. </w:t>
      </w:r>
    </w:p>
    <w:p w14:paraId="039AF627" w14:textId="77777777" w:rsidR="00CC6B0C" w:rsidRDefault="00CC6B0C" w:rsidP="00190477">
      <w:pPr>
        <w:spacing w:line="360" w:lineRule="auto"/>
        <w:ind w:right="237"/>
        <w:jc w:val="both"/>
        <w:rPr>
          <w:sz w:val="24"/>
          <w:szCs w:val="24"/>
        </w:rPr>
      </w:pPr>
    </w:p>
    <w:p w14:paraId="7EC8D4C4" w14:textId="207D57B8" w:rsidR="00190477" w:rsidRPr="00190477" w:rsidRDefault="00190477" w:rsidP="00190477">
      <w:pPr>
        <w:spacing w:line="360" w:lineRule="auto"/>
        <w:ind w:right="237"/>
        <w:jc w:val="both"/>
        <w:rPr>
          <w:sz w:val="24"/>
          <w:szCs w:val="24"/>
        </w:rPr>
      </w:pPr>
      <w:r w:rsidRPr="00190477">
        <w:rPr>
          <w:sz w:val="24"/>
          <w:szCs w:val="24"/>
        </w:rPr>
        <w:t>Overall, this incident has demonstrated that when information and intelligence is gathered, analysed and evaluated correctly, it can have a substantial impact on the outcome of serious and complex investigations. If a similar incident was to arise again, I would utilise the golden hour principles, to generate intelligence and evidence as well as engaging with DMM processes that secured the early arrest of the suspect and recovery of the item stolen. The suspect being charged with the offence of robbery has demonstrated that timely development and analysis of information and intelligence is vital to the police having the upper hand in locating and identifying criminals.</w:t>
      </w:r>
    </w:p>
    <w:p w14:paraId="435F148B" w14:textId="77777777" w:rsidR="00640E08" w:rsidRDefault="00640E08" w:rsidP="00190477">
      <w:pPr>
        <w:spacing w:line="360" w:lineRule="auto"/>
        <w:ind w:right="237"/>
        <w:jc w:val="both"/>
        <w:rPr>
          <w:sz w:val="24"/>
          <w:szCs w:val="24"/>
        </w:rPr>
      </w:pPr>
    </w:p>
    <w:p w14:paraId="4E584C2B" w14:textId="19BEAF7D" w:rsidR="00640E08" w:rsidRPr="00190477" w:rsidRDefault="00190477" w:rsidP="00190477">
      <w:pPr>
        <w:spacing w:line="360" w:lineRule="auto"/>
        <w:ind w:right="237"/>
        <w:jc w:val="both"/>
        <w:rPr>
          <w:sz w:val="24"/>
          <w:szCs w:val="24"/>
        </w:rPr>
      </w:pPr>
      <w:r w:rsidRPr="00190477">
        <w:rPr>
          <w:sz w:val="24"/>
          <w:szCs w:val="24"/>
        </w:rPr>
        <w:t>1367 words.</w:t>
      </w:r>
    </w:p>
    <w:p w14:paraId="6B0989EF" w14:textId="270F620F" w:rsidR="00025650" w:rsidRPr="00270EEB" w:rsidRDefault="5B63D80E" w:rsidP="5B63D80E">
      <w:pPr>
        <w:ind w:right="237"/>
        <w:jc w:val="center"/>
        <w:rPr>
          <w:b/>
          <w:bCs/>
          <w:sz w:val="24"/>
          <w:szCs w:val="24"/>
        </w:rPr>
      </w:pPr>
      <w:r w:rsidRPr="5B63D80E">
        <w:rPr>
          <w:b/>
          <w:bCs/>
          <w:sz w:val="24"/>
          <w:szCs w:val="24"/>
        </w:rPr>
        <w:lastRenderedPageBreak/>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25A0743" w14:textId="26949932" w:rsidR="001200BF" w:rsidRDefault="001200BF" w:rsidP="001200BF">
      <w:pPr>
        <w:spacing w:line="360" w:lineRule="auto"/>
        <w:ind w:right="237"/>
        <w:jc w:val="both"/>
        <w:rPr>
          <w:sz w:val="24"/>
          <w:szCs w:val="24"/>
        </w:rPr>
      </w:pPr>
      <w:r w:rsidRPr="001200BF">
        <w:rPr>
          <w:sz w:val="24"/>
          <w:szCs w:val="24"/>
        </w:rPr>
        <w:t xml:space="preserve">In today’s society cybercrime is prevalent as it continues to rise in scale and complexity. “This is particularly true of online abuse where ever more sophisticated digital tools protect anonymity and encourage children to engage in risky behaviour” (NCA, 2021). Due to technological advancements and accessibility of the internet, children’s susceptibility of becoming victims of cybercrime is increasing (Abimbola-Akinola, 2017). In this essay I will be discussing an incident I attended, where a 13 year old girl fell victim to digital crime and reflecting on the actions I took to reduce the risk of harm caused by the incident. I will also detailing individuals who may be more vulnerable to cybercrime and referring to the Gibbs Reflective Cycle (1988) throughout. </w:t>
      </w:r>
    </w:p>
    <w:p w14:paraId="2DC5C8AA" w14:textId="77777777" w:rsidR="001200BF" w:rsidRPr="001200BF" w:rsidRDefault="001200BF" w:rsidP="001200BF">
      <w:pPr>
        <w:spacing w:line="360" w:lineRule="auto"/>
        <w:ind w:right="237"/>
        <w:jc w:val="both"/>
        <w:rPr>
          <w:sz w:val="24"/>
          <w:szCs w:val="24"/>
        </w:rPr>
      </w:pPr>
    </w:p>
    <w:p w14:paraId="42D55E78" w14:textId="377D8B45" w:rsidR="001200BF" w:rsidRDefault="001200BF" w:rsidP="001200BF">
      <w:pPr>
        <w:spacing w:line="360" w:lineRule="auto"/>
        <w:ind w:right="237"/>
        <w:jc w:val="both"/>
        <w:rPr>
          <w:sz w:val="24"/>
          <w:szCs w:val="24"/>
        </w:rPr>
      </w:pPr>
      <w:r w:rsidRPr="001200BF">
        <w:rPr>
          <w:sz w:val="24"/>
          <w:szCs w:val="24"/>
        </w:rPr>
        <w:t xml:space="preserve">I attended a report of a 13 year old girl who had been coerced into exchanging intimate photos with an unknown male on Snapchat. When I arrived at the scene, I knew it was important to build a rapport with the victim and reassure her that I was there to help. Establishing a rapport with any victim is necessary for good communication, as it creates an atmosphere where the victim feels free to speak with minimal discomfort (Morgan, 1994). After doing so, the victim began to explain that a couple of months ago, a male added her on Snapchat and within a couple of days of talking, exchanged intimate photos with him. Snapchat is an application for mobile and tablet devices that allow users to send photos and videos to other users and is known to be popular among the younger generation, with 41% of teens ages 13 to 17 using the app (Lenhart, 2015). The idea of Snapchat is that users can send time-limited photos that disappear after they have been viewed. However, this </w:t>
      </w:r>
      <w:r w:rsidRPr="001200BF">
        <w:rPr>
          <w:sz w:val="24"/>
          <w:szCs w:val="24"/>
        </w:rPr>
        <w:lastRenderedPageBreak/>
        <w:t>doesn't prevent the receiver from screenshotting the photo and sharing it later on (Parker, 2020). The victim went on to explain that the days following she received around eight sexually explicit photos from the male. She explained that the male continued asking her for photos before eventually blocking him. Then a couple of months later and the day prior to my attendance, the victim received a friend request from another account on Snapchat. Upon accepting the friend request the victim received a message from the account and realised it was the same male from a couple of months ago. The male proceeded to ask the victim for more intimate photos and when she refused, the male threatened to send the photographs that allegedly had of her, to her friends and family. The victim said she panicked and under pressure sent three separate photos of herself one of which her face and other intimate body parts were exposed. This photograph in particular was screenshotted by the male and the victim was notified of this by Snapchat. When the victim woke up the following morning she said she’d received a message from the male saying he was going to send the screenshot he had of her to her family and this is when she informed her mum what had happened.</w:t>
      </w:r>
    </w:p>
    <w:p w14:paraId="66549BD3" w14:textId="77777777" w:rsidR="001200BF" w:rsidRPr="001200BF" w:rsidRDefault="001200BF" w:rsidP="001200BF">
      <w:pPr>
        <w:spacing w:line="360" w:lineRule="auto"/>
        <w:ind w:right="237"/>
        <w:jc w:val="both"/>
        <w:rPr>
          <w:sz w:val="24"/>
          <w:szCs w:val="24"/>
        </w:rPr>
      </w:pPr>
    </w:p>
    <w:p w14:paraId="0E96063A" w14:textId="77777777" w:rsidR="001200BF" w:rsidRPr="001200BF" w:rsidRDefault="001200BF" w:rsidP="001200BF">
      <w:pPr>
        <w:spacing w:line="360" w:lineRule="auto"/>
        <w:ind w:right="237"/>
        <w:jc w:val="both"/>
        <w:rPr>
          <w:sz w:val="24"/>
          <w:szCs w:val="24"/>
        </w:rPr>
      </w:pPr>
      <w:r w:rsidRPr="001200BF">
        <w:rPr>
          <w:sz w:val="24"/>
          <w:szCs w:val="24"/>
        </w:rPr>
        <w:t xml:space="preserve">This incident was very distressing for the 13 year old victim and after explaining the sequence of events in detail to myself and her mother, she was visibly upset and anxious. My main priority attending this call was to safeguard and reassure the victim as well as taking all reasonable steps to try and identify a suspect. A major concern I had was that the victim accepted a friend request from an unknown male and within a couple of days of talking to him sent intimate photos of herself. This highlighted to me that she had very little knowledge of online safety. I therefore submitted a public protection notification, which is ultimately a form that “summaries the vulnerabilities of victim’s” (HMIC, 2015). This form can be then shared with partner agencies who can provide support and advice to the victim surrounding the dangers of being online and online sexual abuse. I also made the local School Liaison Officer aware to get in contact with the school to arrange workshops on this topic and took time to talk with the victim myself. I gave her advice around accepting friend requests from people she does not know on social media and directed her mum to educational websites to help give both her and her daughter internet safety guidance. One being the National Crime Agency’s (NCA) ThinkuKnow website, </w:t>
      </w:r>
      <w:r w:rsidRPr="001200BF">
        <w:rPr>
          <w:sz w:val="24"/>
          <w:szCs w:val="24"/>
        </w:rPr>
        <w:lastRenderedPageBreak/>
        <w:t xml:space="preserve">which has been created to support parents and carers during lockdown and the closure of schools (NCA, 2020). In terms of identifying a suspect I obtained as much information I could whilst with the victim. I asked her questions surrounding the photos the male sent and whether she recognised the name of either account however, she did not, leaving me with limited information to pursue any lines of enquiry, leading to the identification of a suspect and felt quite overwhelmed. I was unsure whether I would be able to trace communications data (CD) by a Snapchat account name alone however, after speaking with one of the CD investigators I learned this was possible and I submitted a CD application the same day. “CD is a vital tool which police and other law enforcement agencies routinely use to tackle crime or find missing people” (Home Office, 2016). The Investigatory Powers Act 2016 (IPA) governs the use of CD and how it is obtained. In this instance the data I requested was entity data, which “identifies the person making communication or the location of the communication equipment being used” (Bryant &amp; Bryant, 2019). </w:t>
      </w:r>
    </w:p>
    <w:p w14:paraId="2C799060" w14:textId="4827521C" w:rsidR="001200BF" w:rsidRDefault="001200BF" w:rsidP="001200BF">
      <w:pPr>
        <w:spacing w:line="360" w:lineRule="auto"/>
        <w:ind w:right="237"/>
        <w:jc w:val="both"/>
        <w:rPr>
          <w:sz w:val="24"/>
          <w:szCs w:val="24"/>
        </w:rPr>
      </w:pPr>
      <w:r w:rsidRPr="001200BF">
        <w:rPr>
          <w:sz w:val="24"/>
          <w:szCs w:val="24"/>
        </w:rPr>
        <w:t xml:space="preserve">Anyone can be vulnerable to digital crime as technology is always improving, adapting and often hard to keep on top of. Wailes-Fairbairn (2019), discusses that the “evolution of cyber-crime is vastly accelerated by ingenious minds who are continually seeking new ways to attack.” The main advantage that cyber criminals have, is their capability of quickly responding to ever changing data security (Wailes-Fairbairn, 2019). Children in particular are vulnerable with the majority spending a vast amount of time online with little understanding of the potential dangers. Research shows that 42% of five to seven year olds own a tablet device and that 92% of children aged between five and 15 go online using any type of device (Ofcom, 2019). Children are becoming much more computer literate but lack an understanding of the dangers that being online can present (Open Access Government, 2019). Dr Helen Whittle (2018) describes vulnerability as a weighing scale, with risk on side of the scale and protection on the other. “If protective factors outweigh the risks, then a young person is likely to be able to cope more effectively when confronted with a harmful situation and if the risks outweigh the protective factors for a young person, they are likely to be more vulnerable” (Whittle, 2018). Protective factors can include a young person’s family, friends or school however, there are some factors that can increase a young person’s vulnerability to online victimisation. Dr Whittle lists some of these vulnerabilities as family problems, lack </w:t>
      </w:r>
      <w:r w:rsidRPr="001200BF">
        <w:rPr>
          <w:sz w:val="24"/>
          <w:szCs w:val="24"/>
        </w:rPr>
        <w:lastRenderedPageBreak/>
        <w:t xml:space="preserve">of parental involvement, social isolation, problems at school and previous victimisation. If parents and guardians are not having discussions with their children and act as a protective factor they are not helping to decrease their child’s vulnerability to victimisation online (Whittle, 2018). During 2020 many children were significantly more vulnerable to cybercrime and according to the Internet Watch Foundation, “the reports of child abuse images online increased by almost 50% during lockdown” (Jeffreys, 2020). </w:t>
      </w:r>
    </w:p>
    <w:p w14:paraId="2785E1ED" w14:textId="77777777" w:rsidR="001200BF" w:rsidRPr="001200BF" w:rsidRDefault="001200BF" w:rsidP="001200BF">
      <w:pPr>
        <w:spacing w:line="360" w:lineRule="auto"/>
        <w:ind w:right="237"/>
        <w:jc w:val="both"/>
        <w:rPr>
          <w:sz w:val="24"/>
          <w:szCs w:val="24"/>
        </w:rPr>
      </w:pPr>
    </w:p>
    <w:p w14:paraId="4EA47A48" w14:textId="56DBEE7B" w:rsidR="001200BF" w:rsidRDefault="001200BF" w:rsidP="001200BF">
      <w:pPr>
        <w:spacing w:line="360" w:lineRule="auto"/>
        <w:ind w:right="237"/>
        <w:jc w:val="both"/>
        <w:rPr>
          <w:sz w:val="24"/>
          <w:szCs w:val="24"/>
        </w:rPr>
      </w:pPr>
      <w:r w:rsidRPr="001200BF">
        <w:rPr>
          <w:sz w:val="24"/>
          <w:szCs w:val="24"/>
        </w:rPr>
        <w:t xml:space="preserve">To conclude, I found this incident imperative to my learning and understanding of crime involving digital technologies. I am disappointed that my CD application didn’t retrieve any information that I could use to pursue further lines of enquiry, as I feel I did not achieve a deserved result for the victim. If a similar incident was to arise again, I would definitely spend the same amount of time building a rapport with the victim and educating them of the dangers that being online can present as I feel this aspect of the incident was very successful. This incident has taught me the level of exposure children face to online sexual abuse, with increasing technological advancements and lack of online education, creates serious cause for concern. </w:t>
      </w:r>
    </w:p>
    <w:p w14:paraId="31E07DCC" w14:textId="77777777" w:rsidR="00640E08" w:rsidRDefault="00640E08" w:rsidP="001200BF">
      <w:pPr>
        <w:spacing w:line="360" w:lineRule="auto"/>
        <w:ind w:right="237"/>
        <w:jc w:val="both"/>
        <w:rPr>
          <w:sz w:val="24"/>
          <w:szCs w:val="24"/>
        </w:rPr>
      </w:pPr>
    </w:p>
    <w:p w14:paraId="4C50E184" w14:textId="48DBC34F" w:rsidR="00025650" w:rsidRPr="00270EEB" w:rsidRDefault="001200BF" w:rsidP="001200BF">
      <w:pPr>
        <w:spacing w:line="360" w:lineRule="auto"/>
        <w:ind w:right="237"/>
        <w:jc w:val="both"/>
        <w:rPr>
          <w:sz w:val="24"/>
          <w:szCs w:val="24"/>
        </w:rPr>
      </w:pPr>
      <w:r w:rsidRPr="001200BF">
        <w:rPr>
          <w:sz w:val="24"/>
          <w:szCs w:val="24"/>
        </w:rPr>
        <w:t>1374 words.</w:t>
      </w:r>
    </w:p>
    <w:p w14:paraId="55E8513B" w14:textId="77777777" w:rsidR="00025650" w:rsidRPr="00270EEB" w:rsidRDefault="00025650" w:rsidP="00340E9A">
      <w:pPr>
        <w:ind w:right="237"/>
        <w:jc w:val="both"/>
        <w:rPr>
          <w:sz w:val="24"/>
          <w:szCs w:val="24"/>
        </w:rPr>
      </w:pPr>
    </w:p>
    <w:p w14:paraId="592CAEBA" w14:textId="3EA472FC" w:rsidR="000F7ECD" w:rsidRPr="00270EEB" w:rsidRDefault="000F7ECD" w:rsidP="5B63D80E">
      <w:pPr>
        <w:ind w:right="237"/>
        <w:jc w:val="both"/>
        <w:rPr>
          <w:sz w:val="24"/>
          <w:szCs w:val="24"/>
        </w:rPr>
        <w:sectPr w:rsidR="000F7ECD" w:rsidRPr="00270EEB" w:rsidSect="008B37EE">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05AF1DD3" w14:textId="6B54EEE4" w:rsidR="00E05413" w:rsidRDefault="00E05413" w:rsidP="00DD7FFD">
      <w:pPr>
        <w:keepNext/>
        <w:ind w:right="237"/>
        <w:rPr>
          <w:b/>
          <w:sz w:val="24"/>
          <w:szCs w:val="24"/>
        </w:rPr>
      </w:pPr>
    </w:p>
    <w:p w14:paraId="650D014E" w14:textId="04B44239" w:rsidR="00F41C10" w:rsidRDefault="00F41C10" w:rsidP="001200BF">
      <w:pPr>
        <w:rPr>
          <w:i/>
          <w:sz w:val="24"/>
          <w:szCs w:val="24"/>
        </w:rPr>
      </w:pPr>
      <w:r w:rsidRPr="001200BF">
        <w:rPr>
          <w:sz w:val="24"/>
          <w:szCs w:val="24"/>
        </w:rPr>
        <w:t xml:space="preserve">Abimbola-Akinola, D. (2017). </w:t>
      </w:r>
      <w:r w:rsidRPr="008B37EE">
        <w:rPr>
          <w:i/>
          <w:sz w:val="24"/>
          <w:szCs w:val="24"/>
        </w:rPr>
        <w:t xml:space="preserve">The Cyber Crime and Internet and Internet Sexual Exploitation of Children. </w:t>
      </w:r>
    </w:p>
    <w:p w14:paraId="125D3B55" w14:textId="77777777" w:rsidR="00F41C10" w:rsidRPr="008B37EE" w:rsidRDefault="00F41C10" w:rsidP="001200BF">
      <w:pPr>
        <w:rPr>
          <w:i/>
          <w:sz w:val="24"/>
          <w:szCs w:val="24"/>
        </w:rPr>
      </w:pPr>
    </w:p>
    <w:p w14:paraId="3EF7E84D" w14:textId="0BB5DFFA" w:rsidR="00F41C10" w:rsidRDefault="00F41C10" w:rsidP="00E05413">
      <w:pPr>
        <w:keepNext/>
        <w:ind w:right="237"/>
        <w:rPr>
          <w:sz w:val="24"/>
          <w:szCs w:val="24"/>
        </w:rPr>
      </w:pPr>
      <w:r w:rsidRPr="00E05413">
        <w:rPr>
          <w:sz w:val="24"/>
          <w:szCs w:val="24"/>
        </w:rPr>
        <w:t xml:space="preserve">Baldwin, S. (2006). </w:t>
      </w:r>
      <w:r w:rsidRPr="00F41C10">
        <w:rPr>
          <w:i/>
          <w:sz w:val="24"/>
          <w:szCs w:val="24"/>
        </w:rPr>
        <w:t>Organisational Justice</w:t>
      </w:r>
      <w:r w:rsidRPr="00E05413">
        <w:rPr>
          <w:sz w:val="24"/>
          <w:szCs w:val="24"/>
        </w:rPr>
        <w:t>. Brighton: Institute for Employment Studies.</w:t>
      </w:r>
    </w:p>
    <w:p w14:paraId="5B5E286D" w14:textId="77777777" w:rsidR="00F41C10" w:rsidRDefault="00F41C10" w:rsidP="00E05413">
      <w:pPr>
        <w:keepNext/>
        <w:ind w:right="237"/>
        <w:rPr>
          <w:sz w:val="24"/>
          <w:szCs w:val="24"/>
        </w:rPr>
      </w:pPr>
    </w:p>
    <w:p w14:paraId="47979914" w14:textId="6E979B57" w:rsidR="00F41C10" w:rsidRDefault="00F41C10" w:rsidP="00E05413">
      <w:pPr>
        <w:keepNext/>
        <w:ind w:right="237"/>
        <w:rPr>
          <w:sz w:val="24"/>
          <w:szCs w:val="24"/>
        </w:rPr>
      </w:pPr>
      <w:r w:rsidRPr="00E05413">
        <w:rPr>
          <w:sz w:val="24"/>
          <w:szCs w:val="24"/>
        </w:rPr>
        <w:t xml:space="preserve">Bryant, R. &amp; Bryant, S. (2019). </w:t>
      </w:r>
      <w:r w:rsidRPr="00E05413">
        <w:rPr>
          <w:i/>
          <w:sz w:val="24"/>
          <w:szCs w:val="24"/>
        </w:rPr>
        <w:t>Blackstone's Handbook for Policing Students.</w:t>
      </w:r>
      <w:r w:rsidRPr="00E05413">
        <w:rPr>
          <w:sz w:val="24"/>
          <w:szCs w:val="24"/>
        </w:rPr>
        <w:t xml:space="preserve"> Oxford: Oxford University Press.</w:t>
      </w:r>
    </w:p>
    <w:p w14:paraId="492F58A8" w14:textId="77777777" w:rsidR="00F41C10" w:rsidRDefault="00F41C10" w:rsidP="00E05413">
      <w:pPr>
        <w:keepNext/>
        <w:ind w:right="237"/>
        <w:rPr>
          <w:sz w:val="24"/>
          <w:szCs w:val="24"/>
        </w:rPr>
      </w:pPr>
    </w:p>
    <w:p w14:paraId="0235F144" w14:textId="0689FFA7" w:rsidR="00F41C10" w:rsidRDefault="00F41C10" w:rsidP="00E05413">
      <w:pPr>
        <w:keepNext/>
        <w:ind w:right="237"/>
        <w:rPr>
          <w:sz w:val="24"/>
          <w:szCs w:val="24"/>
        </w:rPr>
      </w:pPr>
      <w:r w:rsidRPr="00E05413">
        <w:rPr>
          <w:sz w:val="24"/>
          <w:szCs w:val="24"/>
        </w:rPr>
        <w:t xml:space="preserve">College of Policing. (2014). </w:t>
      </w:r>
      <w:r w:rsidRPr="00F41C10">
        <w:rPr>
          <w:i/>
          <w:sz w:val="24"/>
          <w:szCs w:val="24"/>
        </w:rPr>
        <w:t>Code of Ethics</w:t>
      </w:r>
      <w:r w:rsidRPr="00E05413">
        <w:rPr>
          <w:sz w:val="24"/>
          <w:szCs w:val="24"/>
        </w:rPr>
        <w:t>. College of Policing Limited.</w:t>
      </w:r>
    </w:p>
    <w:p w14:paraId="77214E01" w14:textId="77777777" w:rsidR="00F41C10" w:rsidRDefault="00F41C10" w:rsidP="00E05413">
      <w:pPr>
        <w:keepNext/>
        <w:ind w:right="237"/>
        <w:rPr>
          <w:sz w:val="24"/>
          <w:szCs w:val="24"/>
        </w:rPr>
      </w:pPr>
    </w:p>
    <w:p w14:paraId="6A756DF4" w14:textId="3A731B4B" w:rsidR="00F41C10" w:rsidRDefault="00F41C10" w:rsidP="00E05413">
      <w:pPr>
        <w:keepNext/>
        <w:ind w:right="237"/>
        <w:rPr>
          <w:sz w:val="24"/>
          <w:szCs w:val="24"/>
        </w:rPr>
      </w:pPr>
      <w:r w:rsidRPr="00E05413">
        <w:rPr>
          <w:sz w:val="24"/>
          <w:szCs w:val="24"/>
        </w:rPr>
        <w:t xml:space="preserve">College of Policing. (2015). </w:t>
      </w:r>
      <w:r w:rsidRPr="00F41C10">
        <w:rPr>
          <w:i/>
          <w:sz w:val="24"/>
          <w:szCs w:val="24"/>
        </w:rPr>
        <w:t>Fair cop 2: Organisational justice, behaviour and ethical policing.</w:t>
      </w:r>
      <w:r>
        <w:rPr>
          <w:sz w:val="24"/>
          <w:szCs w:val="24"/>
        </w:rPr>
        <w:t xml:space="preserve"> </w:t>
      </w:r>
      <w:r w:rsidRPr="00E05413">
        <w:rPr>
          <w:sz w:val="24"/>
          <w:szCs w:val="24"/>
        </w:rPr>
        <w:t>College of Policing: https://whatworks.college.police.uk/Research/Documents/150317_Fair_cop%202_FINAL_REPORT.pdf</w:t>
      </w:r>
    </w:p>
    <w:p w14:paraId="6CEAE09D" w14:textId="77777777" w:rsidR="00F41C10" w:rsidRDefault="00F41C10" w:rsidP="00E05413">
      <w:pPr>
        <w:keepNext/>
        <w:ind w:right="237"/>
        <w:rPr>
          <w:sz w:val="24"/>
          <w:szCs w:val="24"/>
        </w:rPr>
      </w:pPr>
    </w:p>
    <w:p w14:paraId="360828F2" w14:textId="67DE95F0" w:rsidR="00F41C10" w:rsidRDefault="00F41C10" w:rsidP="00190477">
      <w:pPr>
        <w:keepNext/>
        <w:ind w:right="237"/>
        <w:rPr>
          <w:sz w:val="24"/>
          <w:szCs w:val="24"/>
        </w:rPr>
      </w:pPr>
      <w:r w:rsidRPr="00190477">
        <w:rPr>
          <w:sz w:val="24"/>
          <w:szCs w:val="24"/>
        </w:rPr>
        <w:t xml:space="preserve">College of Policing. (2015). </w:t>
      </w:r>
      <w:r w:rsidRPr="00190477">
        <w:rPr>
          <w:i/>
          <w:sz w:val="24"/>
          <w:szCs w:val="24"/>
        </w:rPr>
        <w:t>Tasking and Coordination</w:t>
      </w:r>
      <w:r>
        <w:rPr>
          <w:sz w:val="24"/>
          <w:szCs w:val="24"/>
        </w:rPr>
        <w:t xml:space="preserve">. </w:t>
      </w:r>
      <w:r w:rsidRPr="00190477">
        <w:rPr>
          <w:sz w:val="24"/>
          <w:szCs w:val="24"/>
        </w:rPr>
        <w:t>College of Policing: https://www.app.college.police.uk/app-content/intelligence-management/governance/#tasking-and-coordination</w:t>
      </w:r>
    </w:p>
    <w:p w14:paraId="612B12FE" w14:textId="77777777" w:rsidR="00F41C10" w:rsidRPr="00190477" w:rsidRDefault="00F41C10" w:rsidP="00190477">
      <w:pPr>
        <w:keepNext/>
        <w:ind w:right="237"/>
        <w:rPr>
          <w:sz w:val="24"/>
          <w:szCs w:val="24"/>
        </w:rPr>
      </w:pPr>
    </w:p>
    <w:p w14:paraId="7217ADB1" w14:textId="467C7EB7" w:rsidR="00F41C10" w:rsidRDefault="00F41C10" w:rsidP="00190477">
      <w:pPr>
        <w:keepNext/>
        <w:ind w:right="237"/>
        <w:rPr>
          <w:sz w:val="24"/>
          <w:szCs w:val="24"/>
        </w:rPr>
      </w:pPr>
      <w:r w:rsidRPr="00190477">
        <w:rPr>
          <w:sz w:val="24"/>
          <w:szCs w:val="24"/>
        </w:rPr>
        <w:t xml:space="preserve">College of Policing. (2020). </w:t>
      </w:r>
      <w:r w:rsidRPr="00190477">
        <w:rPr>
          <w:i/>
          <w:sz w:val="24"/>
          <w:szCs w:val="24"/>
        </w:rPr>
        <w:t>Automatic Number Plate Recognition</w:t>
      </w:r>
      <w:r>
        <w:rPr>
          <w:sz w:val="24"/>
          <w:szCs w:val="24"/>
        </w:rPr>
        <w:t xml:space="preserve">. </w:t>
      </w:r>
      <w:r w:rsidRPr="00190477">
        <w:rPr>
          <w:sz w:val="24"/>
          <w:szCs w:val="24"/>
        </w:rPr>
        <w:t>College of Policing: https://www.app.college.police.uk/app-content/investigations/investigative-strategies/investigative-strategiesanpr/#:~:text=ANPR%20provides%20valuable%20information%20in,in%20an%20investigation%20or%20incident.</w:t>
      </w:r>
    </w:p>
    <w:p w14:paraId="31160D5A" w14:textId="77777777" w:rsidR="00F41C10" w:rsidRPr="00190477" w:rsidRDefault="00F41C10" w:rsidP="00190477">
      <w:pPr>
        <w:keepNext/>
        <w:ind w:right="237"/>
        <w:rPr>
          <w:sz w:val="24"/>
          <w:szCs w:val="24"/>
        </w:rPr>
      </w:pPr>
    </w:p>
    <w:p w14:paraId="116F6114" w14:textId="37B3E908" w:rsidR="00F41C10" w:rsidRDefault="00F41C10" w:rsidP="00E05413">
      <w:pPr>
        <w:keepNext/>
        <w:ind w:right="237"/>
        <w:rPr>
          <w:sz w:val="24"/>
          <w:szCs w:val="24"/>
        </w:rPr>
      </w:pPr>
      <w:r>
        <w:rPr>
          <w:sz w:val="24"/>
          <w:szCs w:val="24"/>
        </w:rPr>
        <w:t xml:space="preserve">College of Policing. (2021a). </w:t>
      </w:r>
      <w:r w:rsidRPr="00E05413">
        <w:rPr>
          <w:i/>
          <w:sz w:val="24"/>
          <w:szCs w:val="24"/>
        </w:rPr>
        <w:t>What is evidence-based policing?</w:t>
      </w:r>
      <w:r w:rsidRPr="00E05413">
        <w:rPr>
          <w:sz w:val="24"/>
          <w:szCs w:val="24"/>
        </w:rPr>
        <w:t xml:space="preserve"> College of Policing: https://whatworks.college.police.uk/About/Pages/What-is-EBP.aspx</w:t>
      </w:r>
    </w:p>
    <w:p w14:paraId="0BFFBBB7" w14:textId="77777777" w:rsidR="00F41C10" w:rsidRDefault="00F41C10" w:rsidP="00E05413">
      <w:pPr>
        <w:keepNext/>
        <w:ind w:right="237"/>
        <w:rPr>
          <w:sz w:val="24"/>
          <w:szCs w:val="24"/>
        </w:rPr>
      </w:pPr>
    </w:p>
    <w:p w14:paraId="78EC06D1" w14:textId="57672B0F" w:rsidR="00F41C10" w:rsidRDefault="00F41C10" w:rsidP="00E05413">
      <w:pPr>
        <w:keepNext/>
        <w:ind w:right="237"/>
        <w:rPr>
          <w:sz w:val="24"/>
          <w:szCs w:val="24"/>
        </w:rPr>
      </w:pPr>
      <w:r w:rsidRPr="00E05413">
        <w:rPr>
          <w:sz w:val="24"/>
          <w:szCs w:val="24"/>
        </w:rPr>
        <w:t xml:space="preserve">College of Policing. (2021b). </w:t>
      </w:r>
      <w:r w:rsidRPr="00E05413">
        <w:rPr>
          <w:i/>
          <w:sz w:val="24"/>
          <w:szCs w:val="24"/>
        </w:rPr>
        <w:t>College of Policing What Works Centre for Crime Reduction.</w:t>
      </w:r>
      <w:r w:rsidRPr="00E05413">
        <w:rPr>
          <w:sz w:val="24"/>
          <w:szCs w:val="24"/>
        </w:rPr>
        <w:t xml:space="preserve"> College of Policing What Works: https://www.whatworksnetwork.org.uk/members/college-of-policing/</w:t>
      </w:r>
    </w:p>
    <w:p w14:paraId="2BEBBC30" w14:textId="77777777" w:rsidR="00F41C10" w:rsidRDefault="00F41C10" w:rsidP="00E05413">
      <w:pPr>
        <w:keepNext/>
        <w:ind w:right="237"/>
        <w:rPr>
          <w:sz w:val="24"/>
          <w:szCs w:val="24"/>
        </w:rPr>
      </w:pPr>
    </w:p>
    <w:p w14:paraId="11CE75DE" w14:textId="7D961533" w:rsidR="00F41C10" w:rsidRDefault="00F41C10" w:rsidP="00E05413">
      <w:pPr>
        <w:keepNext/>
        <w:ind w:right="237"/>
        <w:rPr>
          <w:sz w:val="24"/>
          <w:szCs w:val="24"/>
        </w:rPr>
      </w:pPr>
      <w:r w:rsidRPr="00E05413">
        <w:rPr>
          <w:sz w:val="24"/>
          <w:szCs w:val="24"/>
        </w:rPr>
        <w:t xml:space="preserve">College of Policing. (2021c). </w:t>
      </w:r>
      <w:r w:rsidRPr="00E05413">
        <w:rPr>
          <w:i/>
          <w:sz w:val="24"/>
          <w:szCs w:val="24"/>
        </w:rPr>
        <w:t>What Works: Crime reduction systematic review series</w:t>
      </w:r>
      <w:r w:rsidRPr="00E05413">
        <w:rPr>
          <w:sz w:val="24"/>
          <w:szCs w:val="24"/>
        </w:rPr>
        <w:t>. College of Policing What Works: https://whatworks.college.police.uk/Research/Systematic_Review_Series/Pages/default.aspx</w:t>
      </w:r>
    </w:p>
    <w:p w14:paraId="01B83EFE" w14:textId="77777777" w:rsidR="00F41C10" w:rsidRDefault="00F41C10" w:rsidP="00E05413">
      <w:pPr>
        <w:keepNext/>
        <w:ind w:right="237"/>
        <w:rPr>
          <w:sz w:val="24"/>
          <w:szCs w:val="24"/>
        </w:rPr>
      </w:pPr>
    </w:p>
    <w:p w14:paraId="388C7587" w14:textId="50350A11" w:rsidR="00F41C10" w:rsidRDefault="00F41C10" w:rsidP="00E05413">
      <w:pPr>
        <w:keepNext/>
        <w:ind w:right="237"/>
        <w:rPr>
          <w:sz w:val="24"/>
          <w:szCs w:val="24"/>
        </w:rPr>
      </w:pPr>
      <w:r w:rsidRPr="00E05413">
        <w:rPr>
          <w:sz w:val="24"/>
          <w:szCs w:val="24"/>
        </w:rPr>
        <w:t xml:space="preserve">College of Policing. (2021d). </w:t>
      </w:r>
      <w:r w:rsidRPr="00E05413">
        <w:rPr>
          <w:i/>
          <w:sz w:val="24"/>
          <w:szCs w:val="24"/>
        </w:rPr>
        <w:t>Pre-arrest diversion of people with mental health issues.</w:t>
      </w:r>
      <w:r w:rsidRPr="00E05413">
        <w:rPr>
          <w:sz w:val="24"/>
          <w:szCs w:val="24"/>
        </w:rPr>
        <w:t xml:space="preserve"> College of Policing What Works:</w:t>
      </w:r>
      <w:r w:rsidR="00D8477F">
        <w:rPr>
          <w:sz w:val="24"/>
          <w:szCs w:val="24"/>
        </w:rPr>
        <w:t xml:space="preserve"> </w:t>
      </w:r>
      <w:r w:rsidRPr="00E05413">
        <w:rPr>
          <w:sz w:val="24"/>
          <w:szCs w:val="24"/>
        </w:rPr>
        <w:lastRenderedPageBreak/>
        <w:t>https://whatworks.college.police.uk/Research/Systematic_Review_Series/Pages/Mental-Health.aspx</w:t>
      </w:r>
    </w:p>
    <w:p w14:paraId="68A19699" w14:textId="77777777" w:rsidR="00F41C10" w:rsidRDefault="00F41C10" w:rsidP="00E05413">
      <w:pPr>
        <w:keepNext/>
        <w:ind w:right="237"/>
        <w:rPr>
          <w:sz w:val="24"/>
          <w:szCs w:val="24"/>
        </w:rPr>
      </w:pPr>
    </w:p>
    <w:p w14:paraId="7F859880" w14:textId="2BAF5538" w:rsidR="00F41C10" w:rsidRDefault="00F41C10" w:rsidP="00190477">
      <w:pPr>
        <w:keepNext/>
        <w:ind w:right="237"/>
        <w:rPr>
          <w:sz w:val="24"/>
          <w:szCs w:val="24"/>
        </w:rPr>
      </w:pPr>
      <w:r w:rsidRPr="00190477">
        <w:rPr>
          <w:sz w:val="24"/>
          <w:szCs w:val="24"/>
        </w:rPr>
        <w:t xml:space="preserve">Core Investigation Doctrine. (2005). </w:t>
      </w:r>
      <w:r w:rsidRPr="00190477">
        <w:rPr>
          <w:i/>
          <w:sz w:val="24"/>
          <w:szCs w:val="24"/>
        </w:rPr>
        <w:t>Core Investigation Doctrine</w:t>
      </w:r>
      <w:r w:rsidRPr="00190477">
        <w:rPr>
          <w:sz w:val="24"/>
          <w:szCs w:val="24"/>
        </w:rPr>
        <w:t>. ACPO Centrex.</w:t>
      </w:r>
    </w:p>
    <w:p w14:paraId="006515F9" w14:textId="77777777" w:rsidR="00F41C10" w:rsidRPr="00190477" w:rsidRDefault="00F41C10" w:rsidP="00190477">
      <w:pPr>
        <w:keepNext/>
        <w:ind w:right="237"/>
        <w:rPr>
          <w:sz w:val="24"/>
          <w:szCs w:val="24"/>
        </w:rPr>
      </w:pPr>
    </w:p>
    <w:p w14:paraId="43386C3F" w14:textId="2CE371BE" w:rsidR="00F41C10" w:rsidRDefault="00F41C10" w:rsidP="00E05413">
      <w:pPr>
        <w:keepNext/>
        <w:ind w:right="237"/>
        <w:rPr>
          <w:sz w:val="24"/>
          <w:szCs w:val="24"/>
        </w:rPr>
      </w:pPr>
      <w:r w:rsidRPr="00E05413">
        <w:rPr>
          <w:sz w:val="24"/>
          <w:szCs w:val="24"/>
        </w:rPr>
        <w:t xml:space="preserve">Gibbs, G. (1988). </w:t>
      </w:r>
      <w:r w:rsidRPr="00F41C10">
        <w:rPr>
          <w:i/>
          <w:sz w:val="24"/>
          <w:szCs w:val="24"/>
        </w:rPr>
        <w:t>Learning by Doing: A guide to teaching and learning methods</w:t>
      </w:r>
      <w:r w:rsidRPr="00E05413">
        <w:rPr>
          <w:sz w:val="24"/>
          <w:szCs w:val="24"/>
        </w:rPr>
        <w:t>. Further Education Unit, Oxford Polytechnic.</w:t>
      </w:r>
    </w:p>
    <w:p w14:paraId="2C8F5E5E" w14:textId="77777777" w:rsidR="00F41C10" w:rsidRDefault="00F41C10" w:rsidP="00E05413">
      <w:pPr>
        <w:keepNext/>
        <w:ind w:right="237"/>
        <w:rPr>
          <w:sz w:val="24"/>
          <w:szCs w:val="24"/>
        </w:rPr>
      </w:pPr>
    </w:p>
    <w:p w14:paraId="2F357603" w14:textId="4A00984A" w:rsidR="00F41C10" w:rsidRDefault="00F41C10" w:rsidP="00E05413">
      <w:pPr>
        <w:keepNext/>
        <w:ind w:right="237"/>
        <w:rPr>
          <w:sz w:val="24"/>
          <w:szCs w:val="24"/>
        </w:rPr>
      </w:pPr>
      <w:r w:rsidRPr="00E05413">
        <w:rPr>
          <w:sz w:val="24"/>
          <w:szCs w:val="24"/>
        </w:rPr>
        <w:t>GOV.UK.</w:t>
      </w:r>
      <w:r>
        <w:rPr>
          <w:sz w:val="24"/>
          <w:szCs w:val="24"/>
        </w:rPr>
        <w:t xml:space="preserve"> (2019). </w:t>
      </w:r>
      <w:r w:rsidRPr="00F41C10">
        <w:rPr>
          <w:i/>
          <w:sz w:val="24"/>
          <w:szCs w:val="24"/>
        </w:rPr>
        <w:t>Procedural justice</w:t>
      </w:r>
      <w:r>
        <w:rPr>
          <w:sz w:val="24"/>
          <w:szCs w:val="24"/>
        </w:rPr>
        <w:t xml:space="preserve">. </w:t>
      </w:r>
      <w:r w:rsidRPr="00E05413">
        <w:rPr>
          <w:sz w:val="24"/>
          <w:szCs w:val="24"/>
        </w:rPr>
        <w:t>GOV.UK: https://www.gov.uk/guidance/procedural-justice</w:t>
      </w:r>
    </w:p>
    <w:p w14:paraId="13DF1AB7" w14:textId="77777777" w:rsidR="00F41C10" w:rsidRDefault="00F41C10" w:rsidP="00E05413">
      <w:pPr>
        <w:keepNext/>
        <w:ind w:right="237"/>
        <w:rPr>
          <w:sz w:val="24"/>
          <w:szCs w:val="24"/>
        </w:rPr>
      </w:pPr>
    </w:p>
    <w:p w14:paraId="30FD2529" w14:textId="7F9C353C" w:rsidR="00F41C10" w:rsidRDefault="00F41C10" w:rsidP="00190477">
      <w:pPr>
        <w:keepNext/>
        <w:ind w:right="237"/>
        <w:rPr>
          <w:sz w:val="24"/>
          <w:szCs w:val="24"/>
        </w:rPr>
      </w:pPr>
      <w:r w:rsidRPr="00190477">
        <w:rPr>
          <w:sz w:val="24"/>
          <w:szCs w:val="24"/>
        </w:rPr>
        <w:t xml:space="preserve">GOV.UK. (2021). </w:t>
      </w:r>
      <w:r w:rsidRPr="00E9014C">
        <w:rPr>
          <w:i/>
          <w:sz w:val="24"/>
          <w:szCs w:val="24"/>
        </w:rPr>
        <w:t>Data Protection</w:t>
      </w:r>
      <w:r>
        <w:rPr>
          <w:sz w:val="24"/>
          <w:szCs w:val="24"/>
        </w:rPr>
        <w:t>.</w:t>
      </w:r>
      <w:r w:rsidRPr="00190477">
        <w:rPr>
          <w:sz w:val="24"/>
          <w:szCs w:val="24"/>
        </w:rPr>
        <w:t xml:space="preserve"> GOV.UK: https://www.gov.uk/data-protection</w:t>
      </w:r>
    </w:p>
    <w:p w14:paraId="26B33509" w14:textId="77777777" w:rsidR="00F41C10" w:rsidRPr="00190477" w:rsidRDefault="00F41C10" w:rsidP="00190477">
      <w:pPr>
        <w:keepNext/>
        <w:ind w:right="237"/>
        <w:rPr>
          <w:sz w:val="24"/>
          <w:szCs w:val="24"/>
        </w:rPr>
      </w:pPr>
    </w:p>
    <w:p w14:paraId="7A876816" w14:textId="0326C3E6" w:rsidR="00F41C10" w:rsidRDefault="00F41C10" w:rsidP="00E05413">
      <w:pPr>
        <w:keepNext/>
        <w:ind w:right="237"/>
        <w:rPr>
          <w:sz w:val="24"/>
          <w:szCs w:val="24"/>
        </w:rPr>
      </w:pPr>
      <w:r w:rsidRPr="00E05413">
        <w:rPr>
          <w:sz w:val="24"/>
          <w:szCs w:val="24"/>
        </w:rPr>
        <w:t xml:space="preserve">Greenberg, J. (1987). </w:t>
      </w:r>
      <w:r w:rsidRPr="00F41C10">
        <w:rPr>
          <w:i/>
          <w:sz w:val="24"/>
          <w:szCs w:val="24"/>
        </w:rPr>
        <w:t>A taxonomy of organizational justice theories. Academy of Management review,</w:t>
      </w:r>
      <w:r w:rsidRPr="00E05413">
        <w:rPr>
          <w:sz w:val="24"/>
          <w:szCs w:val="24"/>
        </w:rPr>
        <w:t xml:space="preserve"> 9-22.</w:t>
      </w:r>
    </w:p>
    <w:p w14:paraId="0135FFF0" w14:textId="77777777" w:rsidR="00F41C10" w:rsidRDefault="00F41C10" w:rsidP="00E05413">
      <w:pPr>
        <w:keepNext/>
        <w:ind w:right="237"/>
        <w:rPr>
          <w:sz w:val="24"/>
          <w:szCs w:val="24"/>
        </w:rPr>
      </w:pPr>
    </w:p>
    <w:p w14:paraId="20DEE2A3" w14:textId="5205187E" w:rsidR="00F41C10" w:rsidRDefault="00F41C10" w:rsidP="00640E08">
      <w:pPr>
        <w:keepNext/>
        <w:ind w:right="237"/>
        <w:rPr>
          <w:sz w:val="24"/>
          <w:szCs w:val="24"/>
        </w:rPr>
      </w:pPr>
      <w:r w:rsidRPr="00640E08">
        <w:rPr>
          <w:sz w:val="24"/>
          <w:szCs w:val="24"/>
        </w:rPr>
        <w:t xml:space="preserve">HMIC. (2015). </w:t>
      </w:r>
      <w:r w:rsidRPr="00640E08">
        <w:rPr>
          <w:i/>
          <w:sz w:val="24"/>
          <w:szCs w:val="24"/>
        </w:rPr>
        <w:t>PEEL: Police Effectiveness 2015 (Vulnerability).</w:t>
      </w:r>
      <w:r w:rsidRPr="00640E08">
        <w:rPr>
          <w:sz w:val="24"/>
          <w:szCs w:val="24"/>
        </w:rPr>
        <w:t xml:space="preserve"> London: Her Majesty’s Inspectorate of Constabulary.</w:t>
      </w:r>
    </w:p>
    <w:p w14:paraId="1E2B0E0E" w14:textId="77777777" w:rsidR="00D8477F" w:rsidRPr="00640E08" w:rsidRDefault="00D8477F" w:rsidP="00640E08">
      <w:pPr>
        <w:keepNext/>
        <w:ind w:right="237"/>
        <w:rPr>
          <w:sz w:val="24"/>
          <w:szCs w:val="24"/>
        </w:rPr>
      </w:pPr>
    </w:p>
    <w:p w14:paraId="21A95598" w14:textId="41689FE1" w:rsidR="00F41C10" w:rsidRDefault="00F41C10" w:rsidP="00E05413">
      <w:pPr>
        <w:keepNext/>
        <w:ind w:right="237"/>
        <w:rPr>
          <w:sz w:val="24"/>
          <w:szCs w:val="24"/>
        </w:rPr>
      </w:pPr>
      <w:r w:rsidRPr="00E05413">
        <w:rPr>
          <w:sz w:val="24"/>
          <w:szCs w:val="24"/>
        </w:rPr>
        <w:t xml:space="preserve">HMICFRS. (2018). </w:t>
      </w:r>
      <w:r w:rsidRPr="00E05413">
        <w:rPr>
          <w:i/>
          <w:sz w:val="24"/>
          <w:szCs w:val="24"/>
        </w:rPr>
        <w:t>Policing and Mental Health. Picking up the Pieces</w:t>
      </w:r>
      <w:r w:rsidRPr="00E05413">
        <w:rPr>
          <w:sz w:val="24"/>
          <w:szCs w:val="24"/>
        </w:rPr>
        <w:t>. HMICFRS.</w:t>
      </w:r>
    </w:p>
    <w:p w14:paraId="65CA6549" w14:textId="77777777" w:rsidR="00D8477F" w:rsidRDefault="00D8477F" w:rsidP="00E05413">
      <w:pPr>
        <w:keepNext/>
        <w:ind w:right="237"/>
        <w:rPr>
          <w:sz w:val="24"/>
          <w:szCs w:val="24"/>
        </w:rPr>
      </w:pPr>
    </w:p>
    <w:p w14:paraId="78455B8B" w14:textId="35648DF3" w:rsidR="00F41C10" w:rsidRDefault="00F41C10" w:rsidP="00190477">
      <w:pPr>
        <w:keepNext/>
        <w:ind w:right="237"/>
        <w:rPr>
          <w:sz w:val="24"/>
          <w:szCs w:val="24"/>
        </w:rPr>
      </w:pPr>
      <w:r w:rsidRPr="00190477">
        <w:rPr>
          <w:sz w:val="24"/>
          <w:szCs w:val="24"/>
        </w:rPr>
        <w:t xml:space="preserve">Home Office. (2001). </w:t>
      </w:r>
      <w:r w:rsidRPr="00E9014C">
        <w:rPr>
          <w:i/>
          <w:sz w:val="24"/>
          <w:szCs w:val="24"/>
        </w:rPr>
        <w:t>Policing A New Century: A blueprint for reform</w:t>
      </w:r>
      <w:r>
        <w:rPr>
          <w:sz w:val="24"/>
          <w:szCs w:val="24"/>
        </w:rPr>
        <w:t xml:space="preserve">. </w:t>
      </w:r>
      <w:r w:rsidRPr="00190477">
        <w:rPr>
          <w:sz w:val="24"/>
          <w:szCs w:val="24"/>
        </w:rPr>
        <w:t>https://assets.publishing.service.gov.uk/government/uploads/system/uploads/attachment_data/file/250905/policing_survey.pdf</w:t>
      </w:r>
    </w:p>
    <w:p w14:paraId="6DA6832F" w14:textId="77777777" w:rsidR="00D8477F" w:rsidRPr="00190477" w:rsidRDefault="00D8477F" w:rsidP="00190477">
      <w:pPr>
        <w:keepNext/>
        <w:ind w:right="237"/>
        <w:rPr>
          <w:sz w:val="24"/>
          <w:szCs w:val="24"/>
        </w:rPr>
      </w:pPr>
    </w:p>
    <w:p w14:paraId="17D5CD99" w14:textId="4CD4F82C" w:rsidR="00F41C10" w:rsidRDefault="00F41C10" w:rsidP="00640E08">
      <w:pPr>
        <w:keepNext/>
        <w:ind w:right="237"/>
        <w:rPr>
          <w:sz w:val="24"/>
          <w:szCs w:val="24"/>
        </w:rPr>
      </w:pPr>
      <w:r w:rsidRPr="00640E08">
        <w:rPr>
          <w:sz w:val="24"/>
          <w:szCs w:val="24"/>
        </w:rPr>
        <w:t xml:space="preserve">Home Office. (2013). </w:t>
      </w:r>
      <w:r w:rsidRPr="00640E08">
        <w:rPr>
          <w:i/>
          <w:sz w:val="24"/>
          <w:szCs w:val="24"/>
        </w:rPr>
        <w:t>Evaluation of the Pilot of Domestic Violence Protection Orders.</w:t>
      </w:r>
      <w:r w:rsidRPr="00640E08">
        <w:rPr>
          <w:sz w:val="24"/>
          <w:szCs w:val="24"/>
        </w:rPr>
        <w:t xml:space="preserve"> Home Office.</w:t>
      </w:r>
    </w:p>
    <w:p w14:paraId="214188DA" w14:textId="77777777" w:rsidR="00D8477F" w:rsidRPr="00640E08" w:rsidRDefault="00D8477F" w:rsidP="00640E08">
      <w:pPr>
        <w:keepNext/>
        <w:ind w:right="237"/>
        <w:rPr>
          <w:sz w:val="24"/>
          <w:szCs w:val="24"/>
        </w:rPr>
      </w:pPr>
    </w:p>
    <w:p w14:paraId="003D21DB" w14:textId="1ADDAB7E" w:rsidR="00F41C10" w:rsidRDefault="00F41C10" w:rsidP="001200BF">
      <w:pPr>
        <w:rPr>
          <w:sz w:val="24"/>
          <w:szCs w:val="24"/>
        </w:rPr>
      </w:pPr>
      <w:r w:rsidRPr="001200BF">
        <w:rPr>
          <w:sz w:val="24"/>
          <w:szCs w:val="24"/>
        </w:rPr>
        <w:t xml:space="preserve">Home Office. (2016). </w:t>
      </w:r>
      <w:r w:rsidRPr="008B37EE">
        <w:rPr>
          <w:i/>
          <w:sz w:val="24"/>
          <w:szCs w:val="24"/>
        </w:rPr>
        <w:t>Operational Case for the Retention of Internet Connection Records</w:t>
      </w:r>
      <w:r w:rsidRPr="001200BF">
        <w:rPr>
          <w:sz w:val="24"/>
          <w:szCs w:val="24"/>
        </w:rPr>
        <w:t>. GOV.UK: https://assets.publishing.service.gov.uk/government/uploads/system/uploads/attachment_data/file/504192/Operational_Case_for_the_Retention_of_Internet_Connection_Records_-_IP_Bill_introduction.pdf</w:t>
      </w:r>
    </w:p>
    <w:p w14:paraId="4508CA94" w14:textId="77777777" w:rsidR="00D8477F" w:rsidRDefault="00D8477F" w:rsidP="001200BF">
      <w:pPr>
        <w:rPr>
          <w:sz w:val="24"/>
          <w:szCs w:val="24"/>
        </w:rPr>
      </w:pPr>
    </w:p>
    <w:p w14:paraId="444875AC" w14:textId="5D892840" w:rsidR="00F41C10" w:rsidRDefault="00F41C10" w:rsidP="00E05413">
      <w:pPr>
        <w:keepNext/>
        <w:ind w:right="237"/>
        <w:rPr>
          <w:sz w:val="24"/>
          <w:szCs w:val="24"/>
        </w:rPr>
      </w:pPr>
      <w:r w:rsidRPr="00E05413">
        <w:rPr>
          <w:sz w:val="24"/>
          <w:szCs w:val="24"/>
        </w:rPr>
        <w:t xml:space="preserve">Home Office. (2021). </w:t>
      </w:r>
      <w:r w:rsidRPr="00E05413">
        <w:rPr>
          <w:i/>
          <w:sz w:val="24"/>
          <w:szCs w:val="24"/>
        </w:rPr>
        <w:t>Supporting vulnerable people who encounter the police: A strategic guide for police forces and their partners</w:t>
      </w:r>
      <w:r>
        <w:rPr>
          <w:i/>
          <w:sz w:val="24"/>
          <w:szCs w:val="24"/>
        </w:rPr>
        <w:t>.</w:t>
      </w:r>
      <w:r>
        <w:rPr>
          <w:sz w:val="24"/>
          <w:szCs w:val="24"/>
        </w:rPr>
        <w:t xml:space="preserve"> </w:t>
      </w:r>
      <w:r w:rsidRPr="00E05413">
        <w:rPr>
          <w:sz w:val="24"/>
          <w:szCs w:val="24"/>
        </w:rPr>
        <w:t xml:space="preserve">Home </w:t>
      </w:r>
      <w:r>
        <w:rPr>
          <w:sz w:val="24"/>
          <w:szCs w:val="24"/>
        </w:rPr>
        <w:t xml:space="preserve">Office: </w:t>
      </w:r>
      <w:r w:rsidRPr="00E05413">
        <w:rPr>
          <w:sz w:val="24"/>
          <w:szCs w:val="24"/>
        </w:rPr>
        <w:t>https://assets.publishing.service.gov.uk/government/uploads/system/uploads/attachment_data/file/405397/6.379_Supporting_guidance_web_doc_v3.pdf</w:t>
      </w:r>
    </w:p>
    <w:p w14:paraId="71DA0EF7" w14:textId="77777777" w:rsidR="00D8477F" w:rsidRDefault="00D8477F" w:rsidP="00E05413">
      <w:pPr>
        <w:keepNext/>
        <w:ind w:right="237"/>
        <w:rPr>
          <w:sz w:val="24"/>
          <w:szCs w:val="24"/>
        </w:rPr>
      </w:pPr>
    </w:p>
    <w:p w14:paraId="2AD71A49" w14:textId="0300211E" w:rsidR="00F41C10" w:rsidRDefault="00F41C10" w:rsidP="00640E08">
      <w:pPr>
        <w:keepNext/>
        <w:ind w:right="237"/>
        <w:rPr>
          <w:sz w:val="24"/>
          <w:szCs w:val="24"/>
        </w:rPr>
      </w:pPr>
      <w:r w:rsidRPr="00640E08">
        <w:rPr>
          <w:sz w:val="24"/>
          <w:szCs w:val="24"/>
        </w:rPr>
        <w:t xml:space="preserve">IOPC. (2018). </w:t>
      </w:r>
      <w:r w:rsidRPr="00640E08">
        <w:rPr>
          <w:i/>
          <w:sz w:val="24"/>
          <w:szCs w:val="24"/>
        </w:rPr>
        <w:t>Protecting Vulnerable People</w:t>
      </w:r>
      <w:r w:rsidRPr="00640E08">
        <w:rPr>
          <w:sz w:val="24"/>
          <w:szCs w:val="24"/>
        </w:rPr>
        <w:t>. Independent Office for Police Conduct.</w:t>
      </w:r>
    </w:p>
    <w:p w14:paraId="37033332" w14:textId="77777777" w:rsidR="00D8477F" w:rsidRPr="00640E08" w:rsidRDefault="00D8477F" w:rsidP="00640E08">
      <w:pPr>
        <w:keepNext/>
        <w:ind w:right="237"/>
        <w:rPr>
          <w:sz w:val="24"/>
          <w:szCs w:val="24"/>
        </w:rPr>
      </w:pPr>
    </w:p>
    <w:p w14:paraId="4F935344" w14:textId="77777777" w:rsidR="00D8477F" w:rsidRDefault="00F41C10" w:rsidP="00D8477F">
      <w:pPr>
        <w:rPr>
          <w:sz w:val="24"/>
          <w:szCs w:val="24"/>
        </w:rPr>
      </w:pPr>
      <w:r w:rsidRPr="001200BF">
        <w:rPr>
          <w:sz w:val="24"/>
          <w:szCs w:val="24"/>
        </w:rPr>
        <w:t xml:space="preserve">Jeffreys, B. (2020). </w:t>
      </w:r>
      <w:r w:rsidRPr="008B37EE">
        <w:rPr>
          <w:i/>
          <w:sz w:val="24"/>
          <w:szCs w:val="24"/>
        </w:rPr>
        <w:t>Huge rise in reports of online child abuse images</w:t>
      </w:r>
      <w:r w:rsidRPr="001200BF">
        <w:rPr>
          <w:sz w:val="24"/>
          <w:szCs w:val="24"/>
        </w:rPr>
        <w:t>. BBC News: https://www.bbc.co.uk/news/education-53417284</w:t>
      </w:r>
    </w:p>
    <w:p w14:paraId="0B105475" w14:textId="77777777" w:rsidR="00D8477F" w:rsidRDefault="00D8477F" w:rsidP="00D8477F">
      <w:pPr>
        <w:rPr>
          <w:sz w:val="24"/>
          <w:szCs w:val="24"/>
        </w:rPr>
      </w:pPr>
    </w:p>
    <w:p w14:paraId="23C83274" w14:textId="77777777" w:rsidR="00D8477F" w:rsidRDefault="00F41C10" w:rsidP="00D8477F">
      <w:pPr>
        <w:rPr>
          <w:sz w:val="24"/>
          <w:szCs w:val="24"/>
        </w:rPr>
      </w:pPr>
      <w:r w:rsidRPr="00E05413">
        <w:rPr>
          <w:sz w:val="24"/>
          <w:szCs w:val="24"/>
        </w:rPr>
        <w:t xml:space="preserve">Jones, L. (2019). </w:t>
      </w:r>
      <w:r w:rsidRPr="00E05413">
        <w:rPr>
          <w:i/>
          <w:sz w:val="24"/>
          <w:szCs w:val="24"/>
        </w:rPr>
        <w:t>Police 'dealing with more mental health incidents'</w:t>
      </w:r>
      <w:r>
        <w:rPr>
          <w:sz w:val="24"/>
          <w:szCs w:val="24"/>
        </w:rPr>
        <w:t xml:space="preserve">. </w:t>
      </w:r>
      <w:r w:rsidRPr="00E05413">
        <w:rPr>
          <w:sz w:val="24"/>
          <w:szCs w:val="24"/>
        </w:rPr>
        <w:t>BBC News: https://www.bbc.co.uk/news/uk-49317060</w:t>
      </w:r>
    </w:p>
    <w:p w14:paraId="5B883E2B" w14:textId="77777777" w:rsidR="00D8477F" w:rsidRDefault="00D8477F" w:rsidP="00D8477F">
      <w:pPr>
        <w:rPr>
          <w:sz w:val="24"/>
          <w:szCs w:val="24"/>
        </w:rPr>
      </w:pPr>
    </w:p>
    <w:p w14:paraId="448EB99C" w14:textId="77777777" w:rsidR="00D8477F" w:rsidRDefault="00F41C10" w:rsidP="001200BF">
      <w:pPr>
        <w:rPr>
          <w:sz w:val="24"/>
          <w:szCs w:val="24"/>
        </w:rPr>
      </w:pPr>
      <w:r w:rsidRPr="00E05413">
        <w:rPr>
          <w:sz w:val="24"/>
          <w:szCs w:val="24"/>
        </w:rPr>
        <w:t xml:space="preserve">Kolb, D. (1984). </w:t>
      </w:r>
      <w:r w:rsidRPr="00E05413">
        <w:rPr>
          <w:i/>
          <w:sz w:val="24"/>
          <w:szCs w:val="24"/>
        </w:rPr>
        <w:t>Experiential Learning</w:t>
      </w:r>
      <w:r w:rsidRPr="00E05413">
        <w:rPr>
          <w:sz w:val="24"/>
          <w:szCs w:val="24"/>
        </w:rPr>
        <w:t>. Prentice Hall.</w:t>
      </w:r>
    </w:p>
    <w:p w14:paraId="1F7DB87D" w14:textId="0AB02BC3" w:rsidR="00F41C10" w:rsidRDefault="00F41C10" w:rsidP="001200BF">
      <w:pPr>
        <w:rPr>
          <w:sz w:val="24"/>
          <w:szCs w:val="24"/>
        </w:rPr>
      </w:pPr>
      <w:r w:rsidRPr="001200BF">
        <w:rPr>
          <w:sz w:val="24"/>
          <w:szCs w:val="24"/>
        </w:rPr>
        <w:lastRenderedPageBreak/>
        <w:t xml:space="preserve">Lenhart, A. (2015). </w:t>
      </w:r>
      <w:r w:rsidRPr="008B37EE">
        <w:rPr>
          <w:i/>
          <w:sz w:val="24"/>
          <w:szCs w:val="24"/>
        </w:rPr>
        <w:t>Teens, Social Media &amp; Technology Overview 2015</w:t>
      </w:r>
      <w:r w:rsidRPr="001200BF">
        <w:rPr>
          <w:sz w:val="24"/>
          <w:szCs w:val="24"/>
        </w:rPr>
        <w:t>. Pew Research Center.</w:t>
      </w:r>
    </w:p>
    <w:p w14:paraId="238B8B51" w14:textId="77777777" w:rsidR="00D8477F" w:rsidRDefault="00D8477F" w:rsidP="001200BF">
      <w:pPr>
        <w:rPr>
          <w:sz w:val="24"/>
          <w:szCs w:val="24"/>
        </w:rPr>
      </w:pPr>
    </w:p>
    <w:p w14:paraId="351B58DF" w14:textId="488C4386" w:rsidR="00F41C10" w:rsidRDefault="00F41C10" w:rsidP="00E05413">
      <w:pPr>
        <w:keepNext/>
        <w:ind w:right="237"/>
        <w:rPr>
          <w:sz w:val="24"/>
          <w:szCs w:val="24"/>
        </w:rPr>
      </w:pPr>
      <w:r w:rsidRPr="00E05413">
        <w:rPr>
          <w:sz w:val="24"/>
          <w:szCs w:val="24"/>
        </w:rPr>
        <w:t xml:space="preserve">Lonsway, K., &amp; Archambault, J. (2020). </w:t>
      </w:r>
      <w:r w:rsidRPr="00F41C10">
        <w:rPr>
          <w:i/>
          <w:sz w:val="24"/>
          <w:szCs w:val="24"/>
        </w:rPr>
        <w:t>Should Sexual Assault Victims Be Interviewed by Female Officers and Detectives?</w:t>
      </w:r>
      <w:r w:rsidRPr="00E05413">
        <w:rPr>
          <w:sz w:val="24"/>
          <w:szCs w:val="24"/>
        </w:rPr>
        <w:t xml:space="preserve"> End Violence Against Women International (EVAWI).</w:t>
      </w:r>
    </w:p>
    <w:p w14:paraId="48074931" w14:textId="77777777" w:rsidR="00D8477F" w:rsidRDefault="00D8477F" w:rsidP="00E05413">
      <w:pPr>
        <w:keepNext/>
        <w:ind w:right="237"/>
        <w:rPr>
          <w:sz w:val="24"/>
          <w:szCs w:val="24"/>
        </w:rPr>
      </w:pPr>
    </w:p>
    <w:p w14:paraId="752D2518" w14:textId="11CC62A9" w:rsidR="00F41C10" w:rsidRDefault="00F41C10" w:rsidP="00E05413">
      <w:pPr>
        <w:keepNext/>
        <w:ind w:right="237"/>
        <w:rPr>
          <w:sz w:val="24"/>
          <w:szCs w:val="24"/>
        </w:rPr>
      </w:pPr>
      <w:r w:rsidRPr="00E05413">
        <w:rPr>
          <w:sz w:val="24"/>
          <w:szCs w:val="24"/>
        </w:rPr>
        <w:t xml:space="preserve">Mind. (2018). </w:t>
      </w:r>
      <w:r w:rsidRPr="00E05413">
        <w:rPr>
          <w:i/>
          <w:sz w:val="24"/>
          <w:szCs w:val="24"/>
        </w:rPr>
        <w:t>Crisis services and planning for a crisis.</w:t>
      </w:r>
      <w:r w:rsidRPr="00E05413">
        <w:rPr>
          <w:sz w:val="24"/>
          <w:szCs w:val="24"/>
        </w:rPr>
        <w:t xml:space="preserve"> Mind: https://www.mind.org.uk/information-support/guides-to-support-and-services/crisis-services/crisis-teams-crhts/</w:t>
      </w:r>
    </w:p>
    <w:p w14:paraId="68F1B2C7" w14:textId="77777777" w:rsidR="00D8477F" w:rsidRDefault="00D8477F" w:rsidP="00E05413">
      <w:pPr>
        <w:keepNext/>
        <w:ind w:right="237"/>
        <w:rPr>
          <w:sz w:val="24"/>
          <w:szCs w:val="24"/>
        </w:rPr>
      </w:pPr>
    </w:p>
    <w:p w14:paraId="5FF511DD" w14:textId="6CD5C609" w:rsidR="00F41C10" w:rsidRDefault="00F41C10" w:rsidP="001200BF">
      <w:pPr>
        <w:rPr>
          <w:sz w:val="24"/>
          <w:szCs w:val="24"/>
        </w:rPr>
      </w:pPr>
      <w:r w:rsidRPr="001200BF">
        <w:rPr>
          <w:sz w:val="24"/>
          <w:szCs w:val="24"/>
        </w:rPr>
        <w:t xml:space="preserve">Morgan, M. (1994). </w:t>
      </w:r>
      <w:r w:rsidRPr="008B37EE">
        <w:rPr>
          <w:i/>
          <w:sz w:val="24"/>
          <w:szCs w:val="24"/>
        </w:rPr>
        <w:t>How to Interview Sexual Abuse Victims: Including the Use of Anatomical Dolls.</w:t>
      </w:r>
      <w:r w:rsidRPr="001200BF">
        <w:rPr>
          <w:sz w:val="24"/>
          <w:szCs w:val="24"/>
        </w:rPr>
        <w:t xml:space="preserve"> Sage Publications.</w:t>
      </w:r>
    </w:p>
    <w:p w14:paraId="601B4B71" w14:textId="77777777" w:rsidR="00D8477F" w:rsidRDefault="00D8477F" w:rsidP="001200BF">
      <w:pPr>
        <w:rPr>
          <w:sz w:val="24"/>
          <w:szCs w:val="24"/>
        </w:rPr>
      </w:pPr>
    </w:p>
    <w:p w14:paraId="57BB26C5" w14:textId="36FCE5B8" w:rsidR="00F41C10" w:rsidRDefault="00F41C10" w:rsidP="001200BF">
      <w:pPr>
        <w:rPr>
          <w:sz w:val="24"/>
          <w:szCs w:val="24"/>
        </w:rPr>
      </w:pPr>
      <w:r w:rsidRPr="001200BF">
        <w:rPr>
          <w:sz w:val="24"/>
          <w:szCs w:val="24"/>
        </w:rPr>
        <w:t xml:space="preserve">NCA. (2020). </w:t>
      </w:r>
      <w:r w:rsidRPr="008B37EE">
        <w:rPr>
          <w:i/>
          <w:sz w:val="24"/>
          <w:szCs w:val="24"/>
        </w:rPr>
        <w:t>Law enforcement in coronavirus online safety push as National Crime Agency reveals 300,000 in UK pose sexual threat to children</w:t>
      </w:r>
      <w:r w:rsidRPr="001200BF">
        <w:rPr>
          <w:sz w:val="24"/>
          <w:szCs w:val="24"/>
        </w:rPr>
        <w:t>. National Crime Agency: https://www.nationalcrimeagency.gov.uk/news/onlinesafetyathome</w:t>
      </w:r>
    </w:p>
    <w:p w14:paraId="1F059046" w14:textId="77777777" w:rsidR="00D8477F" w:rsidRDefault="00D8477F" w:rsidP="001200BF">
      <w:pPr>
        <w:rPr>
          <w:sz w:val="24"/>
          <w:szCs w:val="24"/>
        </w:rPr>
      </w:pPr>
    </w:p>
    <w:p w14:paraId="41CB4B74" w14:textId="184F4E56" w:rsidR="00F41C10" w:rsidRDefault="00F41C10" w:rsidP="001200BF">
      <w:pPr>
        <w:rPr>
          <w:sz w:val="24"/>
          <w:szCs w:val="24"/>
        </w:rPr>
      </w:pPr>
      <w:r w:rsidRPr="001200BF">
        <w:rPr>
          <w:sz w:val="24"/>
          <w:szCs w:val="24"/>
        </w:rPr>
        <w:t xml:space="preserve">NCA. (2021). </w:t>
      </w:r>
      <w:r w:rsidRPr="008B37EE">
        <w:rPr>
          <w:i/>
          <w:sz w:val="24"/>
          <w:szCs w:val="24"/>
        </w:rPr>
        <w:t>Child sexual abuse and exploitation</w:t>
      </w:r>
      <w:r w:rsidRPr="001200BF">
        <w:rPr>
          <w:sz w:val="24"/>
          <w:szCs w:val="24"/>
        </w:rPr>
        <w:t>. National Crime Agency: https://nationalcrimeagency.gov.uk/what-we-do/crime-threats/child-sexual-abuse-and-exploitation</w:t>
      </w:r>
    </w:p>
    <w:p w14:paraId="357CFE8D" w14:textId="77777777" w:rsidR="00D8477F" w:rsidRDefault="00D8477F" w:rsidP="001200BF">
      <w:pPr>
        <w:rPr>
          <w:sz w:val="24"/>
          <w:szCs w:val="24"/>
        </w:rPr>
      </w:pPr>
    </w:p>
    <w:p w14:paraId="2F1A6C98" w14:textId="3246B30A" w:rsidR="00F41C10" w:rsidRDefault="00F41C10" w:rsidP="001200BF">
      <w:pPr>
        <w:rPr>
          <w:sz w:val="24"/>
          <w:szCs w:val="24"/>
        </w:rPr>
      </w:pPr>
      <w:r w:rsidRPr="001200BF">
        <w:rPr>
          <w:sz w:val="24"/>
          <w:szCs w:val="24"/>
        </w:rPr>
        <w:t xml:space="preserve">Ofcom. (2019). </w:t>
      </w:r>
      <w:r w:rsidRPr="008B37EE">
        <w:rPr>
          <w:i/>
          <w:sz w:val="24"/>
          <w:szCs w:val="24"/>
        </w:rPr>
        <w:t>Children and parents: Media use and attitudes report</w:t>
      </w:r>
      <w:r w:rsidRPr="001200BF">
        <w:rPr>
          <w:sz w:val="24"/>
          <w:szCs w:val="24"/>
        </w:rPr>
        <w:t>. Ofcom.</w:t>
      </w:r>
    </w:p>
    <w:p w14:paraId="5D4F541B" w14:textId="77777777" w:rsidR="00D8477F" w:rsidRDefault="00D8477F" w:rsidP="001200BF">
      <w:pPr>
        <w:rPr>
          <w:sz w:val="24"/>
          <w:szCs w:val="24"/>
        </w:rPr>
      </w:pPr>
    </w:p>
    <w:p w14:paraId="23C4D9B0" w14:textId="432CB400" w:rsidR="00F41C10" w:rsidRDefault="00F41C10" w:rsidP="00640E08">
      <w:pPr>
        <w:keepNext/>
        <w:ind w:right="237"/>
        <w:rPr>
          <w:sz w:val="24"/>
          <w:szCs w:val="24"/>
        </w:rPr>
      </w:pPr>
      <w:r w:rsidRPr="00640E08">
        <w:rPr>
          <w:sz w:val="24"/>
          <w:szCs w:val="24"/>
        </w:rPr>
        <w:t>Office f</w:t>
      </w:r>
      <w:r>
        <w:rPr>
          <w:sz w:val="24"/>
          <w:szCs w:val="24"/>
        </w:rPr>
        <w:t>or National Statistics. (2019).</w:t>
      </w:r>
      <w:r w:rsidRPr="00640E08">
        <w:rPr>
          <w:i/>
          <w:sz w:val="24"/>
          <w:szCs w:val="24"/>
        </w:rPr>
        <w:t>The nature of violent crime in England and Wales: year ending March 2018</w:t>
      </w:r>
      <w:r w:rsidRPr="00640E08">
        <w:rPr>
          <w:sz w:val="24"/>
          <w:szCs w:val="24"/>
        </w:rPr>
        <w:t>. Office for National Statistics: https://www.ons.gov.uk/peoplepopulationandcommunity/crimeandjustice/articles/thenatureofviolentcrimeinenglandandwales/yearendingmarch2018/previous/v1</w:t>
      </w:r>
    </w:p>
    <w:p w14:paraId="25024F39" w14:textId="77777777" w:rsidR="00D8477F" w:rsidRPr="00640E08" w:rsidRDefault="00D8477F" w:rsidP="00640E08">
      <w:pPr>
        <w:keepNext/>
        <w:ind w:right="237"/>
        <w:rPr>
          <w:sz w:val="24"/>
          <w:szCs w:val="24"/>
        </w:rPr>
      </w:pPr>
    </w:p>
    <w:p w14:paraId="51DFFFF1" w14:textId="30249EC0" w:rsidR="00F41C10" w:rsidRDefault="00F41C10" w:rsidP="001200BF">
      <w:pPr>
        <w:rPr>
          <w:sz w:val="24"/>
          <w:szCs w:val="24"/>
        </w:rPr>
      </w:pPr>
      <w:r w:rsidRPr="001200BF">
        <w:rPr>
          <w:sz w:val="24"/>
          <w:szCs w:val="24"/>
        </w:rPr>
        <w:t xml:space="preserve">Open Access Government. (2019). </w:t>
      </w:r>
      <w:r w:rsidRPr="008B37EE">
        <w:rPr>
          <w:i/>
          <w:sz w:val="24"/>
          <w:szCs w:val="24"/>
        </w:rPr>
        <w:t>Children are becoming more vulnerable to cybercriminals as IoT device use explodes</w:t>
      </w:r>
      <w:r w:rsidRPr="001200BF">
        <w:rPr>
          <w:sz w:val="24"/>
          <w:szCs w:val="24"/>
        </w:rPr>
        <w:t>. Open Access Government: https://www.openaccessgovernment.org/children-vulnerable-to-cybercriminals/72665/</w:t>
      </w:r>
    </w:p>
    <w:p w14:paraId="07EAEBAB" w14:textId="77777777" w:rsidR="00D8477F" w:rsidRDefault="00D8477F" w:rsidP="001200BF">
      <w:pPr>
        <w:rPr>
          <w:sz w:val="24"/>
          <w:szCs w:val="24"/>
        </w:rPr>
      </w:pPr>
    </w:p>
    <w:p w14:paraId="196A9393" w14:textId="2B672CA7" w:rsidR="00F41C10" w:rsidRDefault="00F41C10" w:rsidP="001200BF">
      <w:pPr>
        <w:rPr>
          <w:sz w:val="24"/>
          <w:szCs w:val="24"/>
        </w:rPr>
      </w:pPr>
      <w:r w:rsidRPr="001200BF">
        <w:rPr>
          <w:sz w:val="24"/>
          <w:szCs w:val="24"/>
        </w:rPr>
        <w:t xml:space="preserve">Parker, W. (2020). </w:t>
      </w:r>
      <w:r w:rsidRPr="008B37EE">
        <w:rPr>
          <w:i/>
          <w:sz w:val="24"/>
          <w:szCs w:val="24"/>
        </w:rPr>
        <w:t>The Dark Side of Snapchat and Teens</w:t>
      </w:r>
      <w:r>
        <w:rPr>
          <w:sz w:val="24"/>
          <w:szCs w:val="24"/>
        </w:rPr>
        <w:t xml:space="preserve">. </w:t>
      </w:r>
      <w:r w:rsidRPr="001200BF">
        <w:rPr>
          <w:sz w:val="24"/>
          <w:szCs w:val="24"/>
        </w:rPr>
        <w:t>Very Well Family: https://www.verywellfamily.com/what-is-snapchat-and-its-use-1270338</w:t>
      </w:r>
    </w:p>
    <w:p w14:paraId="3028D085" w14:textId="77777777" w:rsidR="00D8477F" w:rsidRPr="001200BF" w:rsidRDefault="00D8477F" w:rsidP="001200BF">
      <w:pPr>
        <w:rPr>
          <w:sz w:val="24"/>
          <w:szCs w:val="24"/>
        </w:rPr>
      </w:pPr>
    </w:p>
    <w:p w14:paraId="28AC2BC5" w14:textId="14410F2F" w:rsidR="00F41C10" w:rsidRDefault="00F41C10" w:rsidP="00E05413">
      <w:pPr>
        <w:keepNext/>
        <w:ind w:right="237"/>
        <w:rPr>
          <w:i/>
          <w:sz w:val="24"/>
          <w:szCs w:val="24"/>
        </w:rPr>
      </w:pPr>
      <w:r w:rsidRPr="00E05413">
        <w:rPr>
          <w:sz w:val="24"/>
          <w:szCs w:val="24"/>
        </w:rPr>
        <w:t xml:space="preserve">Schucan Bird, K., Vigurs, C., Quy, </w:t>
      </w:r>
      <w:r>
        <w:rPr>
          <w:sz w:val="24"/>
          <w:szCs w:val="24"/>
        </w:rPr>
        <w:t>K.</w:t>
      </w:r>
      <w:r w:rsidRPr="00E05413">
        <w:rPr>
          <w:sz w:val="24"/>
          <w:szCs w:val="24"/>
        </w:rPr>
        <w:t xml:space="preserve"> &amp; Shemit, I. (2017). </w:t>
      </w:r>
      <w:r w:rsidRPr="00E05413">
        <w:rPr>
          <w:i/>
          <w:sz w:val="24"/>
          <w:szCs w:val="24"/>
        </w:rPr>
        <w:t xml:space="preserve">Police Pre-Arrest Diversion of People with Mental Health Issues: A Systematic Review of the Impacts on Crime and Mental Health. </w:t>
      </w:r>
    </w:p>
    <w:p w14:paraId="1EF03F44" w14:textId="77777777" w:rsidR="00D8477F" w:rsidRPr="00E05413" w:rsidRDefault="00D8477F" w:rsidP="00E05413">
      <w:pPr>
        <w:keepNext/>
        <w:ind w:right="237"/>
        <w:rPr>
          <w:i/>
          <w:sz w:val="24"/>
          <w:szCs w:val="24"/>
        </w:rPr>
      </w:pPr>
    </w:p>
    <w:p w14:paraId="7017F556" w14:textId="6DE8870C" w:rsidR="00F41C10" w:rsidRDefault="00F41C10" w:rsidP="00E05413">
      <w:pPr>
        <w:keepNext/>
        <w:ind w:right="237"/>
        <w:rPr>
          <w:sz w:val="24"/>
          <w:szCs w:val="24"/>
        </w:rPr>
      </w:pPr>
      <w:r w:rsidRPr="00E05413">
        <w:rPr>
          <w:sz w:val="24"/>
          <w:szCs w:val="24"/>
        </w:rPr>
        <w:t xml:space="preserve">Sherman, L. (1988). </w:t>
      </w:r>
      <w:r w:rsidRPr="00E05413">
        <w:rPr>
          <w:i/>
          <w:sz w:val="24"/>
          <w:szCs w:val="24"/>
        </w:rPr>
        <w:t>Evidence-Based Policing. Ideas in American Policing Series.</w:t>
      </w:r>
      <w:r w:rsidRPr="00E05413">
        <w:rPr>
          <w:sz w:val="24"/>
          <w:szCs w:val="24"/>
        </w:rPr>
        <w:t xml:space="preserve"> Washington DC: Police Foundation.</w:t>
      </w:r>
    </w:p>
    <w:p w14:paraId="0C91CEE0" w14:textId="77777777" w:rsidR="00D8477F" w:rsidRDefault="00D8477F" w:rsidP="00E05413">
      <w:pPr>
        <w:keepNext/>
        <w:ind w:right="237"/>
        <w:rPr>
          <w:sz w:val="24"/>
          <w:szCs w:val="24"/>
        </w:rPr>
      </w:pPr>
    </w:p>
    <w:p w14:paraId="622BDD1A" w14:textId="77777777" w:rsidR="00F41C10" w:rsidRPr="00E05413" w:rsidRDefault="00F41C10" w:rsidP="00E05413">
      <w:pPr>
        <w:keepNext/>
        <w:ind w:right="237"/>
        <w:rPr>
          <w:sz w:val="24"/>
          <w:szCs w:val="24"/>
        </w:rPr>
      </w:pPr>
      <w:r w:rsidRPr="00E05413">
        <w:rPr>
          <w:sz w:val="24"/>
          <w:szCs w:val="24"/>
        </w:rPr>
        <w:t xml:space="preserve">South Wales Police. (2021). </w:t>
      </w:r>
      <w:r w:rsidRPr="00F41C10">
        <w:rPr>
          <w:i/>
          <w:sz w:val="24"/>
          <w:szCs w:val="24"/>
        </w:rPr>
        <w:t>Our vision, values and ethics</w:t>
      </w:r>
      <w:r>
        <w:rPr>
          <w:sz w:val="24"/>
          <w:szCs w:val="24"/>
        </w:rPr>
        <w:t xml:space="preserve">. </w:t>
      </w:r>
      <w:r w:rsidRPr="00E05413">
        <w:rPr>
          <w:sz w:val="24"/>
          <w:szCs w:val="24"/>
        </w:rPr>
        <w:t>South Wales Police: https://beta.south-wales.police.uk/police-forces/south-wales-police/areas/about-us/about-us/our-vision-values-and-ethics/#:~:text=The%20Code%20of%20Ethics%20is,they%20are%20expected%2</w:t>
      </w:r>
      <w:r w:rsidRPr="00E05413">
        <w:rPr>
          <w:sz w:val="24"/>
          <w:szCs w:val="24"/>
        </w:rPr>
        <w:lastRenderedPageBreak/>
        <w:t>0to%20meet.&amp;text=It%20sets%20and%20defines%20the,everyone%20who%20works%</w:t>
      </w:r>
    </w:p>
    <w:p w14:paraId="33EC3CF2" w14:textId="77777777" w:rsidR="00D8477F" w:rsidRDefault="00D8477F" w:rsidP="00190477">
      <w:pPr>
        <w:keepNext/>
        <w:ind w:right="237"/>
        <w:rPr>
          <w:sz w:val="24"/>
          <w:szCs w:val="24"/>
        </w:rPr>
      </w:pPr>
    </w:p>
    <w:p w14:paraId="47CE07D6" w14:textId="04E0821D" w:rsidR="00F41C10" w:rsidRPr="00E9014C" w:rsidRDefault="00F41C10" w:rsidP="00190477">
      <w:pPr>
        <w:keepNext/>
        <w:ind w:right="237"/>
        <w:rPr>
          <w:i/>
          <w:sz w:val="24"/>
          <w:szCs w:val="24"/>
        </w:rPr>
      </w:pPr>
      <w:r w:rsidRPr="00190477">
        <w:rPr>
          <w:sz w:val="24"/>
          <w:szCs w:val="24"/>
        </w:rPr>
        <w:t xml:space="preserve">United Nations Office on Drugs &amp; Crime. (2011). </w:t>
      </w:r>
      <w:r w:rsidRPr="00E9014C">
        <w:rPr>
          <w:i/>
          <w:sz w:val="24"/>
          <w:szCs w:val="24"/>
        </w:rPr>
        <w:t>Criminal Intelligence Manual for Analysts.</w:t>
      </w:r>
    </w:p>
    <w:p w14:paraId="7257AA61" w14:textId="77777777" w:rsidR="00D8477F" w:rsidRDefault="00D8477F" w:rsidP="001200BF">
      <w:pPr>
        <w:rPr>
          <w:sz w:val="24"/>
          <w:szCs w:val="24"/>
        </w:rPr>
      </w:pPr>
    </w:p>
    <w:p w14:paraId="460F6AF8" w14:textId="11C0ABD1" w:rsidR="00F41C10" w:rsidRDefault="00F41C10" w:rsidP="001200BF">
      <w:pPr>
        <w:rPr>
          <w:sz w:val="24"/>
          <w:szCs w:val="24"/>
        </w:rPr>
      </w:pPr>
      <w:r w:rsidRPr="001200BF">
        <w:rPr>
          <w:sz w:val="24"/>
          <w:szCs w:val="24"/>
        </w:rPr>
        <w:t xml:space="preserve">Wailes-Fairbairn, J. (2019). </w:t>
      </w:r>
      <w:r w:rsidRPr="008B37EE">
        <w:rPr>
          <w:i/>
          <w:sz w:val="24"/>
          <w:szCs w:val="24"/>
        </w:rPr>
        <w:t>The Evolution of Cyber Crime</w:t>
      </w:r>
      <w:r>
        <w:rPr>
          <w:sz w:val="24"/>
          <w:szCs w:val="24"/>
        </w:rPr>
        <w:t xml:space="preserve">. </w:t>
      </w:r>
      <w:r w:rsidRPr="001200BF">
        <w:rPr>
          <w:sz w:val="24"/>
          <w:szCs w:val="24"/>
        </w:rPr>
        <w:t>SRM Solutions: https://www.srm-solutions.com/blog/the-evolution-of-cyber-crime/</w:t>
      </w:r>
    </w:p>
    <w:p w14:paraId="278C3137" w14:textId="77777777" w:rsidR="00D8477F" w:rsidRDefault="00D8477F" w:rsidP="001200BF">
      <w:pPr>
        <w:rPr>
          <w:sz w:val="24"/>
          <w:szCs w:val="24"/>
        </w:rPr>
      </w:pPr>
    </w:p>
    <w:p w14:paraId="588777D8" w14:textId="77777777" w:rsidR="00F41C10" w:rsidRPr="00E05413" w:rsidRDefault="00F41C10" w:rsidP="00E05413">
      <w:pPr>
        <w:keepNext/>
        <w:ind w:right="237"/>
        <w:rPr>
          <w:sz w:val="24"/>
          <w:szCs w:val="24"/>
        </w:rPr>
      </w:pPr>
      <w:r w:rsidRPr="00E05413">
        <w:rPr>
          <w:sz w:val="24"/>
          <w:szCs w:val="24"/>
        </w:rPr>
        <w:t xml:space="preserve">Wakefield, A., &amp; Fleming, J. (2009). </w:t>
      </w:r>
      <w:r w:rsidRPr="00E05413">
        <w:rPr>
          <w:i/>
          <w:sz w:val="24"/>
          <w:szCs w:val="24"/>
        </w:rPr>
        <w:t>The SAGE Dictionary of Policing.</w:t>
      </w:r>
      <w:r w:rsidRPr="00E05413">
        <w:rPr>
          <w:sz w:val="24"/>
          <w:szCs w:val="24"/>
        </w:rPr>
        <w:t xml:space="preserve"> SAGE Publications Ltd.</w:t>
      </w:r>
    </w:p>
    <w:p w14:paraId="37BF9ADE" w14:textId="77777777" w:rsidR="00D8477F" w:rsidRDefault="00D8477F" w:rsidP="001200BF">
      <w:pPr>
        <w:rPr>
          <w:sz w:val="24"/>
          <w:szCs w:val="24"/>
        </w:rPr>
      </w:pPr>
    </w:p>
    <w:p w14:paraId="7D69E3B1" w14:textId="1BFF99E5" w:rsidR="001200BF" w:rsidRPr="00D8477F" w:rsidRDefault="00F41C10" w:rsidP="001200BF">
      <w:pPr>
        <w:rPr>
          <w:sz w:val="24"/>
          <w:szCs w:val="24"/>
        </w:rPr>
      </w:pPr>
      <w:r w:rsidRPr="001200BF">
        <w:rPr>
          <w:sz w:val="24"/>
          <w:szCs w:val="24"/>
        </w:rPr>
        <w:t xml:space="preserve">Whittle, H. (2018). </w:t>
      </w:r>
      <w:r w:rsidRPr="008B37EE">
        <w:rPr>
          <w:i/>
          <w:sz w:val="24"/>
          <w:szCs w:val="24"/>
        </w:rPr>
        <w:t>What can make young people vulnerable online?</w:t>
      </w:r>
      <w:r w:rsidRPr="001200BF">
        <w:rPr>
          <w:sz w:val="24"/>
          <w:szCs w:val="24"/>
        </w:rPr>
        <w:t xml:space="preserve"> Parent Info: https://parentinfo.org/article/what-can-make-young-people-vulnerable-online#:~:text=There%20are%20some%20things%20that,a%20longer%20period%20of%20time.&amp;text=Previous%20victimisation.,parental%20involvement%20in%20online%20life.</w:t>
      </w:r>
    </w:p>
    <w:sectPr w:rsidR="001200BF" w:rsidRPr="00D8477F" w:rsidSect="008B37EE">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4C63F5" w:rsidRDefault="004C63F5">
      <w:r>
        <w:separator/>
      </w:r>
    </w:p>
  </w:endnote>
  <w:endnote w:type="continuationSeparator" w:id="0">
    <w:p w14:paraId="3C56B659" w14:textId="77777777" w:rsidR="004C63F5" w:rsidRDefault="004C63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auto"/>
    <w:notTrueType/>
    <w:pitch w:val="variable"/>
    <w:sig w:usb0="00000000"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C83A9C" w14:textId="2D6862CD" w:rsidR="004C63F5" w:rsidRDefault="00F86833" w:rsidP="00F86833">
    <w:pPr>
      <w:pStyle w:val="Footer"/>
      <w:rPr>
        <w:sz w:val="17"/>
      </w:rPr>
    </w:pPr>
    <w:bookmarkStart w:id="3" w:name="TITUS1FooterEvenPages"/>
    <w:r>
      <w:rPr>
        <w:sz w:val="17"/>
      </w:rPr>
      <w:t> </w:t>
    </w:r>
  </w:p>
  <w:bookmarkEnd w:id="3"/>
  <w:p w14:paraId="67CBF160" w14:textId="12ECF3AB" w:rsidR="004C63F5" w:rsidRDefault="004C63F5" w:rsidP="008B37EE">
    <w:pPr>
      <w:pStyle w:val="Footer"/>
      <w:jc w:val="right"/>
    </w:pPr>
    <w:r>
      <w:fldChar w:fldCharType="begin"/>
    </w:r>
    <w:r>
      <w:instrText xml:space="preserve"> PAGE   \* MERGEFORMAT </w:instrText>
    </w:r>
    <w:r>
      <w:fldChar w:fldCharType="separate"/>
    </w:r>
    <w:r w:rsidR="00F86833">
      <w:rPr>
        <w:noProof/>
      </w:rPr>
      <w:t>2</w:t>
    </w:r>
    <w:r>
      <w:rPr>
        <w:noProof/>
      </w:rPr>
      <w:fldChar w:fldCharType="end"/>
    </w:r>
  </w:p>
  <w:p w14:paraId="15F7F0E8" w14:textId="77777777" w:rsidR="004C63F5" w:rsidRPr="00BB5EAA" w:rsidRDefault="004C63F5" w:rsidP="008B37EE">
    <w:pPr>
      <w:pStyle w:val="Footer"/>
      <w:ind w:right="360"/>
      <w:jc w:val="center"/>
    </w:pPr>
  </w:p>
  <w:p w14:paraId="083169B2" w14:textId="77777777" w:rsidR="004C63F5" w:rsidRDefault="004C63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762A19" w14:textId="5964D9DE" w:rsidR="004C63F5" w:rsidRDefault="00F86833" w:rsidP="00F86833">
    <w:pPr>
      <w:pStyle w:val="Footer"/>
      <w:rPr>
        <w:sz w:val="17"/>
      </w:rPr>
    </w:pPr>
    <w:bookmarkStart w:id="4" w:name="TITUS1FooterPrimary"/>
    <w:r>
      <w:rPr>
        <w:sz w:val="17"/>
      </w:rPr>
      <w:t> </w:t>
    </w:r>
  </w:p>
  <w:bookmarkEnd w:id="4"/>
  <w:p w14:paraId="50521BFA" w14:textId="67A850C7" w:rsidR="004C63F5" w:rsidRDefault="004C63F5">
    <w:pPr>
      <w:pStyle w:val="Footer"/>
      <w:jc w:val="right"/>
    </w:pPr>
    <w:r>
      <w:fldChar w:fldCharType="begin"/>
    </w:r>
    <w:r>
      <w:instrText xml:space="preserve"> PAGE   \* MERGEFORMAT </w:instrText>
    </w:r>
    <w:r>
      <w:fldChar w:fldCharType="separate"/>
    </w:r>
    <w:r w:rsidR="00F86833">
      <w:rPr>
        <w:noProof/>
      </w:rPr>
      <w:t>9</w:t>
    </w:r>
    <w:r>
      <w:rPr>
        <w:noProof/>
      </w:rPr>
      <w:fldChar w:fldCharType="end"/>
    </w:r>
  </w:p>
  <w:p w14:paraId="790812FF" w14:textId="77777777" w:rsidR="004C63F5" w:rsidRPr="00BB5EAA" w:rsidRDefault="004C63F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16D638" w14:textId="0BA67DDF" w:rsidR="004C63F5" w:rsidRDefault="00F86833" w:rsidP="00F86833">
    <w:pPr>
      <w:pStyle w:val="Footer"/>
      <w:rPr>
        <w:sz w:val="17"/>
      </w:rPr>
    </w:pPr>
    <w:bookmarkStart w:id="6" w:name="TITUS1FooterFirstPage"/>
    <w:r>
      <w:rPr>
        <w:sz w:val="17"/>
      </w:rPr>
      <w:t> </w:t>
    </w:r>
  </w:p>
  <w:bookmarkEnd w:id="6"/>
  <w:p w14:paraId="7730E656" w14:textId="0D8F488D" w:rsidR="004C63F5" w:rsidRDefault="004C63F5" w:rsidP="008B37EE">
    <w:pPr>
      <w:pStyle w:val="Footer"/>
      <w:jc w:val="right"/>
    </w:pPr>
    <w:r>
      <w:fldChar w:fldCharType="begin"/>
    </w:r>
    <w:r>
      <w:instrText xml:space="preserve"> PAGE   \* MERGEFORMAT </w:instrText>
    </w:r>
    <w:r>
      <w:fldChar w:fldCharType="separate"/>
    </w:r>
    <w:r w:rsidR="00F86833">
      <w:rPr>
        <w:noProof/>
      </w:rPr>
      <w:t>1</w:t>
    </w:r>
    <w:r>
      <w:rPr>
        <w:noProof/>
      </w:rPr>
      <w:fldChar w:fldCharType="end"/>
    </w:r>
  </w:p>
  <w:p w14:paraId="2A017558" w14:textId="77777777" w:rsidR="004C63F5" w:rsidRPr="00BB5EAA" w:rsidRDefault="004C63F5" w:rsidP="008B37EE">
    <w:pPr>
      <w:pStyle w:val="Footer"/>
      <w:ind w:right="360"/>
      <w:jc w:val="center"/>
    </w:pPr>
  </w:p>
  <w:p w14:paraId="5A3D77AE" w14:textId="77777777" w:rsidR="004C63F5" w:rsidRDefault="004C63F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233571" w14:textId="0D0B1FE3" w:rsidR="004C63F5" w:rsidRDefault="00F86833" w:rsidP="00F86833">
    <w:pPr>
      <w:pStyle w:val="Footer"/>
      <w:rPr>
        <w:sz w:val="17"/>
      </w:rPr>
    </w:pPr>
    <w:bookmarkStart w:id="9" w:name="TITUS2FooterEvenPages"/>
    <w:r>
      <w:rPr>
        <w:sz w:val="17"/>
      </w:rPr>
      <w:t> </w:t>
    </w:r>
  </w:p>
  <w:bookmarkEnd w:id="9"/>
  <w:p w14:paraId="4FB582F2" w14:textId="77777777" w:rsidR="004C63F5" w:rsidRDefault="004C63F5" w:rsidP="008B37EE">
    <w:pPr>
      <w:pStyle w:val="Footer"/>
      <w:jc w:val="right"/>
    </w:pPr>
  </w:p>
  <w:p w14:paraId="45C611C2" w14:textId="70759867" w:rsidR="004C63F5" w:rsidRDefault="004C63F5" w:rsidP="008B37EE">
    <w:pPr>
      <w:pStyle w:val="Footer"/>
      <w:jc w:val="right"/>
    </w:pPr>
    <w:r>
      <w:fldChar w:fldCharType="begin"/>
    </w:r>
    <w:r>
      <w:instrText xml:space="preserve"> PAGE   \* MERGEFORMAT </w:instrText>
    </w:r>
    <w:r>
      <w:fldChar w:fldCharType="separate"/>
    </w:r>
    <w:r w:rsidR="00F86833">
      <w:rPr>
        <w:noProof/>
      </w:rPr>
      <w:t>20</w:t>
    </w:r>
    <w:r>
      <w:rPr>
        <w:noProof/>
      </w:rPr>
      <w:fldChar w:fldCharType="end"/>
    </w:r>
  </w:p>
  <w:p w14:paraId="5AA413EB" w14:textId="77777777" w:rsidR="004C63F5" w:rsidRPr="00BB5EAA" w:rsidRDefault="004C63F5" w:rsidP="008B37EE">
    <w:pPr>
      <w:pStyle w:val="Footer"/>
      <w:ind w:right="360"/>
      <w:jc w:val="center"/>
    </w:pPr>
  </w:p>
  <w:p w14:paraId="639D1368" w14:textId="77777777" w:rsidR="004C63F5" w:rsidRDefault="004C63F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320F51" w14:textId="5E4424DE" w:rsidR="004C63F5" w:rsidRDefault="00F86833" w:rsidP="00F86833">
    <w:pPr>
      <w:pStyle w:val="Footer"/>
      <w:rPr>
        <w:sz w:val="17"/>
      </w:rPr>
    </w:pPr>
    <w:bookmarkStart w:id="10" w:name="TITUS2FooterPrimary"/>
    <w:r>
      <w:rPr>
        <w:sz w:val="17"/>
      </w:rPr>
      <w:t> </w:t>
    </w:r>
  </w:p>
  <w:bookmarkEnd w:id="10"/>
  <w:p w14:paraId="5AB2DFEB" w14:textId="77777777" w:rsidR="004C63F5" w:rsidRDefault="004C63F5">
    <w:pPr>
      <w:pStyle w:val="Footer"/>
      <w:jc w:val="right"/>
    </w:pPr>
  </w:p>
  <w:p w14:paraId="62829D5F" w14:textId="146499E0" w:rsidR="004C63F5" w:rsidRDefault="004C63F5">
    <w:pPr>
      <w:pStyle w:val="Footer"/>
      <w:jc w:val="right"/>
    </w:pPr>
    <w:r>
      <w:fldChar w:fldCharType="begin"/>
    </w:r>
    <w:r>
      <w:instrText xml:space="preserve"> PAGE   \* MERGEFORMAT </w:instrText>
    </w:r>
    <w:r>
      <w:fldChar w:fldCharType="separate"/>
    </w:r>
    <w:r w:rsidR="00F86833">
      <w:rPr>
        <w:noProof/>
      </w:rPr>
      <w:t>11</w:t>
    </w:r>
    <w:r>
      <w:rPr>
        <w:noProof/>
      </w:rPr>
      <w:fldChar w:fldCharType="end"/>
    </w:r>
  </w:p>
  <w:p w14:paraId="47DC2498" w14:textId="77777777" w:rsidR="004C63F5" w:rsidRPr="00BB5EAA" w:rsidRDefault="004C63F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7C04BA" w14:textId="77E0A454" w:rsidR="004C63F5" w:rsidRDefault="00F86833" w:rsidP="00F86833">
    <w:pPr>
      <w:pStyle w:val="Footer"/>
      <w:rPr>
        <w:sz w:val="17"/>
      </w:rPr>
    </w:pPr>
    <w:bookmarkStart w:id="12" w:name="TITUS2FooterFirstPage"/>
    <w:r>
      <w:rPr>
        <w:sz w:val="17"/>
      </w:rPr>
      <w:t> </w:t>
    </w:r>
  </w:p>
  <w:bookmarkEnd w:id="12"/>
  <w:p w14:paraId="202F2B37" w14:textId="77777777" w:rsidR="004C63F5" w:rsidRDefault="004C63F5" w:rsidP="008B37EE">
    <w:pPr>
      <w:pStyle w:val="Footer"/>
      <w:jc w:val="right"/>
    </w:pPr>
  </w:p>
  <w:p w14:paraId="2FCE1775" w14:textId="6C657069" w:rsidR="004C63F5" w:rsidRDefault="004C63F5" w:rsidP="008B37EE">
    <w:pPr>
      <w:pStyle w:val="Footer"/>
      <w:jc w:val="right"/>
    </w:pPr>
    <w:r>
      <w:fldChar w:fldCharType="begin"/>
    </w:r>
    <w:r>
      <w:instrText xml:space="preserve"> PAGE   \* MERGEFORMAT </w:instrText>
    </w:r>
    <w:r>
      <w:fldChar w:fldCharType="separate"/>
    </w:r>
    <w:r w:rsidR="00F86833">
      <w:rPr>
        <w:noProof/>
      </w:rPr>
      <w:t>10</w:t>
    </w:r>
    <w:r>
      <w:rPr>
        <w:noProof/>
      </w:rPr>
      <w:fldChar w:fldCharType="end"/>
    </w:r>
  </w:p>
  <w:p w14:paraId="1066ACB6" w14:textId="77777777" w:rsidR="004C63F5" w:rsidRPr="00BB5EAA" w:rsidRDefault="004C63F5" w:rsidP="008B37EE">
    <w:pPr>
      <w:pStyle w:val="Footer"/>
      <w:ind w:right="360"/>
      <w:jc w:val="center"/>
    </w:pPr>
  </w:p>
  <w:p w14:paraId="1E9649AB" w14:textId="77777777" w:rsidR="004C63F5" w:rsidRDefault="004C63F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3C87D7" w14:textId="5CE309F3" w:rsidR="004C63F5" w:rsidRDefault="00F86833" w:rsidP="00F86833">
    <w:pPr>
      <w:pStyle w:val="Footer"/>
      <w:rPr>
        <w:sz w:val="17"/>
      </w:rPr>
    </w:pPr>
    <w:bookmarkStart w:id="15" w:name="TITUS3FooterEvenPages"/>
    <w:r>
      <w:rPr>
        <w:sz w:val="17"/>
      </w:rPr>
      <w:t> </w:t>
    </w:r>
  </w:p>
  <w:bookmarkEnd w:id="15"/>
  <w:p w14:paraId="6C8F5025" w14:textId="77777777" w:rsidR="004C63F5" w:rsidRDefault="004C63F5" w:rsidP="008B37EE">
    <w:pPr>
      <w:pStyle w:val="Footer"/>
      <w:jc w:val="right"/>
    </w:pPr>
  </w:p>
  <w:p w14:paraId="65340BEF" w14:textId="2516B7D8" w:rsidR="004C63F5" w:rsidRDefault="004C63F5" w:rsidP="008B37EE">
    <w:pPr>
      <w:pStyle w:val="Footer"/>
      <w:jc w:val="right"/>
    </w:pPr>
    <w:r>
      <w:fldChar w:fldCharType="begin"/>
    </w:r>
    <w:r>
      <w:instrText xml:space="preserve"> PAGE   \* MERGEFORMAT </w:instrText>
    </w:r>
    <w:r>
      <w:fldChar w:fldCharType="separate"/>
    </w:r>
    <w:r w:rsidR="00F86833">
      <w:rPr>
        <w:noProof/>
      </w:rPr>
      <w:t>28</w:t>
    </w:r>
    <w:r>
      <w:rPr>
        <w:noProof/>
      </w:rPr>
      <w:fldChar w:fldCharType="end"/>
    </w:r>
  </w:p>
  <w:p w14:paraId="18BABEF2" w14:textId="77777777" w:rsidR="004C63F5" w:rsidRPr="00BB5EAA" w:rsidRDefault="004C63F5" w:rsidP="008B37EE">
    <w:pPr>
      <w:pStyle w:val="Footer"/>
      <w:ind w:right="360"/>
      <w:jc w:val="center"/>
    </w:pPr>
  </w:p>
  <w:p w14:paraId="4F3C0BB3" w14:textId="77777777" w:rsidR="004C63F5" w:rsidRDefault="004C63F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51541A" w14:textId="6368CAB5" w:rsidR="004C63F5" w:rsidRDefault="00F86833" w:rsidP="00F86833">
    <w:pPr>
      <w:pStyle w:val="Footer"/>
      <w:rPr>
        <w:sz w:val="17"/>
      </w:rPr>
    </w:pPr>
    <w:bookmarkStart w:id="16" w:name="TITUS3FooterPrimary"/>
    <w:r>
      <w:rPr>
        <w:sz w:val="17"/>
      </w:rPr>
      <w:t> </w:t>
    </w:r>
  </w:p>
  <w:bookmarkEnd w:id="16"/>
  <w:p w14:paraId="3D0152B3" w14:textId="77777777" w:rsidR="004C63F5" w:rsidRDefault="004C63F5">
    <w:pPr>
      <w:pStyle w:val="Footer"/>
      <w:jc w:val="right"/>
    </w:pPr>
  </w:p>
  <w:p w14:paraId="67145497" w14:textId="25AAB86C" w:rsidR="004C63F5" w:rsidRDefault="004C63F5">
    <w:pPr>
      <w:pStyle w:val="Footer"/>
      <w:jc w:val="right"/>
    </w:pPr>
    <w:r>
      <w:fldChar w:fldCharType="begin"/>
    </w:r>
    <w:r>
      <w:instrText xml:space="preserve"> PAGE   \* MERGEFORMAT </w:instrText>
    </w:r>
    <w:r>
      <w:fldChar w:fldCharType="separate"/>
    </w:r>
    <w:r w:rsidR="00F86833">
      <w:rPr>
        <w:noProof/>
      </w:rPr>
      <w:t>29</w:t>
    </w:r>
    <w:r>
      <w:rPr>
        <w:noProof/>
      </w:rPr>
      <w:fldChar w:fldCharType="end"/>
    </w:r>
  </w:p>
  <w:p w14:paraId="11FE1B52" w14:textId="77777777" w:rsidR="004C63F5" w:rsidRPr="00BB5EAA" w:rsidRDefault="004C63F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0FA884" w14:textId="1F07D2E0" w:rsidR="004C63F5" w:rsidRDefault="00F86833" w:rsidP="00F86833">
    <w:pPr>
      <w:pStyle w:val="Footer"/>
      <w:rPr>
        <w:sz w:val="17"/>
      </w:rPr>
    </w:pPr>
    <w:bookmarkStart w:id="18" w:name="TITUS3FooterFirstPage"/>
    <w:r>
      <w:rPr>
        <w:sz w:val="17"/>
      </w:rPr>
      <w:t> </w:t>
    </w:r>
  </w:p>
  <w:bookmarkEnd w:id="18"/>
  <w:p w14:paraId="4F61BC01" w14:textId="77777777" w:rsidR="004C63F5" w:rsidRDefault="004C63F5" w:rsidP="008B37EE">
    <w:pPr>
      <w:pStyle w:val="Footer"/>
      <w:jc w:val="right"/>
    </w:pPr>
  </w:p>
  <w:p w14:paraId="5FC0B4CE" w14:textId="5AC3A066" w:rsidR="004C63F5" w:rsidRDefault="004C63F5" w:rsidP="008B37EE">
    <w:pPr>
      <w:pStyle w:val="Footer"/>
      <w:jc w:val="right"/>
    </w:pPr>
    <w:r>
      <w:fldChar w:fldCharType="begin"/>
    </w:r>
    <w:r>
      <w:instrText xml:space="preserve"> PAGE   \* MERGEFORMAT </w:instrText>
    </w:r>
    <w:r>
      <w:fldChar w:fldCharType="separate"/>
    </w:r>
    <w:r w:rsidR="00F86833">
      <w:rPr>
        <w:noProof/>
      </w:rPr>
      <w:t>27</w:t>
    </w:r>
    <w:r>
      <w:rPr>
        <w:noProof/>
      </w:rPr>
      <w:fldChar w:fldCharType="end"/>
    </w:r>
  </w:p>
  <w:p w14:paraId="7EE52F67" w14:textId="77777777" w:rsidR="004C63F5" w:rsidRPr="00BB5EAA" w:rsidRDefault="004C63F5" w:rsidP="008B37EE">
    <w:pPr>
      <w:pStyle w:val="Footer"/>
      <w:ind w:right="360"/>
      <w:jc w:val="center"/>
    </w:pPr>
  </w:p>
  <w:p w14:paraId="17A81C5B" w14:textId="77777777" w:rsidR="004C63F5" w:rsidRDefault="004C63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4C63F5" w:rsidRDefault="004C63F5">
      <w:r>
        <w:separator/>
      </w:r>
    </w:p>
  </w:footnote>
  <w:footnote w:type="continuationSeparator" w:id="0">
    <w:p w14:paraId="58F5E15C" w14:textId="77777777" w:rsidR="004C63F5" w:rsidRDefault="004C63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CA2795" w14:textId="63E6FD62" w:rsidR="004C63F5" w:rsidRDefault="00F86833" w:rsidP="00F86833">
    <w:pPr>
      <w:pStyle w:val="Header"/>
      <w:rPr>
        <w:sz w:val="17"/>
      </w:rPr>
    </w:pPr>
    <w:bookmarkStart w:id="1" w:name="TITUS1HeaderEvenPages"/>
    <w:r>
      <w:rPr>
        <w:sz w:val="17"/>
      </w:rPr>
      <w:t> </w:t>
    </w:r>
  </w:p>
  <w:bookmarkEnd w:id="1"/>
  <w:p w14:paraId="52D57183" w14:textId="77777777" w:rsidR="004C63F5" w:rsidRDefault="004C63F5" w:rsidP="00E9014C">
    <w:pPr>
      <w:pStyle w:val="Header"/>
    </w:pPr>
  </w:p>
  <w:p w14:paraId="56BBC667" w14:textId="77777777" w:rsidR="004C63F5" w:rsidRDefault="004C63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765C75" w14:textId="290CD7FE" w:rsidR="004C63F5" w:rsidRDefault="00F86833" w:rsidP="00F86833">
    <w:pPr>
      <w:pStyle w:val="Header"/>
      <w:rPr>
        <w:sz w:val="17"/>
      </w:rPr>
    </w:pPr>
    <w:bookmarkStart w:id="2" w:name="TITUS1HeaderPrimary"/>
    <w:r>
      <w:rPr>
        <w:sz w:val="17"/>
      </w:rPr>
      <w:t> </w:t>
    </w:r>
  </w:p>
  <w:bookmarkEnd w:id="2"/>
  <w:p w14:paraId="0052535A" w14:textId="77777777" w:rsidR="004C63F5" w:rsidRDefault="004C63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69C4DA" w14:textId="260DB4D6" w:rsidR="004C63F5" w:rsidRDefault="00F86833" w:rsidP="00F86833">
    <w:pPr>
      <w:pStyle w:val="Header"/>
      <w:rPr>
        <w:sz w:val="17"/>
      </w:rPr>
    </w:pPr>
    <w:bookmarkStart w:id="5" w:name="TITUS1HeaderFirstPage"/>
    <w:r>
      <w:rPr>
        <w:sz w:val="17"/>
      </w:rPr>
      <w:t> </w:t>
    </w:r>
  </w:p>
  <w:bookmarkEnd w:id="5"/>
  <w:p w14:paraId="3050651E" w14:textId="77777777" w:rsidR="004C63F5" w:rsidRDefault="004C63F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87A8F5" w14:textId="5F8BD984" w:rsidR="004C63F5" w:rsidRDefault="00F86833" w:rsidP="00F86833">
    <w:pPr>
      <w:pStyle w:val="Header"/>
      <w:rPr>
        <w:sz w:val="17"/>
      </w:rPr>
    </w:pPr>
    <w:bookmarkStart w:id="7" w:name="TITUS2HeaderEvenPages"/>
    <w:r>
      <w:rPr>
        <w:sz w:val="17"/>
      </w:rPr>
      <w:t> </w:t>
    </w:r>
  </w:p>
  <w:bookmarkEnd w:id="7"/>
  <w:p w14:paraId="6AD6F0B2" w14:textId="77777777" w:rsidR="004C63F5" w:rsidRDefault="004C63F5" w:rsidP="008B37EE">
    <w:pPr>
      <w:pStyle w:val="Header"/>
    </w:pPr>
  </w:p>
  <w:p w14:paraId="22C1CB2C" w14:textId="77777777" w:rsidR="004C63F5" w:rsidRDefault="004C63F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CAE6DA" w14:textId="3087B738" w:rsidR="004C63F5" w:rsidRDefault="00F86833" w:rsidP="00F86833">
    <w:pPr>
      <w:pStyle w:val="Header"/>
      <w:rPr>
        <w:sz w:val="17"/>
      </w:rPr>
    </w:pPr>
    <w:bookmarkStart w:id="8" w:name="TITUS2HeaderPrimary"/>
    <w:r>
      <w:rPr>
        <w:sz w:val="17"/>
      </w:rPr>
      <w:t> </w:t>
    </w:r>
  </w:p>
  <w:bookmarkEnd w:id="8"/>
  <w:p w14:paraId="37E5588D" w14:textId="77777777" w:rsidR="004C63F5" w:rsidRDefault="004C63F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341971" w14:textId="244628FF" w:rsidR="004C63F5" w:rsidRDefault="00F86833" w:rsidP="00F86833">
    <w:pPr>
      <w:pStyle w:val="Header"/>
      <w:rPr>
        <w:sz w:val="17"/>
      </w:rPr>
    </w:pPr>
    <w:bookmarkStart w:id="11" w:name="TITUS2HeaderFirstPage"/>
    <w:r>
      <w:rPr>
        <w:sz w:val="17"/>
      </w:rPr>
      <w:t> </w:t>
    </w:r>
  </w:p>
  <w:bookmarkEnd w:id="11"/>
  <w:p w14:paraId="296B2013" w14:textId="77777777" w:rsidR="004C63F5" w:rsidRDefault="004C63F5" w:rsidP="008B37EE">
    <w:pPr>
      <w:pStyle w:val="Header"/>
    </w:pPr>
  </w:p>
  <w:p w14:paraId="6BDB29DB" w14:textId="77777777" w:rsidR="004C63F5" w:rsidRDefault="004C63F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1A8363" w14:textId="61AA9A7B" w:rsidR="004C63F5" w:rsidRDefault="00F86833" w:rsidP="00F86833">
    <w:pPr>
      <w:pStyle w:val="Header"/>
      <w:rPr>
        <w:sz w:val="17"/>
      </w:rPr>
    </w:pPr>
    <w:bookmarkStart w:id="13" w:name="TITUS3HeaderEvenPages"/>
    <w:r>
      <w:rPr>
        <w:sz w:val="17"/>
      </w:rPr>
      <w:t> </w:t>
    </w:r>
  </w:p>
  <w:bookmarkEnd w:id="13"/>
  <w:p w14:paraId="3053BD44" w14:textId="77777777" w:rsidR="004C63F5" w:rsidRDefault="004C63F5" w:rsidP="008B37EE">
    <w:pPr>
      <w:pStyle w:val="Header"/>
    </w:pPr>
  </w:p>
  <w:p w14:paraId="672F587C" w14:textId="77777777" w:rsidR="004C63F5" w:rsidRDefault="004C63F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F7B942" w14:textId="0F12C01A" w:rsidR="004C63F5" w:rsidRDefault="00F86833" w:rsidP="00F86833">
    <w:pPr>
      <w:pStyle w:val="Header"/>
      <w:rPr>
        <w:sz w:val="17"/>
      </w:rPr>
    </w:pPr>
    <w:bookmarkStart w:id="14" w:name="TITUS3HeaderPrimary"/>
    <w:r>
      <w:rPr>
        <w:sz w:val="17"/>
      </w:rPr>
      <w:t> </w:t>
    </w:r>
  </w:p>
  <w:bookmarkEnd w:id="14"/>
  <w:p w14:paraId="56E04EB9" w14:textId="77777777" w:rsidR="004C63F5" w:rsidRDefault="004C63F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6D36BA" w14:textId="2990A4CF" w:rsidR="004C63F5" w:rsidRDefault="00F86833" w:rsidP="00F86833">
    <w:pPr>
      <w:pStyle w:val="Header"/>
      <w:rPr>
        <w:sz w:val="17"/>
      </w:rPr>
    </w:pPr>
    <w:bookmarkStart w:id="17" w:name="TITUS3HeaderFirstPage"/>
    <w:r>
      <w:rPr>
        <w:sz w:val="17"/>
      </w:rPr>
      <w:t> </w:t>
    </w:r>
  </w:p>
  <w:bookmarkEnd w:id="17"/>
  <w:p w14:paraId="4BACC1B1" w14:textId="77777777" w:rsidR="004C63F5" w:rsidRDefault="004C63F5" w:rsidP="008B37EE">
    <w:pPr>
      <w:pStyle w:val="Header"/>
    </w:pPr>
  </w:p>
  <w:p w14:paraId="3D2BE278" w14:textId="77777777" w:rsidR="004C63F5" w:rsidRDefault="004C63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00BF"/>
    <w:rsid w:val="0012135C"/>
    <w:rsid w:val="001347F8"/>
    <w:rsid w:val="00137BB5"/>
    <w:rsid w:val="00137E05"/>
    <w:rsid w:val="001447F6"/>
    <w:rsid w:val="00147DE3"/>
    <w:rsid w:val="00150794"/>
    <w:rsid w:val="001608C4"/>
    <w:rsid w:val="00171418"/>
    <w:rsid w:val="00190477"/>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6BCA"/>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33D"/>
    <w:rsid w:val="00493434"/>
    <w:rsid w:val="004962F9"/>
    <w:rsid w:val="004968E2"/>
    <w:rsid w:val="004A2A49"/>
    <w:rsid w:val="004B38E7"/>
    <w:rsid w:val="004B600B"/>
    <w:rsid w:val="004B6822"/>
    <w:rsid w:val="004B69F6"/>
    <w:rsid w:val="004C2D3A"/>
    <w:rsid w:val="004C63F5"/>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2031"/>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5643"/>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0E08"/>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B37EE"/>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10DA"/>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2A7B"/>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C6B0C"/>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477F"/>
    <w:rsid w:val="00D8652C"/>
    <w:rsid w:val="00D876E6"/>
    <w:rsid w:val="00DA1025"/>
    <w:rsid w:val="00DA22EC"/>
    <w:rsid w:val="00DA5860"/>
    <w:rsid w:val="00DB2767"/>
    <w:rsid w:val="00DC4729"/>
    <w:rsid w:val="00DD7FFD"/>
    <w:rsid w:val="00DE556F"/>
    <w:rsid w:val="00DF4CF5"/>
    <w:rsid w:val="00E03B6D"/>
    <w:rsid w:val="00E05413"/>
    <w:rsid w:val="00E158E6"/>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014C"/>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1C10"/>
    <w:rsid w:val="00F43B9D"/>
    <w:rsid w:val="00F444F0"/>
    <w:rsid w:val="00F50590"/>
    <w:rsid w:val="00F50847"/>
    <w:rsid w:val="00F53F27"/>
    <w:rsid w:val="00F546D1"/>
    <w:rsid w:val="00F54FFF"/>
    <w:rsid w:val="00F6513F"/>
    <w:rsid w:val="00F66272"/>
    <w:rsid w:val="00F709C0"/>
    <w:rsid w:val="00F86833"/>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purl.org/dc/terms/"/>
    <ds:schemaRef ds:uri="http://schemas.microsoft.com/office/2006/documentManagement/types"/>
    <ds:schemaRef ds:uri="http://purl.org/dc/dcmitype/"/>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1ecf5648-3750-43f5-867d-bfaa16e6e17e"/>
    <ds:schemaRef ds:uri="2e89cfda-a374-4413-9f0d-8b601eddeb70"/>
    <ds:schemaRef ds:uri="http://www.w3.org/XML/1998/namespac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42A5DA9-5E19-4CB5-93A8-D76EF740CC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520</TotalTime>
  <Pages>30</Pages>
  <Words>8609</Words>
  <Characters>48163</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Thomas,Jessica swp6578</cp:lastModifiedBy>
  <cp:revision>13</cp:revision>
  <cp:lastPrinted>2014-08-26T08:55:00Z</cp:lastPrinted>
  <dcterms:created xsi:type="dcterms:W3CDTF">2021-05-16T14:38:00Z</dcterms:created>
  <dcterms:modified xsi:type="dcterms:W3CDTF">2021-05-31T17:59:00Z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0e7bb535-bc17-45e0-91ba-69d06c95068b</vt:lpwstr>
  </property>
  <property fmtid="{D5CDD505-2E9C-101B-9397-08002B2CF9AE}" pid="4" name="Classification">
    <vt:lpwstr>OFFICIAL</vt:lpwstr>
  </property>
  <property fmtid="{D5CDD505-2E9C-101B-9397-08002B2CF9AE}" pid="5" name="Visibility">
    <vt:lpwstr>NOT VISIBLE</vt:lpwstr>
  </property>
</Properties>
</file>