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2F2E71" w14:textId="77777777" w:rsidR="00B27DDD" w:rsidRPr="00596120" w:rsidRDefault="00B27DDD" w:rsidP="00B27DDD">
      <w:pPr>
        <w:jc w:val="center"/>
        <w:rPr>
          <w:rFonts w:asciiTheme="minorBidi" w:hAnsiTheme="minorBidi"/>
          <w:b/>
          <w:sz w:val="22"/>
          <w:szCs w:val="22"/>
        </w:rPr>
      </w:pPr>
    </w:p>
    <w:p w14:paraId="00159932" w14:textId="77777777" w:rsidR="00B27DDD" w:rsidRPr="00596120" w:rsidRDefault="00B27DDD" w:rsidP="00B27DDD">
      <w:pPr>
        <w:jc w:val="center"/>
        <w:rPr>
          <w:rFonts w:asciiTheme="minorBidi" w:hAnsiTheme="minorBidi"/>
          <w:b/>
          <w:sz w:val="22"/>
          <w:szCs w:val="22"/>
        </w:rPr>
      </w:pPr>
    </w:p>
    <w:p w14:paraId="57A2B541" w14:textId="77777777" w:rsidR="00B27DDD" w:rsidRPr="00596120" w:rsidRDefault="00B27DDD" w:rsidP="00B27DDD">
      <w:pPr>
        <w:jc w:val="center"/>
        <w:rPr>
          <w:rFonts w:asciiTheme="minorBidi" w:hAnsiTheme="minorBidi"/>
          <w:b/>
          <w:sz w:val="22"/>
          <w:szCs w:val="22"/>
        </w:rPr>
      </w:pPr>
    </w:p>
    <w:p w14:paraId="18107142" w14:textId="77777777" w:rsidR="00B27DDD" w:rsidRPr="006E7B65" w:rsidRDefault="00B27DDD" w:rsidP="00B27DDD">
      <w:pPr>
        <w:jc w:val="center"/>
        <w:rPr>
          <w:rFonts w:asciiTheme="minorBidi" w:hAnsiTheme="minorBidi"/>
          <w:b/>
          <w:sz w:val="22"/>
          <w:szCs w:val="22"/>
        </w:rPr>
      </w:pPr>
      <w:r w:rsidRPr="006E7B65">
        <w:rPr>
          <w:rFonts w:asciiTheme="minorBidi" w:hAnsiTheme="minorBidi"/>
          <w:b/>
          <w:sz w:val="22"/>
          <w:szCs w:val="22"/>
        </w:rPr>
        <w:t>Critical Evaluation of the Implementation and Impact of Electronic Patient Records (EPR) in the UK Health and Social Care Sector</w:t>
      </w:r>
    </w:p>
    <w:p w14:paraId="49D5AEA4" w14:textId="3084C159" w:rsidR="00B27DDD" w:rsidRPr="006E7B65" w:rsidRDefault="00D76A27" w:rsidP="00B27DDD">
      <w:pPr>
        <w:jc w:val="center"/>
        <w:rPr>
          <w:rFonts w:asciiTheme="minorBidi" w:hAnsiTheme="minorBidi"/>
          <w:sz w:val="22"/>
          <w:szCs w:val="22"/>
        </w:rPr>
      </w:pPr>
      <w:r>
        <w:rPr>
          <w:rFonts w:asciiTheme="minorBidi" w:hAnsiTheme="minorBidi"/>
          <w:sz w:val="22"/>
          <w:szCs w:val="22"/>
        </w:rPr>
        <w:t>Sameena Iqbal</w:t>
      </w:r>
    </w:p>
    <w:p w14:paraId="2599B63A" w14:textId="321831FC" w:rsidR="00B27DDD" w:rsidRPr="006E7B65" w:rsidRDefault="00D76A27" w:rsidP="00B27DDD">
      <w:pPr>
        <w:jc w:val="center"/>
        <w:rPr>
          <w:rFonts w:asciiTheme="minorBidi" w:hAnsiTheme="minorBidi"/>
          <w:sz w:val="22"/>
          <w:szCs w:val="22"/>
        </w:rPr>
      </w:pPr>
      <w:r>
        <w:rPr>
          <w:rFonts w:asciiTheme="minorBidi" w:hAnsiTheme="minorBidi"/>
          <w:sz w:val="22"/>
          <w:szCs w:val="22"/>
        </w:rPr>
        <w:t>2315950</w:t>
      </w:r>
    </w:p>
    <w:p w14:paraId="14F09116" w14:textId="7962F4DC" w:rsidR="00B27DDD" w:rsidRPr="006E7B65" w:rsidRDefault="00D76A27" w:rsidP="00B27DDD">
      <w:pPr>
        <w:jc w:val="center"/>
        <w:rPr>
          <w:rFonts w:asciiTheme="minorBidi" w:hAnsiTheme="minorBidi"/>
          <w:sz w:val="22"/>
          <w:szCs w:val="22"/>
        </w:rPr>
      </w:pPr>
      <w:r>
        <w:rPr>
          <w:rFonts w:asciiTheme="minorBidi" w:hAnsiTheme="minorBidi"/>
          <w:sz w:val="22"/>
          <w:szCs w:val="22"/>
        </w:rPr>
        <w:t>Due Date: 26</w:t>
      </w:r>
      <w:r w:rsidR="009D50DA">
        <w:rPr>
          <w:rFonts w:asciiTheme="minorBidi" w:hAnsiTheme="minorBidi"/>
          <w:sz w:val="22"/>
          <w:szCs w:val="22"/>
        </w:rPr>
        <w:t>/10/2025</w:t>
      </w:r>
    </w:p>
    <w:p w14:paraId="6BFAAD71" w14:textId="77777777" w:rsidR="00A952FC" w:rsidRPr="006E7B65" w:rsidRDefault="00A952FC">
      <w:pPr>
        <w:spacing w:before="0" w:after="160" w:line="278" w:lineRule="auto"/>
        <w:jc w:val="left"/>
        <w:rPr>
          <w:rFonts w:asciiTheme="minorBidi" w:hAnsiTheme="minorBidi"/>
          <w:b/>
          <w:sz w:val="22"/>
          <w:szCs w:val="22"/>
        </w:rPr>
      </w:pPr>
      <w:r w:rsidRPr="006E7B65">
        <w:rPr>
          <w:rFonts w:asciiTheme="minorBidi" w:hAnsiTheme="minorBidi"/>
          <w:b/>
          <w:sz w:val="22"/>
          <w:szCs w:val="22"/>
        </w:rPr>
        <w:br w:type="page"/>
      </w:r>
    </w:p>
    <w:p w14:paraId="033C5917" w14:textId="77777777" w:rsidR="00BA3F27" w:rsidRPr="006E7B65" w:rsidRDefault="00A952FC" w:rsidP="00B27DDD">
      <w:pPr>
        <w:jc w:val="center"/>
        <w:rPr>
          <w:noProof/>
        </w:rPr>
      </w:pPr>
      <w:r w:rsidRPr="006E7B65">
        <w:rPr>
          <w:rFonts w:asciiTheme="minorBidi" w:hAnsiTheme="minorBidi"/>
          <w:b/>
          <w:sz w:val="22"/>
          <w:szCs w:val="22"/>
        </w:rPr>
        <w:lastRenderedPageBreak/>
        <w:t>Table of Contents</w:t>
      </w:r>
      <w:r w:rsidR="005C28E5" w:rsidRPr="006E7B65">
        <w:rPr>
          <w:rFonts w:asciiTheme="minorBidi" w:hAnsiTheme="minorBidi"/>
          <w:b/>
          <w:sz w:val="22"/>
          <w:szCs w:val="22"/>
        </w:rPr>
        <w:fldChar w:fldCharType="begin"/>
      </w:r>
      <w:r w:rsidR="005C28E5" w:rsidRPr="006E7B65">
        <w:rPr>
          <w:rFonts w:asciiTheme="minorBidi" w:hAnsiTheme="minorBidi"/>
          <w:b/>
          <w:sz w:val="22"/>
          <w:szCs w:val="22"/>
        </w:rPr>
        <w:instrText xml:space="preserve"> TOC \o "1-3" \h \z \u </w:instrText>
      </w:r>
      <w:r w:rsidR="005C28E5" w:rsidRPr="006E7B65">
        <w:rPr>
          <w:rFonts w:asciiTheme="minorBidi" w:hAnsiTheme="minorBidi"/>
          <w:b/>
          <w:sz w:val="22"/>
          <w:szCs w:val="22"/>
        </w:rPr>
        <w:fldChar w:fldCharType="separate"/>
      </w:r>
    </w:p>
    <w:p w14:paraId="3D32859F" w14:textId="3D98B3B2" w:rsidR="00BA3F27" w:rsidRPr="006E7B65" w:rsidRDefault="00BA3F27">
      <w:pPr>
        <w:pStyle w:val="TOC1"/>
        <w:tabs>
          <w:tab w:val="right" w:leader="dot" w:pos="9350"/>
        </w:tabs>
        <w:rPr>
          <w:rFonts w:asciiTheme="minorHAnsi" w:eastAsiaTheme="minorEastAsia" w:hAnsiTheme="minorHAnsi"/>
          <w:noProof/>
          <w:kern w:val="0"/>
          <w:sz w:val="22"/>
          <w:szCs w:val="22"/>
          <w14:ligatures w14:val="none"/>
        </w:rPr>
      </w:pPr>
      <w:hyperlink w:anchor="_Toc209438047" w:history="1">
        <w:r w:rsidRPr="006E7B65">
          <w:rPr>
            <w:rStyle w:val="Hyperlink"/>
            <w:rFonts w:asciiTheme="minorBidi" w:hAnsiTheme="minorBidi"/>
            <w:noProof/>
          </w:rPr>
          <w:t>Introduction</w:t>
        </w:r>
        <w:r w:rsidRPr="006E7B65">
          <w:rPr>
            <w:noProof/>
            <w:webHidden/>
          </w:rPr>
          <w:tab/>
        </w:r>
        <w:r w:rsidRPr="006E7B65">
          <w:rPr>
            <w:noProof/>
            <w:webHidden/>
          </w:rPr>
          <w:fldChar w:fldCharType="begin"/>
        </w:r>
        <w:r w:rsidRPr="006E7B65">
          <w:rPr>
            <w:noProof/>
            <w:webHidden/>
          </w:rPr>
          <w:instrText xml:space="preserve"> PAGEREF _Toc209438047 \h </w:instrText>
        </w:r>
        <w:r w:rsidRPr="006E7B65">
          <w:rPr>
            <w:noProof/>
            <w:webHidden/>
          </w:rPr>
        </w:r>
        <w:r w:rsidRPr="006E7B65">
          <w:rPr>
            <w:noProof/>
            <w:webHidden/>
          </w:rPr>
          <w:fldChar w:fldCharType="separate"/>
        </w:r>
        <w:r w:rsidRPr="006E7B65">
          <w:rPr>
            <w:noProof/>
            <w:webHidden/>
          </w:rPr>
          <w:t>3</w:t>
        </w:r>
        <w:r w:rsidRPr="006E7B65">
          <w:rPr>
            <w:noProof/>
            <w:webHidden/>
          </w:rPr>
          <w:fldChar w:fldCharType="end"/>
        </w:r>
      </w:hyperlink>
    </w:p>
    <w:p w14:paraId="563CFC6E" w14:textId="08B8F1E1" w:rsidR="00BA3F27" w:rsidRPr="006E7B65" w:rsidRDefault="00BA3F27">
      <w:pPr>
        <w:pStyle w:val="TOC1"/>
        <w:tabs>
          <w:tab w:val="right" w:leader="dot" w:pos="9350"/>
        </w:tabs>
        <w:rPr>
          <w:rFonts w:asciiTheme="minorHAnsi" w:eastAsiaTheme="minorEastAsia" w:hAnsiTheme="minorHAnsi"/>
          <w:noProof/>
          <w:kern w:val="0"/>
          <w:sz w:val="22"/>
          <w:szCs w:val="22"/>
          <w14:ligatures w14:val="none"/>
        </w:rPr>
      </w:pPr>
      <w:hyperlink w:anchor="_Toc209438048" w:history="1">
        <w:r w:rsidRPr="006E7B65">
          <w:rPr>
            <w:rStyle w:val="Hyperlink"/>
            <w:rFonts w:asciiTheme="minorBidi" w:hAnsiTheme="minorBidi"/>
            <w:noProof/>
          </w:rPr>
          <w:t>Workforce Impact (SWOT Analysis Framework)</w:t>
        </w:r>
        <w:r w:rsidRPr="006E7B65">
          <w:rPr>
            <w:noProof/>
            <w:webHidden/>
          </w:rPr>
          <w:tab/>
        </w:r>
        <w:r w:rsidRPr="006E7B65">
          <w:rPr>
            <w:noProof/>
            <w:webHidden/>
          </w:rPr>
          <w:fldChar w:fldCharType="begin"/>
        </w:r>
        <w:r w:rsidRPr="006E7B65">
          <w:rPr>
            <w:noProof/>
            <w:webHidden/>
          </w:rPr>
          <w:instrText xml:space="preserve"> PAGEREF _Toc209438048 \h </w:instrText>
        </w:r>
        <w:r w:rsidRPr="006E7B65">
          <w:rPr>
            <w:noProof/>
            <w:webHidden/>
          </w:rPr>
        </w:r>
        <w:r w:rsidRPr="006E7B65">
          <w:rPr>
            <w:noProof/>
            <w:webHidden/>
          </w:rPr>
          <w:fldChar w:fldCharType="separate"/>
        </w:r>
        <w:r w:rsidRPr="006E7B65">
          <w:rPr>
            <w:noProof/>
            <w:webHidden/>
          </w:rPr>
          <w:t>3</w:t>
        </w:r>
        <w:r w:rsidRPr="006E7B65">
          <w:rPr>
            <w:noProof/>
            <w:webHidden/>
          </w:rPr>
          <w:fldChar w:fldCharType="end"/>
        </w:r>
      </w:hyperlink>
    </w:p>
    <w:p w14:paraId="7CACE65E" w14:textId="4A6FF4B0" w:rsidR="00BA3F27" w:rsidRPr="006E7B65" w:rsidRDefault="00BA3F27">
      <w:pPr>
        <w:pStyle w:val="TOC1"/>
        <w:tabs>
          <w:tab w:val="right" w:leader="dot" w:pos="9350"/>
        </w:tabs>
        <w:rPr>
          <w:rFonts w:asciiTheme="minorHAnsi" w:eastAsiaTheme="minorEastAsia" w:hAnsiTheme="minorHAnsi"/>
          <w:noProof/>
          <w:kern w:val="0"/>
          <w:sz w:val="22"/>
          <w:szCs w:val="22"/>
          <w14:ligatures w14:val="none"/>
        </w:rPr>
      </w:pPr>
      <w:hyperlink w:anchor="_Toc209438049" w:history="1">
        <w:r w:rsidRPr="006E7B65">
          <w:rPr>
            <w:rStyle w:val="Hyperlink"/>
            <w:rFonts w:asciiTheme="minorBidi" w:hAnsiTheme="minorBidi"/>
            <w:noProof/>
          </w:rPr>
          <w:t>Service Delivery Impact</w:t>
        </w:r>
        <w:r w:rsidRPr="006E7B65">
          <w:rPr>
            <w:noProof/>
            <w:webHidden/>
          </w:rPr>
          <w:tab/>
        </w:r>
        <w:r w:rsidRPr="006E7B65">
          <w:rPr>
            <w:noProof/>
            <w:webHidden/>
          </w:rPr>
          <w:fldChar w:fldCharType="begin"/>
        </w:r>
        <w:r w:rsidRPr="006E7B65">
          <w:rPr>
            <w:noProof/>
            <w:webHidden/>
          </w:rPr>
          <w:instrText xml:space="preserve"> PAGEREF _Toc209438049 \h </w:instrText>
        </w:r>
        <w:r w:rsidRPr="006E7B65">
          <w:rPr>
            <w:noProof/>
            <w:webHidden/>
          </w:rPr>
        </w:r>
        <w:r w:rsidRPr="006E7B65">
          <w:rPr>
            <w:noProof/>
            <w:webHidden/>
          </w:rPr>
          <w:fldChar w:fldCharType="separate"/>
        </w:r>
        <w:r w:rsidRPr="006E7B65">
          <w:rPr>
            <w:noProof/>
            <w:webHidden/>
          </w:rPr>
          <w:t>5</w:t>
        </w:r>
        <w:r w:rsidRPr="006E7B65">
          <w:rPr>
            <w:noProof/>
            <w:webHidden/>
          </w:rPr>
          <w:fldChar w:fldCharType="end"/>
        </w:r>
      </w:hyperlink>
    </w:p>
    <w:p w14:paraId="100E9F42" w14:textId="4A2D97CB" w:rsidR="00BA3F27" w:rsidRPr="006E7B65" w:rsidRDefault="00BA3F27">
      <w:pPr>
        <w:pStyle w:val="TOC1"/>
        <w:tabs>
          <w:tab w:val="right" w:leader="dot" w:pos="9350"/>
        </w:tabs>
        <w:rPr>
          <w:rFonts w:asciiTheme="minorHAnsi" w:eastAsiaTheme="minorEastAsia" w:hAnsiTheme="minorHAnsi"/>
          <w:noProof/>
          <w:kern w:val="0"/>
          <w:sz w:val="22"/>
          <w:szCs w:val="22"/>
          <w14:ligatures w14:val="none"/>
        </w:rPr>
      </w:pPr>
      <w:hyperlink w:anchor="_Toc209438050" w:history="1">
        <w:r w:rsidRPr="006E7B65">
          <w:rPr>
            <w:rStyle w:val="Hyperlink"/>
            <w:rFonts w:asciiTheme="minorBidi" w:hAnsiTheme="minorBidi"/>
            <w:noProof/>
          </w:rPr>
          <w:t>Patient/Service User Impact</w:t>
        </w:r>
        <w:r w:rsidRPr="006E7B65">
          <w:rPr>
            <w:noProof/>
            <w:webHidden/>
          </w:rPr>
          <w:tab/>
        </w:r>
        <w:r w:rsidRPr="006E7B65">
          <w:rPr>
            <w:noProof/>
            <w:webHidden/>
          </w:rPr>
          <w:fldChar w:fldCharType="begin"/>
        </w:r>
        <w:r w:rsidRPr="006E7B65">
          <w:rPr>
            <w:noProof/>
            <w:webHidden/>
          </w:rPr>
          <w:instrText xml:space="preserve"> PAGEREF _Toc209438050 \h </w:instrText>
        </w:r>
        <w:r w:rsidRPr="006E7B65">
          <w:rPr>
            <w:noProof/>
            <w:webHidden/>
          </w:rPr>
        </w:r>
        <w:r w:rsidRPr="006E7B65">
          <w:rPr>
            <w:noProof/>
            <w:webHidden/>
          </w:rPr>
          <w:fldChar w:fldCharType="separate"/>
        </w:r>
        <w:r w:rsidRPr="006E7B65">
          <w:rPr>
            <w:noProof/>
            <w:webHidden/>
          </w:rPr>
          <w:t>6</w:t>
        </w:r>
        <w:r w:rsidRPr="006E7B65">
          <w:rPr>
            <w:noProof/>
            <w:webHidden/>
          </w:rPr>
          <w:fldChar w:fldCharType="end"/>
        </w:r>
      </w:hyperlink>
    </w:p>
    <w:p w14:paraId="1C006B3D" w14:textId="630EDA3D" w:rsidR="00BA3F27" w:rsidRPr="006E7B65" w:rsidRDefault="00BA3F27">
      <w:pPr>
        <w:pStyle w:val="TOC1"/>
        <w:tabs>
          <w:tab w:val="right" w:leader="dot" w:pos="9350"/>
        </w:tabs>
        <w:rPr>
          <w:rFonts w:asciiTheme="minorHAnsi" w:eastAsiaTheme="minorEastAsia" w:hAnsiTheme="minorHAnsi"/>
          <w:noProof/>
          <w:kern w:val="0"/>
          <w:sz w:val="22"/>
          <w:szCs w:val="22"/>
          <w14:ligatures w14:val="none"/>
        </w:rPr>
      </w:pPr>
      <w:hyperlink w:anchor="_Toc209438051" w:history="1">
        <w:r w:rsidRPr="006E7B65">
          <w:rPr>
            <w:rStyle w:val="Hyperlink"/>
            <w:rFonts w:asciiTheme="minorBidi" w:hAnsiTheme="minorBidi"/>
            <w:noProof/>
          </w:rPr>
          <w:t>Community Impact</w:t>
        </w:r>
        <w:r w:rsidRPr="006E7B65">
          <w:rPr>
            <w:noProof/>
            <w:webHidden/>
          </w:rPr>
          <w:tab/>
        </w:r>
        <w:r w:rsidRPr="006E7B65">
          <w:rPr>
            <w:noProof/>
            <w:webHidden/>
          </w:rPr>
          <w:fldChar w:fldCharType="begin"/>
        </w:r>
        <w:r w:rsidRPr="006E7B65">
          <w:rPr>
            <w:noProof/>
            <w:webHidden/>
          </w:rPr>
          <w:instrText xml:space="preserve"> PAGEREF _Toc209438051 \h </w:instrText>
        </w:r>
        <w:r w:rsidRPr="006E7B65">
          <w:rPr>
            <w:noProof/>
            <w:webHidden/>
          </w:rPr>
        </w:r>
        <w:r w:rsidRPr="006E7B65">
          <w:rPr>
            <w:noProof/>
            <w:webHidden/>
          </w:rPr>
          <w:fldChar w:fldCharType="separate"/>
        </w:r>
        <w:r w:rsidRPr="006E7B65">
          <w:rPr>
            <w:noProof/>
            <w:webHidden/>
          </w:rPr>
          <w:t>7</w:t>
        </w:r>
        <w:r w:rsidRPr="006E7B65">
          <w:rPr>
            <w:noProof/>
            <w:webHidden/>
          </w:rPr>
          <w:fldChar w:fldCharType="end"/>
        </w:r>
      </w:hyperlink>
    </w:p>
    <w:p w14:paraId="571EC8D8" w14:textId="36269F99" w:rsidR="00BA3F27" w:rsidRPr="006E7B65" w:rsidRDefault="00BA3F27">
      <w:pPr>
        <w:pStyle w:val="TOC1"/>
        <w:tabs>
          <w:tab w:val="right" w:leader="dot" w:pos="9350"/>
        </w:tabs>
        <w:rPr>
          <w:rFonts w:asciiTheme="minorHAnsi" w:eastAsiaTheme="minorEastAsia" w:hAnsiTheme="minorHAnsi"/>
          <w:noProof/>
          <w:kern w:val="0"/>
          <w:sz w:val="22"/>
          <w:szCs w:val="22"/>
          <w14:ligatures w14:val="none"/>
        </w:rPr>
      </w:pPr>
      <w:hyperlink w:anchor="_Toc209438052" w:history="1">
        <w:r w:rsidRPr="006E7B65">
          <w:rPr>
            <w:rStyle w:val="Hyperlink"/>
            <w:rFonts w:asciiTheme="minorBidi" w:hAnsiTheme="minorBidi"/>
            <w:noProof/>
          </w:rPr>
          <w:t>Conclusion and Recommendations</w:t>
        </w:r>
        <w:r w:rsidRPr="006E7B65">
          <w:rPr>
            <w:noProof/>
            <w:webHidden/>
          </w:rPr>
          <w:tab/>
        </w:r>
        <w:r w:rsidRPr="006E7B65">
          <w:rPr>
            <w:noProof/>
            <w:webHidden/>
          </w:rPr>
          <w:fldChar w:fldCharType="begin"/>
        </w:r>
        <w:r w:rsidRPr="006E7B65">
          <w:rPr>
            <w:noProof/>
            <w:webHidden/>
          </w:rPr>
          <w:instrText xml:space="preserve"> PAGEREF _Toc209438052 \h </w:instrText>
        </w:r>
        <w:r w:rsidRPr="006E7B65">
          <w:rPr>
            <w:noProof/>
            <w:webHidden/>
          </w:rPr>
        </w:r>
        <w:r w:rsidRPr="006E7B65">
          <w:rPr>
            <w:noProof/>
            <w:webHidden/>
          </w:rPr>
          <w:fldChar w:fldCharType="separate"/>
        </w:r>
        <w:r w:rsidRPr="006E7B65">
          <w:rPr>
            <w:noProof/>
            <w:webHidden/>
          </w:rPr>
          <w:t>9</w:t>
        </w:r>
        <w:r w:rsidRPr="006E7B65">
          <w:rPr>
            <w:noProof/>
            <w:webHidden/>
          </w:rPr>
          <w:fldChar w:fldCharType="end"/>
        </w:r>
      </w:hyperlink>
    </w:p>
    <w:p w14:paraId="530BDD76" w14:textId="1001FC63" w:rsidR="00BA3F27" w:rsidRPr="006E7B65" w:rsidRDefault="00BA3F27">
      <w:pPr>
        <w:pStyle w:val="TOC1"/>
        <w:tabs>
          <w:tab w:val="right" w:leader="dot" w:pos="9350"/>
        </w:tabs>
        <w:rPr>
          <w:rFonts w:asciiTheme="minorHAnsi" w:eastAsiaTheme="minorEastAsia" w:hAnsiTheme="minorHAnsi"/>
          <w:noProof/>
          <w:kern w:val="0"/>
          <w:sz w:val="22"/>
          <w:szCs w:val="22"/>
          <w14:ligatures w14:val="none"/>
        </w:rPr>
      </w:pPr>
      <w:hyperlink w:anchor="_Toc209438053" w:history="1">
        <w:r w:rsidRPr="006E7B65">
          <w:rPr>
            <w:rStyle w:val="Hyperlink"/>
            <w:rFonts w:asciiTheme="minorBidi" w:hAnsiTheme="minorBidi"/>
            <w:noProof/>
          </w:rPr>
          <w:t>References</w:t>
        </w:r>
        <w:r w:rsidRPr="006E7B65">
          <w:rPr>
            <w:noProof/>
            <w:webHidden/>
          </w:rPr>
          <w:tab/>
        </w:r>
        <w:r w:rsidRPr="006E7B65">
          <w:rPr>
            <w:noProof/>
            <w:webHidden/>
          </w:rPr>
          <w:fldChar w:fldCharType="begin"/>
        </w:r>
        <w:r w:rsidRPr="006E7B65">
          <w:rPr>
            <w:noProof/>
            <w:webHidden/>
          </w:rPr>
          <w:instrText xml:space="preserve"> PAGEREF _Toc209438053 \h </w:instrText>
        </w:r>
        <w:r w:rsidRPr="006E7B65">
          <w:rPr>
            <w:noProof/>
            <w:webHidden/>
          </w:rPr>
        </w:r>
        <w:r w:rsidRPr="006E7B65">
          <w:rPr>
            <w:noProof/>
            <w:webHidden/>
          </w:rPr>
          <w:fldChar w:fldCharType="separate"/>
        </w:r>
        <w:r w:rsidRPr="006E7B65">
          <w:rPr>
            <w:noProof/>
            <w:webHidden/>
          </w:rPr>
          <w:t>10</w:t>
        </w:r>
        <w:r w:rsidRPr="006E7B65">
          <w:rPr>
            <w:noProof/>
            <w:webHidden/>
          </w:rPr>
          <w:fldChar w:fldCharType="end"/>
        </w:r>
      </w:hyperlink>
    </w:p>
    <w:p w14:paraId="564CDA5F" w14:textId="77777777" w:rsidR="00A952FC" w:rsidRPr="006E7B65" w:rsidRDefault="005C28E5" w:rsidP="00B27DDD">
      <w:pPr>
        <w:jc w:val="center"/>
        <w:rPr>
          <w:rFonts w:asciiTheme="minorBidi" w:hAnsiTheme="minorBidi"/>
          <w:b/>
          <w:sz w:val="22"/>
          <w:szCs w:val="22"/>
        </w:rPr>
      </w:pPr>
      <w:r w:rsidRPr="006E7B65">
        <w:rPr>
          <w:rFonts w:asciiTheme="minorBidi" w:hAnsiTheme="minorBidi"/>
          <w:b/>
          <w:sz w:val="22"/>
          <w:szCs w:val="22"/>
        </w:rPr>
        <w:fldChar w:fldCharType="end"/>
      </w:r>
    </w:p>
    <w:p w14:paraId="5D625AEE" w14:textId="77777777" w:rsidR="00B27DDD" w:rsidRPr="006E7B65" w:rsidRDefault="00B27DDD" w:rsidP="00B27DDD">
      <w:pPr>
        <w:jc w:val="center"/>
        <w:rPr>
          <w:rFonts w:asciiTheme="minorBidi" w:hAnsiTheme="minorBidi"/>
          <w:sz w:val="22"/>
          <w:szCs w:val="22"/>
        </w:rPr>
      </w:pPr>
    </w:p>
    <w:p w14:paraId="2147564C" w14:textId="77777777" w:rsidR="00B27DDD" w:rsidRPr="006E7B65" w:rsidRDefault="00B27DDD">
      <w:pPr>
        <w:spacing w:before="0" w:after="160" w:line="278" w:lineRule="auto"/>
        <w:jc w:val="left"/>
        <w:rPr>
          <w:rFonts w:asciiTheme="minorBidi" w:eastAsiaTheme="majorEastAsia" w:hAnsiTheme="minorBidi"/>
          <w:b/>
          <w:color w:val="000000" w:themeColor="text1"/>
          <w:sz w:val="22"/>
          <w:szCs w:val="22"/>
        </w:rPr>
      </w:pPr>
      <w:r w:rsidRPr="006E7B65">
        <w:rPr>
          <w:rFonts w:asciiTheme="minorBidi" w:hAnsiTheme="minorBidi"/>
          <w:sz w:val="22"/>
          <w:szCs w:val="22"/>
        </w:rPr>
        <w:br w:type="page"/>
      </w:r>
    </w:p>
    <w:p w14:paraId="48C6626C" w14:textId="77777777" w:rsidR="0028779F" w:rsidRPr="006E7B65" w:rsidRDefault="0028779F" w:rsidP="0028779F">
      <w:pPr>
        <w:pStyle w:val="Heading1"/>
        <w:rPr>
          <w:rFonts w:asciiTheme="minorBidi" w:hAnsiTheme="minorBidi" w:cstheme="minorBidi"/>
          <w:sz w:val="22"/>
          <w:szCs w:val="22"/>
        </w:rPr>
      </w:pPr>
      <w:bookmarkStart w:id="0" w:name="_Toc209438047"/>
      <w:r w:rsidRPr="006E7B65">
        <w:rPr>
          <w:rFonts w:asciiTheme="minorBidi" w:hAnsiTheme="minorBidi" w:cstheme="minorBidi"/>
          <w:sz w:val="22"/>
          <w:szCs w:val="22"/>
        </w:rPr>
        <w:lastRenderedPageBreak/>
        <w:t>Introduction</w:t>
      </w:r>
      <w:bookmarkEnd w:id="0"/>
    </w:p>
    <w:p w14:paraId="7DBAA7A4" w14:textId="130C44CE" w:rsidR="0028779F" w:rsidRPr="006E7B65" w:rsidRDefault="00D15C49" w:rsidP="00411D87">
      <w:pPr>
        <w:rPr>
          <w:rFonts w:asciiTheme="minorBidi" w:hAnsiTheme="minorBidi"/>
          <w:sz w:val="22"/>
          <w:szCs w:val="22"/>
        </w:rPr>
      </w:pPr>
      <w:r w:rsidRPr="006E7B65">
        <w:rPr>
          <w:rFonts w:asciiTheme="minorBidi" w:hAnsiTheme="minorBidi"/>
          <w:sz w:val="22"/>
          <w:szCs w:val="22"/>
        </w:rPr>
        <w:t xml:space="preserve">Over the past decade, the UK healthcare system has embraced multiple digital innovations to improve efficiency, patient safety, and care delivery, particularly in response to growing pressures like an ageing population and </w:t>
      </w:r>
      <w:r w:rsidR="00377D0F" w:rsidRPr="006E7B65">
        <w:rPr>
          <w:rFonts w:asciiTheme="minorBidi" w:hAnsiTheme="minorBidi"/>
          <w:sz w:val="22"/>
          <w:szCs w:val="22"/>
        </w:rPr>
        <w:t>raising</w:t>
      </w:r>
      <w:r w:rsidRPr="006E7B65">
        <w:rPr>
          <w:rFonts w:asciiTheme="minorBidi" w:hAnsiTheme="minorBidi"/>
          <w:sz w:val="22"/>
          <w:szCs w:val="22"/>
        </w:rPr>
        <w:t xml:space="preserve"> non-elective admissions. One of the most significant innovations is the implementation of Electronic Patient Records (EPR), which replace paper-based systems with </w:t>
      </w:r>
      <w:r w:rsidR="00377D0F" w:rsidRPr="006E7B65">
        <w:rPr>
          <w:rFonts w:asciiTheme="minorBidi" w:hAnsiTheme="minorBidi"/>
          <w:sz w:val="22"/>
          <w:szCs w:val="22"/>
        </w:rPr>
        <w:t>computerized</w:t>
      </w:r>
      <w:r w:rsidRPr="006E7B65">
        <w:rPr>
          <w:rFonts w:asciiTheme="minorBidi" w:hAnsiTheme="minorBidi"/>
          <w:sz w:val="22"/>
          <w:szCs w:val="22"/>
        </w:rPr>
        <w:t xml:space="preserve"> tools to streamline patient data management. </w:t>
      </w:r>
      <w:r w:rsidR="00D741D2" w:rsidRPr="006E7B65">
        <w:rPr>
          <w:rFonts w:asciiTheme="minorBidi" w:hAnsiTheme="minorBidi"/>
          <w:sz w:val="22"/>
          <w:szCs w:val="22"/>
        </w:rPr>
        <w:t xml:space="preserve">This transition supports real-time management decision-making by the clinics to allow for an increase in care coordination and patient safety (Hughes, Oskrochi, &amp; Micklewright, n.d.). Remote monitoring and virtual wards have further changed the service delivery landscape by providing hospital-level care in the patient’s home, reducing admissions to </w:t>
      </w:r>
      <w:r w:rsidR="00377D0F" w:rsidRPr="006E7B65">
        <w:rPr>
          <w:rFonts w:asciiTheme="minorBidi" w:hAnsiTheme="minorBidi"/>
          <w:sz w:val="22"/>
          <w:szCs w:val="22"/>
        </w:rPr>
        <w:t>hospitals,</w:t>
      </w:r>
      <w:r w:rsidR="00D741D2" w:rsidRPr="006E7B65">
        <w:rPr>
          <w:rFonts w:asciiTheme="minorBidi" w:hAnsiTheme="minorBidi"/>
          <w:sz w:val="22"/>
          <w:szCs w:val="22"/>
        </w:rPr>
        <w:t xml:space="preserve"> and enhancing patient outcomes. Nevertheless, issues such as integration problems and training employees for working with </w:t>
      </w:r>
      <w:r w:rsidR="009D50DA" w:rsidRPr="006E7B65">
        <w:rPr>
          <w:rFonts w:asciiTheme="minorBidi" w:hAnsiTheme="minorBidi"/>
          <w:sz w:val="22"/>
          <w:szCs w:val="22"/>
        </w:rPr>
        <w:t>innovative</w:t>
      </w:r>
      <w:r w:rsidR="00377D0F" w:rsidRPr="006E7B65">
        <w:rPr>
          <w:rFonts w:asciiTheme="minorBidi" w:hAnsiTheme="minorBidi"/>
          <w:sz w:val="22"/>
          <w:szCs w:val="22"/>
        </w:rPr>
        <w:t xml:space="preserve"> technology</w:t>
      </w:r>
      <w:r w:rsidR="00D741D2" w:rsidRPr="006E7B65">
        <w:rPr>
          <w:rFonts w:asciiTheme="minorBidi" w:hAnsiTheme="minorBidi"/>
          <w:sz w:val="22"/>
          <w:szCs w:val="22"/>
        </w:rPr>
        <w:t xml:space="preserve">, as well as data privacy concerns, persist (Jacquemard et al., 2021). This report provides an evidence-based critical appraisal of the effect of EPRs and virtual </w:t>
      </w:r>
      <w:r w:rsidR="00377D0F" w:rsidRPr="006E7B65">
        <w:rPr>
          <w:rFonts w:asciiTheme="minorBidi" w:hAnsiTheme="minorBidi"/>
          <w:sz w:val="22"/>
          <w:szCs w:val="22"/>
        </w:rPr>
        <w:t>words</w:t>
      </w:r>
      <w:r w:rsidR="00D741D2" w:rsidRPr="006E7B65">
        <w:rPr>
          <w:rFonts w:asciiTheme="minorBidi" w:hAnsiTheme="minorBidi"/>
          <w:sz w:val="22"/>
          <w:szCs w:val="22"/>
        </w:rPr>
        <w:t xml:space="preserve"> on the NHS concerning workforce, service provision, patient </w:t>
      </w:r>
      <w:r w:rsidR="00377D0F" w:rsidRPr="006E7B65">
        <w:rPr>
          <w:rFonts w:asciiTheme="minorBidi" w:hAnsiTheme="minorBidi"/>
          <w:sz w:val="22"/>
          <w:szCs w:val="22"/>
        </w:rPr>
        <w:t>experience,</w:t>
      </w:r>
      <w:r w:rsidR="00D741D2" w:rsidRPr="006E7B65">
        <w:rPr>
          <w:rFonts w:asciiTheme="minorBidi" w:hAnsiTheme="minorBidi"/>
          <w:sz w:val="22"/>
          <w:szCs w:val="22"/>
        </w:rPr>
        <w:t xml:space="preserve"> and community </w:t>
      </w:r>
      <w:r w:rsidR="00377D0F" w:rsidRPr="006E7B65">
        <w:rPr>
          <w:rFonts w:asciiTheme="minorBidi" w:hAnsiTheme="minorBidi"/>
          <w:sz w:val="22"/>
          <w:szCs w:val="22"/>
        </w:rPr>
        <w:t>benefits</w:t>
      </w:r>
      <w:r w:rsidR="00D741D2" w:rsidRPr="006E7B65">
        <w:rPr>
          <w:rFonts w:asciiTheme="minorBidi" w:hAnsiTheme="minorBidi"/>
          <w:sz w:val="22"/>
          <w:szCs w:val="22"/>
        </w:rPr>
        <w:t xml:space="preserve"> and suggests ways in which the situation can be improved.</w:t>
      </w:r>
    </w:p>
    <w:p w14:paraId="7CBE39AF" w14:textId="77777777" w:rsidR="0028779F" w:rsidRPr="006E7B65" w:rsidRDefault="0028779F" w:rsidP="00212572">
      <w:pPr>
        <w:pStyle w:val="Heading1"/>
        <w:rPr>
          <w:rFonts w:asciiTheme="minorBidi" w:hAnsiTheme="minorBidi" w:cstheme="minorBidi"/>
          <w:sz w:val="22"/>
          <w:szCs w:val="22"/>
        </w:rPr>
      </w:pPr>
      <w:bookmarkStart w:id="1" w:name="_Toc209438048"/>
      <w:r w:rsidRPr="006E7B65">
        <w:rPr>
          <w:rFonts w:asciiTheme="minorBidi" w:hAnsiTheme="minorBidi" w:cstheme="minorBidi"/>
          <w:sz w:val="22"/>
          <w:szCs w:val="22"/>
        </w:rPr>
        <w:t xml:space="preserve">Workforce Impact </w:t>
      </w:r>
      <w:r w:rsidR="005E2463" w:rsidRPr="006E7B65">
        <w:rPr>
          <w:rFonts w:asciiTheme="minorBidi" w:hAnsiTheme="minorBidi" w:cstheme="minorBidi"/>
          <w:sz w:val="22"/>
          <w:szCs w:val="22"/>
        </w:rPr>
        <w:t>(SWOT Analysis Framework)</w:t>
      </w:r>
      <w:bookmarkEnd w:id="1"/>
    </w:p>
    <w:p w14:paraId="28B7D933" w14:textId="1927D9E2" w:rsidR="00A54A29" w:rsidRPr="006E7B65" w:rsidRDefault="00BA736B" w:rsidP="00A54A29">
      <w:pPr>
        <w:rPr>
          <w:rFonts w:asciiTheme="minorBidi" w:hAnsiTheme="minorBidi"/>
          <w:sz w:val="22"/>
          <w:szCs w:val="22"/>
        </w:rPr>
      </w:pPr>
      <w:r w:rsidRPr="006E7B65">
        <w:rPr>
          <w:rFonts w:asciiTheme="minorBidi" w:hAnsiTheme="minorBidi"/>
          <w:sz w:val="22"/>
          <w:szCs w:val="22"/>
        </w:rPr>
        <w:t>The NHS’s implementation of Electronic Patient Records (EPR) has profoundly reshaped workforce dynamics in the UK healthcare sector, demanding new competencies while introducing opportunities and threats that warrant critical scrutiny.</w:t>
      </w:r>
    </w:p>
    <w:p w14:paraId="30143F49" w14:textId="77777777" w:rsidR="004E521E" w:rsidRPr="006E7B65" w:rsidRDefault="004E521E" w:rsidP="004E521E">
      <w:pPr>
        <w:keepNext/>
        <w:jc w:val="center"/>
        <w:rPr>
          <w:rFonts w:asciiTheme="minorBidi" w:hAnsiTheme="minorBidi"/>
          <w:sz w:val="22"/>
          <w:szCs w:val="22"/>
        </w:rPr>
      </w:pPr>
      <w:r w:rsidRPr="006E7B65">
        <w:rPr>
          <w:rFonts w:asciiTheme="minorBidi" w:hAnsiTheme="minorBidi"/>
          <w:noProof/>
          <w:sz w:val="22"/>
          <w:szCs w:val="22"/>
        </w:rPr>
        <w:drawing>
          <wp:inline distT="0" distB="0" distL="0" distR="0" wp14:anchorId="4FAF87A2" wp14:editId="1BF3276C">
            <wp:extent cx="5188217" cy="2921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88217" cy="2921150"/>
                    </a:xfrm>
                    <a:prstGeom prst="rect">
                      <a:avLst/>
                    </a:prstGeom>
                  </pic:spPr>
                </pic:pic>
              </a:graphicData>
            </a:graphic>
          </wp:inline>
        </w:drawing>
      </w:r>
    </w:p>
    <w:p w14:paraId="13CCB17C" w14:textId="77777777" w:rsidR="004E521E" w:rsidRPr="006E7B65" w:rsidRDefault="004E521E" w:rsidP="004E521E">
      <w:pPr>
        <w:pStyle w:val="Caption"/>
        <w:jc w:val="center"/>
        <w:rPr>
          <w:rFonts w:asciiTheme="minorBidi" w:hAnsiTheme="minorBidi"/>
          <w:sz w:val="22"/>
          <w:szCs w:val="22"/>
        </w:rPr>
      </w:pPr>
      <w:r w:rsidRPr="006E7B65">
        <w:rPr>
          <w:rFonts w:asciiTheme="minorBidi" w:hAnsiTheme="minorBidi"/>
          <w:sz w:val="22"/>
          <w:szCs w:val="22"/>
        </w:rPr>
        <w:t xml:space="preserve">Figure </w:t>
      </w:r>
      <w:r w:rsidRPr="006E7B65">
        <w:rPr>
          <w:rFonts w:asciiTheme="minorBidi" w:hAnsiTheme="minorBidi"/>
          <w:sz w:val="22"/>
          <w:szCs w:val="22"/>
        </w:rPr>
        <w:fldChar w:fldCharType="begin"/>
      </w:r>
      <w:r w:rsidRPr="006E7B65">
        <w:rPr>
          <w:rFonts w:asciiTheme="minorBidi" w:hAnsiTheme="minorBidi"/>
          <w:sz w:val="22"/>
          <w:szCs w:val="22"/>
        </w:rPr>
        <w:instrText xml:space="preserve"> SEQ Figure \* ARABIC </w:instrText>
      </w:r>
      <w:r w:rsidRPr="006E7B65">
        <w:rPr>
          <w:rFonts w:asciiTheme="minorBidi" w:hAnsiTheme="minorBidi"/>
          <w:sz w:val="22"/>
          <w:szCs w:val="22"/>
        </w:rPr>
        <w:fldChar w:fldCharType="separate"/>
      </w:r>
      <w:r w:rsidRPr="006E7B65">
        <w:rPr>
          <w:rFonts w:asciiTheme="minorBidi" w:hAnsiTheme="minorBidi"/>
          <w:noProof/>
          <w:sz w:val="22"/>
          <w:szCs w:val="22"/>
        </w:rPr>
        <w:t>1</w:t>
      </w:r>
      <w:r w:rsidRPr="006E7B65">
        <w:rPr>
          <w:rFonts w:asciiTheme="minorBidi" w:hAnsiTheme="minorBidi"/>
          <w:sz w:val="22"/>
          <w:szCs w:val="22"/>
        </w:rPr>
        <w:fldChar w:fldCharType="end"/>
      </w:r>
      <w:r w:rsidRPr="006E7B65">
        <w:rPr>
          <w:rFonts w:asciiTheme="minorBidi" w:hAnsiTheme="minorBidi"/>
          <w:sz w:val="22"/>
          <w:szCs w:val="22"/>
        </w:rPr>
        <w:t xml:space="preserve">: SWOT </w:t>
      </w:r>
      <w:r w:rsidR="005A3A5D" w:rsidRPr="006E7B65">
        <w:rPr>
          <w:rFonts w:asciiTheme="minorBidi" w:hAnsiTheme="minorBidi"/>
          <w:sz w:val="22"/>
          <w:szCs w:val="22"/>
        </w:rPr>
        <w:t>A</w:t>
      </w:r>
      <w:r w:rsidRPr="006E7B65">
        <w:rPr>
          <w:rFonts w:asciiTheme="minorBidi" w:hAnsiTheme="minorBidi"/>
          <w:sz w:val="22"/>
          <w:szCs w:val="22"/>
        </w:rPr>
        <w:t>nalysis</w:t>
      </w:r>
    </w:p>
    <w:p w14:paraId="2EC18CFB" w14:textId="77777777" w:rsidR="00A54A29" w:rsidRPr="006E7B65" w:rsidRDefault="00A54A29" w:rsidP="00A54A29">
      <w:pPr>
        <w:rPr>
          <w:rFonts w:asciiTheme="minorBidi" w:hAnsiTheme="minorBidi"/>
          <w:b/>
          <w:bCs/>
          <w:sz w:val="22"/>
          <w:szCs w:val="22"/>
        </w:rPr>
      </w:pPr>
      <w:r w:rsidRPr="006E7B65">
        <w:rPr>
          <w:rFonts w:asciiTheme="minorBidi" w:hAnsiTheme="minorBidi"/>
          <w:b/>
          <w:bCs/>
          <w:sz w:val="22"/>
          <w:szCs w:val="22"/>
        </w:rPr>
        <w:lastRenderedPageBreak/>
        <w:t>Strengths:</w:t>
      </w:r>
    </w:p>
    <w:p w14:paraId="524A5618" w14:textId="77777777" w:rsidR="00A54A29" w:rsidRPr="006E7B65" w:rsidRDefault="00A54A29" w:rsidP="00A54A29">
      <w:pPr>
        <w:rPr>
          <w:rFonts w:asciiTheme="minorBidi" w:hAnsiTheme="minorBidi"/>
          <w:sz w:val="22"/>
          <w:szCs w:val="22"/>
        </w:rPr>
      </w:pPr>
      <w:r w:rsidRPr="006E7B65">
        <w:rPr>
          <w:rFonts w:asciiTheme="minorBidi" w:hAnsiTheme="minorBidi"/>
          <w:b/>
          <w:bCs/>
          <w:sz w:val="22"/>
          <w:szCs w:val="22"/>
        </w:rPr>
        <w:t>Changes in Job Roles:</w:t>
      </w:r>
    </w:p>
    <w:p w14:paraId="08D5B98E" w14:textId="35609A86" w:rsidR="00A54A29" w:rsidRPr="006E7B65" w:rsidRDefault="00D741D2" w:rsidP="00A54A29">
      <w:pPr>
        <w:rPr>
          <w:rFonts w:asciiTheme="minorBidi" w:hAnsiTheme="minorBidi"/>
          <w:sz w:val="22"/>
          <w:szCs w:val="22"/>
        </w:rPr>
      </w:pPr>
      <w:r w:rsidRPr="006E7B65">
        <w:rPr>
          <w:rFonts w:asciiTheme="minorBidi" w:hAnsiTheme="minorBidi"/>
          <w:sz w:val="22"/>
          <w:szCs w:val="22"/>
        </w:rPr>
        <w:t xml:space="preserve">EPR systems improved all aspects of administrative work by replacing paper records and reducing the time spent </w:t>
      </w:r>
      <w:r w:rsidR="00377D0F" w:rsidRPr="006E7B65">
        <w:rPr>
          <w:rFonts w:asciiTheme="minorBidi" w:hAnsiTheme="minorBidi"/>
          <w:sz w:val="22"/>
          <w:szCs w:val="22"/>
        </w:rPr>
        <w:t>on</w:t>
      </w:r>
      <w:r w:rsidRPr="006E7B65">
        <w:rPr>
          <w:rFonts w:asciiTheme="minorBidi" w:hAnsiTheme="minorBidi"/>
          <w:sz w:val="22"/>
          <w:szCs w:val="22"/>
        </w:rPr>
        <w:t xml:space="preserve"> documentation. This improved speed has allowed medical </w:t>
      </w:r>
      <w:r w:rsidR="00377D0F" w:rsidRPr="006E7B65">
        <w:rPr>
          <w:rFonts w:asciiTheme="minorBidi" w:hAnsiTheme="minorBidi"/>
          <w:sz w:val="22"/>
          <w:szCs w:val="22"/>
        </w:rPr>
        <w:t>staff</w:t>
      </w:r>
      <w:r w:rsidRPr="006E7B65">
        <w:rPr>
          <w:rFonts w:asciiTheme="minorBidi" w:hAnsiTheme="minorBidi"/>
          <w:sz w:val="22"/>
          <w:szCs w:val="22"/>
        </w:rPr>
        <w:t xml:space="preserve"> to focus more on their patients. Administrative burden reduced by up to 20% (Algresha et al., 2024^-NHS England, 2023. EPRs improve the quality of patient care by enabling up-to-date patient information in </w:t>
      </w:r>
      <w:r w:rsidR="00785F08" w:rsidRPr="006E7B65">
        <w:rPr>
          <w:rFonts w:asciiTheme="minorBidi" w:hAnsiTheme="minorBidi"/>
          <w:sz w:val="22"/>
          <w:szCs w:val="22"/>
        </w:rPr>
        <w:t>real-time and</w:t>
      </w:r>
      <w:r w:rsidRPr="006E7B65">
        <w:rPr>
          <w:rFonts w:asciiTheme="minorBidi" w:hAnsiTheme="minorBidi"/>
          <w:sz w:val="22"/>
          <w:szCs w:val="22"/>
        </w:rPr>
        <w:t xml:space="preserve"> t</w:t>
      </w:r>
      <w:r w:rsidR="00785F08">
        <w:rPr>
          <w:rFonts w:asciiTheme="minorBidi" w:hAnsiTheme="minorBidi"/>
          <w:sz w:val="22"/>
          <w:szCs w:val="22"/>
        </w:rPr>
        <w:t>herefore</w:t>
      </w:r>
      <w:r w:rsidRPr="006E7B65">
        <w:rPr>
          <w:rFonts w:asciiTheme="minorBidi" w:hAnsiTheme="minorBidi"/>
          <w:sz w:val="22"/>
          <w:szCs w:val="22"/>
        </w:rPr>
        <w:t xml:space="preserve"> providing timely decisions. In addition, EPRs also facilitate virtual wards – enabling them to deliver hospital care in the home. This will help relieve the strain on NHS beds and make the patient feel more comfortable being treated in a known environment. Patients are also more engaged by self-monitoring, which contributes to increased medical oversight.</w:t>
      </w:r>
    </w:p>
    <w:p w14:paraId="0A3C201B" w14:textId="77777777" w:rsidR="00A54A29" w:rsidRPr="006E7B65" w:rsidRDefault="00A54A29" w:rsidP="00A54A29">
      <w:pPr>
        <w:rPr>
          <w:rFonts w:asciiTheme="minorBidi" w:hAnsiTheme="minorBidi"/>
          <w:sz w:val="22"/>
          <w:szCs w:val="22"/>
        </w:rPr>
      </w:pPr>
      <w:r w:rsidRPr="006E7B65">
        <w:rPr>
          <w:rFonts w:asciiTheme="minorBidi" w:hAnsiTheme="minorBidi"/>
          <w:b/>
          <w:bCs/>
          <w:sz w:val="22"/>
          <w:szCs w:val="22"/>
        </w:rPr>
        <w:t>Weaknesses:</w:t>
      </w:r>
    </w:p>
    <w:p w14:paraId="3FA86308" w14:textId="77777777" w:rsidR="00A54A29" w:rsidRPr="006E7B65" w:rsidRDefault="00A54A29" w:rsidP="00A54A29">
      <w:pPr>
        <w:rPr>
          <w:rFonts w:asciiTheme="minorBidi" w:hAnsiTheme="minorBidi"/>
          <w:sz w:val="22"/>
          <w:szCs w:val="22"/>
        </w:rPr>
      </w:pPr>
      <w:r w:rsidRPr="006E7B65">
        <w:rPr>
          <w:rFonts w:asciiTheme="minorBidi" w:hAnsiTheme="minorBidi"/>
          <w:b/>
          <w:bCs/>
          <w:sz w:val="22"/>
          <w:szCs w:val="22"/>
        </w:rPr>
        <w:t>Competency and Training Needs:</w:t>
      </w:r>
    </w:p>
    <w:p w14:paraId="39EBFEBA" w14:textId="2573CB84" w:rsidR="00A54A29" w:rsidRPr="006E7B65" w:rsidRDefault="00F931C3" w:rsidP="00A54A29">
      <w:pPr>
        <w:rPr>
          <w:rFonts w:asciiTheme="minorBidi" w:hAnsiTheme="minorBidi"/>
          <w:sz w:val="22"/>
          <w:szCs w:val="22"/>
        </w:rPr>
      </w:pPr>
      <w:r w:rsidRPr="006E7B65">
        <w:rPr>
          <w:rFonts w:asciiTheme="minorBidi" w:hAnsiTheme="minorBidi"/>
          <w:sz w:val="22"/>
          <w:szCs w:val="22"/>
        </w:rPr>
        <w:t xml:space="preserve">EPR systems provide numerous benefits, but training and competency are </w:t>
      </w:r>
      <w:r w:rsidR="00E82E1F" w:rsidRPr="006E7B65">
        <w:rPr>
          <w:rFonts w:asciiTheme="minorBidi" w:hAnsiTheme="minorBidi"/>
          <w:sz w:val="22"/>
          <w:szCs w:val="22"/>
        </w:rPr>
        <w:t>significant issues</w:t>
      </w:r>
      <w:r w:rsidRPr="006E7B65">
        <w:rPr>
          <w:rFonts w:asciiTheme="minorBidi" w:hAnsiTheme="minorBidi"/>
          <w:sz w:val="22"/>
          <w:szCs w:val="22"/>
        </w:rPr>
        <w:t>. EPR systems need costly and time-consuming training, especially for non-technical people. NHS Lanarkshire found that poor training disrupted workflow by 25%, making healthcare delivery less efficient (ICO UK, 2018). Digital exclusion persists, particularly for elderly patients and those without reliable internet access. Without ongoing professional training, these issues worsen and make surgeries harder.</w:t>
      </w:r>
    </w:p>
    <w:p w14:paraId="2D97F0BA" w14:textId="77777777" w:rsidR="00A54A29" w:rsidRPr="006E7B65" w:rsidRDefault="00A54A29" w:rsidP="00A54A29">
      <w:pPr>
        <w:rPr>
          <w:rFonts w:asciiTheme="minorBidi" w:hAnsiTheme="minorBidi"/>
          <w:b/>
          <w:bCs/>
          <w:sz w:val="22"/>
          <w:szCs w:val="22"/>
        </w:rPr>
      </w:pPr>
      <w:r w:rsidRPr="006E7B65">
        <w:rPr>
          <w:rFonts w:asciiTheme="minorBidi" w:hAnsiTheme="minorBidi"/>
          <w:b/>
          <w:bCs/>
          <w:sz w:val="22"/>
          <w:szCs w:val="22"/>
        </w:rPr>
        <w:t>Opportunities:</w:t>
      </w:r>
    </w:p>
    <w:p w14:paraId="38FACA2A" w14:textId="77777777" w:rsidR="00A54A29" w:rsidRPr="006E7B65" w:rsidRDefault="00A54A29" w:rsidP="00A54A29">
      <w:pPr>
        <w:rPr>
          <w:rFonts w:asciiTheme="minorBidi" w:hAnsiTheme="minorBidi"/>
          <w:sz w:val="22"/>
          <w:szCs w:val="22"/>
        </w:rPr>
      </w:pPr>
      <w:r w:rsidRPr="006E7B65">
        <w:rPr>
          <w:rFonts w:asciiTheme="minorBidi" w:hAnsiTheme="minorBidi"/>
          <w:b/>
          <w:bCs/>
          <w:sz w:val="22"/>
          <w:szCs w:val="22"/>
        </w:rPr>
        <w:t>Improvements in Workflow and Efficiency:</w:t>
      </w:r>
    </w:p>
    <w:p w14:paraId="082A88C0" w14:textId="7C2E3B95" w:rsidR="00A54A29" w:rsidRPr="006E7B65" w:rsidRDefault="00F931C3" w:rsidP="00A54A29">
      <w:pPr>
        <w:rPr>
          <w:rFonts w:asciiTheme="minorBidi" w:hAnsiTheme="minorBidi"/>
          <w:sz w:val="22"/>
          <w:szCs w:val="22"/>
        </w:rPr>
      </w:pPr>
      <w:r w:rsidRPr="006E7B65">
        <w:rPr>
          <w:rFonts w:asciiTheme="minorBidi" w:hAnsiTheme="minorBidi"/>
          <w:sz w:val="22"/>
          <w:szCs w:val="22"/>
        </w:rPr>
        <w:t xml:space="preserve">EPR systems provide immense potential for workflow </w:t>
      </w:r>
      <w:r w:rsidR="00A20FAE" w:rsidRPr="006E7B65">
        <w:rPr>
          <w:rFonts w:asciiTheme="minorBidi" w:hAnsiTheme="minorBidi"/>
          <w:sz w:val="22"/>
          <w:szCs w:val="22"/>
        </w:rPr>
        <w:t>optimization</w:t>
      </w:r>
      <w:r w:rsidRPr="006E7B65">
        <w:rPr>
          <w:rFonts w:asciiTheme="minorBidi" w:hAnsiTheme="minorBidi"/>
          <w:sz w:val="22"/>
          <w:szCs w:val="22"/>
        </w:rPr>
        <w:t xml:space="preserve">, including in services such as fast-tracking diagnosis and facilitating improved inter-departmental communication (Barwell et al., 2018). Virtual wards, integrated with EPRs, also offer the potential for cost avoidance and better patient care by preventing avoidable hospital admissions. The introduction of AI and predictive analytics into EPRs enables enhanced monitoring of patients with </w:t>
      </w:r>
      <w:r w:rsidR="00B95E10" w:rsidRPr="006E7B65">
        <w:rPr>
          <w:rFonts w:asciiTheme="minorBidi" w:hAnsiTheme="minorBidi"/>
          <w:sz w:val="22"/>
          <w:szCs w:val="22"/>
        </w:rPr>
        <w:t xml:space="preserve">the </w:t>
      </w:r>
      <w:r w:rsidRPr="006E7B65">
        <w:rPr>
          <w:rFonts w:asciiTheme="minorBidi" w:hAnsiTheme="minorBidi"/>
          <w:sz w:val="22"/>
          <w:szCs w:val="22"/>
        </w:rPr>
        <w:t xml:space="preserve">prediction of </w:t>
      </w:r>
      <w:r w:rsidR="00E82E1F" w:rsidRPr="006E7B65">
        <w:rPr>
          <w:rFonts w:asciiTheme="minorBidi" w:hAnsiTheme="minorBidi"/>
          <w:sz w:val="22"/>
          <w:szCs w:val="22"/>
        </w:rPr>
        <w:t>potential future</w:t>
      </w:r>
      <w:r w:rsidRPr="006E7B65">
        <w:rPr>
          <w:rFonts w:asciiTheme="minorBidi" w:hAnsiTheme="minorBidi"/>
          <w:sz w:val="22"/>
          <w:szCs w:val="22"/>
        </w:rPr>
        <w:t xml:space="preserve"> health deteriorations</w:t>
      </w:r>
      <w:r w:rsidR="00B95E10" w:rsidRPr="006E7B65">
        <w:rPr>
          <w:rFonts w:asciiTheme="minorBidi" w:hAnsiTheme="minorBidi"/>
          <w:sz w:val="22"/>
          <w:szCs w:val="22"/>
        </w:rPr>
        <w:t>,</w:t>
      </w:r>
      <w:r w:rsidRPr="006E7B65">
        <w:rPr>
          <w:rFonts w:asciiTheme="minorBidi" w:hAnsiTheme="minorBidi"/>
          <w:sz w:val="22"/>
          <w:szCs w:val="22"/>
        </w:rPr>
        <w:t xml:space="preserve"> as well as improved timeliness and decisions when appropriate care would be beneficial</w:t>
      </w:r>
      <w:r w:rsidR="00F23007" w:rsidRPr="006E7B65">
        <w:rPr>
          <w:rFonts w:asciiTheme="minorBidi" w:hAnsiTheme="minorBidi"/>
          <w:sz w:val="22"/>
          <w:szCs w:val="22"/>
        </w:rPr>
        <w:t xml:space="preserve"> (Avonlmc UK, 2024)</w:t>
      </w:r>
      <w:r w:rsidRPr="006E7B65">
        <w:rPr>
          <w:rFonts w:asciiTheme="minorBidi" w:hAnsiTheme="minorBidi"/>
          <w:sz w:val="22"/>
          <w:szCs w:val="22"/>
        </w:rPr>
        <w:t>.</w:t>
      </w:r>
    </w:p>
    <w:p w14:paraId="62CCD8E8" w14:textId="77777777" w:rsidR="00A54A29" w:rsidRPr="006E7B65" w:rsidRDefault="00A54A29" w:rsidP="00A54A29">
      <w:pPr>
        <w:rPr>
          <w:rFonts w:asciiTheme="minorBidi" w:hAnsiTheme="minorBidi"/>
          <w:b/>
          <w:bCs/>
          <w:sz w:val="22"/>
          <w:szCs w:val="22"/>
        </w:rPr>
      </w:pPr>
      <w:r w:rsidRPr="006E7B65">
        <w:rPr>
          <w:rFonts w:asciiTheme="minorBidi" w:hAnsiTheme="minorBidi"/>
          <w:b/>
          <w:bCs/>
          <w:sz w:val="22"/>
          <w:szCs w:val="22"/>
        </w:rPr>
        <w:t>Threats:</w:t>
      </w:r>
    </w:p>
    <w:p w14:paraId="67AA2E18" w14:textId="77777777" w:rsidR="00A54A29" w:rsidRPr="006E7B65" w:rsidRDefault="00A54A29" w:rsidP="00A54A29">
      <w:pPr>
        <w:rPr>
          <w:rFonts w:asciiTheme="minorBidi" w:hAnsiTheme="minorBidi"/>
          <w:sz w:val="22"/>
          <w:szCs w:val="22"/>
        </w:rPr>
      </w:pPr>
      <w:r w:rsidRPr="006E7B65">
        <w:rPr>
          <w:rFonts w:asciiTheme="minorBidi" w:hAnsiTheme="minorBidi"/>
          <w:b/>
          <w:bCs/>
          <w:sz w:val="22"/>
          <w:szCs w:val="22"/>
        </w:rPr>
        <w:t>Resistance and Learning Curve:</w:t>
      </w:r>
    </w:p>
    <w:p w14:paraId="06B74B8E" w14:textId="19F7C744" w:rsidR="0028779F" w:rsidRPr="006E7B65" w:rsidRDefault="00D15C49" w:rsidP="00A54A29">
      <w:pPr>
        <w:rPr>
          <w:rFonts w:asciiTheme="minorBidi" w:hAnsiTheme="minorBidi"/>
          <w:sz w:val="22"/>
          <w:szCs w:val="22"/>
        </w:rPr>
      </w:pPr>
      <w:r w:rsidRPr="006E7B65">
        <w:rPr>
          <w:rFonts w:asciiTheme="minorBidi" w:hAnsiTheme="minorBidi"/>
          <w:sz w:val="22"/>
          <w:szCs w:val="22"/>
        </w:rPr>
        <w:lastRenderedPageBreak/>
        <w:t xml:space="preserve">However, resistance to digital change remains a threat, as many clinicians are hesitant to fully adopt EPR systems due to concerns about system reliability and potential productivity losses (Golinelli et al., 2020). Digital exclusion is also a concern, especially among vulnerable groups, and without addressing this issue, EPR systems may inadvertently worsen health inequalities. The cost of implementation remains high, and without sustained funding, the long-term success of EPR systems and virtual wards could be </w:t>
      </w:r>
      <w:r w:rsidR="00A20FAE" w:rsidRPr="006E7B65">
        <w:rPr>
          <w:rFonts w:asciiTheme="minorBidi" w:hAnsiTheme="minorBidi"/>
          <w:sz w:val="22"/>
          <w:szCs w:val="22"/>
        </w:rPr>
        <w:t>jeopardized</w:t>
      </w:r>
      <w:r w:rsidRPr="006E7B65">
        <w:rPr>
          <w:rFonts w:asciiTheme="minorBidi" w:hAnsiTheme="minorBidi"/>
          <w:sz w:val="22"/>
          <w:szCs w:val="22"/>
        </w:rPr>
        <w:t>.</w:t>
      </w:r>
    </w:p>
    <w:p w14:paraId="40DA2B3A" w14:textId="77777777" w:rsidR="0028779F" w:rsidRPr="006E7B65" w:rsidRDefault="0028779F" w:rsidP="0028779F">
      <w:pPr>
        <w:pStyle w:val="Heading1"/>
        <w:rPr>
          <w:rFonts w:asciiTheme="minorBidi" w:hAnsiTheme="minorBidi" w:cstheme="minorBidi"/>
          <w:sz w:val="22"/>
          <w:szCs w:val="22"/>
        </w:rPr>
      </w:pPr>
      <w:bookmarkStart w:id="2" w:name="_Toc209438049"/>
      <w:r w:rsidRPr="006E7B65">
        <w:rPr>
          <w:rFonts w:asciiTheme="minorBidi" w:hAnsiTheme="minorBidi" w:cstheme="minorBidi"/>
          <w:sz w:val="22"/>
          <w:szCs w:val="22"/>
        </w:rPr>
        <w:t>Service Delivery Impact</w:t>
      </w:r>
      <w:bookmarkEnd w:id="2"/>
    </w:p>
    <w:p w14:paraId="337F6094" w14:textId="663C062D" w:rsidR="00685112" w:rsidRPr="006E7B65" w:rsidRDefault="00685112" w:rsidP="00685112">
      <w:pPr>
        <w:rPr>
          <w:rFonts w:asciiTheme="minorBidi" w:hAnsiTheme="minorBidi"/>
          <w:bCs/>
          <w:sz w:val="22"/>
          <w:szCs w:val="22"/>
        </w:rPr>
      </w:pPr>
      <w:r w:rsidRPr="006E7B65">
        <w:rPr>
          <w:rFonts w:asciiTheme="minorBidi" w:hAnsiTheme="minorBidi"/>
          <w:bCs/>
          <w:sz w:val="22"/>
          <w:szCs w:val="22"/>
        </w:rPr>
        <w:t xml:space="preserve">The NHS's implementation of Electronic Patient Records (EPR) has fundamentally transformed service delivery within the UK healthcare system, driving improvements in operational efficiency while also presenting significant challenges in integration and setup costs. EPRs enable healthcare professionals to access patient data in real-time, facilitating faster diagnoses and more informed treatment decisions (Sanderson et al., 2022). However, the reliance on information technology for </w:t>
      </w:r>
      <w:r w:rsidR="004872D3" w:rsidRPr="006E7B65">
        <w:rPr>
          <w:rFonts w:asciiTheme="minorBidi" w:hAnsiTheme="minorBidi"/>
          <w:bCs/>
          <w:sz w:val="22"/>
          <w:szCs w:val="22"/>
        </w:rPr>
        <w:t>near-real-time</w:t>
      </w:r>
      <w:r w:rsidRPr="006E7B65">
        <w:rPr>
          <w:rFonts w:asciiTheme="minorBidi" w:hAnsiTheme="minorBidi"/>
          <w:bCs/>
          <w:sz w:val="22"/>
          <w:szCs w:val="22"/>
        </w:rPr>
        <w:t xml:space="preserve"> data has raised concerns about system vulnerability during technical failures, potentially disrupting service delivery. Reduction in errors related to missing or incomplete documentation has proven to improve the accuracy of clinical care, with NHS Digital recording 15% fewer documented errors in trusts with mature EPR systems. Despite these metrics being encouraging, the long-term viability of EPR systems remains in question due to continued integration issues and significant capital expenditure required during the start-up phase.</w:t>
      </w:r>
    </w:p>
    <w:p w14:paraId="41BEA302" w14:textId="262541AE" w:rsidR="00685112" w:rsidRPr="006E7B65" w:rsidRDefault="00685112" w:rsidP="00685112">
      <w:pPr>
        <w:rPr>
          <w:rFonts w:asciiTheme="minorBidi" w:hAnsiTheme="minorBidi"/>
          <w:bCs/>
          <w:sz w:val="22"/>
          <w:szCs w:val="22"/>
        </w:rPr>
      </w:pPr>
      <w:r w:rsidRPr="006E7B65">
        <w:rPr>
          <w:rFonts w:asciiTheme="minorBidi" w:hAnsiTheme="minorBidi"/>
          <w:bCs/>
          <w:sz w:val="22"/>
          <w:szCs w:val="22"/>
        </w:rPr>
        <w:t xml:space="preserve">Despite the benefits, NHS trusts initially faced several challenges during EPR implementation. Clinicians at many institutions encountered unfamiliar digital interfaces, causing bottlenecks and compromising patient care (Scantlebury et al., 2021). The lack of role-specific </w:t>
      </w:r>
      <w:r w:rsidR="00A20FAE" w:rsidRPr="006E7B65">
        <w:rPr>
          <w:rFonts w:asciiTheme="minorBidi" w:hAnsiTheme="minorBidi"/>
          <w:bCs/>
          <w:sz w:val="22"/>
          <w:szCs w:val="22"/>
        </w:rPr>
        <w:t>customization</w:t>
      </w:r>
      <w:r w:rsidRPr="006E7B65">
        <w:rPr>
          <w:rFonts w:asciiTheme="minorBidi" w:hAnsiTheme="minorBidi"/>
          <w:bCs/>
          <w:sz w:val="22"/>
          <w:szCs w:val="22"/>
        </w:rPr>
        <w:t xml:space="preserve"> and the complexity of the platform led to inefficiencies, diminishing the expected advantages. In NHS Lanarkshire, operational efficiency dropped by 25% in the first six months due to staff uncertainty and insufficient training (Scobie and Castle-Clarke, 2020). These incidents demonstrate that, beyond technology adoption, complete training and a user-friendly system design are necessary to achieve the full range of EPR benefits.</w:t>
      </w:r>
    </w:p>
    <w:p w14:paraId="5C72B6C5" w14:textId="009E48B7" w:rsidR="00685112" w:rsidRPr="006E7B65" w:rsidRDefault="00685112" w:rsidP="00685112">
      <w:pPr>
        <w:rPr>
          <w:rFonts w:asciiTheme="minorBidi" w:hAnsiTheme="minorBidi"/>
          <w:bCs/>
          <w:sz w:val="22"/>
          <w:szCs w:val="22"/>
        </w:rPr>
      </w:pPr>
      <w:r w:rsidRPr="006E7B65">
        <w:rPr>
          <w:rFonts w:asciiTheme="minorBidi" w:hAnsiTheme="minorBidi"/>
          <w:bCs/>
          <w:sz w:val="22"/>
          <w:szCs w:val="22"/>
        </w:rPr>
        <w:t xml:space="preserve">In contrast, EPR systems have improved service delivery in certain cases. NHS Digital found that hospitals with EPR equipment and better care coordination reduced patient waiting times by 20% (Faulkner, Gurstein, and Wyatt, 2023). EPRs have streamlined treatment processes, provided immediate access to patient information, and eliminated administrative bottlenecks at University College London Hospital (UCLH). However, UCLH's success cannot be </w:t>
      </w:r>
      <w:r w:rsidR="00377D0F" w:rsidRPr="006E7B65">
        <w:rPr>
          <w:rFonts w:asciiTheme="minorBidi" w:hAnsiTheme="minorBidi"/>
          <w:bCs/>
          <w:sz w:val="22"/>
          <w:szCs w:val="22"/>
        </w:rPr>
        <w:t>generalized</w:t>
      </w:r>
      <w:r w:rsidRPr="006E7B65">
        <w:rPr>
          <w:rFonts w:asciiTheme="minorBidi" w:hAnsiTheme="minorBidi"/>
          <w:bCs/>
          <w:sz w:val="22"/>
          <w:szCs w:val="22"/>
        </w:rPr>
        <w:t xml:space="preserve"> to all NHS </w:t>
      </w:r>
      <w:r w:rsidRPr="006E7B65">
        <w:rPr>
          <w:rFonts w:asciiTheme="minorBidi" w:hAnsiTheme="minorBidi"/>
          <w:bCs/>
          <w:sz w:val="22"/>
          <w:szCs w:val="22"/>
        </w:rPr>
        <w:lastRenderedPageBreak/>
        <w:t xml:space="preserve">Trusts, as other institutions failed to implement the system effectively and </w:t>
      </w:r>
      <w:r w:rsidR="00377D0F" w:rsidRPr="006E7B65">
        <w:rPr>
          <w:rFonts w:asciiTheme="minorBidi" w:hAnsiTheme="minorBidi"/>
          <w:bCs/>
          <w:sz w:val="22"/>
          <w:szCs w:val="22"/>
        </w:rPr>
        <w:t>trained</w:t>
      </w:r>
      <w:r w:rsidRPr="006E7B65">
        <w:rPr>
          <w:rFonts w:asciiTheme="minorBidi" w:hAnsiTheme="minorBidi"/>
          <w:bCs/>
          <w:sz w:val="22"/>
          <w:szCs w:val="22"/>
        </w:rPr>
        <w:t xml:space="preserve"> their staff to use it properly.</w:t>
      </w:r>
    </w:p>
    <w:p w14:paraId="097392B4" w14:textId="1C4A4811" w:rsidR="0028779F" w:rsidRPr="006E7B65" w:rsidRDefault="00685112" w:rsidP="00685112">
      <w:pPr>
        <w:rPr>
          <w:rFonts w:asciiTheme="minorBidi" w:hAnsiTheme="minorBidi"/>
          <w:bCs/>
          <w:sz w:val="22"/>
          <w:szCs w:val="22"/>
        </w:rPr>
      </w:pPr>
      <w:r w:rsidRPr="006E7B65">
        <w:rPr>
          <w:rFonts w:asciiTheme="minorBidi" w:hAnsiTheme="minorBidi"/>
          <w:bCs/>
          <w:sz w:val="22"/>
          <w:szCs w:val="22"/>
        </w:rPr>
        <w:t xml:space="preserve">Cooperation between EPR systems and existing NHS healthcare frameworks remains a significant issue. Interoperability with older systems continues to be a point of failure, with 30% of NHS Trusts reporting delays in service delivery due to technical incompatibilities during the </w:t>
      </w:r>
      <w:r w:rsidR="00E82E1F" w:rsidRPr="006E7B65">
        <w:rPr>
          <w:rFonts w:asciiTheme="minorBidi" w:hAnsiTheme="minorBidi"/>
          <w:bCs/>
          <w:sz w:val="22"/>
          <w:szCs w:val="22"/>
        </w:rPr>
        <w:t>preliminary stages</w:t>
      </w:r>
      <w:r w:rsidRPr="006E7B65">
        <w:rPr>
          <w:rFonts w:asciiTheme="minorBidi" w:hAnsiTheme="minorBidi"/>
          <w:bCs/>
          <w:sz w:val="22"/>
          <w:szCs w:val="22"/>
        </w:rPr>
        <w:t xml:space="preserve"> of EPR implementation (Pape et al., 2024). Additionally, the cost of EPR implementation, including software, hardware </w:t>
      </w:r>
      <w:r w:rsidR="00377D0F" w:rsidRPr="006E7B65">
        <w:rPr>
          <w:rFonts w:asciiTheme="minorBidi" w:hAnsiTheme="minorBidi"/>
          <w:bCs/>
          <w:sz w:val="22"/>
          <w:szCs w:val="22"/>
        </w:rPr>
        <w:t>modernization</w:t>
      </w:r>
      <w:r w:rsidRPr="006E7B65">
        <w:rPr>
          <w:rFonts w:asciiTheme="minorBidi" w:hAnsiTheme="minorBidi"/>
          <w:bCs/>
          <w:sz w:val="22"/>
          <w:szCs w:val="22"/>
        </w:rPr>
        <w:t>, and staff training, averages between £10-15 million per NHS Trust, placing a strain on budgets (ERA.org, 2024). These economic constraints and technical challenges underscore the need for strategic planning, adequate investments, and a more incremental approach to EPR implementation to ensure future success in enhancing service delivery and patient care outcomes.</w:t>
      </w:r>
    </w:p>
    <w:p w14:paraId="31CFB658" w14:textId="77777777" w:rsidR="0028779F" w:rsidRPr="006E7B65" w:rsidRDefault="0028779F" w:rsidP="0028779F">
      <w:pPr>
        <w:pStyle w:val="Heading1"/>
        <w:rPr>
          <w:rFonts w:asciiTheme="minorBidi" w:hAnsiTheme="minorBidi" w:cstheme="minorBidi"/>
          <w:sz w:val="22"/>
          <w:szCs w:val="22"/>
        </w:rPr>
      </w:pPr>
      <w:bookmarkStart w:id="3" w:name="_Toc209438050"/>
      <w:r w:rsidRPr="006E7B65">
        <w:rPr>
          <w:rFonts w:asciiTheme="minorBidi" w:hAnsiTheme="minorBidi" w:cstheme="minorBidi"/>
          <w:sz w:val="22"/>
          <w:szCs w:val="22"/>
        </w:rPr>
        <w:t>Patient/Service User Impact</w:t>
      </w:r>
      <w:bookmarkEnd w:id="3"/>
    </w:p>
    <w:p w14:paraId="2ABD9B4A" w14:textId="65DD813C" w:rsidR="0055346D" w:rsidRPr="006E7B65" w:rsidRDefault="00F16B8F" w:rsidP="0055346D">
      <w:pPr>
        <w:rPr>
          <w:rFonts w:asciiTheme="minorBidi" w:hAnsiTheme="minorBidi"/>
          <w:bCs/>
          <w:sz w:val="22"/>
          <w:szCs w:val="22"/>
        </w:rPr>
      </w:pPr>
      <w:r w:rsidRPr="006E7B65">
        <w:rPr>
          <w:rFonts w:asciiTheme="minorBidi" w:hAnsiTheme="minorBidi"/>
          <w:bCs/>
          <w:sz w:val="22"/>
          <w:szCs w:val="22"/>
        </w:rPr>
        <w:t xml:space="preserve">Adoption of Electronic Patient Records (EPR) across the NHS has </w:t>
      </w:r>
      <w:r w:rsidR="00377D0F" w:rsidRPr="006E7B65">
        <w:rPr>
          <w:rFonts w:asciiTheme="minorBidi" w:hAnsiTheme="minorBidi"/>
          <w:bCs/>
          <w:sz w:val="22"/>
          <w:szCs w:val="22"/>
        </w:rPr>
        <w:t>enhanced</w:t>
      </w:r>
      <w:r w:rsidRPr="006E7B65">
        <w:rPr>
          <w:rFonts w:asciiTheme="minorBidi" w:hAnsiTheme="minorBidi"/>
          <w:bCs/>
          <w:sz w:val="22"/>
          <w:szCs w:val="22"/>
        </w:rPr>
        <w:t xml:space="preserve"> the </w:t>
      </w:r>
      <w:r w:rsidR="00377D0F" w:rsidRPr="006E7B65">
        <w:rPr>
          <w:rFonts w:asciiTheme="minorBidi" w:hAnsiTheme="minorBidi"/>
          <w:bCs/>
          <w:sz w:val="22"/>
          <w:szCs w:val="22"/>
        </w:rPr>
        <w:t>patient’s</w:t>
      </w:r>
      <w:r w:rsidRPr="006E7B65">
        <w:rPr>
          <w:rFonts w:asciiTheme="minorBidi" w:hAnsiTheme="minorBidi"/>
          <w:bCs/>
          <w:sz w:val="22"/>
          <w:szCs w:val="22"/>
        </w:rPr>
        <w:t xml:space="preserve"> journey through greater access to care, clinical </w:t>
      </w:r>
      <w:r w:rsidR="00377D0F" w:rsidRPr="006E7B65">
        <w:rPr>
          <w:rFonts w:asciiTheme="minorBidi" w:hAnsiTheme="minorBidi"/>
          <w:bCs/>
          <w:sz w:val="22"/>
          <w:szCs w:val="22"/>
        </w:rPr>
        <w:t>clarity,</w:t>
      </w:r>
      <w:r w:rsidRPr="006E7B65">
        <w:rPr>
          <w:rFonts w:asciiTheme="minorBidi" w:hAnsiTheme="minorBidi"/>
          <w:bCs/>
          <w:sz w:val="22"/>
          <w:szCs w:val="22"/>
        </w:rPr>
        <w:t xml:space="preserve"> and increased engagement with patients. EPRs give clinicians instant access to patient information</w:t>
      </w:r>
      <w:r w:rsidR="001714D8" w:rsidRPr="006E7B65">
        <w:rPr>
          <w:rFonts w:asciiTheme="minorBidi" w:hAnsiTheme="minorBidi"/>
          <w:bCs/>
          <w:sz w:val="22"/>
          <w:szCs w:val="22"/>
        </w:rPr>
        <w:t>,</w:t>
      </w:r>
      <w:r w:rsidRPr="006E7B65">
        <w:rPr>
          <w:rFonts w:asciiTheme="minorBidi" w:hAnsiTheme="minorBidi"/>
          <w:bCs/>
          <w:sz w:val="22"/>
          <w:szCs w:val="22"/>
        </w:rPr>
        <w:t xml:space="preserve"> which in turn fast-tracks diagnosis and cuts appointment waiting times by around 15%, as demonstrated at Guy's and St Thomas' Hospital (Graber, </w:t>
      </w:r>
      <w:r w:rsidR="00377D0F" w:rsidRPr="006E7B65">
        <w:rPr>
          <w:rFonts w:asciiTheme="minorBidi" w:hAnsiTheme="minorBidi"/>
          <w:bCs/>
          <w:sz w:val="22"/>
          <w:szCs w:val="22"/>
        </w:rPr>
        <w:t>Byrne,</w:t>
      </w:r>
      <w:r w:rsidRPr="006E7B65">
        <w:rPr>
          <w:rFonts w:asciiTheme="minorBidi" w:hAnsiTheme="minorBidi"/>
          <w:bCs/>
          <w:sz w:val="22"/>
          <w:szCs w:val="22"/>
        </w:rPr>
        <w:t xml:space="preserve"> </w:t>
      </w:r>
      <w:r w:rsidR="001714D8" w:rsidRPr="006E7B65">
        <w:rPr>
          <w:rFonts w:asciiTheme="minorBidi" w:hAnsiTheme="minorBidi"/>
          <w:bCs/>
          <w:sz w:val="22"/>
          <w:szCs w:val="22"/>
        </w:rPr>
        <w:t>and</w:t>
      </w:r>
      <w:r w:rsidRPr="006E7B65">
        <w:rPr>
          <w:rFonts w:asciiTheme="minorBidi" w:hAnsiTheme="minorBidi"/>
          <w:bCs/>
          <w:sz w:val="22"/>
          <w:szCs w:val="22"/>
        </w:rPr>
        <w:t xml:space="preserve"> Johnston, 2017). However, the true advantages of EPRs can only be gained once the system is adopted universally across all NHS trusts and uneven implementation in some parts will undermine its potential effectiveness. Furthermore, the NHS app has been integral in helping to improve </w:t>
      </w:r>
      <w:r w:rsidR="00377D0F" w:rsidRPr="006E7B65">
        <w:rPr>
          <w:rFonts w:asciiTheme="minorBidi" w:hAnsiTheme="minorBidi"/>
          <w:bCs/>
          <w:sz w:val="22"/>
          <w:szCs w:val="22"/>
        </w:rPr>
        <w:t>patients’</w:t>
      </w:r>
      <w:r w:rsidRPr="006E7B65">
        <w:rPr>
          <w:rFonts w:asciiTheme="minorBidi" w:hAnsiTheme="minorBidi"/>
          <w:bCs/>
          <w:sz w:val="22"/>
          <w:szCs w:val="22"/>
        </w:rPr>
        <w:t xml:space="preserve"> access to their medical records so that they can book appointments, order repeat </w:t>
      </w:r>
      <w:r w:rsidR="00377D0F" w:rsidRPr="006E7B65">
        <w:rPr>
          <w:rFonts w:asciiTheme="minorBidi" w:hAnsiTheme="minorBidi"/>
          <w:bCs/>
          <w:sz w:val="22"/>
          <w:szCs w:val="22"/>
        </w:rPr>
        <w:t>prescriptions,</w:t>
      </w:r>
      <w:r w:rsidRPr="006E7B65">
        <w:rPr>
          <w:rFonts w:asciiTheme="minorBidi" w:hAnsiTheme="minorBidi"/>
          <w:bCs/>
          <w:sz w:val="22"/>
          <w:szCs w:val="22"/>
        </w:rPr>
        <w:t xml:space="preserve"> and check test results from home. Though the NHS app promotes transparency, it underscores a digital gulf as many patients</w:t>
      </w:r>
      <w:r w:rsidR="001714D8" w:rsidRPr="006E7B65">
        <w:rPr>
          <w:rFonts w:asciiTheme="minorBidi" w:hAnsiTheme="minorBidi"/>
          <w:bCs/>
          <w:sz w:val="22"/>
          <w:szCs w:val="22"/>
        </w:rPr>
        <w:t xml:space="preserve">, </w:t>
      </w:r>
      <w:r w:rsidRPr="006E7B65">
        <w:rPr>
          <w:rFonts w:asciiTheme="minorBidi" w:hAnsiTheme="minorBidi"/>
          <w:bCs/>
          <w:sz w:val="22"/>
          <w:szCs w:val="22"/>
        </w:rPr>
        <w:t>particularly elderly ones and those who lack access to technology</w:t>
      </w:r>
      <w:r w:rsidR="001714D8" w:rsidRPr="006E7B65">
        <w:rPr>
          <w:rFonts w:asciiTheme="minorBidi" w:hAnsiTheme="minorBidi"/>
          <w:bCs/>
          <w:sz w:val="22"/>
          <w:szCs w:val="22"/>
        </w:rPr>
        <w:t>,</w:t>
      </w:r>
      <w:r w:rsidRPr="006E7B65">
        <w:rPr>
          <w:rFonts w:asciiTheme="minorBidi" w:hAnsiTheme="minorBidi"/>
          <w:bCs/>
          <w:sz w:val="22"/>
          <w:szCs w:val="22"/>
        </w:rPr>
        <w:t xml:space="preserve"> grapple with how to use </w:t>
      </w:r>
      <w:r w:rsidR="001714D8" w:rsidRPr="006E7B65">
        <w:rPr>
          <w:rFonts w:asciiTheme="minorBidi" w:hAnsiTheme="minorBidi"/>
          <w:bCs/>
          <w:sz w:val="22"/>
          <w:szCs w:val="22"/>
        </w:rPr>
        <w:t>it</w:t>
      </w:r>
      <w:r w:rsidRPr="006E7B65">
        <w:rPr>
          <w:rFonts w:asciiTheme="minorBidi" w:hAnsiTheme="minorBidi"/>
          <w:bCs/>
          <w:sz w:val="22"/>
          <w:szCs w:val="22"/>
        </w:rPr>
        <w:t>.</w:t>
      </w:r>
    </w:p>
    <w:p w14:paraId="20A4B62C" w14:textId="072E28D3" w:rsidR="00BA0432" w:rsidRPr="006E7B65" w:rsidRDefault="00BA0432" w:rsidP="001714D8">
      <w:pPr>
        <w:rPr>
          <w:rFonts w:asciiTheme="minorBidi" w:hAnsiTheme="minorBidi"/>
          <w:bCs/>
          <w:sz w:val="22"/>
          <w:szCs w:val="22"/>
        </w:rPr>
      </w:pPr>
      <w:r w:rsidRPr="006E7B65">
        <w:rPr>
          <w:rFonts w:asciiTheme="minorBidi" w:hAnsiTheme="minorBidi"/>
          <w:bCs/>
          <w:sz w:val="22"/>
          <w:szCs w:val="22"/>
        </w:rPr>
        <w:t xml:space="preserve">Electronic referral technologies increase health care professional communication, particularly in complex clinical situations needing experts. The National Health Service's e-Referral Service has streamlined the sentinel method, cutting waiting time and improving general practitioners' secondary care expertise (Williams, 2021). However, certain health care providers have had trouble implementing the e-Referral system, causing inefficiencies. Medical records are transparent, so patients may access their health data to better understand diagnosis and treatment and participate in shared decision-making. At University College London Hospital (UCLH), on-site lab results increased patient satisfaction by 20% (Ye and Wu, 2024). Despite this development, many patients, particularly those who are less tech-savvy, still struggle </w:t>
      </w:r>
      <w:r w:rsidR="004872D3" w:rsidRPr="006E7B65">
        <w:rPr>
          <w:rFonts w:asciiTheme="minorBidi" w:hAnsiTheme="minorBidi"/>
          <w:bCs/>
          <w:sz w:val="22"/>
          <w:szCs w:val="22"/>
        </w:rPr>
        <w:t>to use</w:t>
      </w:r>
      <w:r w:rsidRPr="006E7B65">
        <w:rPr>
          <w:rFonts w:asciiTheme="minorBidi" w:hAnsiTheme="minorBidi"/>
          <w:bCs/>
          <w:sz w:val="22"/>
          <w:szCs w:val="22"/>
        </w:rPr>
        <w:t xml:space="preserve"> the NHS app and electronic health data. </w:t>
      </w:r>
    </w:p>
    <w:p w14:paraId="49D6085B" w14:textId="6CD02BF1" w:rsidR="0028779F" w:rsidRPr="006E7B65" w:rsidRDefault="00BA0432" w:rsidP="001714D8">
      <w:pPr>
        <w:rPr>
          <w:rFonts w:asciiTheme="minorBidi" w:hAnsiTheme="minorBidi"/>
          <w:bCs/>
          <w:sz w:val="22"/>
          <w:szCs w:val="22"/>
        </w:rPr>
      </w:pPr>
      <w:r w:rsidRPr="006E7B65">
        <w:rPr>
          <w:rFonts w:asciiTheme="minorBidi" w:hAnsiTheme="minorBidi"/>
          <w:bCs/>
          <w:sz w:val="22"/>
          <w:szCs w:val="22"/>
        </w:rPr>
        <w:lastRenderedPageBreak/>
        <w:t xml:space="preserve">Digital illiteracy is </w:t>
      </w:r>
      <w:r w:rsidR="00E82E1F" w:rsidRPr="006E7B65">
        <w:rPr>
          <w:rFonts w:asciiTheme="minorBidi" w:hAnsiTheme="minorBidi"/>
          <w:bCs/>
          <w:sz w:val="22"/>
          <w:szCs w:val="22"/>
        </w:rPr>
        <w:t>a significant issue</w:t>
      </w:r>
      <w:r w:rsidRPr="006E7B65">
        <w:rPr>
          <w:rFonts w:asciiTheme="minorBidi" w:hAnsiTheme="minorBidi"/>
          <w:bCs/>
          <w:sz w:val="22"/>
          <w:szCs w:val="22"/>
        </w:rPr>
        <w:t xml:space="preserve">, particularly for elderly patients and those without adequate internet access. Twenty </w:t>
      </w:r>
      <w:r w:rsidR="00DA220C" w:rsidRPr="006E7B65">
        <w:rPr>
          <w:rFonts w:asciiTheme="minorBidi" w:hAnsiTheme="minorBidi"/>
          <w:bCs/>
          <w:sz w:val="22"/>
          <w:szCs w:val="22"/>
        </w:rPr>
        <w:t>per cent</w:t>
      </w:r>
      <w:r w:rsidRPr="006E7B65">
        <w:rPr>
          <w:rFonts w:asciiTheme="minorBidi" w:hAnsiTheme="minorBidi"/>
          <w:bCs/>
          <w:sz w:val="22"/>
          <w:szCs w:val="22"/>
        </w:rPr>
        <w:t xml:space="preserve"> of NHS Lanarkshire patients experienced trouble </w:t>
      </w:r>
      <w:r w:rsidR="00377D0F" w:rsidRPr="006E7B65">
        <w:rPr>
          <w:rFonts w:asciiTheme="minorBidi" w:hAnsiTheme="minorBidi"/>
          <w:bCs/>
          <w:sz w:val="22"/>
          <w:szCs w:val="22"/>
        </w:rPr>
        <w:t>utilizing</w:t>
      </w:r>
      <w:r w:rsidRPr="006E7B65">
        <w:rPr>
          <w:rFonts w:asciiTheme="minorBidi" w:hAnsiTheme="minorBidi"/>
          <w:bCs/>
          <w:sz w:val="22"/>
          <w:szCs w:val="22"/>
        </w:rPr>
        <w:t xml:space="preserve"> electronic patient record (EPR) portals, which reduced their care consumption (Al-saffar et al., 2021). Lack of internet access in rural regions has exacerbated the digital divide. The data privacy issue is crucial. The 2017 WannaCry ransomware exposed 80 NHS trusts' EPR system flaws, eroding their faith in their development (Khatiwada et al., 2024). Patients feel safe transmitting sensitive information electronically due to encryption, which makes them doubt EPR functionality and the NHS app.</w:t>
      </w:r>
    </w:p>
    <w:p w14:paraId="330B742F" w14:textId="77777777" w:rsidR="0028779F" w:rsidRPr="006E7B65" w:rsidRDefault="0028779F" w:rsidP="0028779F">
      <w:pPr>
        <w:pStyle w:val="Heading1"/>
        <w:rPr>
          <w:rFonts w:asciiTheme="minorBidi" w:hAnsiTheme="minorBidi" w:cstheme="minorBidi"/>
          <w:sz w:val="22"/>
          <w:szCs w:val="22"/>
        </w:rPr>
      </w:pPr>
      <w:bookmarkStart w:id="4" w:name="_Toc209438051"/>
      <w:r w:rsidRPr="006E7B65">
        <w:rPr>
          <w:rFonts w:asciiTheme="minorBidi" w:hAnsiTheme="minorBidi" w:cstheme="minorBidi"/>
          <w:sz w:val="22"/>
          <w:szCs w:val="22"/>
        </w:rPr>
        <w:t>Community Impact</w:t>
      </w:r>
      <w:bookmarkEnd w:id="4"/>
    </w:p>
    <w:p w14:paraId="12038312" w14:textId="7951323C" w:rsidR="00B87590" w:rsidRPr="006E7B65" w:rsidRDefault="00192142" w:rsidP="00B87590">
      <w:pPr>
        <w:rPr>
          <w:rFonts w:asciiTheme="minorBidi" w:hAnsiTheme="minorBidi"/>
          <w:sz w:val="22"/>
          <w:szCs w:val="22"/>
        </w:rPr>
      </w:pPr>
      <w:r w:rsidRPr="006E7B65">
        <w:rPr>
          <w:rFonts w:asciiTheme="minorBidi" w:hAnsiTheme="minorBidi"/>
          <w:sz w:val="22"/>
          <w:szCs w:val="22"/>
        </w:rPr>
        <w:t xml:space="preserve">Electronic patient records (EPR) have </w:t>
      </w:r>
      <w:r w:rsidR="00377D0F" w:rsidRPr="006E7B65">
        <w:rPr>
          <w:rFonts w:asciiTheme="minorBidi" w:hAnsiTheme="minorBidi"/>
          <w:sz w:val="22"/>
          <w:szCs w:val="22"/>
        </w:rPr>
        <w:t>influenced</w:t>
      </w:r>
      <w:r w:rsidRPr="006E7B65">
        <w:rPr>
          <w:rFonts w:asciiTheme="minorBidi" w:hAnsiTheme="minorBidi"/>
          <w:sz w:val="22"/>
          <w:szCs w:val="22"/>
        </w:rPr>
        <w:t xml:space="preserve"> the </w:t>
      </w:r>
      <w:r w:rsidR="00E82E1F" w:rsidRPr="006E7B65">
        <w:rPr>
          <w:rFonts w:asciiTheme="minorBidi" w:hAnsiTheme="minorBidi"/>
          <w:sz w:val="22"/>
          <w:szCs w:val="22"/>
        </w:rPr>
        <w:t>entire population</w:t>
      </w:r>
      <w:r w:rsidRPr="006E7B65">
        <w:rPr>
          <w:rFonts w:asciiTheme="minorBidi" w:hAnsiTheme="minorBidi"/>
          <w:sz w:val="22"/>
          <w:szCs w:val="22"/>
        </w:rPr>
        <w:t>, especially the rural and underserved communities</w:t>
      </w:r>
      <w:r w:rsidR="00352147" w:rsidRPr="006E7B65">
        <w:rPr>
          <w:rFonts w:asciiTheme="minorBidi" w:hAnsiTheme="minorBidi"/>
          <w:sz w:val="22"/>
          <w:szCs w:val="22"/>
        </w:rPr>
        <w:t>,</w:t>
      </w:r>
      <w:r w:rsidRPr="006E7B65">
        <w:rPr>
          <w:rFonts w:asciiTheme="minorBidi" w:hAnsiTheme="minorBidi"/>
          <w:sz w:val="22"/>
          <w:szCs w:val="22"/>
        </w:rPr>
        <w:t xml:space="preserve"> where it has enhanced access to care and further forms of effective interaction among patients, </w:t>
      </w:r>
      <w:r w:rsidR="00377D0F" w:rsidRPr="006E7B65">
        <w:rPr>
          <w:rFonts w:asciiTheme="minorBidi" w:hAnsiTheme="minorBidi"/>
          <w:sz w:val="22"/>
          <w:szCs w:val="22"/>
        </w:rPr>
        <w:t>families,</w:t>
      </w:r>
      <w:r w:rsidRPr="006E7B65">
        <w:rPr>
          <w:rFonts w:asciiTheme="minorBidi" w:hAnsiTheme="minorBidi"/>
          <w:sz w:val="22"/>
          <w:szCs w:val="22"/>
        </w:rPr>
        <w:t xml:space="preserve"> and health care providers. Among the outstanding impacts of EPR systems, it is possible to distinguish the improvement of access to healthcare among people in distant locations (Amri and Sihotang, 2023). Conventionally, rural communities or underserved groups of patients have experienced the problem of accessing timely care because of </w:t>
      </w:r>
      <w:r w:rsidR="00765FF6" w:rsidRPr="006E7B65">
        <w:rPr>
          <w:rFonts w:asciiTheme="minorBidi" w:hAnsiTheme="minorBidi"/>
          <w:sz w:val="22"/>
          <w:szCs w:val="22"/>
        </w:rPr>
        <w:t>geographical barriers</w:t>
      </w:r>
      <w:r w:rsidRPr="006E7B65">
        <w:rPr>
          <w:rFonts w:asciiTheme="minorBidi" w:hAnsiTheme="minorBidi"/>
          <w:sz w:val="22"/>
          <w:szCs w:val="22"/>
        </w:rPr>
        <w:t xml:space="preserve">, distance, and a shortage of healthcare facilities. One of </w:t>
      </w:r>
      <w:r w:rsidR="001714D8" w:rsidRPr="006E7B65">
        <w:rPr>
          <w:rFonts w:asciiTheme="minorBidi" w:hAnsiTheme="minorBidi"/>
          <w:sz w:val="22"/>
          <w:szCs w:val="22"/>
        </w:rPr>
        <w:t>the ways</w:t>
      </w:r>
      <w:r w:rsidR="00765FF6" w:rsidRPr="006E7B65">
        <w:rPr>
          <w:rFonts w:asciiTheme="minorBidi" w:hAnsiTheme="minorBidi"/>
          <w:sz w:val="22"/>
          <w:szCs w:val="22"/>
        </w:rPr>
        <w:t xml:space="preserve"> EPRs alleviate</w:t>
      </w:r>
      <w:r w:rsidRPr="006E7B65">
        <w:rPr>
          <w:rFonts w:asciiTheme="minorBidi" w:hAnsiTheme="minorBidi"/>
          <w:sz w:val="22"/>
          <w:szCs w:val="22"/>
        </w:rPr>
        <w:t xml:space="preserve"> these barriers is through remote consultations and post-discharge care. As an example, healthcare practitioners in metropolitan areas can now conveniently access the medical data of patients in rural areas and therefore give valuable advice, track treatment </w:t>
      </w:r>
      <w:r w:rsidR="00377D0F" w:rsidRPr="006E7B65">
        <w:rPr>
          <w:rFonts w:asciiTheme="minorBidi" w:hAnsiTheme="minorBidi"/>
          <w:sz w:val="22"/>
          <w:szCs w:val="22"/>
        </w:rPr>
        <w:t>outcomes,</w:t>
      </w:r>
      <w:r w:rsidRPr="006E7B65">
        <w:rPr>
          <w:rFonts w:asciiTheme="minorBidi" w:hAnsiTheme="minorBidi"/>
          <w:sz w:val="22"/>
          <w:szCs w:val="22"/>
        </w:rPr>
        <w:t xml:space="preserve"> and make necessary referrals without patients having to travel long distances (Haleem et al., 2021).</w:t>
      </w:r>
      <w:r w:rsidR="00CA4D1D" w:rsidRPr="006E7B65">
        <w:rPr>
          <w:rFonts w:asciiTheme="minorBidi" w:hAnsiTheme="minorBidi"/>
          <w:sz w:val="22"/>
          <w:szCs w:val="22"/>
        </w:rPr>
        <w:t xml:space="preserve"> </w:t>
      </w:r>
      <w:r w:rsidR="00B334A0" w:rsidRPr="006E7B65">
        <w:rPr>
          <w:rFonts w:asciiTheme="minorBidi" w:hAnsiTheme="minorBidi"/>
          <w:sz w:val="22"/>
          <w:szCs w:val="22"/>
        </w:rPr>
        <w:t xml:space="preserve">To </w:t>
      </w:r>
      <w:r w:rsidR="00377D0F" w:rsidRPr="006E7B65">
        <w:rPr>
          <w:rFonts w:asciiTheme="minorBidi" w:hAnsiTheme="minorBidi"/>
          <w:sz w:val="22"/>
          <w:szCs w:val="22"/>
        </w:rPr>
        <w:t>minimize</w:t>
      </w:r>
      <w:r w:rsidR="00B334A0" w:rsidRPr="006E7B65">
        <w:rPr>
          <w:rFonts w:asciiTheme="minorBidi" w:hAnsiTheme="minorBidi"/>
          <w:sz w:val="22"/>
          <w:szCs w:val="22"/>
        </w:rPr>
        <w:t xml:space="preserve"> these shortcomings and to sustain the facility in the pursuit of the standard of care, the NHS and other medical </w:t>
      </w:r>
      <w:r w:rsidR="00377D0F" w:rsidRPr="006E7B65">
        <w:rPr>
          <w:rFonts w:asciiTheme="minorBidi" w:hAnsiTheme="minorBidi"/>
          <w:sz w:val="22"/>
          <w:szCs w:val="22"/>
        </w:rPr>
        <w:t>organizations</w:t>
      </w:r>
      <w:r w:rsidR="00B334A0" w:rsidRPr="006E7B65">
        <w:rPr>
          <w:rFonts w:asciiTheme="minorBidi" w:hAnsiTheme="minorBidi"/>
          <w:sz w:val="22"/>
          <w:szCs w:val="22"/>
        </w:rPr>
        <w:t xml:space="preserve"> have taken the magnanimous stance of adopting Electronic Patient Records (EPRs) that could guarantee </w:t>
      </w:r>
      <w:r w:rsidR="00377D0F" w:rsidRPr="006E7B65">
        <w:rPr>
          <w:rFonts w:asciiTheme="minorBidi" w:hAnsiTheme="minorBidi"/>
          <w:sz w:val="22"/>
          <w:szCs w:val="22"/>
        </w:rPr>
        <w:t>standardization</w:t>
      </w:r>
      <w:r w:rsidR="00B334A0" w:rsidRPr="006E7B65">
        <w:rPr>
          <w:rFonts w:asciiTheme="minorBidi" w:hAnsiTheme="minorBidi"/>
          <w:sz w:val="22"/>
          <w:szCs w:val="22"/>
        </w:rPr>
        <w:t xml:space="preserve"> of care </w:t>
      </w:r>
      <w:r w:rsidR="001714D8" w:rsidRPr="006E7B65">
        <w:rPr>
          <w:rFonts w:asciiTheme="minorBidi" w:hAnsiTheme="minorBidi"/>
          <w:sz w:val="22"/>
          <w:szCs w:val="22"/>
        </w:rPr>
        <w:t>across</w:t>
      </w:r>
      <w:r w:rsidR="00B334A0" w:rsidRPr="006E7B65">
        <w:rPr>
          <w:rFonts w:asciiTheme="minorBidi" w:hAnsiTheme="minorBidi"/>
          <w:sz w:val="22"/>
          <w:szCs w:val="22"/>
        </w:rPr>
        <w:t xml:space="preserve"> all fields. Another </w:t>
      </w:r>
      <w:r w:rsidR="00E82E1F" w:rsidRPr="006E7B65">
        <w:rPr>
          <w:rFonts w:asciiTheme="minorBidi" w:hAnsiTheme="minorBidi"/>
          <w:sz w:val="22"/>
          <w:szCs w:val="22"/>
        </w:rPr>
        <w:t>key role</w:t>
      </w:r>
      <w:r w:rsidR="00B334A0" w:rsidRPr="006E7B65">
        <w:rPr>
          <w:rFonts w:asciiTheme="minorBidi" w:hAnsiTheme="minorBidi"/>
          <w:sz w:val="22"/>
          <w:szCs w:val="22"/>
        </w:rPr>
        <w:t xml:space="preserve"> i</w:t>
      </w:r>
      <w:r w:rsidR="00285795">
        <w:rPr>
          <w:rFonts w:asciiTheme="minorBidi" w:hAnsiTheme="minorBidi"/>
          <w:sz w:val="22"/>
          <w:szCs w:val="22"/>
        </w:rPr>
        <w:t>mplemented</w:t>
      </w:r>
      <w:r w:rsidR="00B334A0" w:rsidRPr="006E7B65">
        <w:rPr>
          <w:rFonts w:asciiTheme="minorBidi" w:hAnsiTheme="minorBidi"/>
          <w:sz w:val="22"/>
          <w:szCs w:val="22"/>
        </w:rPr>
        <w:t xml:space="preserve"> by the national NHS app, which provides a patient with an opportunity to open secure access to his or her health record, make appointments, and interact with medical staff remotely.</w:t>
      </w:r>
    </w:p>
    <w:p w14:paraId="78FAF527" w14:textId="23BF07DA" w:rsidR="004F28ED" w:rsidRPr="006E7B65" w:rsidRDefault="00B87590" w:rsidP="00B87590">
      <w:pPr>
        <w:rPr>
          <w:rFonts w:asciiTheme="minorBidi" w:hAnsiTheme="minorBidi"/>
          <w:sz w:val="22"/>
          <w:szCs w:val="22"/>
        </w:rPr>
      </w:pPr>
      <w:r w:rsidRPr="006E7B65">
        <w:rPr>
          <w:rFonts w:asciiTheme="minorBidi" w:hAnsiTheme="minorBidi"/>
          <w:sz w:val="22"/>
          <w:szCs w:val="22"/>
        </w:rPr>
        <w:t xml:space="preserve">Furthermore, EPRs have also </w:t>
      </w:r>
      <w:r w:rsidR="00FD5CB8" w:rsidRPr="006E7B65">
        <w:rPr>
          <w:rFonts w:asciiTheme="minorBidi" w:hAnsiTheme="minorBidi"/>
          <w:sz w:val="22"/>
          <w:szCs w:val="22"/>
        </w:rPr>
        <w:t>greatly impacted</w:t>
      </w:r>
      <w:r w:rsidRPr="006E7B65">
        <w:rPr>
          <w:rFonts w:asciiTheme="minorBidi" w:hAnsiTheme="minorBidi"/>
          <w:sz w:val="22"/>
          <w:szCs w:val="22"/>
        </w:rPr>
        <w:t xml:space="preserve"> how patients are handled by their families. In </w:t>
      </w:r>
      <w:r w:rsidR="00377D0F" w:rsidRPr="006E7B65">
        <w:rPr>
          <w:rFonts w:asciiTheme="minorBidi" w:hAnsiTheme="minorBidi"/>
          <w:sz w:val="22"/>
          <w:szCs w:val="22"/>
        </w:rPr>
        <w:t>most</w:t>
      </w:r>
      <w:r w:rsidRPr="006E7B65">
        <w:rPr>
          <w:rFonts w:asciiTheme="minorBidi" w:hAnsiTheme="minorBidi"/>
          <w:sz w:val="22"/>
          <w:szCs w:val="22"/>
        </w:rPr>
        <w:t xml:space="preserve"> cases, family members </w:t>
      </w:r>
      <w:r w:rsidR="00377D0F" w:rsidRPr="006E7B65">
        <w:rPr>
          <w:rFonts w:asciiTheme="minorBidi" w:hAnsiTheme="minorBidi"/>
          <w:sz w:val="22"/>
          <w:szCs w:val="22"/>
        </w:rPr>
        <w:t>tend</w:t>
      </w:r>
      <w:r w:rsidRPr="006E7B65">
        <w:rPr>
          <w:rFonts w:asciiTheme="minorBidi" w:hAnsiTheme="minorBidi"/>
          <w:sz w:val="22"/>
          <w:szCs w:val="22"/>
        </w:rPr>
        <w:t xml:space="preserve"> to be the major support system of patients, particularly in situations of chronic diseases or managing cases. </w:t>
      </w:r>
      <w:r w:rsidR="00CC0DDA" w:rsidRPr="006E7B65">
        <w:rPr>
          <w:rFonts w:asciiTheme="minorBidi" w:hAnsiTheme="minorBidi"/>
          <w:sz w:val="22"/>
          <w:szCs w:val="22"/>
        </w:rPr>
        <w:t>EPR systems allow families to record medical histories, treatment plans, and test results in real time (Vicoveanu et al., 2025)</w:t>
      </w:r>
      <w:r w:rsidR="00377D0F" w:rsidRPr="006E7B65">
        <w:rPr>
          <w:rFonts w:asciiTheme="minorBidi" w:hAnsiTheme="minorBidi"/>
          <w:sz w:val="22"/>
          <w:szCs w:val="22"/>
        </w:rPr>
        <w:t xml:space="preserve">. </w:t>
      </w:r>
      <w:r w:rsidR="00CC0DDA" w:rsidRPr="006E7B65">
        <w:rPr>
          <w:rFonts w:asciiTheme="minorBidi" w:hAnsiTheme="minorBidi"/>
          <w:sz w:val="22"/>
          <w:szCs w:val="22"/>
        </w:rPr>
        <w:t xml:space="preserve">This openness will help relatives to learn more about the patient and participate more </w:t>
      </w:r>
      <w:r w:rsidR="00377D0F" w:rsidRPr="006E7B65">
        <w:rPr>
          <w:rFonts w:asciiTheme="minorBidi" w:hAnsiTheme="minorBidi"/>
          <w:sz w:val="22"/>
          <w:szCs w:val="22"/>
        </w:rPr>
        <w:t>in</w:t>
      </w:r>
      <w:r w:rsidR="00CC0DDA" w:rsidRPr="006E7B65">
        <w:rPr>
          <w:rFonts w:asciiTheme="minorBidi" w:hAnsiTheme="minorBidi"/>
          <w:sz w:val="22"/>
          <w:szCs w:val="22"/>
        </w:rPr>
        <w:t xml:space="preserve"> treatment. </w:t>
      </w:r>
      <w:r w:rsidRPr="006E7B65">
        <w:rPr>
          <w:rFonts w:asciiTheme="minorBidi" w:hAnsiTheme="minorBidi"/>
          <w:sz w:val="22"/>
          <w:szCs w:val="22"/>
        </w:rPr>
        <w:t xml:space="preserve">A case study by NHS Digital describes that due to the adoption of EPRs in patient care at the community level, the families themselves became more actively involved in the decision-making process and even </w:t>
      </w:r>
      <w:r w:rsidRPr="006E7B65">
        <w:rPr>
          <w:rFonts w:asciiTheme="minorBidi" w:hAnsiTheme="minorBidi"/>
          <w:sz w:val="22"/>
          <w:szCs w:val="22"/>
        </w:rPr>
        <w:lastRenderedPageBreak/>
        <w:t>improved the overall outcomes of patients (England, 2023).</w:t>
      </w:r>
      <w:r w:rsidR="004F28ED" w:rsidRPr="006E7B65">
        <w:rPr>
          <w:rFonts w:asciiTheme="minorBidi" w:hAnsiTheme="minorBidi"/>
          <w:sz w:val="22"/>
          <w:szCs w:val="22"/>
        </w:rPr>
        <w:t xml:space="preserve"> It allows direct communication between families and healthcare providers via the patient portals, guaranteeing consistent care, especially to geriatric or frail patients. </w:t>
      </w:r>
    </w:p>
    <w:p w14:paraId="4E9BCD75" w14:textId="23E09572" w:rsidR="0028779F" w:rsidRPr="006E7B65" w:rsidRDefault="004F28ED" w:rsidP="004F28ED">
      <w:pPr>
        <w:rPr>
          <w:rFonts w:asciiTheme="minorBidi" w:hAnsiTheme="minorBidi"/>
          <w:sz w:val="22"/>
          <w:szCs w:val="22"/>
        </w:rPr>
      </w:pPr>
      <w:r w:rsidRPr="006E7B65">
        <w:rPr>
          <w:rFonts w:asciiTheme="minorBidi" w:hAnsiTheme="minorBidi"/>
          <w:sz w:val="22"/>
          <w:szCs w:val="22"/>
        </w:rPr>
        <w:t xml:space="preserve">The addition of EPR systems can also be used to co-produce in the medical field, in which patients, relatives, and healthcare professionals use it to </w:t>
      </w:r>
      <w:r w:rsidR="00377D0F" w:rsidRPr="006E7B65">
        <w:rPr>
          <w:rFonts w:asciiTheme="minorBidi" w:hAnsiTheme="minorBidi"/>
          <w:sz w:val="22"/>
          <w:szCs w:val="22"/>
        </w:rPr>
        <w:t>optimize</w:t>
      </w:r>
      <w:r w:rsidRPr="006E7B65">
        <w:rPr>
          <w:rFonts w:asciiTheme="minorBidi" w:hAnsiTheme="minorBidi"/>
          <w:sz w:val="22"/>
          <w:szCs w:val="22"/>
        </w:rPr>
        <w:t xml:space="preserve"> health results (Gremyr et al., 2021). Through EPRs, patients and families </w:t>
      </w:r>
      <w:r w:rsidR="005E58FC" w:rsidRPr="006E7B65">
        <w:rPr>
          <w:rFonts w:asciiTheme="minorBidi" w:hAnsiTheme="minorBidi"/>
          <w:sz w:val="22"/>
          <w:szCs w:val="22"/>
        </w:rPr>
        <w:t>can</w:t>
      </w:r>
      <w:r w:rsidRPr="006E7B65">
        <w:rPr>
          <w:rFonts w:asciiTheme="minorBidi" w:hAnsiTheme="minorBidi"/>
          <w:sz w:val="22"/>
          <w:szCs w:val="22"/>
        </w:rPr>
        <w:t xml:space="preserve"> be more involved in the process of treatment by giving detailed information on medical history trends as well as preferences, so that the services offered are affected by individual patient needs. </w:t>
      </w:r>
      <w:r w:rsidR="00B87590" w:rsidRPr="006E7B65">
        <w:rPr>
          <w:rFonts w:asciiTheme="minorBidi" w:hAnsiTheme="minorBidi"/>
          <w:sz w:val="22"/>
          <w:szCs w:val="22"/>
        </w:rPr>
        <w:t>As an illustration, a patient can fill in discrepancies in his health</w:t>
      </w:r>
      <w:r w:rsidR="00FD5CB8" w:rsidRPr="006E7B65">
        <w:rPr>
          <w:rFonts w:asciiTheme="minorBidi" w:hAnsiTheme="minorBidi"/>
          <w:sz w:val="22"/>
          <w:szCs w:val="22"/>
        </w:rPr>
        <w:t>,</w:t>
      </w:r>
      <w:r w:rsidR="00B87590" w:rsidRPr="006E7B65">
        <w:rPr>
          <w:rFonts w:asciiTheme="minorBidi" w:hAnsiTheme="minorBidi"/>
          <w:sz w:val="22"/>
          <w:szCs w:val="22"/>
        </w:rPr>
        <w:t xml:space="preserve"> such as lifestyle changes</w:t>
      </w:r>
      <w:r w:rsidR="00765FF6" w:rsidRPr="006E7B65">
        <w:rPr>
          <w:rFonts w:asciiTheme="minorBidi" w:hAnsiTheme="minorBidi"/>
          <w:sz w:val="22"/>
          <w:szCs w:val="22"/>
        </w:rPr>
        <w:t xml:space="preserve"> and </w:t>
      </w:r>
      <w:r w:rsidR="00B87590" w:rsidRPr="006E7B65">
        <w:rPr>
          <w:rFonts w:asciiTheme="minorBidi" w:hAnsiTheme="minorBidi"/>
          <w:sz w:val="22"/>
          <w:szCs w:val="22"/>
        </w:rPr>
        <w:t>the onset of new symptoms, which a healthcare professional can evaluate to correct the treatment delivery (American Diabetes Association, 2020)</w:t>
      </w:r>
      <w:r w:rsidR="00FD5CB8" w:rsidRPr="006E7B65">
        <w:rPr>
          <w:rFonts w:asciiTheme="minorBidi" w:hAnsiTheme="minorBidi"/>
          <w:sz w:val="22"/>
          <w:szCs w:val="22"/>
        </w:rPr>
        <w:t>,</w:t>
      </w:r>
      <w:r w:rsidR="00B87590" w:rsidRPr="006E7B65">
        <w:rPr>
          <w:rFonts w:asciiTheme="minorBidi" w:hAnsiTheme="minorBidi"/>
          <w:sz w:val="22"/>
          <w:szCs w:val="22"/>
        </w:rPr>
        <w:t xml:space="preserve"> which will be integrated alongside patient satisfaction, hence improved patient care. Further, this ability to share the medical records between the various providers will ensure continuation</w:t>
      </w:r>
      <w:r w:rsidR="00377D0F" w:rsidRPr="006E7B65">
        <w:rPr>
          <w:rFonts w:asciiTheme="minorBidi" w:hAnsiTheme="minorBidi"/>
          <w:sz w:val="22"/>
          <w:szCs w:val="22"/>
        </w:rPr>
        <w:t>/coordination</w:t>
      </w:r>
      <w:r w:rsidR="00B87590" w:rsidRPr="006E7B65">
        <w:rPr>
          <w:rFonts w:asciiTheme="minorBidi" w:hAnsiTheme="minorBidi"/>
          <w:sz w:val="22"/>
          <w:szCs w:val="22"/>
        </w:rPr>
        <w:t xml:space="preserve"> of care among patients whose care may be tapped by various providers.</w:t>
      </w:r>
    </w:p>
    <w:p w14:paraId="4A25D7BF" w14:textId="77777777" w:rsidR="0028779F" w:rsidRPr="006E7B65" w:rsidRDefault="0028779F" w:rsidP="0028779F">
      <w:pPr>
        <w:pStyle w:val="Heading1"/>
        <w:rPr>
          <w:rFonts w:asciiTheme="minorBidi" w:hAnsiTheme="minorBidi" w:cstheme="minorBidi"/>
          <w:sz w:val="22"/>
          <w:szCs w:val="22"/>
        </w:rPr>
      </w:pPr>
      <w:bookmarkStart w:id="5" w:name="_Toc209438052"/>
      <w:r w:rsidRPr="006E7B65">
        <w:rPr>
          <w:rFonts w:asciiTheme="minorBidi" w:hAnsiTheme="minorBidi" w:cstheme="minorBidi"/>
          <w:sz w:val="22"/>
          <w:szCs w:val="22"/>
        </w:rPr>
        <w:t>Conclusion and Recommendations</w:t>
      </w:r>
      <w:bookmarkEnd w:id="5"/>
    </w:p>
    <w:p w14:paraId="28D296DA" w14:textId="7CF41D2E" w:rsidR="00A54A29" w:rsidRPr="006E7B65" w:rsidRDefault="00192142" w:rsidP="00A54A29">
      <w:pPr>
        <w:rPr>
          <w:rFonts w:asciiTheme="minorBidi" w:hAnsiTheme="minorBidi"/>
          <w:sz w:val="22"/>
          <w:szCs w:val="22"/>
        </w:rPr>
      </w:pPr>
      <w:r w:rsidRPr="006E7B65">
        <w:rPr>
          <w:rFonts w:asciiTheme="minorBidi" w:hAnsiTheme="minorBidi"/>
          <w:sz w:val="22"/>
          <w:szCs w:val="22"/>
        </w:rPr>
        <w:t>In conclusion,</w:t>
      </w:r>
      <w:r w:rsidR="004F28ED" w:rsidRPr="006E7B65">
        <w:rPr>
          <w:rFonts w:asciiTheme="minorBidi" w:hAnsiTheme="minorBidi"/>
          <w:sz w:val="22"/>
          <w:szCs w:val="22"/>
        </w:rPr>
        <w:t xml:space="preserve"> the introduction of </w:t>
      </w:r>
      <w:r w:rsidR="00765FF6" w:rsidRPr="006E7B65">
        <w:rPr>
          <w:rFonts w:asciiTheme="minorBidi" w:hAnsiTheme="minorBidi"/>
          <w:sz w:val="22"/>
          <w:szCs w:val="22"/>
        </w:rPr>
        <w:t xml:space="preserve">electronic patient records (EPR) systems into the UK healthcare industry </w:t>
      </w:r>
      <w:r w:rsidR="004F28ED" w:rsidRPr="006E7B65">
        <w:rPr>
          <w:rFonts w:asciiTheme="minorBidi" w:hAnsiTheme="minorBidi"/>
          <w:sz w:val="22"/>
          <w:szCs w:val="22"/>
        </w:rPr>
        <w:t xml:space="preserve">resulted in dramatic changes in </w:t>
      </w:r>
      <w:r w:rsidR="005E58FC" w:rsidRPr="006E7B65">
        <w:rPr>
          <w:rFonts w:asciiTheme="minorBidi" w:hAnsiTheme="minorBidi"/>
          <w:sz w:val="22"/>
          <w:szCs w:val="22"/>
        </w:rPr>
        <w:t>several</w:t>
      </w:r>
      <w:r w:rsidR="004F28ED" w:rsidRPr="006E7B65">
        <w:rPr>
          <w:rFonts w:asciiTheme="minorBidi" w:hAnsiTheme="minorBidi"/>
          <w:sz w:val="22"/>
          <w:szCs w:val="22"/>
        </w:rPr>
        <w:t xml:space="preserve"> spheres. Efficiency has been boosted in the workforce with medical practitioners </w:t>
      </w:r>
      <w:r w:rsidR="00377D0F" w:rsidRPr="006E7B65">
        <w:rPr>
          <w:rFonts w:asciiTheme="minorBidi" w:hAnsiTheme="minorBidi"/>
          <w:sz w:val="22"/>
          <w:szCs w:val="22"/>
        </w:rPr>
        <w:t>utilizing</w:t>
      </w:r>
      <w:r w:rsidR="004F28ED" w:rsidRPr="006E7B65">
        <w:rPr>
          <w:rFonts w:asciiTheme="minorBidi" w:hAnsiTheme="minorBidi"/>
          <w:sz w:val="22"/>
          <w:szCs w:val="22"/>
        </w:rPr>
        <w:t xml:space="preserve"> less time doing other administrative duties, albeit with difficulties in training and acquiring digital literacy. The delivery of services has been </w:t>
      </w:r>
      <w:r w:rsidR="003108DC">
        <w:rPr>
          <w:rFonts w:asciiTheme="minorBidi" w:hAnsiTheme="minorBidi"/>
          <w:sz w:val="22"/>
          <w:szCs w:val="22"/>
        </w:rPr>
        <w:t>designed</w:t>
      </w:r>
      <w:r w:rsidR="004F28ED" w:rsidRPr="006E7B65">
        <w:rPr>
          <w:rFonts w:asciiTheme="minorBidi" w:hAnsiTheme="minorBidi"/>
          <w:sz w:val="22"/>
          <w:szCs w:val="22"/>
        </w:rPr>
        <w:t xml:space="preserve"> easier, and diagnostics and more coordinated care have been improved, despite early integration </w:t>
      </w:r>
      <w:r w:rsidR="003108DC">
        <w:rPr>
          <w:rFonts w:asciiTheme="minorBidi" w:hAnsiTheme="minorBidi"/>
          <w:sz w:val="22"/>
          <w:szCs w:val="22"/>
        </w:rPr>
        <w:t xml:space="preserve">of </w:t>
      </w:r>
      <w:r w:rsidR="004F28ED" w:rsidRPr="006E7B65">
        <w:rPr>
          <w:rFonts w:asciiTheme="minorBidi" w:hAnsiTheme="minorBidi"/>
          <w:sz w:val="22"/>
          <w:szCs w:val="22"/>
        </w:rPr>
        <w:t xml:space="preserve">complications and </w:t>
      </w:r>
      <w:r w:rsidR="00E82E1F" w:rsidRPr="006E7B65">
        <w:rPr>
          <w:rFonts w:asciiTheme="minorBidi" w:hAnsiTheme="minorBidi"/>
          <w:sz w:val="22"/>
          <w:szCs w:val="22"/>
        </w:rPr>
        <w:t>excessive costs</w:t>
      </w:r>
      <w:r w:rsidR="004F28ED" w:rsidRPr="006E7B65">
        <w:rPr>
          <w:rFonts w:asciiTheme="minorBidi" w:hAnsiTheme="minorBidi"/>
          <w:sz w:val="22"/>
          <w:szCs w:val="22"/>
        </w:rPr>
        <w:t xml:space="preserve"> of </w:t>
      </w:r>
      <w:r w:rsidR="00E82E1F" w:rsidRPr="006E7B65">
        <w:rPr>
          <w:rFonts w:asciiTheme="minorBidi" w:hAnsiTheme="minorBidi"/>
          <w:sz w:val="22"/>
          <w:szCs w:val="22"/>
        </w:rPr>
        <w:t>setting up</w:t>
      </w:r>
      <w:r w:rsidR="004F28ED" w:rsidRPr="006E7B65">
        <w:rPr>
          <w:rFonts w:asciiTheme="minorBidi" w:hAnsiTheme="minorBidi"/>
          <w:sz w:val="22"/>
          <w:szCs w:val="22"/>
        </w:rPr>
        <w:t xml:space="preserve">. Patients experience more transparency and engagement, but such impediments as digital literacy and </w:t>
      </w:r>
      <w:r w:rsidR="00377D0F" w:rsidRPr="006E7B65">
        <w:rPr>
          <w:rFonts w:asciiTheme="minorBidi" w:hAnsiTheme="minorBidi"/>
          <w:sz w:val="22"/>
          <w:szCs w:val="22"/>
        </w:rPr>
        <w:t>privacy</w:t>
      </w:r>
      <w:r w:rsidR="004F28ED" w:rsidRPr="006E7B65">
        <w:rPr>
          <w:rFonts w:asciiTheme="minorBidi" w:hAnsiTheme="minorBidi"/>
          <w:sz w:val="22"/>
          <w:szCs w:val="22"/>
        </w:rPr>
        <w:t xml:space="preserve"> remain. The wider community, especially the rural population, has been able to access care more efficiently, and EPRs have promoted more collaboration among patients, </w:t>
      </w:r>
      <w:r w:rsidR="00377D0F" w:rsidRPr="006E7B65">
        <w:rPr>
          <w:rFonts w:asciiTheme="minorBidi" w:hAnsiTheme="minorBidi"/>
          <w:sz w:val="22"/>
          <w:szCs w:val="22"/>
        </w:rPr>
        <w:t>families,</w:t>
      </w:r>
      <w:r w:rsidR="004F28ED" w:rsidRPr="006E7B65">
        <w:rPr>
          <w:rFonts w:asciiTheme="minorBidi" w:hAnsiTheme="minorBidi"/>
          <w:sz w:val="22"/>
          <w:szCs w:val="22"/>
        </w:rPr>
        <w:t xml:space="preserve"> and medical practitioners through coproduction.</w:t>
      </w:r>
    </w:p>
    <w:p w14:paraId="31F1E238" w14:textId="77777777" w:rsidR="00A54A29" w:rsidRPr="006E7B65" w:rsidRDefault="00A54A29" w:rsidP="00A54A29">
      <w:pPr>
        <w:rPr>
          <w:rFonts w:asciiTheme="minorBidi" w:hAnsiTheme="minorBidi"/>
          <w:sz w:val="22"/>
          <w:szCs w:val="22"/>
        </w:rPr>
      </w:pPr>
      <w:r w:rsidRPr="006E7B65">
        <w:rPr>
          <w:rFonts w:asciiTheme="minorBidi" w:hAnsiTheme="minorBidi"/>
          <w:sz w:val="22"/>
          <w:szCs w:val="22"/>
        </w:rPr>
        <w:t>Based on the analysis, the following recommendations are made to improve the effectiveness of EPR systems:</w:t>
      </w:r>
    </w:p>
    <w:p w14:paraId="27803A97" w14:textId="77777777" w:rsidR="00A54A29" w:rsidRPr="006E7B65" w:rsidRDefault="00A54A29" w:rsidP="00A54A29">
      <w:pPr>
        <w:numPr>
          <w:ilvl w:val="0"/>
          <w:numId w:val="4"/>
        </w:numPr>
        <w:rPr>
          <w:rFonts w:asciiTheme="minorBidi" w:hAnsiTheme="minorBidi"/>
          <w:sz w:val="22"/>
          <w:szCs w:val="22"/>
        </w:rPr>
      </w:pPr>
      <w:r w:rsidRPr="006E7B65">
        <w:rPr>
          <w:rFonts w:asciiTheme="minorBidi" w:hAnsiTheme="minorBidi"/>
          <w:b/>
          <w:bCs/>
          <w:sz w:val="22"/>
          <w:szCs w:val="22"/>
        </w:rPr>
        <w:t>Enhanced Workforce Training</w:t>
      </w:r>
      <w:r w:rsidRPr="006E7B65">
        <w:rPr>
          <w:rFonts w:asciiTheme="minorBidi" w:hAnsiTheme="minorBidi"/>
          <w:sz w:val="22"/>
          <w:szCs w:val="22"/>
        </w:rPr>
        <w:t>: Develop role-specific training programs to address digital literacy gaps and ensure consistent system use across all staff levels</w:t>
      </w:r>
      <w:r w:rsidR="00134AC9" w:rsidRPr="006E7B65">
        <w:rPr>
          <w:rFonts w:asciiTheme="minorBidi" w:hAnsiTheme="minorBidi"/>
          <w:sz w:val="22"/>
          <w:szCs w:val="22"/>
        </w:rPr>
        <w:t xml:space="preserve"> (Patel, 2023)</w:t>
      </w:r>
      <w:r w:rsidRPr="006E7B65">
        <w:rPr>
          <w:rFonts w:asciiTheme="minorBidi" w:hAnsiTheme="minorBidi"/>
          <w:sz w:val="22"/>
          <w:szCs w:val="22"/>
        </w:rPr>
        <w:t>.</w:t>
      </w:r>
    </w:p>
    <w:p w14:paraId="7D5467D4" w14:textId="77777777" w:rsidR="00A54A29" w:rsidRPr="006E7B65" w:rsidRDefault="00A54A29" w:rsidP="00A54A29">
      <w:pPr>
        <w:numPr>
          <w:ilvl w:val="0"/>
          <w:numId w:val="4"/>
        </w:numPr>
        <w:rPr>
          <w:rFonts w:asciiTheme="minorBidi" w:hAnsiTheme="minorBidi"/>
          <w:sz w:val="22"/>
          <w:szCs w:val="22"/>
        </w:rPr>
      </w:pPr>
      <w:r w:rsidRPr="006E7B65">
        <w:rPr>
          <w:rFonts w:asciiTheme="minorBidi" w:hAnsiTheme="minorBidi"/>
          <w:b/>
          <w:bCs/>
          <w:sz w:val="22"/>
          <w:szCs w:val="22"/>
        </w:rPr>
        <w:t>Equity in Access</w:t>
      </w:r>
      <w:r w:rsidRPr="006E7B65">
        <w:rPr>
          <w:rFonts w:asciiTheme="minorBidi" w:hAnsiTheme="minorBidi"/>
          <w:sz w:val="22"/>
          <w:szCs w:val="22"/>
        </w:rPr>
        <w:t xml:space="preserve">: Ensure that vulnerable populations, including </w:t>
      </w:r>
      <w:r w:rsidR="00352147" w:rsidRPr="006E7B65">
        <w:rPr>
          <w:rFonts w:asciiTheme="minorBidi" w:hAnsiTheme="minorBidi"/>
          <w:sz w:val="22"/>
          <w:szCs w:val="22"/>
        </w:rPr>
        <w:t xml:space="preserve">the </w:t>
      </w:r>
      <w:r w:rsidRPr="006E7B65">
        <w:rPr>
          <w:rFonts w:asciiTheme="minorBidi" w:hAnsiTheme="minorBidi"/>
          <w:sz w:val="22"/>
          <w:szCs w:val="22"/>
        </w:rPr>
        <w:t>elderly and rural communities, have the necessary resources and support to access EPR systems.</w:t>
      </w:r>
    </w:p>
    <w:p w14:paraId="2A2019F7" w14:textId="77777777" w:rsidR="00A54A29" w:rsidRPr="006E7B65" w:rsidRDefault="00A54A29" w:rsidP="00A54A29">
      <w:pPr>
        <w:numPr>
          <w:ilvl w:val="0"/>
          <w:numId w:val="4"/>
        </w:numPr>
        <w:rPr>
          <w:rFonts w:asciiTheme="minorBidi" w:hAnsiTheme="minorBidi"/>
          <w:sz w:val="22"/>
          <w:szCs w:val="22"/>
        </w:rPr>
      </w:pPr>
      <w:r w:rsidRPr="006E7B65">
        <w:rPr>
          <w:rFonts w:asciiTheme="minorBidi" w:hAnsiTheme="minorBidi"/>
          <w:b/>
          <w:bCs/>
          <w:sz w:val="22"/>
          <w:szCs w:val="22"/>
        </w:rPr>
        <w:lastRenderedPageBreak/>
        <w:t>Improved Data Privacy Measures</w:t>
      </w:r>
      <w:r w:rsidRPr="006E7B65">
        <w:rPr>
          <w:rFonts w:asciiTheme="minorBidi" w:hAnsiTheme="minorBidi"/>
          <w:sz w:val="22"/>
          <w:szCs w:val="22"/>
        </w:rPr>
        <w:t>: Strengthen data security protocols and increase transparency to address patient concerns about the safety of their personal health information.</w:t>
      </w:r>
    </w:p>
    <w:p w14:paraId="2C90EC94" w14:textId="77777777" w:rsidR="0028779F" w:rsidRPr="006E7B65" w:rsidRDefault="00A54A29" w:rsidP="00A54A29">
      <w:pPr>
        <w:numPr>
          <w:ilvl w:val="0"/>
          <w:numId w:val="4"/>
        </w:numPr>
        <w:rPr>
          <w:rFonts w:asciiTheme="minorBidi" w:hAnsiTheme="minorBidi"/>
          <w:sz w:val="22"/>
          <w:szCs w:val="22"/>
        </w:rPr>
      </w:pPr>
      <w:r w:rsidRPr="006E7B65">
        <w:rPr>
          <w:rFonts w:asciiTheme="minorBidi" w:hAnsiTheme="minorBidi"/>
          <w:b/>
          <w:bCs/>
          <w:sz w:val="22"/>
          <w:szCs w:val="22"/>
        </w:rPr>
        <w:t>Ongoing System Updates</w:t>
      </w:r>
      <w:r w:rsidRPr="006E7B65">
        <w:rPr>
          <w:rFonts w:asciiTheme="minorBidi" w:hAnsiTheme="minorBidi"/>
          <w:sz w:val="22"/>
          <w:szCs w:val="22"/>
        </w:rPr>
        <w:t>: Implement continuous system improvements and provide technical support to ensure smooth operation and integration with existing healthcare infrastructures</w:t>
      </w:r>
      <w:r w:rsidR="00134AC9" w:rsidRPr="006E7B65">
        <w:rPr>
          <w:rFonts w:asciiTheme="minorBidi" w:hAnsiTheme="minorBidi"/>
          <w:sz w:val="22"/>
          <w:szCs w:val="22"/>
        </w:rPr>
        <w:t xml:space="preserve"> (Ștefan et al., 2024)</w:t>
      </w:r>
      <w:r w:rsidRPr="006E7B65">
        <w:rPr>
          <w:rFonts w:asciiTheme="minorBidi" w:hAnsiTheme="minorBidi"/>
          <w:sz w:val="22"/>
          <w:szCs w:val="22"/>
        </w:rPr>
        <w:t>.</w:t>
      </w:r>
    </w:p>
    <w:p w14:paraId="4ED0A70E" w14:textId="77777777" w:rsidR="003A25F5" w:rsidRPr="006E7B65" w:rsidRDefault="003A25F5">
      <w:pPr>
        <w:spacing w:before="0" w:after="160" w:line="278" w:lineRule="auto"/>
        <w:jc w:val="left"/>
        <w:rPr>
          <w:rFonts w:asciiTheme="minorBidi" w:eastAsiaTheme="majorEastAsia" w:hAnsiTheme="minorBidi"/>
          <w:b/>
          <w:color w:val="000000" w:themeColor="text1"/>
          <w:sz w:val="22"/>
          <w:szCs w:val="22"/>
        </w:rPr>
      </w:pPr>
      <w:r w:rsidRPr="006E7B65">
        <w:rPr>
          <w:rFonts w:asciiTheme="minorBidi" w:hAnsiTheme="minorBidi"/>
          <w:sz w:val="22"/>
          <w:szCs w:val="22"/>
        </w:rPr>
        <w:br w:type="page"/>
      </w:r>
    </w:p>
    <w:p w14:paraId="35A5B441" w14:textId="77777777" w:rsidR="0028779F" w:rsidRPr="006E7B65" w:rsidRDefault="0028779F" w:rsidP="0028779F">
      <w:pPr>
        <w:pStyle w:val="Heading1"/>
        <w:rPr>
          <w:rFonts w:asciiTheme="minorBidi" w:hAnsiTheme="minorBidi" w:cstheme="minorBidi"/>
          <w:sz w:val="22"/>
          <w:szCs w:val="22"/>
        </w:rPr>
      </w:pPr>
      <w:bookmarkStart w:id="6" w:name="_Toc209438053"/>
      <w:r w:rsidRPr="006E7B65">
        <w:rPr>
          <w:rFonts w:asciiTheme="minorBidi" w:hAnsiTheme="minorBidi" w:cstheme="minorBidi"/>
          <w:sz w:val="22"/>
          <w:szCs w:val="22"/>
        </w:rPr>
        <w:lastRenderedPageBreak/>
        <w:t>References</w:t>
      </w:r>
      <w:bookmarkEnd w:id="6"/>
    </w:p>
    <w:p w14:paraId="50DC9D0F" w14:textId="4F55EDD2"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Algresha, M.A.H., Sufyani, N.H.H., Alzamanan, M.A., Alturaiki, N.A., Al Mansour, M.H.M., Al Sedran, M.A.R., Al Taysan, A.M., Almarwani</w:t>
      </w:r>
      <w:r w:rsidR="00377D0F" w:rsidRPr="006E7B65">
        <w:rPr>
          <w:rFonts w:asciiTheme="minorBidi" w:hAnsiTheme="minorBidi"/>
          <w:sz w:val="22"/>
          <w:szCs w:val="22"/>
        </w:rPr>
        <w:t xml:space="preserve">, </w:t>
      </w:r>
      <w:r w:rsidRPr="006E7B65">
        <w:rPr>
          <w:rFonts w:asciiTheme="minorBidi" w:hAnsiTheme="minorBidi"/>
          <w:sz w:val="22"/>
          <w:szCs w:val="22"/>
        </w:rPr>
        <w:t xml:space="preserve">M.M. and Almarwani, </w:t>
      </w:r>
      <w:r w:rsidR="00377D0F" w:rsidRPr="006E7B65">
        <w:rPr>
          <w:rFonts w:asciiTheme="minorBidi" w:hAnsiTheme="minorBidi"/>
          <w:sz w:val="22"/>
          <w:szCs w:val="22"/>
        </w:rPr>
        <w:t>A</w:t>
      </w:r>
      <w:r w:rsidRPr="006E7B65">
        <w:rPr>
          <w:rFonts w:asciiTheme="minorBidi" w:hAnsiTheme="minorBidi"/>
          <w:sz w:val="22"/>
          <w:szCs w:val="22"/>
        </w:rPr>
        <w:t>.M. (2024. The Impact of Modern Health Administration Practices on the Integration of Medical Records, Medical Secretaries, and Hospital Management to Enhance Healthcare Quality. </w:t>
      </w:r>
      <w:r w:rsidRPr="006E7B65">
        <w:rPr>
          <w:rFonts w:asciiTheme="minorBidi" w:hAnsiTheme="minorBidi"/>
          <w:i/>
          <w:iCs/>
          <w:sz w:val="22"/>
          <w:szCs w:val="22"/>
        </w:rPr>
        <w:t>Journal of International Crisis and Risk Communication Research</w:t>
      </w:r>
      <w:r w:rsidRPr="006E7B65">
        <w:rPr>
          <w:rFonts w:asciiTheme="minorBidi" w:hAnsiTheme="minorBidi"/>
          <w:sz w:val="22"/>
          <w:szCs w:val="22"/>
        </w:rPr>
        <w:t>, </w:t>
      </w:r>
      <w:r w:rsidRPr="006E7B65">
        <w:rPr>
          <w:rFonts w:asciiTheme="minorBidi" w:hAnsiTheme="minorBidi"/>
          <w:i/>
          <w:iCs/>
          <w:sz w:val="22"/>
          <w:szCs w:val="22"/>
        </w:rPr>
        <w:t>7</w:t>
      </w:r>
      <w:r w:rsidRPr="006E7B65">
        <w:rPr>
          <w:rFonts w:asciiTheme="minorBidi" w:hAnsiTheme="minorBidi"/>
          <w:sz w:val="22"/>
          <w:szCs w:val="22"/>
        </w:rPr>
        <w:t xml:space="preserve">(S4), p.281. </w:t>
      </w:r>
      <w:hyperlink r:id="rId9" w:history="1">
        <w:r w:rsidRPr="006E7B65">
          <w:rPr>
            <w:rStyle w:val="Hyperlink"/>
            <w:rFonts w:asciiTheme="minorBidi" w:hAnsiTheme="minorBidi"/>
            <w:sz w:val="22"/>
            <w:szCs w:val="22"/>
          </w:rPr>
          <w:t>https://www.proquest.com/openview/1ead2f0651a258487ba77a77aea81671/1?pq-origsite=gscholar&amp;cbl=6480378</w:t>
        </w:r>
      </w:hyperlink>
      <w:r w:rsidRPr="006E7B65">
        <w:rPr>
          <w:rFonts w:asciiTheme="minorBidi" w:hAnsiTheme="minorBidi"/>
          <w:sz w:val="22"/>
          <w:szCs w:val="22"/>
        </w:rPr>
        <w:t xml:space="preserve"> </w:t>
      </w:r>
    </w:p>
    <w:p w14:paraId="3A8216D3" w14:textId="77777777"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Alomar, D., Almashmoum, M., Eleftheriou, I., Whelan, P. and Ainsworth, J., (2024). The impact of patient access to electronic health records on health care engagement: systematic review. </w:t>
      </w:r>
      <w:r w:rsidRPr="006E7B65">
        <w:rPr>
          <w:rFonts w:asciiTheme="minorBidi" w:hAnsiTheme="minorBidi"/>
          <w:i/>
          <w:iCs/>
          <w:sz w:val="22"/>
          <w:szCs w:val="22"/>
        </w:rPr>
        <w:t>Journal of Medical Internet Research</w:t>
      </w:r>
      <w:r w:rsidRPr="006E7B65">
        <w:rPr>
          <w:rFonts w:asciiTheme="minorBidi" w:hAnsiTheme="minorBidi"/>
          <w:sz w:val="22"/>
          <w:szCs w:val="22"/>
        </w:rPr>
        <w:t>, </w:t>
      </w:r>
      <w:r w:rsidRPr="006E7B65">
        <w:rPr>
          <w:rFonts w:asciiTheme="minorBidi" w:hAnsiTheme="minorBidi"/>
          <w:i/>
          <w:iCs/>
          <w:sz w:val="22"/>
          <w:szCs w:val="22"/>
        </w:rPr>
        <w:t>26</w:t>
      </w:r>
      <w:r w:rsidRPr="006E7B65">
        <w:rPr>
          <w:rFonts w:asciiTheme="minorBidi" w:hAnsiTheme="minorBidi"/>
          <w:sz w:val="22"/>
          <w:szCs w:val="22"/>
        </w:rPr>
        <w:t xml:space="preserve">, p.e56473. </w:t>
      </w:r>
      <w:hyperlink r:id="rId10" w:history="1">
        <w:r w:rsidRPr="006E7B65">
          <w:rPr>
            <w:rStyle w:val="Hyperlink"/>
            <w:rFonts w:asciiTheme="minorBidi" w:hAnsiTheme="minorBidi"/>
            <w:sz w:val="22"/>
            <w:szCs w:val="22"/>
          </w:rPr>
          <w:t>https://doi.org/10.2196/56473</w:t>
        </w:r>
      </w:hyperlink>
    </w:p>
    <w:p w14:paraId="2BB27658" w14:textId="77777777"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Al-saffar, M., Noble, M., Patel, T., Tahir, S. and Schneider, F., (2021). A digital first primary care model in the National Health Service (NHS): a perspective from a digital health provider. </w:t>
      </w:r>
      <w:r w:rsidRPr="006E7B65">
        <w:rPr>
          <w:rFonts w:asciiTheme="minorBidi" w:hAnsiTheme="minorBidi"/>
          <w:i/>
          <w:iCs/>
          <w:sz w:val="22"/>
          <w:szCs w:val="22"/>
        </w:rPr>
        <w:t>International Journal of Digital Health</w:t>
      </w:r>
      <w:r w:rsidRPr="006E7B65">
        <w:rPr>
          <w:rFonts w:asciiTheme="minorBidi" w:hAnsiTheme="minorBidi"/>
          <w:sz w:val="22"/>
          <w:szCs w:val="22"/>
        </w:rPr>
        <w:t>, </w:t>
      </w:r>
      <w:r w:rsidRPr="006E7B65">
        <w:rPr>
          <w:rFonts w:asciiTheme="minorBidi" w:hAnsiTheme="minorBidi"/>
          <w:i/>
          <w:iCs/>
          <w:sz w:val="22"/>
          <w:szCs w:val="22"/>
        </w:rPr>
        <w:t>1</w:t>
      </w:r>
      <w:r w:rsidRPr="006E7B65">
        <w:rPr>
          <w:rFonts w:asciiTheme="minorBidi" w:hAnsiTheme="minorBidi"/>
          <w:sz w:val="22"/>
          <w:szCs w:val="22"/>
        </w:rPr>
        <w:t xml:space="preserve">(1), p.11. </w:t>
      </w:r>
      <w:hyperlink r:id="rId11" w:history="1">
        <w:r w:rsidRPr="006E7B65">
          <w:rPr>
            <w:rStyle w:val="Hyperlink"/>
            <w:rFonts w:asciiTheme="minorBidi" w:hAnsiTheme="minorBidi"/>
            <w:sz w:val="22"/>
            <w:szCs w:val="22"/>
          </w:rPr>
          <w:t>https://journals.lww.com/ijdigitalhealth/fulltext/2021/01010/a_digital_first_primary_care_model_in_the_national.11.aspx</w:t>
        </w:r>
      </w:hyperlink>
      <w:r w:rsidRPr="006E7B65">
        <w:rPr>
          <w:rFonts w:asciiTheme="minorBidi" w:hAnsiTheme="minorBidi"/>
          <w:sz w:val="22"/>
          <w:szCs w:val="22"/>
        </w:rPr>
        <w:t xml:space="preserve"> </w:t>
      </w:r>
    </w:p>
    <w:p w14:paraId="7872D1B3" w14:textId="191DF11E"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American Diabetes Association, (2020). 5. Facilitating behavior change and well-being to improve health outcomes: Standards of Medical Care in Diabetes—2020. </w:t>
      </w:r>
      <w:r w:rsidRPr="006E7B65">
        <w:rPr>
          <w:rFonts w:asciiTheme="minorBidi" w:hAnsiTheme="minorBidi"/>
          <w:i/>
          <w:iCs/>
          <w:sz w:val="22"/>
          <w:szCs w:val="22"/>
        </w:rPr>
        <w:t>Diabetes care</w:t>
      </w:r>
      <w:r w:rsidRPr="006E7B65">
        <w:rPr>
          <w:rFonts w:asciiTheme="minorBidi" w:hAnsiTheme="minorBidi"/>
          <w:sz w:val="22"/>
          <w:szCs w:val="22"/>
        </w:rPr>
        <w:t>, </w:t>
      </w:r>
      <w:r w:rsidRPr="006E7B65">
        <w:rPr>
          <w:rFonts w:asciiTheme="minorBidi" w:hAnsiTheme="minorBidi"/>
          <w:i/>
          <w:iCs/>
          <w:sz w:val="22"/>
          <w:szCs w:val="22"/>
        </w:rPr>
        <w:t>43</w:t>
      </w:r>
      <w:r w:rsidRPr="006E7B65">
        <w:rPr>
          <w:rFonts w:asciiTheme="minorBidi" w:hAnsiTheme="minorBidi"/>
          <w:sz w:val="22"/>
          <w:szCs w:val="22"/>
        </w:rPr>
        <w:t xml:space="preserve">(Supplement_1), </w:t>
      </w:r>
      <w:r w:rsidR="00377D0F" w:rsidRPr="006E7B65">
        <w:rPr>
          <w:rFonts w:asciiTheme="minorBidi" w:hAnsiTheme="minorBidi"/>
          <w:sz w:val="22"/>
          <w:szCs w:val="22"/>
        </w:rPr>
        <w:t>pp. S</w:t>
      </w:r>
      <w:r w:rsidRPr="006E7B65">
        <w:rPr>
          <w:rFonts w:asciiTheme="minorBidi" w:hAnsiTheme="minorBidi"/>
          <w:sz w:val="22"/>
          <w:szCs w:val="22"/>
        </w:rPr>
        <w:t xml:space="preserve">48-S65. </w:t>
      </w:r>
      <w:hyperlink r:id="rId12" w:history="1">
        <w:r w:rsidRPr="006E7B65">
          <w:rPr>
            <w:rStyle w:val="Hyperlink"/>
            <w:rFonts w:asciiTheme="minorBidi" w:hAnsiTheme="minorBidi"/>
            <w:sz w:val="22"/>
            <w:szCs w:val="22"/>
          </w:rPr>
          <w:t>https://doi.org/10.2337/dc20-S005</w:t>
        </w:r>
      </w:hyperlink>
      <w:r w:rsidRPr="006E7B65">
        <w:rPr>
          <w:rFonts w:asciiTheme="minorBidi" w:hAnsiTheme="minorBidi"/>
          <w:sz w:val="22"/>
          <w:szCs w:val="22"/>
        </w:rPr>
        <w:t xml:space="preserve"> </w:t>
      </w:r>
    </w:p>
    <w:p w14:paraId="67E3C805" w14:textId="77777777"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Amri, S. and Sihotang, J., (2023). Impact of Poverty Reduction Programs on Healthcare Access in Remote Ar-eas: Fostering Community Development for Sustainable Health. </w:t>
      </w:r>
      <w:r w:rsidRPr="006E7B65">
        <w:rPr>
          <w:rFonts w:asciiTheme="minorBidi" w:hAnsiTheme="minorBidi"/>
          <w:i/>
          <w:iCs/>
          <w:sz w:val="22"/>
          <w:szCs w:val="22"/>
        </w:rPr>
        <w:t>Law and Economics</w:t>
      </w:r>
      <w:r w:rsidRPr="006E7B65">
        <w:rPr>
          <w:rFonts w:asciiTheme="minorBidi" w:hAnsiTheme="minorBidi"/>
          <w:sz w:val="22"/>
          <w:szCs w:val="22"/>
        </w:rPr>
        <w:t>, </w:t>
      </w:r>
      <w:r w:rsidRPr="006E7B65">
        <w:rPr>
          <w:rFonts w:asciiTheme="minorBidi" w:hAnsiTheme="minorBidi"/>
          <w:i/>
          <w:iCs/>
          <w:sz w:val="22"/>
          <w:szCs w:val="22"/>
        </w:rPr>
        <w:t>17</w:t>
      </w:r>
      <w:r w:rsidRPr="006E7B65">
        <w:rPr>
          <w:rFonts w:asciiTheme="minorBidi" w:hAnsiTheme="minorBidi"/>
          <w:sz w:val="22"/>
          <w:szCs w:val="22"/>
        </w:rPr>
        <w:t xml:space="preserve">(3), pp.170-185. </w:t>
      </w:r>
      <w:hyperlink r:id="rId13" w:history="1">
        <w:r w:rsidRPr="006E7B65">
          <w:rPr>
            <w:rStyle w:val="Hyperlink"/>
            <w:rFonts w:asciiTheme="minorBidi" w:hAnsiTheme="minorBidi"/>
            <w:sz w:val="22"/>
            <w:szCs w:val="22"/>
          </w:rPr>
          <w:t>https://doi.org/10.35335/laweco.v17i3.43</w:t>
        </w:r>
      </w:hyperlink>
      <w:r w:rsidRPr="006E7B65">
        <w:rPr>
          <w:rFonts w:asciiTheme="minorBidi" w:hAnsiTheme="minorBidi"/>
          <w:sz w:val="22"/>
          <w:szCs w:val="22"/>
        </w:rPr>
        <w:t xml:space="preserve"> </w:t>
      </w:r>
    </w:p>
    <w:p w14:paraId="287D5BBB" w14:textId="77777777" w:rsidR="0057367B" w:rsidRPr="006E7B65" w:rsidRDefault="0057367B" w:rsidP="000F1CC2">
      <w:pPr>
        <w:ind w:left="1440" w:hanging="1440"/>
        <w:rPr>
          <w:rFonts w:asciiTheme="minorBidi" w:hAnsiTheme="minorBidi"/>
          <w:color w:val="000000"/>
          <w:sz w:val="22"/>
          <w:szCs w:val="22"/>
        </w:rPr>
      </w:pPr>
      <w:r w:rsidRPr="006E7B65">
        <w:rPr>
          <w:rFonts w:asciiTheme="minorBidi" w:hAnsiTheme="minorBidi"/>
          <w:color w:val="000000"/>
          <w:sz w:val="22"/>
          <w:szCs w:val="22"/>
        </w:rPr>
        <w:t>Avonlmc UK (2024). </w:t>
      </w:r>
      <w:r w:rsidRPr="006E7B65">
        <w:rPr>
          <w:rFonts w:asciiTheme="minorBidi" w:hAnsiTheme="minorBidi"/>
          <w:i/>
          <w:iCs/>
          <w:color w:val="000000"/>
          <w:sz w:val="22"/>
          <w:szCs w:val="22"/>
        </w:rPr>
        <w:t>Data Security Protection Toolkit (DSPT) for 2024-25 - Avon LMC</w:t>
      </w:r>
      <w:r w:rsidRPr="006E7B65">
        <w:rPr>
          <w:rFonts w:asciiTheme="minorBidi" w:hAnsiTheme="minorBidi"/>
          <w:color w:val="000000"/>
          <w:sz w:val="22"/>
          <w:szCs w:val="22"/>
        </w:rPr>
        <w:t xml:space="preserve">. [online] Avon LMC. Available at: </w:t>
      </w:r>
      <w:hyperlink r:id="rId14" w:history="1">
        <w:r w:rsidRPr="006E7B65">
          <w:rPr>
            <w:rStyle w:val="Hyperlink"/>
            <w:rFonts w:asciiTheme="minorBidi" w:hAnsiTheme="minorBidi"/>
            <w:sz w:val="22"/>
            <w:szCs w:val="22"/>
          </w:rPr>
          <w:t>https://avonlmc.co.uk/data-security-protection-toolkit-dspt-for-2024-25/</w:t>
        </w:r>
      </w:hyperlink>
      <w:r w:rsidRPr="006E7B65">
        <w:rPr>
          <w:rFonts w:asciiTheme="minorBidi" w:hAnsiTheme="minorBidi"/>
          <w:color w:val="000000"/>
          <w:sz w:val="22"/>
          <w:szCs w:val="22"/>
        </w:rPr>
        <w:t xml:space="preserve"> [Accessed 15 Sep. 2025].</w:t>
      </w:r>
    </w:p>
    <w:p w14:paraId="6C34EEB2" w14:textId="77777777"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Barwell, J.G., O’Sullivan, R.B., Mansbridge, L.K., Lowry, J.M. and Dorkins, H.R., (2018). Challenges in implementing genomic medicine: the 100,000 Genomes Project. </w:t>
      </w:r>
      <w:r w:rsidRPr="006E7B65">
        <w:rPr>
          <w:rFonts w:asciiTheme="minorBidi" w:hAnsiTheme="minorBidi"/>
          <w:i/>
          <w:iCs/>
          <w:sz w:val="22"/>
          <w:szCs w:val="22"/>
        </w:rPr>
        <w:t>Journal of Translational Genetics and Genomics</w:t>
      </w:r>
      <w:r w:rsidRPr="006E7B65">
        <w:rPr>
          <w:rFonts w:asciiTheme="minorBidi" w:hAnsiTheme="minorBidi"/>
          <w:sz w:val="22"/>
          <w:szCs w:val="22"/>
        </w:rPr>
        <w:t>, </w:t>
      </w:r>
      <w:r w:rsidRPr="006E7B65">
        <w:rPr>
          <w:rFonts w:asciiTheme="minorBidi" w:hAnsiTheme="minorBidi"/>
          <w:i/>
          <w:iCs/>
          <w:sz w:val="22"/>
          <w:szCs w:val="22"/>
        </w:rPr>
        <w:t>2</w:t>
      </w:r>
      <w:r w:rsidRPr="006E7B65">
        <w:rPr>
          <w:rFonts w:asciiTheme="minorBidi" w:hAnsiTheme="minorBidi"/>
          <w:sz w:val="22"/>
          <w:szCs w:val="22"/>
        </w:rPr>
        <w:t xml:space="preserve">, pp.N-A. </w:t>
      </w:r>
      <w:hyperlink r:id="rId15" w:history="1">
        <w:r w:rsidRPr="006E7B65">
          <w:rPr>
            <w:rStyle w:val="Hyperlink"/>
            <w:rFonts w:asciiTheme="minorBidi" w:hAnsiTheme="minorBidi"/>
            <w:sz w:val="22"/>
            <w:szCs w:val="22"/>
          </w:rPr>
          <w:t>https://doi.org/10.20517/jtgg.2018.17</w:t>
        </w:r>
      </w:hyperlink>
      <w:r w:rsidRPr="006E7B65">
        <w:rPr>
          <w:rFonts w:asciiTheme="minorBidi" w:hAnsiTheme="minorBidi"/>
          <w:sz w:val="22"/>
          <w:szCs w:val="22"/>
        </w:rPr>
        <w:t xml:space="preserve"> </w:t>
      </w:r>
    </w:p>
    <w:p w14:paraId="45B613BB" w14:textId="77777777" w:rsidR="0057367B" w:rsidRPr="006E7B65" w:rsidRDefault="0057367B" w:rsidP="000F1CC2">
      <w:pPr>
        <w:ind w:left="1440" w:hanging="1440"/>
        <w:rPr>
          <w:rFonts w:asciiTheme="minorBidi" w:hAnsiTheme="minorBidi"/>
          <w:color w:val="000000"/>
          <w:sz w:val="22"/>
          <w:szCs w:val="22"/>
        </w:rPr>
      </w:pPr>
      <w:r w:rsidRPr="006E7B65">
        <w:rPr>
          <w:rFonts w:asciiTheme="minorBidi" w:hAnsiTheme="minorBidi"/>
          <w:color w:val="000000"/>
          <w:sz w:val="22"/>
          <w:szCs w:val="22"/>
        </w:rPr>
        <w:lastRenderedPageBreak/>
        <w:t>England, N. (2023). </w:t>
      </w:r>
      <w:r w:rsidRPr="006E7B65">
        <w:rPr>
          <w:rFonts w:asciiTheme="minorBidi" w:hAnsiTheme="minorBidi"/>
          <w:i/>
          <w:iCs/>
          <w:color w:val="000000"/>
          <w:sz w:val="22"/>
          <w:szCs w:val="22"/>
        </w:rPr>
        <w:t>NHS England» Information governance and data protection</w:t>
      </w:r>
      <w:r w:rsidRPr="006E7B65">
        <w:rPr>
          <w:rFonts w:asciiTheme="minorBidi" w:hAnsiTheme="minorBidi"/>
          <w:color w:val="000000"/>
          <w:sz w:val="22"/>
          <w:szCs w:val="22"/>
        </w:rPr>
        <w:t xml:space="preserve">. [online] England.nhs.uk. Available at: </w:t>
      </w:r>
      <w:hyperlink r:id="rId16" w:anchor=":~:text=Data%20Security%20and%20Protection%20Toolkit%20(DSPT),-Your%20organisation%20will&amp;text=Completing%20the%20DSPT%20is%20a,and%20handling%20personal%20data%20correctly" w:history="1">
        <w:r w:rsidRPr="006E7B65">
          <w:rPr>
            <w:rStyle w:val="Hyperlink"/>
            <w:rFonts w:asciiTheme="minorBidi" w:hAnsiTheme="minorBidi"/>
            <w:sz w:val="22"/>
            <w:szCs w:val="22"/>
          </w:rPr>
          <w:t>https://www.england.nhs.uk/long-read/information-governance-and-data-protection/#:~:text=Data%20Security%20and%20Protection%20Toolkit%20(DSPT),-Your%20organisation%20will&amp;text=Completing%20the%20DSPT%20is%20a,and%20handling%20personal%20data%20correctly</w:t>
        </w:r>
      </w:hyperlink>
      <w:r w:rsidRPr="006E7B65">
        <w:rPr>
          <w:rFonts w:asciiTheme="minorBidi" w:hAnsiTheme="minorBidi"/>
          <w:color w:val="000000"/>
          <w:sz w:val="22"/>
          <w:szCs w:val="22"/>
        </w:rPr>
        <w:t>. [Accessed 15 Sep. 2025].</w:t>
      </w:r>
    </w:p>
    <w:p w14:paraId="751FCA84" w14:textId="77777777" w:rsidR="0057367B" w:rsidRPr="006E7B65" w:rsidRDefault="0057367B" w:rsidP="00B97EF1">
      <w:pPr>
        <w:ind w:left="1440" w:hanging="1440"/>
        <w:rPr>
          <w:rFonts w:asciiTheme="minorBidi" w:hAnsiTheme="minorBidi"/>
          <w:sz w:val="22"/>
          <w:szCs w:val="22"/>
        </w:rPr>
      </w:pPr>
      <w:r w:rsidRPr="006E7B65">
        <w:rPr>
          <w:rFonts w:asciiTheme="minorBidi" w:hAnsiTheme="minorBidi"/>
          <w:sz w:val="22"/>
          <w:szCs w:val="22"/>
        </w:rPr>
        <w:t>ERA.org (2024). Study to assess the feasibility of expanding Extended Producer Responsibility (EPR) obligations to additional waste streams. Available at: https://era.org.mt/wp-content/uploads/2024/12/Study-to-assess-feasibility-of-extending-EPR.pdf (Accessed: 15 September 2025).</w:t>
      </w:r>
    </w:p>
    <w:p w14:paraId="5FA92522" w14:textId="77777777"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Faulkner-Gurstein, R. and Wyatt, D., (2023). Platform NHS: reconfiguring a public service in the age of digital capitalism. </w:t>
      </w:r>
      <w:r w:rsidRPr="006E7B65">
        <w:rPr>
          <w:rFonts w:asciiTheme="minorBidi" w:hAnsiTheme="minorBidi"/>
          <w:i/>
          <w:iCs/>
          <w:sz w:val="22"/>
          <w:szCs w:val="22"/>
        </w:rPr>
        <w:t>Science, Technology, &amp; Human Values</w:t>
      </w:r>
      <w:r w:rsidRPr="006E7B65">
        <w:rPr>
          <w:rFonts w:asciiTheme="minorBidi" w:hAnsiTheme="minorBidi"/>
          <w:sz w:val="22"/>
          <w:szCs w:val="22"/>
        </w:rPr>
        <w:t>, </w:t>
      </w:r>
      <w:r w:rsidRPr="006E7B65">
        <w:rPr>
          <w:rFonts w:asciiTheme="minorBidi" w:hAnsiTheme="minorBidi"/>
          <w:i/>
          <w:iCs/>
          <w:sz w:val="22"/>
          <w:szCs w:val="22"/>
        </w:rPr>
        <w:t>48</w:t>
      </w:r>
      <w:r w:rsidRPr="006E7B65">
        <w:rPr>
          <w:rFonts w:asciiTheme="minorBidi" w:hAnsiTheme="minorBidi"/>
          <w:sz w:val="22"/>
          <w:szCs w:val="22"/>
        </w:rPr>
        <w:t xml:space="preserve">(4), pp.888-908. </w:t>
      </w:r>
      <w:hyperlink r:id="rId17" w:history="1">
        <w:r w:rsidRPr="006E7B65">
          <w:rPr>
            <w:rStyle w:val="Hyperlink"/>
            <w:rFonts w:asciiTheme="minorBidi" w:hAnsiTheme="minorBidi"/>
            <w:sz w:val="22"/>
            <w:szCs w:val="22"/>
          </w:rPr>
          <w:t>https://doi.org/10.1177/01622439211055697</w:t>
        </w:r>
      </w:hyperlink>
      <w:r w:rsidRPr="006E7B65">
        <w:rPr>
          <w:rFonts w:asciiTheme="minorBidi" w:hAnsiTheme="minorBidi"/>
          <w:sz w:val="22"/>
          <w:szCs w:val="22"/>
        </w:rPr>
        <w:t xml:space="preserve"> </w:t>
      </w:r>
    </w:p>
    <w:p w14:paraId="77027ADD" w14:textId="77777777"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Golinelli, D., Boetto, E., Carullo, G., Nuzzolese, A.G., Landini, M.P. and Fantini, M.P., (2020). Adoption of digital technologies in health care during the COVID-19 pandemic: systematic review of early scientific literature. </w:t>
      </w:r>
      <w:r w:rsidRPr="006E7B65">
        <w:rPr>
          <w:rFonts w:asciiTheme="minorBidi" w:hAnsiTheme="minorBidi"/>
          <w:i/>
          <w:iCs/>
          <w:sz w:val="22"/>
          <w:szCs w:val="22"/>
        </w:rPr>
        <w:t>Journal of medical Internet research</w:t>
      </w:r>
      <w:r w:rsidRPr="006E7B65">
        <w:rPr>
          <w:rFonts w:asciiTheme="minorBidi" w:hAnsiTheme="minorBidi"/>
          <w:sz w:val="22"/>
          <w:szCs w:val="22"/>
        </w:rPr>
        <w:t>, </w:t>
      </w:r>
      <w:r w:rsidRPr="006E7B65">
        <w:rPr>
          <w:rFonts w:asciiTheme="minorBidi" w:hAnsiTheme="minorBidi"/>
          <w:i/>
          <w:iCs/>
          <w:sz w:val="22"/>
          <w:szCs w:val="22"/>
        </w:rPr>
        <w:t>22</w:t>
      </w:r>
      <w:r w:rsidRPr="006E7B65">
        <w:rPr>
          <w:rFonts w:asciiTheme="minorBidi" w:hAnsiTheme="minorBidi"/>
          <w:sz w:val="22"/>
          <w:szCs w:val="22"/>
        </w:rPr>
        <w:t xml:space="preserve">(11), p.e22280. </w:t>
      </w:r>
      <w:hyperlink r:id="rId18" w:history="1">
        <w:r w:rsidRPr="006E7B65">
          <w:rPr>
            <w:rStyle w:val="Hyperlink"/>
            <w:rFonts w:asciiTheme="minorBidi" w:hAnsiTheme="minorBidi"/>
            <w:sz w:val="22"/>
            <w:szCs w:val="22"/>
          </w:rPr>
          <w:t>https://doi.org/10.2196/22280</w:t>
        </w:r>
      </w:hyperlink>
      <w:r w:rsidRPr="006E7B65">
        <w:rPr>
          <w:rFonts w:asciiTheme="minorBidi" w:hAnsiTheme="minorBidi"/>
          <w:sz w:val="22"/>
          <w:szCs w:val="22"/>
        </w:rPr>
        <w:t xml:space="preserve"> </w:t>
      </w:r>
    </w:p>
    <w:p w14:paraId="3530779B" w14:textId="77777777"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Graber, M.L., Byrne, C. and Johnston, D., (2017). The impact of electronic health records on diagnosis. </w:t>
      </w:r>
      <w:r w:rsidRPr="006E7B65">
        <w:rPr>
          <w:rFonts w:asciiTheme="minorBidi" w:hAnsiTheme="minorBidi"/>
          <w:i/>
          <w:iCs/>
          <w:sz w:val="22"/>
          <w:szCs w:val="22"/>
        </w:rPr>
        <w:t>Diagnosis</w:t>
      </w:r>
      <w:r w:rsidRPr="006E7B65">
        <w:rPr>
          <w:rFonts w:asciiTheme="minorBidi" w:hAnsiTheme="minorBidi"/>
          <w:sz w:val="22"/>
          <w:szCs w:val="22"/>
        </w:rPr>
        <w:t>, </w:t>
      </w:r>
      <w:r w:rsidRPr="006E7B65">
        <w:rPr>
          <w:rFonts w:asciiTheme="minorBidi" w:hAnsiTheme="minorBidi"/>
          <w:i/>
          <w:iCs/>
          <w:sz w:val="22"/>
          <w:szCs w:val="22"/>
        </w:rPr>
        <w:t>4</w:t>
      </w:r>
      <w:r w:rsidRPr="006E7B65">
        <w:rPr>
          <w:rFonts w:asciiTheme="minorBidi" w:hAnsiTheme="minorBidi"/>
          <w:sz w:val="22"/>
          <w:szCs w:val="22"/>
        </w:rPr>
        <w:t xml:space="preserve">(4), pp.211-223. </w:t>
      </w:r>
      <w:hyperlink r:id="rId19" w:history="1">
        <w:r w:rsidRPr="006E7B65">
          <w:rPr>
            <w:rStyle w:val="Hyperlink"/>
            <w:rFonts w:asciiTheme="minorBidi" w:hAnsiTheme="minorBidi"/>
            <w:sz w:val="22"/>
            <w:szCs w:val="22"/>
          </w:rPr>
          <w:t>https://www.degruyterbrill.com/document/doi/10.1515/dx-2017-0012/html</w:t>
        </w:r>
      </w:hyperlink>
      <w:r w:rsidRPr="006E7B65">
        <w:rPr>
          <w:rFonts w:asciiTheme="minorBidi" w:hAnsiTheme="minorBidi"/>
          <w:sz w:val="22"/>
          <w:szCs w:val="22"/>
        </w:rPr>
        <w:t xml:space="preserve"> </w:t>
      </w:r>
    </w:p>
    <w:p w14:paraId="1F6950F3" w14:textId="00295928"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Gremyr, A., Andersson Gäre, B., Thor, J., Elwyn, G., Batalden, P. and Andersson, A.C., (2021). The role of co-production in learning health systems. </w:t>
      </w:r>
      <w:r w:rsidRPr="006E7B65">
        <w:rPr>
          <w:rFonts w:asciiTheme="minorBidi" w:hAnsiTheme="minorBidi"/>
          <w:i/>
          <w:iCs/>
          <w:sz w:val="22"/>
          <w:szCs w:val="22"/>
        </w:rPr>
        <w:t>International Journal for Quality in Health Care</w:t>
      </w:r>
      <w:r w:rsidRPr="006E7B65">
        <w:rPr>
          <w:rFonts w:asciiTheme="minorBidi" w:hAnsiTheme="minorBidi"/>
          <w:sz w:val="22"/>
          <w:szCs w:val="22"/>
        </w:rPr>
        <w:t>, </w:t>
      </w:r>
      <w:r w:rsidRPr="006E7B65">
        <w:rPr>
          <w:rFonts w:asciiTheme="minorBidi" w:hAnsiTheme="minorBidi"/>
          <w:i/>
          <w:iCs/>
          <w:sz w:val="22"/>
          <w:szCs w:val="22"/>
        </w:rPr>
        <w:t>33</w:t>
      </w:r>
      <w:r w:rsidRPr="006E7B65">
        <w:rPr>
          <w:rFonts w:asciiTheme="minorBidi" w:hAnsiTheme="minorBidi"/>
          <w:sz w:val="22"/>
          <w:szCs w:val="22"/>
        </w:rPr>
        <w:t xml:space="preserve">(Supplement_2), </w:t>
      </w:r>
      <w:r w:rsidR="00377D0F" w:rsidRPr="006E7B65">
        <w:rPr>
          <w:rFonts w:asciiTheme="minorBidi" w:hAnsiTheme="minorBidi"/>
          <w:sz w:val="22"/>
          <w:szCs w:val="22"/>
        </w:rPr>
        <w:t>pp. ii</w:t>
      </w:r>
      <w:r w:rsidRPr="006E7B65">
        <w:rPr>
          <w:rFonts w:asciiTheme="minorBidi" w:hAnsiTheme="minorBidi"/>
          <w:sz w:val="22"/>
          <w:szCs w:val="22"/>
        </w:rPr>
        <w:t xml:space="preserve">26-ii32. </w:t>
      </w:r>
      <w:hyperlink r:id="rId20" w:history="1">
        <w:r w:rsidRPr="006E7B65">
          <w:rPr>
            <w:rStyle w:val="Hyperlink"/>
            <w:rFonts w:asciiTheme="minorBidi" w:hAnsiTheme="minorBidi"/>
            <w:sz w:val="22"/>
            <w:szCs w:val="22"/>
          </w:rPr>
          <w:t>https://doi.org/10.1093/intqhc/mzab072</w:t>
        </w:r>
      </w:hyperlink>
      <w:r w:rsidRPr="006E7B65">
        <w:rPr>
          <w:rFonts w:asciiTheme="minorBidi" w:hAnsiTheme="minorBidi"/>
          <w:sz w:val="22"/>
          <w:szCs w:val="22"/>
        </w:rPr>
        <w:t xml:space="preserve"> </w:t>
      </w:r>
    </w:p>
    <w:p w14:paraId="26533360" w14:textId="77777777"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Haleem, A., Javaid, M., Singh, R.P. and Suman, R., (2021). Telemedicine for healthcare: Capabilities, features, barriers, and applications. </w:t>
      </w:r>
      <w:r w:rsidRPr="006E7B65">
        <w:rPr>
          <w:rFonts w:asciiTheme="minorBidi" w:hAnsiTheme="minorBidi"/>
          <w:i/>
          <w:iCs/>
          <w:sz w:val="22"/>
          <w:szCs w:val="22"/>
        </w:rPr>
        <w:t>Sensors international</w:t>
      </w:r>
      <w:r w:rsidRPr="006E7B65">
        <w:rPr>
          <w:rFonts w:asciiTheme="minorBidi" w:hAnsiTheme="minorBidi"/>
          <w:sz w:val="22"/>
          <w:szCs w:val="22"/>
        </w:rPr>
        <w:t>, </w:t>
      </w:r>
      <w:r w:rsidRPr="006E7B65">
        <w:rPr>
          <w:rFonts w:asciiTheme="minorBidi" w:hAnsiTheme="minorBidi"/>
          <w:i/>
          <w:iCs/>
          <w:sz w:val="22"/>
          <w:szCs w:val="22"/>
        </w:rPr>
        <w:t>2</w:t>
      </w:r>
      <w:r w:rsidRPr="006E7B65">
        <w:rPr>
          <w:rFonts w:asciiTheme="minorBidi" w:hAnsiTheme="minorBidi"/>
          <w:sz w:val="22"/>
          <w:szCs w:val="22"/>
        </w:rPr>
        <w:t xml:space="preserve">, p.100117. </w:t>
      </w:r>
      <w:hyperlink r:id="rId21" w:history="1">
        <w:r w:rsidRPr="006E7B65">
          <w:rPr>
            <w:rStyle w:val="Hyperlink"/>
            <w:rFonts w:asciiTheme="minorBidi" w:hAnsiTheme="minorBidi"/>
            <w:sz w:val="22"/>
            <w:szCs w:val="22"/>
          </w:rPr>
          <w:t>https://doi.org/10.1016/j.sintl.2021.100117</w:t>
        </w:r>
      </w:hyperlink>
      <w:r w:rsidRPr="006E7B65">
        <w:rPr>
          <w:rFonts w:asciiTheme="minorBidi" w:hAnsiTheme="minorBidi"/>
          <w:sz w:val="22"/>
          <w:szCs w:val="22"/>
        </w:rPr>
        <w:t xml:space="preserve"> </w:t>
      </w:r>
    </w:p>
    <w:p w14:paraId="60E6AD16" w14:textId="77777777" w:rsidR="0057367B" w:rsidRPr="006E7B65" w:rsidRDefault="0057367B" w:rsidP="000F1CC2">
      <w:pPr>
        <w:ind w:left="1440" w:hanging="1440"/>
        <w:rPr>
          <w:rFonts w:asciiTheme="minorBidi" w:hAnsiTheme="minorBidi"/>
          <w:color w:val="000000"/>
          <w:sz w:val="22"/>
          <w:szCs w:val="22"/>
        </w:rPr>
      </w:pPr>
      <w:r w:rsidRPr="006E7B65">
        <w:rPr>
          <w:rFonts w:asciiTheme="minorBidi" w:hAnsiTheme="minorBidi"/>
          <w:color w:val="000000"/>
          <w:sz w:val="22"/>
          <w:szCs w:val="22"/>
        </w:rPr>
        <w:t>Hughes, H., Oskrochi, Y. and Micklewright, T. (n.d.). </w:t>
      </w:r>
      <w:r w:rsidRPr="006E7B65">
        <w:rPr>
          <w:rFonts w:asciiTheme="minorBidi" w:hAnsiTheme="minorBidi"/>
          <w:i/>
          <w:iCs/>
          <w:color w:val="000000"/>
          <w:sz w:val="22"/>
          <w:szCs w:val="22"/>
        </w:rPr>
        <w:t>Patient Safety in the Digital NHS USER-CENTRIC APPROACHES TO TECHNOLOGY AND TRANSFORMATION</w:t>
      </w:r>
      <w:r w:rsidRPr="006E7B65">
        <w:rPr>
          <w:rFonts w:asciiTheme="minorBidi" w:hAnsiTheme="minorBidi"/>
          <w:color w:val="000000"/>
          <w:sz w:val="22"/>
          <w:szCs w:val="22"/>
        </w:rPr>
        <w:t xml:space="preserve">. [online] Available at: </w:t>
      </w:r>
      <w:hyperlink r:id="rId22" w:history="1">
        <w:r w:rsidRPr="006E7B65">
          <w:rPr>
            <w:rStyle w:val="Hyperlink"/>
            <w:rFonts w:asciiTheme="minorBidi" w:hAnsiTheme="minorBidi"/>
            <w:sz w:val="22"/>
            <w:szCs w:val="22"/>
          </w:rPr>
          <w:t>https://publicpolicyprojects.com/wp-content/uploads/2025/02/Patient-safety-report-online-version.pdf</w:t>
        </w:r>
      </w:hyperlink>
      <w:r w:rsidRPr="006E7B65">
        <w:rPr>
          <w:rFonts w:asciiTheme="minorBidi" w:hAnsiTheme="minorBidi"/>
          <w:color w:val="000000"/>
          <w:sz w:val="22"/>
          <w:szCs w:val="22"/>
        </w:rPr>
        <w:t xml:space="preserve">. </w:t>
      </w:r>
    </w:p>
    <w:p w14:paraId="0C8AFC36" w14:textId="77777777" w:rsidR="0057367B" w:rsidRPr="006E7B65" w:rsidRDefault="0057367B" w:rsidP="000F1CC2">
      <w:pPr>
        <w:ind w:left="1440" w:hanging="1440"/>
        <w:rPr>
          <w:rFonts w:asciiTheme="minorBidi" w:eastAsia="Times New Roman" w:hAnsiTheme="minorBidi"/>
          <w:color w:val="000000"/>
          <w:kern w:val="0"/>
          <w:sz w:val="22"/>
          <w:szCs w:val="22"/>
          <w14:ligatures w14:val="none"/>
        </w:rPr>
      </w:pPr>
      <w:r w:rsidRPr="006E7B65">
        <w:rPr>
          <w:rFonts w:asciiTheme="minorBidi" w:hAnsiTheme="minorBidi"/>
          <w:color w:val="000000"/>
          <w:sz w:val="22"/>
          <w:szCs w:val="22"/>
        </w:rPr>
        <w:lastRenderedPageBreak/>
        <w:t xml:space="preserve">ICO UK, </w:t>
      </w:r>
      <w:r w:rsidRPr="006E7B65">
        <w:rPr>
          <w:rFonts w:asciiTheme="minorBidi" w:eastAsia="Times New Roman" w:hAnsiTheme="minorBidi"/>
          <w:color w:val="000000"/>
          <w:kern w:val="0"/>
          <w:sz w:val="22"/>
          <w:szCs w:val="22"/>
          <w14:ligatures w14:val="none"/>
        </w:rPr>
        <w:t>(</w:t>
      </w:r>
      <w:r w:rsidRPr="006E7B65">
        <w:rPr>
          <w:rFonts w:asciiTheme="minorBidi" w:hAnsiTheme="minorBidi"/>
          <w:color w:val="000000"/>
          <w:sz w:val="22"/>
          <w:szCs w:val="22"/>
        </w:rPr>
        <w:t>2018</w:t>
      </w:r>
      <w:r w:rsidRPr="006E7B65">
        <w:rPr>
          <w:rFonts w:asciiTheme="minorBidi" w:eastAsia="Times New Roman" w:hAnsiTheme="minorBidi"/>
          <w:color w:val="000000"/>
          <w:kern w:val="0"/>
          <w:sz w:val="22"/>
          <w:szCs w:val="22"/>
          <w14:ligatures w14:val="none"/>
        </w:rPr>
        <w:t>).</w:t>
      </w:r>
      <w:r w:rsidRPr="006E7B65">
        <w:rPr>
          <w:rFonts w:asciiTheme="minorBidi" w:hAnsiTheme="minorBidi"/>
          <w:color w:val="000000"/>
          <w:sz w:val="22"/>
          <w:szCs w:val="22"/>
        </w:rPr>
        <w:t xml:space="preserve"> </w:t>
      </w:r>
      <w:r w:rsidRPr="006E7B65">
        <w:rPr>
          <w:rFonts w:asciiTheme="minorBidi" w:hAnsiTheme="minorBidi"/>
          <w:i/>
          <w:color w:val="000000"/>
          <w:sz w:val="22"/>
          <w:szCs w:val="22"/>
        </w:rPr>
        <w:t>DATA PROTECTION ACT 2018 AND UK GENERAL DATA PROTECTION REGULATION</w:t>
      </w:r>
      <w:r w:rsidRPr="006E7B65">
        <w:rPr>
          <w:rFonts w:asciiTheme="minorBidi" w:hAnsiTheme="minorBidi"/>
          <w:color w:val="000000"/>
          <w:sz w:val="22"/>
          <w:szCs w:val="22"/>
        </w:rPr>
        <w:t>.</w:t>
      </w:r>
      <w:r w:rsidRPr="006E7B65">
        <w:rPr>
          <w:rFonts w:asciiTheme="minorBidi" w:eastAsia="Times New Roman" w:hAnsiTheme="minorBidi"/>
          <w:color w:val="000000"/>
          <w:kern w:val="0"/>
          <w:sz w:val="22"/>
          <w:szCs w:val="22"/>
          <w14:ligatures w14:val="none"/>
        </w:rPr>
        <w:t xml:space="preserve"> Available at: </w:t>
      </w:r>
      <w:hyperlink r:id="rId23" w:history="1">
        <w:r w:rsidRPr="006E7B65">
          <w:rPr>
            <w:rStyle w:val="Hyperlink"/>
            <w:rFonts w:asciiTheme="minorBidi" w:eastAsia="Times New Roman" w:hAnsiTheme="minorBidi"/>
            <w:kern w:val="0"/>
            <w:sz w:val="22"/>
            <w:szCs w:val="22"/>
            <w14:ligatures w14:val="none"/>
          </w:rPr>
          <w:t>https://ico.org.uk/media2/migrated/4027166/nottinghamshire-police-reprimand.pdf</w:t>
        </w:r>
      </w:hyperlink>
      <w:r w:rsidRPr="006E7B65">
        <w:rPr>
          <w:rFonts w:asciiTheme="minorBidi" w:eastAsia="Times New Roman" w:hAnsiTheme="minorBidi"/>
          <w:color w:val="000000"/>
          <w:kern w:val="0"/>
          <w:sz w:val="22"/>
          <w:szCs w:val="22"/>
          <w14:ligatures w14:val="none"/>
        </w:rPr>
        <w:t xml:space="preserve"> (Accessed: 15 September 2025).</w:t>
      </w:r>
    </w:p>
    <w:p w14:paraId="4AFA6794" w14:textId="77777777"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Jacquemard, T., Doherty, C.P. and Fitzsimons, M.B., (2021). The anatomy of electronic patient record ethics: a framework to guide design, development, implementation, and use. </w:t>
      </w:r>
      <w:r w:rsidRPr="006E7B65">
        <w:rPr>
          <w:rFonts w:asciiTheme="minorBidi" w:hAnsiTheme="minorBidi"/>
          <w:i/>
          <w:iCs/>
          <w:sz w:val="22"/>
          <w:szCs w:val="22"/>
        </w:rPr>
        <w:t>BMC Medical Ethics</w:t>
      </w:r>
      <w:r w:rsidRPr="006E7B65">
        <w:rPr>
          <w:rFonts w:asciiTheme="minorBidi" w:hAnsiTheme="minorBidi"/>
          <w:sz w:val="22"/>
          <w:szCs w:val="22"/>
        </w:rPr>
        <w:t>, </w:t>
      </w:r>
      <w:r w:rsidRPr="006E7B65">
        <w:rPr>
          <w:rFonts w:asciiTheme="minorBidi" w:hAnsiTheme="minorBidi"/>
          <w:i/>
          <w:iCs/>
          <w:sz w:val="22"/>
          <w:szCs w:val="22"/>
        </w:rPr>
        <w:t>22</w:t>
      </w:r>
      <w:r w:rsidRPr="006E7B65">
        <w:rPr>
          <w:rFonts w:asciiTheme="minorBidi" w:hAnsiTheme="minorBidi"/>
          <w:sz w:val="22"/>
          <w:szCs w:val="22"/>
        </w:rPr>
        <w:t xml:space="preserve">(1), p.9. </w:t>
      </w:r>
      <w:hyperlink r:id="rId24" w:history="1">
        <w:r w:rsidRPr="006E7B65">
          <w:rPr>
            <w:rStyle w:val="Hyperlink"/>
            <w:rFonts w:asciiTheme="minorBidi" w:hAnsiTheme="minorBidi"/>
            <w:sz w:val="22"/>
            <w:szCs w:val="22"/>
          </w:rPr>
          <w:t>https://doi.org/10.1186/s12910-021-00574-x</w:t>
        </w:r>
      </w:hyperlink>
      <w:r w:rsidRPr="006E7B65">
        <w:rPr>
          <w:rFonts w:asciiTheme="minorBidi" w:hAnsiTheme="minorBidi"/>
          <w:sz w:val="22"/>
          <w:szCs w:val="22"/>
        </w:rPr>
        <w:t xml:space="preserve"> </w:t>
      </w:r>
    </w:p>
    <w:p w14:paraId="036468F1" w14:textId="77777777"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Khatiwada, P., Yang, B., Lin, J.C. and Blobel, B., (2024). Patient-generated health data (PGHD): understanding, requirements, challenges, and existing techniques for data security and privacy. </w:t>
      </w:r>
      <w:r w:rsidRPr="006E7B65">
        <w:rPr>
          <w:rFonts w:asciiTheme="minorBidi" w:hAnsiTheme="minorBidi"/>
          <w:i/>
          <w:iCs/>
          <w:sz w:val="22"/>
          <w:szCs w:val="22"/>
        </w:rPr>
        <w:t>Journal of personalized medicine</w:t>
      </w:r>
      <w:r w:rsidRPr="006E7B65">
        <w:rPr>
          <w:rFonts w:asciiTheme="minorBidi" w:hAnsiTheme="minorBidi"/>
          <w:sz w:val="22"/>
          <w:szCs w:val="22"/>
        </w:rPr>
        <w:t>, </w:t>
      </w:r>
      <w:r w:rsidRPr="006E7B65">
        <w:rPr>
          <w:rFonts w:asciiTheme="minorBidi" w:hAnsiTheme="minorBidi"/>
          <w:i/>
          <w:iCs/>
          <w:sz w:val="22"/>
          <w:szCs w:val="22"/>
        </w:rPr>
        <w:t>14</w:t>
      </w:r>
      <w:r w:rsidRPr="006E7B65">
        <w:rPr>
          <w:rFonts w:asciiTheme="minorBidi" w:hAnsiTheme="minorBidi"/>
          <w:sz w:val="22"/>
          <w:szCs w:val="22"/>
        </w:rPr>
        <w:t xml:space="preserve">(3), p.282. </w:t>
      </w:r>
      <w:hyperlink r:id="rId25" w:history="1">
        <w:r w:rsidRPr="006E7B65">
          <w:rPr>
            <w:rStyle w:val="Hyperlink"/>
            <w:rFonts w:asciiTheme="minorBidi" w:hAnsiTheme="minorBidi"/>
            <w:sz w:val="22"/>
            <w:szCs w:val="22"/>
          </w:rPr>
          <w:t>https://doi.org/10.3390/jpm14030282</w:t>
        </w:r>
      </w:hyperlink>
      <w:r w:rsidRPr="006E7B65">
        <w:rPr>
          <w:rFonts w:asciiTheme="minorBidi" w:hAnsiTheme="minorBidi"/>
          <w:sz w:val="22"/>
          <w:szCs w:val="22"/>
        </w:rPr>
        <w:t xml:space="preserve"> </w:t>
      </w:r>
    </w:p>
    <w:p w14:paraId="3E1AA6AA" w14:textId="77777777"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 xml:space="preserve">Patel, T., (2023). Employee Training and Upskilling for Digital Roles for a SME Company in IT Sector. </w:t>
      </w:r>
      <w:hyperlink r:id="rId26" w:history="1">
        <w:r w:rsidRPr="006E7B65">
          <w:rPr>
            <w:rStyle w:val="Hyperlink"/>
            <w:rFonts w:asciiTheme="minorBidi" w:hAnsiTheme="minorBidi"/>
            <w:sz w:val="22"/>
            <w:szCs w:val="22"/>
          </w:rPr>
          <w:t>https://urn.fi/URN:NBN:fi:amk-2023120333767</w:t>
        </w:r>
      </w:hyperlink>
      <w:r w:rsidRPr="006E7B65">
        <w:rPr>
          <w:rFonts w:asciiTheme="minorBidi" w:hAnsiTheme="minorBidi"/>
          <w:sz w:val="22"/>
          <w:szCs w:val="22"/>
        </w:rPr>
        <w:t xml:space="preserve"> </w:t>
      </w:r>
    </w:p>
    <w:p w14:paraId="1F789BAE" w14:textId="77777777"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Pope, R., Zenonos, A., Bryant, W., Spiridou, A., Key, D., Patel, S., Robinson, J., Styles, A., Rockenbach, C., Bicknell, G. and Rajendran, P., (2024). Real-world learnings for digital health industry–NHS collaboration: life sciences vision in action. </w:t>
      </w:r>
      <w:r w:rsidRPr="006E7B65">
        <w:rPr>
          <w:rFonts w:asciiTheme="minorBidi" w:hAnsiTheme="minorBidi"/>
          <w:i/>
          <w:iCs/>
          <w:sz w:val="22"/>
          <w:szCs w:val="22"/>
        </w:rPr>
        <w:t>Future Healthcare Journal</w:t>
      </w:r>
      <w:r w:rsidRPr="006E7B65">
        <w:rPr>
          <w:rFonts w:asciiTheme="minorBidi" w:hAnsiTheme="minorBidi"/>
          <w:sz w:val="22"/>
          <w:szCs w:val="22"/>
        </w:rPr>
        <w:t>, </w:t>
      </w:r>
      <w:r w:rsidRPr="006E7B65">
        <w:rPr>
          <w:rFonts w:asciiTheme="minorBidi" w:hAnsiTheme="minorBidi"/>
          <w:i/>
          <w:iCs/>
          <w:sz w:val="22"/>
          <w:szCs w:val="22"/>
        </w:rPr>
        <w:t>11</w:t>
      </w:r>
      <w:r w:rsidRPr="006E7B65">
        <w:rPr>
          <w:rFonts w:asciiTheme="minorBidi" w:hAnsiTheme="minorBidi"/>
          <w:sz w:val="22"/>
          <w:szCs w:val="22"/>
        </w:rPr>
        <w:t xml:space="preserve">(3), p.100168. </w:t>
      </w:r>
      <w:hyperlink r:id="rId27" w:history="1">
        <w:r w:rsidRPr="006E7B65">
          <w:rPr>
            <w:rStyle w:val="Hyperlink"/>
            <w:rFonts w:asciiTheme="minorBidi" w:hAnsiTheme="minorBidi"/>
            <w:sz w:val="22"/>
            <w:szCs w:val="22"/>
          </w:rPr>
          <w:t>https://doi.org/10.1016/j.fhj.2024.100168</w:t>
        </w:r>
      </w:hyperlink>
      <w:r w:rsidRPr="006E7B65">
        <w:rPr>
          <w:rFonts w:asciiTheme="minorBidi" w:hAnsiTheme="minorBidi"/>
          <w:sz w:val="22"/>
          <w:szCs w:val="22"/>
        </w:rPr>
        <w:t xml:space="preserve"> </w:t>
      </w:r>
    </w:p>
    <w:p w14:paraId="70F92678" w14:textId="61B09251"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 xml:space="preserve">Sanderson, S.C., Lewis, C., Hill, M., </w:t>
      </w:r>
      <w:r w:rsidR="00377D0F" w:rsidRPr="006E7B65">
        <w:rPr>
          <w:rFonts w:asciiTheme="minorBidi" w:hAnsiTheme="minorBidi"/>
          <w:sz w:val="22"/>
          <w:szCs w:val="22"/>
        </w:rPr>
        <w:t>Peter, M.</w:t>
      </w:r>
      <w:r w:rsidRPr="006E7B65">
        <w:rPr>
          <w:rFonts w:asciiTheme="minorBidi" w:hAnsiTheme="minorBidi"/>
          <w:sz w:val="22"/>
          <w:szCs w:val="22"/>
        </w:rPr>
        <w:t>, M., McEntagart, M., Gale, D., Morris, H., Moosajee, M., Searle, B., Hunter, A. and Patch, C., (2022). Decision-making, attitudes, and understanding among patients and relatives invited to undergo genome sequencing in the 100,000 Genomes Project: A multisite survey study. </w:t>
      </w:r>
      <w:r w:rsidRPr="006E7B65">
        <w:rPr>
          <w:rFonts w:asciiTheme="minorBidi" w:hAnsiTheme="minorBidi"/>
          <w:i/>
          <w:iCs/>
          <w:sz w:val="22"/>
          <w:szCs w:val="22"/>
        </w:rPr>
        <w:t>Genetics In Medicine</w:t>
      </w:r>
      <w:r w:rsidRPr="006E7B65">
        <w:rPr>
          <w:rFonts w:asciiTheme="minorBidi" w:hAnsiTheme="minorBidi"/>
          <w:sz w:val="22"/>
          <w:szCs w:val="22"/>
        </w:rPr>
        <w:t>, </w:t>
      </w:r>
      <w:r w:rsidRPr="006E7B65">
        <w:rPr>
          <w:rFonts w:asciiTheme="minorBidi" w:hAnsiTheme="minorBidi"/>
          <w:i/>
          <w:iCs/>
          <w:sz w:val="22"/>
          <w:szCs w:val="22"/>
        </w:rPr>
        <w:t>24</w:t>
      </w:r>
      <w:r w:rsidRPr="006E7B65">
        <w:rPr>
          <w:rFonts w:asciiTheme="minorBidi" w:hAnsiTheme="minorBidi"/>
          <w:sz w:val="22"/>
          <w:szCs w:val="22"/>
        </w:rPr>
        <w:t xml:space="preserve">(1), pp.61-74. </w:t>
      </w:r>
      <w:hyperlink r:id="rId28" w:history="1">
        <w:r w:rsidRPr="006E7B65">
          <w:rPr>
            <w:rStyle w:val="Hyperlink"/>
            <w:rFonts w:asciiTheme="minorBidi" w:hAnsiTheme="minorBidi"/>
            <w:sz w:val="22"/>
            <w:szCs w:val="22"/>
          </w:rPr>
          <w:t>https://doi.org/10.1016/j.gim.2021.08.010</w:t>
        </w:r>
      </w:hyperlink>
      <w:r w:rsidRPr="006E7B65">
        <w:rPr>
          <w:rFonts w:asciiTheme="minorBidi" w:hAnsiTheme="minorBidi"/>
          <w:sz w:val="22"/>
          <w:szCs w:val="22"/>
        </w:rPr>
        <w:t xml:space="preserve"> </w:t>
      </w:r>
    </w:p>
    <w:p w14:paraId="2145B5A4" w14:textId="77777777"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Scantlebury, A., Sheard, L., Fedell, C. and Wright, J., (2021). What are the implications for patient safety and experience of a major healthcare IT breakdown? A qualitative study. </w:t>
      </w:r>
      <w:r w:rsidRPr="006E7B65">
        <w:rPr>
          <w:rFonts w:asciiTheme="minorBidi" w:hAnsiTheme="minorBidi"/>
          <w:i/>
          <w:iCs/>
          <w:sz w:val="22"/>
          <w:szCs w:val="22"/>
        </w:rPr>
        <w:t>Digital Health</w:t>
      </w:r>
      <w:r w:rsidRPr="006E7B65">
        <w:rPr>
          <w:rFonts w:asciiTheme="minorBidi" w:hAnsiTheme="minorBidi"/>
          <w:sz w:val="22"/>
          <w:szCs w:val="22"/>
        </w:rPr>
        <w:t>, </w:t>
      </w:r>
      <w:r w:rsidRPr="006E7B65">
        <w:rPr>
          <w:rFonts w:asciiTheme="minorBidi" w:hAnsiTheme="minorBidi"/>
          <w:i/>
          <w:iCs/>
          <w:sz w:val="22"/>
          <w:szCs w:val="22"/>
        </w:rPr>
        <w:t>7</w:t>
      </w:r>
      <w:r w:rsidRPr="006E7B65">
        <w:rPr>
          <w:rFonts w:asciiTheme="minorBidi" w:hAnsiTheme="minorBidi"/>
          <w:sz w:val="22"/>
          <w:szCs w:val="22"/>
        </w:rPr>
        <w:t xml:space="preserve">, p.20552076211010033. </w:t>
      </w:r>
      <w:hyperlink r:id="rId29" w:history="1">
        <w:r w:rsidRPr="006E7B65">
          <w:rPr>
            <w:rStyle w:val="Hyperlink"/>
            <w:rFonts w:asciiTheme="minorBidi" w:hAnsiTheme="minorBidi"/>
            <w:sz w:val="22"/>
            <w:szCs w:val="22"/>
          </w:rPr>
          <w:t>https://doi.org/10.1177/20552076211010033</w:t>
        </w:r>
      </w:hyperlink>
      <w:r w:rsidRPr="006E7B65">
        <w:rPr>
          <w:rFonts w:asciiTheme="minorBidi" w:hAnsiTheme="minorBidi"/>
          <w:sz w:val="22"/>
          <w:szCs w:val="22"/>
        </w:rPr>
        <w:t xml:space="preserve"> </w:t>
      </w:r>
    </w:p>
    <w:p w14:paraId="0A562BB9" w14:textId="77777777"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Scobie, S. and Castle</w:t>
      </w:r>
      <w:r w:rsidRPr="006E7B65">
        <w:rPr>
          <w:rFonts w:ascii="Cambria Math" w:hAnsi="Cambria Math" w:cs="Cambria Math"/>
          <w:sz w:val="22"/>
          <w:szCs w:val="22"/>
        </w:rPr>
        <w:t>‐</w:t>
      </w:r>
      <w:r w:rsidRPr="006E7B65">
        <w:rPr>
          <w:rFonts w:asciiTheme="minorBidi" w:hAnsiTheme="minorBidi"/>
          <w:sz w:val="22"/>
          <w:szCs w:val="22"/>
        </w:rPr>
        <w:t>Clarke, S., (2020). Implementing learning health systems in the UK NHS: policy actions to improve collaboration and transparency and support innovation and better use of analytics. </w:t>
      </w:r>
      <w:r w:rsidRPr="006E7B65">
        <w:rPr>
          <w:rFonts w:asciiTheme="minorBidi" w:hAnsiTheme="minorBidi"/>
          <w:i/>
          <w:iCs/>
          <w:sz w:val="22"/>
          <w:szCs w:val="22"/>
        </w:rPr>
        <w:t>Learning health systems</w:t>
      </w:r>
      <w:r w:rsidRPr="006E7B65">
        <w:rPr>
          <w:rFonts w:asciiTheme="minorBidi" w:hAnsiTheme="minorBidi"/>
          <w:sz w:val="22"/>
          <w:szCs w:val="22"/>
        </w:rPr>
        <w:t>, </w:t>
      </w:r>
      <w:r w:rsidRPr="006E7B65">
        <w:rPr>
          <w:rFonts w:asciiTheme="minorBidi" w:hAnsiTheme="minorBidi"/>
          <w:i/>
          <w:iCs/>
          <w:sz w:val="22"/>
          <w:szCs w:val="22"/>
        </w:rPr>
        <w:t>4</w:t>
      </w:r>
      <w:r w:rsidRPr="006E7B65">
        <w:rPr>
          <w:rFonts w:asciiTheme="minorBidi" w:hAnsiTheme="minorBidi"/>
          <w:sz w:val="22"/>
          <w:szCs w:val="22"/>
        </w:rPr>
        <w:t xml:space="preserve">(1), p.e10209. </w:t>
      </w:r>
      <w:hyperlink r:id="rId30" w:history="1">
        <w:r w:rsidRPr="006E7B65">
          <w:rPr>
            <w:rStyle w:val="Hyperlink"/>
            <w:rFonts w:asciiTheme="minorBidi" w:hAnsiTheme="minorBidi"/>
            <w:sz w:val="22"/>
            <w:szCs w:val="22"/>
          </w:rPr>
          <w:t>https://doi.org/10.1002/lrh2.10209</w:t>
        </w:r>
      </w:hyperlink>
      <w:r w:rsidRPr="006E7B65">
        <w:rPr>
          <w:rFonts w:asciiTheme="minorBidi" w:hAnsiTheme="minorBidi"/>
          <w:sz w:val="22"/>
          <w:szCs w:val="22"/>
        </w:rPr>
        <w:t xml:space="preserve"> </w:t>
      </w:r>
    </w:p>
    <w:p w14:paraId="26D81533" w14:textId="28927171"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lastRenderedPageBreak/>
        <w:t xml:space="preserve">Ștefan, A.M., Rusu, N.R., Ovreiu, E. and Ciuc, M., (2024). Empowering healthcare: A comprehensive guide to Implementing </w:t>
      </w:r>
      <w:r w:rsidR="00377D0F" w:rsidRPr="006E7B65">
        <w:rPr>
          <w:rFonts w:asciiTheme="minorBidi" w:hAnsiTheme="minorBidi"/>
          <w:sz w:val="22"/>
          <w:szCs w:val="22"/>
        </w:rPr>
        <w:t>robust</w:t>
      </w:r>
      <w:r w:rsidRPr="006E7B65">
        <w:rPr>
          <w:rFonts w:asciiTheme="minorBidi" w:hAnsiTheme="minorBidi"/>
          <w:sz w:val="22"/>
          <w:szCs w:val="22"/>
        </w:rPr>
        <w:t xml:space="preserve"> medical information system—components, benefits, objectives, evaluation criteria, and seamless deployment strategies. </w:t>
      </w:r>
      <w:r w:rsidRPr="006E7B65">
        <w:rPr>
          <w:rFonts w:asciiTheme="minorBidi" w:hAnsiTheme="minorBidi"/>
          <w:i/>
          <w:iCs/>
          <w:sz w:val="22"/>
          <w:szCs w:val="22"/>
        </w:rPr>
        <w:t>Applied System Innovation</w:t>
      </w:r>
      <w:r w:rsidRPr="006E7B65">
        <w:rPr>
          <w:rFonts w:asciiTheme="minorBidi" w:hAnsiTheme="minorBidi"/>
          <w:sz w:val="22"/>
          <w:szCs w:val="22"/>
        </w:rPr>
        <w:t>, </w:t>
      </w:r>
      <w:r w:rsidRPr="006E7B65">
        <w:rPr>
          <w:rFonts w:asciiTheme="minorBidi" w:hAnsiTheme="minorBidi"/>
          <w:i/>
          <w:iCs/>
          <w:sz w:val="22"/>
          <w:szCs w:val="22"/>
        </w:rPr>
        <w:t>7</w:t>
      </w:r>
      <w:r w:rsidRPr="006E7B65">
        <w:rPr>
          <w:rFonts w:asciiTheme="minorBidi" w:hAnsiTheme="minorBidi"/>
          <w:sz w:val="22"/>
          <w:szCs w:val="22"/>
        </w:rPr>
        <w:t xml:space="preserve">(3), p.51. </w:t>
      </w:r>
      <w:hyperlink r:id="rId31" w:history="1">
        <w:r w:rsidRPr="006E7B65">
          <w:rPr>
            <w:rStyle w:val="Hyperlink"/>
            <w:rFonts w:asciiTheme="minorBidi" w:hAnsiTheme="minorBidi"/>
            <w:sz w:val="22"/>
            <w:szCs w:val="22"/>
          </w:rPr>
          <w:t>https://doi.org/10.3390/asi7030051</w:t>
        </w:r>
      </w:hyperlink>
      <w:r w:rsidRPr="006E7B65">
        <w:rPr>
          <w:rFonts w:asciiTheme="minorBidi" w:hAnsiTheme="minorBidi"/>
          <w:sz w:val="22"/>
          <w:szCs w:val="22"/>
        </w:rPr>
        <w:t xml:space="preserve"> </w:t>
      </w:r>
    </w:p>
    <w:p w14:paraId="4AB219D2" w14:textId="77777777" w:rsidR="0057367B" w:rsidRPr="006E7B65" w:rsidRDefault="0057367B" w:rsidP="000F1CC2">
      <w:pPr>
        <w:ind w:left="1440" w:hanging="1440"/>
        <w:rPr>
          <w:rFonts w:asciiTheme="minorBidi" w:hAnsiTheme="minorBidi"/>
          <w:sz w:val="22"/>
          <w:szCs w:val="22"/>
        </w:rPr>
      </w:pPr>
      <w:r w:rsidRPr="006E7B65">
        <w:rPr>
          <w:rFonts w:asciiTheme="minorBidi" w:hAnsiTheme="minorBidi"/>
          <w:sz w:val="22"/>
          <w:szCs w:val="22"/>
        </w:rPr>
        <w:t>Vicoveanu, D., Gherman, O., Șoldănescu, I. and Lavric, A., (2025). Patient Health Record Smart Network Challenges and Trends for a Smarter World. </w:t>
      </w:r>
      <w:r w:rsidRPr="006E7B65">
        <w:rPr>
          <w:rFonts w:asciiTheme="minorBidi" w:hAnsiTheme="minorBidi"/>
          <w:i/>
          <w:iCs/>
          <w:sz w:val="22"/>
          <w:szCs w:val="22"/>
        </w:rPr>
        <w:t>Sensors</w:t>
      </w:r>
      <w:r w:rsidRPr="006E7B65">
        <w:rPr>
          <w:rFonts w:asciiTheme="minorBidi" w:hAnsiTheme="minorBidi"/>
          <w:sz w:val="22"/>
          <w:szCs w:val="22"/>
        </w:rPr>
        <w:t>, </w:t>
      </w:r>
      <w:r w:rsidRPr="006E7B65">
        <w:rPr>
          <w:rFonts w:asciiTheme="minorBidi" w:hAnsiTheme="minorBidi"/>
          <w:i/>
          <w:iCs/>
          <w:sz w:val="22"/>
          <w:szCs w:val="22"/>
        </w:rPr>
        <w:t>25</w:t>
      </w:r>
      <w:r w:rsidRPr="006E7B65">
        <w:rPr>
          <w:rFonts w:asciiTheme="minorBidi" w:hAnsiTheme="minorBidi"/>
          <w:sz w:val="22"/>
          <w:szCs w:val="22"/>
        </w:rPr>
        <w:t xml:space="preserve">(12), p.3710. </w:t>
      </w:r>
      <w:hyperlink r:id="rId32" w:history="1">
        <w:r w:rsidRPr="006E7B65">
          <w:rPr>
            <w:rStyle w:val="Hyperlink"/>
            <w:rFonts w:asciiTheme="minorBidi" w:hAnsiTheme="minorBidi"/>
            <w:sz w:val="22"/>
            <w:szCs w:val="22"/>
          </w:rPr>
          <w:t>https://doi.org/10.3390/s25123710</w:t>
        </w:r>
      </w:hyperlink>
      <w:r w:rsidRPr="006E7B65">
        <w:rPr>
          <w:rFonts w:asciiTheme="minorBidi" w:hAnsiTheme="minorBidi"/>
          <w:sz w:val="22"/>
          <w:szCs w:val="22"/>
        </w:rPr>
        <w:t xml:space="preserve"> </w:t>
      </w:r>
    </w:p>
    <w:p w14:paraId="2D957464" w14:textId="77777777" w:rsidR="0057367B" w:rsidRPr="006E7B65" w:rsidRDefault="0057367B" w:rsidP="000F1CC2">
      <w:pPr>
        <w:ind w:left="1440" w:hanging="1440"/>
        <w:rPr>
          <w:rFonts w:asciiTheme="minorBidi" w:hAnsiTheme="minorBidi"/>
          <w:color w:val="000000"/>
          <w:sz w:val="22"/>
          <w:szCs w:val="22"/>
        </w:rPr>
      </w:pPr>
      <w:r w:rsidRPr="006E7B65">
        <w:rPr>
          <w:rFonts w:asciiTheme="minorBidi" w:hAnsiTheme="minorBidi"/>
          <w:color w:val="000000"/>
          <w:sz w:val="22"/>
          <w:szCs w:val="22"/>
        </w:rPr>
        <w:t>Williams, T. (2021). </w:t>
      </w:r>
      <w:r w:rsidRPr="006E7B65">
        <w:rPr>
          <w:rFonts w:asciiTheme="minorBidi" w:hAnsiTheme="minorBidi"/>
          <w:i/>
          <w:iCs/>
          <w:color w:val="000000"/>
          <w:sz w:val="22"/>
          <w:szCs w:val="22"/>
        </w:rPr>
        <w:t>NHS Digital improves e-Referral system - Digital Health Technology News</w:t>
      </w:r>
      <w:r w:rsidRPr="006E7B65">
        <w:rPr>
          <w:rFonts w:asciiTheme="minorBidi" w:hAnsiTheme="minorBidi"/>
          <w:color w:val="000000"/>
          <w:sz w:val="22"/>
          <w:szCs w:val="22"/>
        </w:rPr>
        <w:t>. [online] Digital Health Technology News. Available at: https://www.healthtechdigital.com/nhs-digital-improves-e-referral-system/ [Accessed 15 Sep. 2025].</w:t>
      </w:r>
    </w:p>
    <w:p w14:paraId="2E6FD643" w14:textId="107387E3" w:rsidR="00411D87" w:rsidRPr="00596120" w:rsidRDefault="0057367B" w:rsidP="0057367B">
      <w:pPr>
        <w:ind w:left="1440" w:hanging="1440"/>
        <w:rPr>
          <w:rFonts w:asciiTheme="minorBidi" w:hAnsiTheme="minorBidi"/>
          <w:sz w:val="22"/>
          <w:szCs w:val="22"/>
        </w:rPr>
      </w:pPr>
      <w:r w:rsidRPr="006E7B65">
        <w:rPr>
          <w:rFonts w:asciiTheme="minorBidi" w:hAnsiTheme="minorBidi"/>
          <w:sz w:val="22"/>
          <w:szCs w:val="22"/>
        </w:rPr>
        <w:t>Ye, Q. and Wu, H., (2024). Understanding the role of information transparency in improving patient experience under different uncertainties: a quasi-natural experiment. </w:t>
      </w:r>
      <w:r w:rsidRPr="006E7B65">
        <w:rPr>
          <w:rFonts w:asciiTheme="minorBidi" w:hAnsiTheme="minorBidi"/>
          <w:i/>
          <w:iCs/>
          <w:sz w:val="22"/>
          <w:szCs w:val="22"/>
        </w:rPr>
        <w:t>Internet Research</w:t>
      </w:r>
      <w:r w:rsidRPr="006E7B65">
        <w:rPr>
          <w:rFonts w:asciiTheme="minorBidi" w:hAnsiTheme="minorBidi"/>
          <w:sz w:val="22"/>
          <w:szCs w:val="22"/>
        </w:rPr>
        <w:t>, </w:t>
      </w:r>
      <w:r w:rsidRPr="006E7B65">
        <w:rPr>
          <w:rFonts w:asciiTheme="minorBidi" w:hAnsiTheme="minorBidi"/>
          <w:i/>
          <w:iCs/>
          <w:sz w:val="22"/>
          <w:szCs w:val="22"/>
        </w:rPr>
        <w:t>34</w:t>
      </w:r>
      <w:r w:rsidRPr="006E7B65">
        <w:rPr>
          <w:rFonts w:asciiTheme="minorBidi" w:hAnsiTheme="minorBidi"/>
          <w:sz w:val="22"/>
          <w:szCs w:val="22"/>
        </w:rPr>
        <w:t xml:space="preserve">(3), pp.718-747. </w:t>
      </w:r>
      <w:hyperlink r:id="rId33" w:history="1">
        <w:r w:rsidRPr="006E7B65">
          <w:rPr>
            <w:rStyle w:val="Hyperlink"/>
            <w:rFonts w:asciiTheme="minorBidi" w:hAnsiTheme="minorBidi"/>
            <w:sz w:val="22"/>
            <w:szCs w:val="22"/>
          </w:rPr>
          <w:t>https://doi.org/10.1108/INTR-06-2022-0482</w:t>
        </w:r>
      </w:hyperlink>
      <w:r w:rsidRPr="00596120">
        <w:rPr>
          <w:rFonts w:asciiTheme="minorBidi" w:hAnsiTheme="minorBidi"/>
          <w:sz w:val="22"/>
          <w:szCs w:val="22"/>
        </w:rPr>
        <w:t xml:space="preserve"> </w:t>
      </w:r>
    </w:p>
    <w:sectPr w:rsidR="00411D87" w:rsidRPr="005961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1D0E05" w14:textId="77777777" w:rsidR="007F080D" w:rsidRDefault="007F080D" w:rsidP="00B27DDD">
      <w:pPr>
        <w:spacing w:before="0" w:line="240" w:lineRule="auto"/>
      </w:pPr>
      <w:r>
        <w:separator/>
      </w:r>
    </w:p>
  </w:endnote>
  <w:endnote w:type="continuationSeparator" w:id="0">
    <w:p w14:paraId="787FC262" w14:textId="77777777" w:rsidR="007F080D" w:rsidRDefault="007F080D" w:rsidP="00B27DDD">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B727E7" w14:textId="77777777" w:rsidR="007F080D" w:rsidRDefault="007F080D" w:rsidP="00B27DDD">
      <w:pPr>
        <w:spacing w:before="0" w:line="240" w:lineRule="auto"/>
      </w:pPr>
      <w:r>
        <w:separator/>
      </w:r>
    </w:p>
  </w:footnote>
  <w:footnote w:type="continuationSeparator" w:id="0">
    <w:p w14:paraId="7507938F" w14:textId="77777777" w:rsidR="007F080D" w:rsidRDefault="007F080D" w:rsidP="00B27DDD">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A3F6E"/>
    <w:multiLevelType w:val="multilevel"/>
    <w:tmpl w:val="2C786D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027553"/>
    <w:multiLevelType w:val="multilevel"/>
    <w:tmpl w:val="6EA0808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B3A5B08"/>
    <w:multiLevelType w:val="multilevel"/>
    <w:tmpl w:val="0748C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813EFC"/>
    <w:multiLevelType w:val="multilevel"/>
    <w:tmpl w:val="39327B3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683094371">
    <w:abstractNumId w:val="1"/>
  </w:num>
  <w:num w:numId="2" w16cid:durableId="1999307948">
    <w:abstractNumId w:val="3"/>
  </w:num>
  <w:num w:numId="3" w16cid:durableId="943264720">
    <w:abstractNumId w:val="0"/>
  </w:num>
  <w:num w:numId="4" w16cid:durableId="13943049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79F"/>
    <w:rsid w:val="00007F11"/>
    <w:rsid w:val="00052908"/>
    <w:rsid w:val="000A46BF"/>
    <w:rsid w:val="000A72C5"/>
    <w:rsid w:val="000D6748"/>
    <w:rsid w:val="000F1CC2"/>
    <w:rsid w:val="00104343"/>
    <w:rsid w:val="001245A1"/>
    <w:rsid w:val="00134AC9"/>
    <w:rsid w:val="001714D8"/>
    <w:rsid w:val="00184E74"/>
    <w:rsid w:val="00192142"/>
    <w:rsid w:val="001B0AE0"/>
    <w:rsid w:val="001C73AF"/>
    <w:rsid w:val="001F1322"/>
    <w:rsid w:val="00212572"/>
    <w:rsid w:val="00224F0C"/>
    <w:rsid w:val="00285795"/>
    <w:rsid w:val="0028779F"/>
    <w:rsid w:val="0029440A"/>
    <w:rsid w:val="002A2100"/>
    <w:rsid w:val="003108DC"/>
    <w:rsid w:val="00314698"/>
    <w:rsid w:val="00352147"/>
    <w:rsid w:val="00377D0F"/>
    <w:rsid w:val="003A25F5"/>
    <w:rsid w:val="003C1B63"/>
    <w:rsid w:val="00411D87"/>
    <w:rsid w:val="00420C38"/>
    <w:rsid w:val="0044549A"/>
    <w:rsid w:val="00461668"/>
    <w:rsid w:val="00477B56"/>
    <w:rsid w:val="004872D3"/>
    <w:rsid w:val="004A20A0"/>
    <w:rsid w:val="004C060E"/>
    <w:rsid w:val="004E521E"/>
    <w:rsid w:val="004F28ED"/>
    <w:rsid w:val="005070B6"/>
    <w:rsid w:val="00536AB9"/>
    <w:rsid w:val="0055346D"/>
    <w:rsid w:val="0057367B"/>
    <w:rsid w:val="00586AAF"/>
    <w:rsid w:val="00596120"/>
    <w:rsid w:val="005A3A5D"/>
    <w:rsid w:val="005C28E5"/>
    <w:rsid w:val="005E2463"/>
    <w:rsid w:val="005E3322"/>
    <w:rsid w:val="005E58FC"/>
    <w:rsid w:val="00674D43"/>
    <w:rsid w:val="00685112"/>
    <w:rsid w:val="006B459C"/>
    <w:rsid w:val="006E7B65"/>
    <w:rsid w:val="006F049D"/>
    <w:rsid w:val="006F572E"/>
    <w:rsid w:val="00765FF6"/>
    <w:rsid w:val="00785F08"/>
    <w:rsid w:val="00795179"/>
    <w:rsid w:val="007F080D"/>
    <w:rsid w:val="00812829"/>
    <w:rsid w:val="00830C60"/>
    <w:rsid w:val="00875CBB"/>
    <w:rsid w:val="00930DC6"/>
    <w:rsid w:val="0096733D"/>
    <w:rsid w:val="009A0519"/>
    <w:rsid w:val="009B7812"/>
    <w:rsid w:val="009D50DA"/>
    <w:rsid w:val="00A20FAE"/>
    <w:rsid w:val="00A54A29"/>
    <w:rsid w:val="00A654B5"/>
    <w:rsid w:val="00A86C12"/>
    <w:rsid w:val="00A952FC"/>
    <w:rsid w:val="00AA7A8C"/>
    <w:rsid w:val="00AC33A1"/>
    <w:rsid w:val="00AE2CE5"/>
    <w:rsid w:val="00B025BC"/>
    <w:rsid w:val="00B10EB5"/>
    <w:rsid w:val="00B27DDD"/>
    <w:rsid w:val="00B334A0"/>
    <w:rsid w:val="00B43259"/>
    <w:rsid w:val="00B75818"/>
    <w:rsid w:val="00B8453C"/>
    <w:rsid w:val="00B87590"/>
    <w:rsid w:val="00B95E10"/>
    <w:rsid w:val="00B97EF1"/>
    <w:rsid w:val="00B97F12"/>
    <w:rsid w:val="00BA0432"/>
    <w:rsid w:val="00BA3F27"/>
    <w:rsid w:val="00BA736B"/>
    <w:rsid w:val="00CA4D1D"/>
    <w:rsid w:val="00CC0DDA"/>
    <w:rsid w:val="00D14AF4"/>
    <w:rsid w:val="00D14C97"/>
    <w:rsid w:val="00D15C49"/>
    <w:rsid w:val="00D741D2"/>
    <w:rsid w:val="00D76A27"/>
    <w:rsid w:val="00DA220C"/>
    <w:rsid w:val="00DD1710"/>
    <w:rsid w:val="00DF6BF8"/>
    <w:rsid w:val="00E14D8C"/>
    <w:rsid w:val="00E63C09"/>
    <w:rsid w:val="00E82E1F"/>
    <w:rsid w:val="00ED5F07"/>
    <w:rsid w:val="00F16B8F"/>
    <w:rsid w:val="00F23007"/>
    <w:rsid w:val="00F252B6"/>
    <w:rsid w:val="00F931C3"/>
    <w:rsid w:val="00F9335D"/>
    <w:rsid w:val="00FD5CB8"/>
    <w:rsid w:val="00FE3DB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96CFCE"/>
  <w15:chartTrackingRefBased/>
  <w15:docId w15:val="{1E07D487-3DFE-4C51-8025-0E1A271D9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668"/>
    <w:pPr>
      <w:spacing w:before="120" w:after="0" w:line="360" w:lineRule="auto"/>
      <w:jc w:val="both"/>
    </w:pPr>
    <w:rPr>
      <w:rFonts w:ascii="Times New Roman" w:hAnsi="Times New Roman"/>
    </w:rPr>
  </w:style>
  <w:style w:type="paragraph" w:styleId="Heading1">
    <w:name w:val="heading 1"/>
    <w:basedOn w:val="Normal"/>
    <w:next w:val="Normal"/>
    <w:link w:val="Heading1Char"/>
    <w:uiPriority w:val="9"/>
    <w:qFormat/>
    <w:rsid w:val="002A2100"/>
    <w:pPr>
      <w:keepNext/>
      <w:keepLines/>
      <w:jc w:val="center"/>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2A2100"/>
    <w:pPr>
      <w:keepNext/>
      <w:keepLines/>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semiHidden/>
    <w:unhideWhenUsed/>
    <w:qFormat/>
    <w:rsid w:val="00586AAF"/>
    <w:pPr>
      <w:keepNext/>
      <w:keepLines/>
      <w:jc w:val="left"/>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A54A29"/>
    <w:pPr>
      <w:keepNext/>
      <w:keepLines/>
      <w:spacing w:before="4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100"/>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2A2100"/>
    <w:rPr>
      <w:rFonts w:ascii="Times New Roman" w:eastAsiaTheme="majorEastAsia" w:hAnsi="Times New Roman" w:cstheme="majorBidi"/>
      <w:b/>
      <w:i/>
      <w:color w:val="000000" w:themeColor="text1"/>
      <w:szCs w:val="32"/>
    </w:rPr>
  </w:style>
  <w:style w:type="character" w:customStyle="1" w:styleId="Heading3Char">
    <w:name w:val="Heading 3 Char"/>
    <w:basedOn w:val="DefaultParagraphFont"/>
    <w:link w:val="Heading3"/>
    <w:uiPriority w:val="9"/>
    <w:semiHidden/>
    <w:rsid w:val="00586AAF"/>
    <w:rPr>
      <w:rFonts w:ascii="Times New Roman" w:eastAsiaTheme="majorEastAsia" w:hAnsi="Times New Roman" w:cstheme="majorBidi"/>
      <w:i/>
      <w:szCs w:val="28"/>
    </w:rPr>
  </w:style>
  <w:style w:type="paragraph" w:styleId="Header">
    <w:name w:val="header"/>
    <w:basedOn w:val="Normal"/>
    <w:link w:val="HeaderChar"/>
    <w:uiPriority w:val="99"/>
    <w:unhideWhenUsed/>
    <w:rsid w:val="00B27DDD"/>
    <w:pPr>
      <w:tabs>
        <w:tab w:val="center" w:pos="4680"/>
        <w:tab w:val="right" w:pos="9360"/>
      </w:tabs>
      <w:spacing w:before="0" w:line="240" w:lineRule="auto"/>
    </w:pPr>
  </w:style>
  <w:style w:type="character" w:customStyle="1" w:styleId="HeaderChar">
    <w:name w:val="Header Char"/>
    <w:basedOn w:val="DefaultParagraphFont"/>
    <w:link w:val="Header"/>
    <w:uiPriority w:val="99"/>
    <w:rsid w:val="00B27DDD"/>
    <w:rPr>
      <w:rFonts w:ascii="Times New Roman" w:hAnsi="Times New Roman"/>
    </w:rPr>
  </w:style>
  <w:style w:type="paragraph" w:styleId="Footer">
    <w:name w:val="footer"/>
    <w:basedOn w:val="Normal"/>
    <w:link w:val="FooterChar"/>
    <w:uiPriority w:val="99"/>
    <w:unhideWhenUsed/>
    <w:rsid w:val="00B27DDD"/>
    <w:pPr>
      <w:tabs>
        <w:tab w:val="center" w:pos="4680"/>
        <w:tab w:val="right" w:pos="9360"/>
      </w:tabs>
      <w:spacing w:before="0" w:line="240" w:lineRule="auto"/>
    </w:pPr>
  </w:style>
  <w:style w:type="character" w:customStyle="1" w:styleId="FooterChar">
    <w:name w:val="Footer Char"/>
    <w:basedOn w:val="DefaultParagraphFont"/>
    <w:link w:val="Footer"/>
    <w:uiPriority w:val="99"/>
    <w:rsid w:val="00B27DDD"/>
    <w:rPr>
      <w:rFonts w:ascii="Times New Roman" w:hAnsi="Times New Roman"/>
    </w:rPr>
  </w:style>
  <w:style w:type="character" w:customStyle="1" w:styleId="Heading4Char">
    <w:name w:val="Heading 4 Char"/>
    <w:basedOn w:val="DefaultParagraphFont"/>
    <w:link w:val="Heading4"/>
    <w:uiPriority w:val="9"/>
    <w:semiHidden/>
    <w:rsid w:val="00A54A29"/>
    <w:rPr>
      <w:rFonts w:asciiTheme="majorHAnsi" w:eastAsiaTheme="majorEastAsia" w:hAnsiTheme="majorHAnsi" w:cstheme="majorBidi"/>
      <w:i/>
      <w:iCs/>
      <w:color w:val="0F4761" w:themeColor="accent1" w:themeShade="BF"/>
    </w:rPr>
  </w:style>
  <w:style w:type="paragraph" w:styleId="NormalWeb">
    <w:name w:val="Normal (Web)"/>
    <w:basedOn w:val="Normal"/>
    <w:uiPriority w:val="99"/>
    <w:unhideWhenUsed/>
    <w:rsid w:val="00411D87"/>
    <w:pPr>
      <w:spacing w:before="100" w:beforeAutospacing="1" w:after="100" w:afterAutospacing="1" w:line="240" w:lineRule="auto"/>
      <w:jc w:val="left"/>
    </w:pPr>
    <w:rPr>
      <w:rFonts w:eastAsia="Times New Roman" w:cs="Times New Roman"/>
      <w:kern w:val="0"/>
      <w14:ligatures w14:val="none"/>
    </w:rPr>
  </w:style>
  <w:style w:type="character" w:styleId="Hyperlink">
    <w:name w:val="Hyperlink"/>
    <w:basedOn w:val="DefaultParagraphFont"/>
    <w:uiPriority w:val="99"/>
    <w:unhideWhenUsed/>
    <w:rsid w:val="003A25F5"/>
    <w:rPr>
      <w:color w:val="467886" w:themeColor="hyperlink"/>
      <w:u w:val="single"/>
    </w:rPr>
  </w:style>
  <w:style w:type="character" w:styleId="UnresolvedMention">
    <w:name w:val="Unresolved Mention"/>
    <w:basedOn w:val="DefaultParagraphFont"/>
    <w:uiPriority w:val="99"/>
    <w:semiHidden/>
    <w:unhideWhenUsed/>
    <w:rsid w:val="003A25F5"/>
    <w:rPr>
      <w:color w:val="605E5C"/>
      <w:shd w:val="clear" w:color="auto" w:fill="E1DFDD"/>
    </w:rPr>
  </w:style>
  <w:style w:type="paragraph" w:styleId="Caption">
    <w:name w:val="caption"/>
    <w:basedOn w:val="Normal"/>
    <w:next w:val="Normal"/>
    <w:uiPriority w:val="35"/>
    <w:unhideWhenUsed/>
    <w:qFormat/>
    <w:rsid w:val="004E521E"/>
    <w:pPr>
      <w:spacing w:before="0" w:after="200" w:line="240" w:lineRule="auto"/>
    </w:pPr>
    <w:rPr>
      <w:i/>
      <w:iCs/>
      <w:color w:val="0E2841" w:themeColor="text2"/>
      <w:sz w:val="18"/>
      <w:szCs w:val="18"/>
    </w:rPr>
  </w:style>
  <w:style w:type="paragraph" w:styleId="TOC1">
    <w:name w:val="toc 1"/>
    <w:basedOn w:val="Normal"/>
    <w:next w:val="Normal"/>
    <w:autoRedefine/>
    <w:uiPriority w:val="39"/>
    <w:unhideWhenUsed/>
    <w:rsid w:val="005C28E5"/>
    <w:pPr>
      <w:spacing w:after="100"/>
    </w:pPr>
  </w:style>
  <w:style w:type="character" w:styleId="CommentReference">
    <w:name w:val="annotation reference"/>
    <w:basedOn w:val="DefaultParagraphFont"/>
    <w:uiPriority w:val="99"/>
    <w:semiHidden/>
    <w:unhideWhenUsed/>
    <w:rsid w:val="00212572"/>
    <w:rPr>
      <w:sz w:val="16"/>
      <w:szCs w:val="16"/>
    </w:rPr>
  </w:style>
  <w:style w:type="paragraph" w:styleId="CommentText">
    <w:name w:val="annotation text"/>
    <w:basedOn w:val="Normal"/>
    <w:link w:val="CommentTextChar"/>
    <w:uiPriority w:val="99"/>
    <w:semiHidden/>
    <w:unhideWhenUsed/>
    <w:rsid w:val="00212572"/>
    <w:pPr>
      <w:spacing w:line="240" w:lineRule="auto"/>
    </w:pPr>
    <w:rPr>
      <w:sz w:val="20"/>
      <w:szCs w:val="20"/>
    </w:rPr>
  </w:style>
  <w:style w:type="character" w:customStyle="1" w:styleId="CommentTextChar">
    <w:name w:val="Comment Text Char"/>
    <w:basedOn w:val="DefaultParagraphFont"/>
    <w:link w:val="CommentText"/>
    <w:uiPriority w:val="99"/>
    <w:semiHidden/>
    <w:rsid w:val="0021257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212572"/>
    <w:rPr>
      <w:b/>
      <w:bCs/>
    </w:rPr>
  </w:style>
  <w:style w:type="character" w:customStyle="1" w:styleId="CommentSubjectChar">
    <w:name w:val="Comment Subject Char"/>
    <w:basedOn w:val="CommentTextChar"/>
    <w:link w:val="CommentSubject"/>
    <w:uiPriority w:val="99"/>
    <w:semiHidden/>
    <w:rsid w:val="00212572"/>
    <w:rPr>
      <w:rFonts w:ascii="Times New Roman" w:hAnsi="Times New Roman"/>
      <w:b/>
      <w:bCs/>
      <w:sz w:val="20"/>
      <w:szCs w:val="20"/>
    </w:rPr>
  </w:style>
  <w:style w:type="paragraph" w:styleId="BalloonText">
    <w:name w:val="Balloon Text"/>
    <w:basedOn w:val="Normal"/>
    <w:link w:val="BalloonTextChar"/>
    <w:uiPriority w:val="99"/>
    <w:semiHidden/>
    <w:unhideWhenUsed/>
    <w:rsid w:val="00B97EF1"/>
    <w:pPr>
      <w:spacing w:before="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7EF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18112">
      <w:bodyDiv w:val="1"/>
      <w:marLeft w:val="0"/>
      <w:marRight w:val="0"/>
      <w:marTop w:val="0"/>
      <w:marBottom w:val="0"/>
      <w:divBdr>
        <w:top w:val="none" w:sz="0" w:space="0" w:color="auto"/>
        <w:left w:val="none" w:sz="0" w:space="0" w:color="auto"/>
        <w:bottom w:val="none" w:sz="0" w:space="0" w:color="auto"/>
        <w:right w:val="none" w:sz="0" w:space="0" w:color="auto"/>
      </w:divBdr>
    </w:div>
    <w:div w:id="22437313">
      <w:bodyDiv w:val="1"/>
      <w:marLeft w:val="0"/>
      <w:marRight w:val="0"/>
      <w:marTop w:val="0"/>
      <w:marBottom w:val="0"/>
      <w:divBdr>
        <w:top w:val="none" w:sz="0" w:space="0" w:color="auto"/>
        <w:left w:val="none" w:sz="0" w:space="0" w:color="auto"/>
        <w:bottom w:val="none" w:sz="0" w:space="0" w:color="auto"/>
        <w:right w:val="none" w:sz="0" w:space="0" w:color="auto"/>
      </w:divBdr>
    </w:div>
    <w:div w:id="40055706">
      <w:bodyDiv w:val="1"/>
      <w:marLeft w:val="0"/>
      <w:marRight w:val="0"/>
      <w:marTop w:val="0"/>
      <w:marBottom w:val="0"/>
      <w:divBdr>
        <w:top w:val="none" w:sz="0" w:space="0" w:color="auto"/>
        <w:left w:val="none" w:sz="0" w:space="0" w:color="auto"/>
        <w:bottom w:val="none" w:sz="0" w:space="0" w:color="auto"/>
        <w:right w:val="none" w:sz="0" w:space="0" w:color="auto"/>
      </w:divBdr>
    </w:div>
    <w:div w:id="105927480">
      <w:bodyDiv w:val="1"/>
      <w:marLeft w:val="0"/>
      <w:marRight w:val="0"/>
      <w:marTop w:val="0"/>
      <w:marBottom w:val="0"/>
      <w:divBdr>
        <w:top w:val="none" w:sz="0" w:space="0" w:color="auto"/>
        <w:left w:val="none" w:sz="0" w:space="0" w:color="auto"/>
        <w:bottom w:val="none" w:sz="0" w:space="0" w:color="auto"/>
        <w:right w:val="none" w:sz="0" w:space="0" w:color="auto"/>
      </w:divBdr>
    </w:div>
    <w:div w:id="118571266">
      <w:bodyDiv w:val="1"/>
      <w:marLeft w:val="0"/>
      <w:marRight w:val="0"/>
      <w:marTop w:val="0"/>
      <w:marBottom w:val="0"/>
      <w:divBdr>
        <w:top w:val="none" w:sz="0" w:space="0" w:color="auto"/>
        <w:left w:val="none" w:sz="0" w:space="0" w:color="auto"/>
        <w:bottom w:val="none" w:sz="0" w:space="0" w:color="auto"/>
        <w:right w:val="none" w:sz="0" w:space="0" w:color="auto"/>
      </w:divBdr>
    </w:div>
    <w:div w:id="156774267">
      <w:bodyDiv w:val="1"/>
      <w:marLeft w:val="0"/>
      <w:marRight w:val="0"/>
      <w:marTop w:val="0"/>
      <w:marBottom w:val="0"/>
      <w:divBdr>
        <w:top w:val="none" w:sz="0" w:space="0" w:color="auto"/>
        <w:left w:val="none" w:sz="0" w:space="0" w:color="auto"/>
        <w:bottom w:val="none" w:sz="0" w:space="0" w:color="auto"/>
        <w:right w:val="none" w:sz="0" w:space="0" w:color="auto"/>
      </w:divBdr>
    </w:div>
    <w:div w:id="215288528">
      <w:bodyDiv w:val="1"/>
      <w:marLeft w:val="0"/>
      <w:marRight w:val="0"/>
      <w:marTop w:val="0"/>
      <w:marBottom w:val="0"/>
      <w:divBdr>
        <w:top w:val="none" w:sz="0" w:space="0" w:color="auto"/>
        <w:left w:val="none" w:sz="0" w:space="0" w:color="auto"/>
        <w:bottom w:val="none" w:sz="0" w:space="0" w:color="auto"/>
        <w:right w:val="none" w:sz="0" w:space="0" w:color="auto"/>
      </w:divBdr>
    </w:div>
    <w:div w:id="231939238">
      <w:bodyDiv w:val="1"/>
      <w:marLeft w:val="0"/>
      <w:marRight w:val="0"/>
      <w:marTop w:val="0"/>
      <w:marBottom w:val="0"/>
      <w:divBdr>
        <w:top w:val="none" w:sz="0" w:space="0" w:color="auto"/>
        <w:left w:val="none" w:sz="0" w:space="0" w:color="auto"/>
        <w:bottom w:val="none" w:sz="0" w:space="0" w:color="auto"/>
        <w:right w:val="none" w:sz="0" w:space="0" w:color="auto"/>
      </w:divBdr>
      <w:divsChild>
        <w:div w:id="1764569922">
          <w:marLeft w:val="0"/>
          <w:marRight w:val="0"/>
          <w:marTop w:val="0"/>
          <w:marBottom w:val="0"/>
          <w:divBdr>
            <w:top w:val="none" w:sz="0" w:space="0" w:color="auto"/>
            <w:left w:val="none" w:sz="0" w:space="0" w:color="auto"/>
            <w:bottom w:val="none" w:sz="0" w:space="0" w:color="auto"/>
            <w:right w:val="none" w:sz="0" w:space="0" w:color="auto"/>
          </w:divBdr>
          <w:divsChild>
            <w:div w:id="1439717645">
              <w:marLeft w:val="0"/>
              <w:marRight w:val="0"/>
              <w:marTop w:val="0"/>
              <w:marBottom w:val="0"/>
              <w:divBdr>
                <w:top w:val="none" w:sz="0" w:space="0" w:color="auto"/>
                <w:left w:val="none" w:sz="0" w:space="0" w:color="auto"/>
                <w:bottom w:val="none" w:sz="0" w:space="0" w:color="auto"/>
                <w:right w:val="none" w:sz="0" w:space="0" w:color="auto"/>
              </w:divBdr>
              <w:divsChild>
                <w:div w:id="1668829248">
                  <w:marLeft w:val="0"/>
                  <w:marRight w:val="0"/>
                  <w:marTop w:val="0"/>
                  <w:marBottom w:val="0"/>
                  <w:divBdr>
                    <w:top w:val="none" w:sz="0" w:space="0" w:color="auto"/>
                    <w:left w:val="none" w:sz="0" w:space="0" w:color="auto"/>
                    <w:bottom w:val="none" w:sz="0" w:space="0" w:color="auto"/>
                    <w:right w:val="none" w:sz="0" w:space="0" w:color="auto"/>
                  </w:divBdr>
                  <w:divsChild>
                    <w:div w:id="320348899">
                      <w:marLeft w:val="0"/>
                      <w:marRight w:val="0"/>
                      <w:marTop w:val="0"/>
                      <w:marBottom w:val="0"/>
                      <w:divBdr>
                        <w:top w:val="none" w:sz="0" w:space="0" w:color="auto"/>
                        <w:left w:val="none" w:sz="0" w:space="0" w:color="auto"/>
                        <w:bottom w:val="none" w:sz="0" w:space="0" w:color="auto"/>
                        <w:right w:val="none" w:sz="0" w:space="0" w:color="auto"/>
                      </w:divBdr>
                      <w:divsChild>
                        <w:div w:id="1100956153">
                          <w:marLeft w:val="0"/>
                          <w:marRight w:val="0"/>
                          <w:marTop w:val="0"/>
                          <w:marBottom w:val="0"/>
                          <w:divBdr>
                            <w:top w:val="none" w:sz="0" w:space="0" w:color="auto"/>
                            <w:left w:val="none" w:sz="0" w:space="0" w:color="auto"/>
                            <w:bottom w:val="none" w:sz="0" w:space="0" w:color="auto"/>
                            <w:right w:val="none" w:sz="0" w:space="0" w:color="auto"/>
                          </w:divBdr>
                          <w:divsChild>
                            <w:div w:id="54888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6942238">
      <w:bodyDiv w:val="1"/>
      <w:marLeft w:val="0"/>
      <w:marRight w:val="0"/>
      <w:marTop w:val="0"/>
      <w:marBottom w:val="0"/>
      <w:divBdr>
        <w:top w:val="none" w:sz="0" w:space="0" w:color="auto"/>
        <w:left w:val="none" w:sz="0" w:space="0" w:color="auto"/>
        <w:bottom w:val="none" w:sz="0" w:space="0" w:color="auto"/>
        <w:right w:val="none" w:sz="0" w:space="0" w:color="auto"/>
      </w:divBdr>
      <w:divsChild>
        <w:div w:id="2140756758">
          <w:marLeft w:val="0"/>
          <w:marRight w:val="0"/>
          <w:marTop w:val="0"/>
          <w:marBottom w:val="0"/>
          <w:divBdr>
            <w:top w:val="none" w:sz="0" w:space="0" w:color="auto"/>
            <w:left w:val="none" w:sz="0" w:space="0" w:color="auto"/>
            <w:bottom w:val="none" w:sz="0" w:space="0" w:color="auto"/>
            <w:right w:val="none" w:sz="0" w:space="0" w:color="auto"/>
          </w:divBdr>
          <w:divsChild>
            <w:div w:id="1196503607">
              <w:marLeft w:val="0"/>
              <w:marRight w:val="0"/>
              <w:marTop w:val="0"/>
              <w:marBottom w:val="0"/>
              <w:divBdr>
                <w:top w:val="none" w:sz="0" w:space="0" w:color="auto"/>
                <w:left w:val="none" w:sz="0" w:space="0" w:color="auto"/>
                <w:bottom w:val="none" w:sz="0" w:space="0" w:color="auto"/>
                <w:right w:val="none" w:sz="0" w:space="0" w:color="auto"/>
              </w:divBdr>
              <w:divsChild>
                <w:div w:id="1264071362">
                  <w:marLeft w:val="0"/>
                  <w:marRight w:val="0"/>
                  <w:marTop w:val="0"/>
                  <w:marBottom w:val="0"/>
                  <w:divBdr>
                    <w:top w:val="none" w:sz="0" w:space="0" w:color="auto"/>
                    <w:left w:val="none" w:sz="0" w:space="0" w:color="auto"/>
                    <w:bottom w:val="none" w:sz="0" w:space="0" w:color="auto"/>
                    <w:right w:val="none" w:sz="0" w:space="0" w:color="auto"/>
                  </w:divBdr>
                  <w:divsChild>
                    <w:div w:id="1008486403">
                      <w:marLeft w:val="0"/>
                      <w:marRight w:val="0"/>
                      <w:marTop w:val="0"/>
                      <w:marBottom w:val="0"/>
                      <w:divBdr>
                        <w:top w:val="none" w:sz="0" w:space="0" w:color="auto"/>
                        <w:left w:val="none" w:sz="0" w:space="0" w:color="auto"/>
                        <w:bottom w:val="none" w:sz="0" w:space="0" w:color="auto"/>
                        <w:right w:val="none" w:sz="0" w:space="0" w:color="auto"/>
                      </w:divBdr>
                      <w:divsChild>
                        <w:div w:id="1697845521">
                          <w:marLeft w:val="0"/>
                          <w:marRight w:val="0"/>
                          <w:marTop w:val="0"/>
                          <w:marBottom w:val="0"/>
                          <w:divBdr>
                            <w:top w:val="none" w:sz="0" w:space="0" w:color="auto"/>
                            <w:left w:val="none" w:sz="0" w:space="0" w:color="auto"/>
                            <w:bottom w:val="none" w:sz="0" w:space="0" w:color="auto"/>
                            <w:right w:val="none" w:sz="0" w:space="0" w:color="auto"/>
                          </w:divBdr>
                          <w:divsChild>
                            <w:div w:id="1129780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0137048">
      <w:bodyDiv w:val="1"/>
      <w:marLeft w:val="0"/>
      <w:marRight w:val="0"/>
      <w:marTop w:val="0"/>
      <w:marBottom w:val="0"/>
      <w:divBdr>
        <w:top w:val="none" w:sz="0" w:space="0" w:color="auto"/>
        <w:left w:val="none" w:sz="0" w:space="0" w:color="auto"/>
        <w:bottom w:val="none" w:sz="0" w:space="0" w:color="auto"/>
        <w:right w:val="none" w:sz="0" w:space="0" w:color="auto"/>
      </w:divBdr>
    </w:div>
    <w:div w:id="340547440">
      <w:bodyDiv w:val="1"/>
      <w:marLeft w:val="0"/>
      <w:marRight w:val="0"/>
      <w:marTop w:val="0"/>
      <w:marBottom w:val="0"/>
      <w:divBdr>
        <w:top w:val="none" w:sz="0" w:space="0" w:color="auto"/>
        <w:left w:val="none" w:sz="0" w:space="0" w:color="auto"/>
        <w:bottom w:val="none" w:sz="0" w:space="0" w:color="auto"/>
        <w:right w:val="none" w:sz="0" w:space="0" w:color="auto"/>
      </w:divBdr>
      <w:divsChild>
        <w:div w:id="1664432516">
          <w:marLeft w:val="0"/>
          <w:marRight w:val="0"/>
          <w:marTop w:val="0"/>
          <w:marBottom w:val="0"/>
          <w:divBdr>
            <w:top w:val="none" w:sz="0" w:space="0" w:color="auto"/>
            <w:left w:val="none" w:sz="0" w:space="0" w:color="auto"/>
            <w:bottom w:val="none" w:sz="0" w:space="0" w:color="auto"/>
            <w:right w:val="none" w:sz="0" w:space="0" w:color="auto"/>
          </w:divBdr>
          <w:divsChild>
            <w:div w:id="2045905283">
              <w:marLeft w:val="0"/>
              <w:marRight w:val="0"/>
              <w:marTop w:val="0"/>
              <w:marBottom w:val="0"/>
              <w:divBdr>
                <w:top w:val="none" w:sz="0" w:space="0" w:color="auto"/>
                <w:left w:val="none" w:sz="0" w:space="0" w:color="auto"/>
                <w:bottom w:val="none" w:sz="0" w:space="0" w:color="auto"/>
                <w:right w:val="none" w:sz="0" w:space="0" w:color="auto"/>
              </w:divBdr>
              <w:divsChild>
                <w:div w:id="1531188195">
                  <w:marLeft w:val="0"/>
                  <w:marRight w:val="0"/>
                  <w:marTop w:val="0"/>
                  <w:marBottom w:val="0"/>
                  <w:divBdr>
                    <w:top w:val="none" w:sz="0" w:space="0" w:color="auto"/>
                    <w:left w:val="none" w:sz="0" w:space="0" w:color="auto"/>
                    <w:bottom w:val="none" w:sz="0" w:space="0" w:color="auto"/>
                    <w:right w:val="none" w:sz="0" w:space="0" w:color="auto"/>
                  </w:divBdr>
                  <w:divsChild>
                    <w:div w:id="1953778429">
                      <w:marLeft w:val="0"/>
                      <w:marRight w:val="0"/>
                      <w:marTop w:val="0"/>
                      <w:marBottom w:val="0"/>
                      <w:divBdr>
                        <w:top w:val="none" w:sz="0" w:space="0" w:color="auto"/>
                        <w:left w:val="none" w:sz="0" w:space="0" w:color="auto"/>
                        <w:bottom w:val="none" w:sz="0" w:space="0" w:color="auto"/>
                        <w:right w:val="none" w:sz="0" w:space="0" w:color="auto"/>
                      </w:divBdr>
                      <w:divsChild>
                        <w:div w:id="1271157021">
                          <w:marLeft w:val="0"/>
                          <w:marRight w:val="0"/>
                          <w:marTop w:val="0"/>
                          <w:marBottom w:val="0"/>
                          <w:divBdr>
                            <w:top w:val="none" w:sz="0" w:space="0" w:color="auto"/>
                            <w:left w:val="none" w:sz="0" w:space="0" w:color="auto"/>
                            <w:bottom w:val="none" w:sz="0" w:space="0" w:color="auto"/>
                            <w:right w:val="none" w:sz="0" w:space="0" w:color="auto"/>
                          </w:divBdr>
                          <w:divsChild>
                            <w:div w:id="199868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6199111">
      <w:bodyDiv w:val="1"/>
      <w:marLeft w:val="0"/>
      <w:marRight w:val="0"/>
      <w:marTop w:val="0"/>
      <w:marBottom w:val="0"/>
      <w:divBdr>
        <w:top w:val="none" w:sz="0" w:space="0" w:color="auto"/>
        <w:left w:val="none" w:sz="0" w:space="0" w:color="auto"/>
        <w:bottom w:val="none" w:sz="0" w:space="0" w:color="auto"/>
        <w:right w:val="none" w:sz="0" w:space="0" w:color="auto"/>
      </w:divBdr>
    </w:div>
    <w:div w:id="404231267">
      <w:bodyDiv w:val="1"/>
      <w:marLeft w:val="0"/>
      <w:marRight w:val="0"/>
      <w:marTop w:val="0"/>
      <w:marBottom w:val="0"/>
      <w:divBdr>
        <w:top w:val="none" w:sz="0" w:space="0" w:color="auto"/>
        <w:left w:val="none" w:sz="0" w:space="0" w:color="auto"/>
        <w:bottom w:val="none" w:sz="0" w:space="0" w:color="auto"/>
        <w:right w:val="none" w:sz="0" w:space="0" w:color="auto"/>
      </w:divBdr>
    </w:div>
    <w:div w:id="434907736">
      <w:bodyDiv w:val="1"/>
      <w:marLeft w:val="0"/>
      <w:marRight w:val="0"/>
      <w:marTop w:val="0"/>
      <w:marBottom w:val="0"/>
      <w:divBdr>
        <w:top w:val="none" w:sz="0" w:space="0" w:color="auto"/>
        <w:left w:val="none" w:sz="0" w:space="0" w:color="auto"/>
        <w:bottom w:val="none" w:sz="0" w:space="0" w:color="auto"/>
        <w:right w:val="none" w:sz="0" w:space="0" w:color="auto"/>
      </w:divBdr>
    </w:div>
    <w:div w:id="470095994">
      <w:bodyDiv w:val="1"/>
      <w:marLeft w:val="0"/>
      <w:marRight w:val="0"/>
      <w:marTop w:val="0"/>
      <w:marBottom w:val="0"/>
      <w:divBdr>
        <w:top w:val="none" w:sz="0" w:space="0" w:color="auto"/>
        <w:left w:val="none" w:sz="0" w:space="0" w:color="auto"/>
        <w:bottom w:val="none" w:sz="0" w:space="0" w:color="auto"/>
        <w:right w:val="none" w:sz="0" w:space="0" w:color="auto"/>
      </w:divBdr>
    </w:div>
    <w:div w:id="498933966">
      <w:bodyDiv w:val="1"/>
      <w:marLeft w:val="0"/>
      <w:marRight w:val="0"/>
      <w:marTop w:val="0"/>
      <w:marBottom w:val="0"/>
      <w:divBdr>
        <w:top w:val="none" w:sz="0" w:space="0" w:color="auto"/>
        <w:left w:val="none" w:sz="0" w:space="0" w:color="auto"/>
        <w:bottom w:val="none" w:sz="0" w:space="0" w:color="auto"/>
        <w:right w:val="none" w:sz="0" w:space="0" w:color="auto"/>
      </w:divBdr>
    </w:div>
    <w:div w:id="560334749">
      <w:bodyDiv w:val="1"/>
      <w:marLeft w:val="0"/>
      <w:marRight w:val="0"/>
      <w:marTop w:val="0"/>
      <w:marBottom w:val="0"/>
      <w:divBdr>
        <w:top w:val="none" w:sz="0" w:space="0" w:color="auto"/>
        <w:left w:val="none" w:sz="0" w:space="0" w:color="auto"/>
        <w:bottom w:val="none" w:sz="0" w:space="0" w:color="auto"/>
        <w:right w:val="none" w:sz="0" w:space="0" w:color="auto"/>
      </w:divBdr>
    </w:div>
    <w:div w:id="579291505">
      <w:bodyDiv w:val="1"/>
      <w:marLeft w:val="0"/>
      <w:marRight w:val="0"/>
      <w:marTop w:val="0"/>
      <w:marBottom w:val="0"/>
      <w:divBdr>
        <w:top w:val="none" w:sz="0" w:space="0" w:color="auto"/>
        <w:left w:val="none" w:sz="0" w:space="0" w:color="auto"/>
        <w:bottom w:val="none" w:sz="0" w:space="0" w:color="auto"/>
        <w:right w:val="none" w:sz="0" w:space="0" w:color="auto"/>
      </w:divBdr>
    </w:div>
    <w:div w:id="587465110">
      <w:bodyDiv w:val="1"/>
      <w:marLeft w:val="0"/>
      <w:marRight w:val="0"/>
      <w:marTop w:val="0"/>
      <w:marBottom w:val="0"/>
      <w:divBdr>
        <w:top w:val="none" w:sz="0" w:space="0" w:color="auto"/>
        <w:left w:val="none" w:sz="0" w:space="0" w:color="auto"/>
        <w:bottom w:val="none" w:sz="0" w:space="0" w:color="auto"/>
        <w:right w:val="none" w:sz="0" w:space="0" w:color="auto"/>
      </w:divBdr>
    </w:div>
    <w:div w:id="636377959">
      <w:bodyDiv w:val="1"/>
      <w:marLeft w:val="0"/>
      <w:marRight w:val="0"/>
      <w:marTop w:val="0"/>
      <w:marBottom w:val="0"/>
      <w:divBdr>
        <w:top w:val="none" w:sz="0" w:space="0" w:color="auto"/>
        <w:left w:val="none" w:sz="0" w:space="0" w:color="auto"/>
        <w:bottom w:val="none" w:sz="0" w:space="0" w:color="auto"/>
        <w:right w:val="none" w:sz="0" w:space="0" w:color="auto"/>
      </w:divBdr>
    </w:div>
    <w:div w:id="661734134">
      <w:bodyDiv w:val="1"/>
      <w:marLeft w:val="0"/>
      <w:marRight w:val="0"/>
      <w:marTop w:val="0"/>
      <w:marBottom w:val="0"/>
      <w:divBdr>
        <w:top w:val="none" w:sz="0" w:space="0" w:color="auto"/>
        <w:left w:val="none" w:sz="0" w:space="0" w:color="auto"/>
        <w:bottom w:val="none" w:sz="0" w:space="0" w:color="auto"/>
        <w:right w:val="none" w:sz="0" w:space="0" w:color="auto"/>
      </w:divBdr>
    </w:div>
    <w:div w:id="738596734">
      <w:bodyDiv w:val="1"/>
      <w:marLeft w:val="0"/>
      <w:marRight w:val="0"/>
      <w:marTop w:val="0"/>
      <w:marBottom w:val="0"/>
      <w:divBdr>
        <w:top w:val="none" w:sz="0" w:space="0" w:color="auto"/>
        <w:left w:val="none" w:sz="0" w:space="0" w:color="auto"/>
        <w:bottom w:val="none" w:sz="0" w:space="0" w:color="auto"/>
        <w:right w:val="none" w:sz="0" w:space="0" w:color="auto"/>
      </w:divBdr>
    </w:div>
    <w:div w:id="860629398">
      <w:bodyDiv w:val="1"/>
      <w:marLeft w:val="0"/>
      <w:marRight w:val="0"/>
      <w:marTop w:val="0"/>
      <w:marBottom w:val="0"/>
      <w:divBdr>
        <w:top w:val="none" w:sz="0" w:space="0" w:color="auto"/>
        <w:left w:val="none" w:sz="0" w:space="0" w:color="auto"/>
        <w:bottom w:val="none" w:sz="0" w:space="0" w:color="auto"/>
        <w:right w:val="none" w:sz="0" w:space="0" w:color="auto"/>
      </w:divBdr>
    </w:div>
    <w:div w:id="861164078">
      <w:bodyDiv w:val="1"/>
      <w:marLeft w:val="0"/>
      <w:marRight w:val="0"/>
      <w:marTop w:val="0"/>
      <w:marBottom w:val="0"/>
      <w:divBdr>
        <w:top w:val="none" w:sz="0" w:space="0" w:color="auto"/>
        <w:left w:val="none" w:sz="0" w:space="0" w:color="auto"/>
        <w:bottom w:val="none" w:sz="0" w:space="0" w:color="auto"/>
        <w:right w:val="none" w:sz="0" w:space="0" w:color="auto"/>
      </w:divBdr>
    </w:div>
    <w:div w:id="917639981">
      <w:bodyDiv w:val="1"/>
      <w:marLeft w:val="0"/>
      <w:marRight w:val="0"/>
      <w:marTop w:val="0"/>
      <w:marBottom w:val="0"/>
      <w:divBdr>
        <w:top w:val="none" w:sz="0" w:space="0" w:color="auto"/>
        <w:left w:val="none" w:sz="0" w:space="0" w:color="auto"/>
        <w:bottom w:val="none" w:sz="0" w:space="0" w:color="auto"/>
        <w:right w:val="none" w:sz="0" w:space="0" w:color="auto"/>
      </w:divBdr>
    </w:div>
    <w:div w:id="965742172">
      <w:bodyDiv w:val="1"/>
      <w:marLeft w:val="0"/>
      <w:marRight w:val="0"/>
      <w:marTop w:val="0"/>
      <w:marBottom w:val="0"/>
      <w:divBdr>
        <w:top w:val="none" w:sz="0" w:space="0" w:color="auto"/>
        <w:left w:val="none" w:sz="0" w:space="0" w:color="auto"/>
        <w:bottom w:val="none" w:sz="0" w:space="0" w:color="auto"/>
        <w:right w:val="none" w:sz="0" w:space="0" w:color="auto"/>
      </w:divBdr>
    </w:div>
    <w:div w:id="986277349">
      <w:bodyDiv w:val="1"/>
      <w:marLeft w:val="0"/>
      <w:marRight w:val="0"/>
      <w:marTop w:val="0"/>
      <w:marBottom w:val="0"/>
      <w:divBdr>
        <w:top w:val="none" w:sz="0" w:space="0" w:color="auto"/>
        <w:left w:val="none" w:sz="0" w:space="0" w:color="auto"/>
        <w:bottom w:val="none" w:sz="0" w:space="0" w:color="auto"/>
        <w:right w:val="none" w:sz="0" w:space="0" w:color="auto"/>
      </w:divBdr>
    </w:div>
    <w:div w:id="994917755">
      <w:bodyDiv w:val="1"/>
      <w:marLeft w:val="0"/>
      <w:marRight w:val="0"/>
      <w:marTop w:val="0"/>
      <w:marBottom w:val="0"/>
      <w:divBdr>
        <w:top w:val="none" w:sz="0" w:space="0" w:color="auto"/>
        <w:left w:val="none" w:sz="0" w:space="0" w:color="auto"/>
        <w:bottom w:val="none" w:sz="0" w:space="0" w:color="auto"/>
        <w:right w:val="none" w:sz="0" w:space="0" w:color="auto"/>
      </w:divBdr>
    </w:div>
    <w:div w:id="1075467678">
      <w:bodyDiv w:val="1"/>
      <w:marLeft w:val="0"/>
      <w:marRight w:val="0"/>
      <w:marTop w:val="0"/>
      <w:marBottom w:val="0"/>
      <w:divBdr>
        <w:top w:val="none" w:sz="0" w:space="0" w:color="auto"/>
        <w:left w:val="none" w:sz="0" w:space="0" w:color="auto"/>
        <w:bottom w:val="none" w:sz="0" w:space="0" w:color="auto"/>
        <w:right w:val="none" w:sz="0" w:space="0" w:color="auto"/>
      </w:divBdr>
    </w:div>
    <w:div w:id="1094398609">
      <w:bodyDiv w:val="1"/>
      <w:marLeft w:val="0"/>
      <w:marRight w:val="0"/>
      <w:marTop w:val="0"/>
      <w:marBottom w:val="0"/>
      <w:divBdr>
        <w:top w:val="none" w:sz="0" w:space="0" w:color="auto"/>
        <w:left w:val="none" w:sz="0" w:space="0" w:color="auto"/>
        <w:bottom w:val="none" w:sz="0" w:space="0" w:color="auto"/>
        <w:right w:val="none" w:sz="0" w:space="0" w:color="auto"/>
      </w:divBdr>
    </w:div>
    <w:div w:id="1125854380">
      <w:bodyDiv w:val="1"/>
      <w:marLeft w:val="0"/>
      <w:marRight w:val="0"/>
      <w:marTop w:val="0"/>
      <w:marBottom w:val="0"/>
      <w:divBdr>
        <w:top w:val="none" w:sz="0" w:space="0" w:color="auto"/>
        <w:left w:val="none" w:sz="0" w:space="0" w:color="auto"/>
        <w:bottom w:val="none" w:sz="0" w:space="0" w:color="auto"/>
        <w:right w:val="none" w:sz="0" w:space="0" w:color="auto"/>
      </w:divBdr>
      <w:divsChild>
        <w:div w:id="1100370518">
          <w:marLeft w:val="0"/>
          <w:marRight w:val="0"/>
          <w:marTop w:val="0"/>
          <w:marBottom w:val="0"/>
          <w:divBdr>
            <w:top w:val="none" w:sz="0" w:space="0" w:color="auto"/>
            <w:left w:val="none" w:sz="0" w:space="0" w:color="auto"/>
            <w:bottom w:val="none" w:sz="0" w:space="0" w:color="auto"/>
            <w:right w:val="none" w:sz="0" w:space="0" w:color="auto"/>
          </w:divBdr>
          <w:divsChild>
            <w:div w:id="1469130876">
              <w:marLeft w:val="0"/>
              <w:marRight w:val="0"/>
              <w:marTop w:val="0"/>
              <w:marBottom w:val="0"/>
              <w:divBdr>
                <w:top w:val="none" w:sz="0" w:space="0" w:color="auto"/>
                <w:left w:val="none" w:sz="0" w:space="0" w:color="auto"/>
                <w:bottom w:val="none" w:sz="0" w:space="0" w:color="auto"/>
                <w:right w:val="none" w:sz="0" w:space="0" w:color="auto"/>
              </w:divBdr>
              <w:divsChild>
                <w:div w:id="1194884687">
                  <w:marLeft w:val="0"/>
                  <w:marRight w:val="0"/>
                  <w:marTop w:val="0"/>
                  <w:marBottom w:val="0"/>
                  <w:divBdr>
                    <w:top w:val="none" w:sz="0" w:space="0" w:color="auto"/>
                    <w:left w:val="none" w:sz="0" w:space="0" w:color="auto"/>
                    <w:bottom w:val="none" w:sz="0" w:space="0" w:color="auto"/>
                    <w:right w:val="none" w:sz="0" w:space="0" w:color="auto"/>
                  </w:divBdr>
                  <w:divsChild>
                    <w:div w:id="578363760">
                      <w:marLeft w:val="0"/>
                      <w:marRight w:val="0"/>
                      <w:marTop w:val="0"/>
                      <w:marBottom w:val="0"/>
                      <w:divBdr>
                        <w:top w:val="none" w:sz="0" w:space="0" w:color="auto"/>
                        <w:left w:val="none" w:sz="0" w:space="0" w:color="auto"/>
                        <w:bottom w:val="none" w:sz="0" w:space="0" w:color="auto"/>
                        <w:right w:val="none" w:sz="0" w:space="0" w:color="auto"/>
                      </w:divBdr>
                      <w:divsChild>
                        <w:div w:id="322663450">
                          <w:marLeft w:val="0"/>
                          <w:marRight w:val="0"/>
                          <w:marTop w:val="0"/>
                          <w:marBottom w:val="0"/>
                          <w:divBdr>
                            <w:top w:val="none" w:sz="0" w:space="0" w:color="auto"/>
                            <w:left w:val="none" w:sz="0" w:space="0" w:color="auto"/>
                            <w:bottom w:val="none" w:sz="0" w:space="0" w:color="auto"/>
                            <w:right w:val="none" w:sz="0" w:space="0" w:color="auto"/>
                          </w:divBdr>
                          <w:divsChild>
                            <w:div w:id="180495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6044121">
      <w:bodyDiv w:val="1"/>
      <w:marLeft w:val="0"/>
      <w:marRight w:val="0"/>
      <w:marTop w:val="0"/>
      <w:marBottom w:val="0"/>
      <w:divBdr>
        <w:top w:val="none" w:sz="0" w:space="0" w:color="auto"/>
        <w:left w:val="none" w:sz="0" w:space="0" w:color="auto"/>
        <w:bottom w:val="none" w:sz="0" w:space="0" w:color="auto"/>
        <w:right w:val="none" w:sz="0" w:space="0" w:color="auto"/>
      </w:divBdr>
    </w:div>
    <w:div w:id="1131703885">
      <w:bodyDiv w:val="1"/>
      <w:marLeft w:val="0"/>
      <w:marRight w:val="0"/>
      <w:marTop w:val="0"/>
      <w:marBottom w:val="0"/>
      <w:divBdr>
        <w:top w:val="none" w:sz="0" w:space="0" w:color="auto"/>
        <w:left w:val="none" w:sz="0" w:space="0" w:color="auto"/>
        <w:bottom w:val="none" w:sz="0" w:space="0" w:color="auto"/>
        <w:right w:val="none" w:sz="0" w:space="0" w:color="auto"/>
      </w:divBdr>
    </w:div>
    <w:div w:id="1133476929">
      <w:bodyDiv w:val="1"/>
      <w:marLeft w:val="0"/>
      <w:marRight w:val="0"/>
      <w:marTop w:val="0"/>
      <w:marBottom w:val="0"/>
      <w:divBdr>
        <w:top w:val="none" w:sz="0" w:space="0" w:color="auto"/>
        <w:left w:val="none" w:sz="0" w:space="0" w:color="auto"/>
        <w:bottom w:val="none" w:sz="0" w:space="0" w:color="auto"/>
        <w:right w:val="none" w:sz="0" w:space="0" w:color="auto"/>
      </w:divBdr>
    </w:div>
    <w:div w:id="1182355998">
      <w:bodyDiv w:val="1"/>
      <w:marLeft w:val="0"/>
      <w:marRight w:val="0"/>
      <w:marTop w:val="0"/>
      <w:marBottom w:val="0"/>
      <w:divBdr>
        <w:top w:val="none" w:sz="0" w:space="0" w:color="auto"/>
        <w:left w:val="none" w:sz="0" w:space="0" w:color="auto"/>
        <w:bottom w:val="none" w:sz="0" w:space="0" w:color="auto"/>
        <w:right w:val="none" w:sz="0" w:space="0" w:color="auto"/>
      </w:divBdr>
    </w:div>
    <w:div w:id="1206525532">
      <w:bodyDiv w:val="1"/>
      <w:marLeft w:val="0"/>
      <w:marRight w:val="0"/>
      <w:marTop w:val="0"/>
      <w:marBottom w:val="0"/>
      <w:divBdr>
        <w:top w:val="none" w:sz="0" w:space="0" w:color="auto"/>
        <w:left w:val="none" w:sz="0" w:space="0" w:color="auto"/>
        <w:bottom w:val="none" w:sz="0" w:space="0" w:color="auto"/>
        <w:right w:val="none" w:sz="0" w:space="0" w:color="auto"/>
      </w:divBdr>
    </w:div>
    <w:div w:id="1213930436">
      <w:bodyDiv w:val="1"/>
      <w:marLeft w:val="0"/>
      <w:marRight w:val="0"/>
      <w:marTop w:val="0"/>
      <w:marBottom w:val="0"/>
      <w:divBdr>
        <w:top w:val="none" w:sz="0" w:space="0" w:color="auto"/>
        <w:left w:val="none" w:sz="0" w:space="0" w:color="auto"/>
        <w:bottom w:val="none" w:sz="0" w:space="0" w:color="auto"/>
        <w:right w:val="none" w:sz="0" w:space="0" w:color="auto"/>
      </w:divBdr>
    </w:div>
    <w:div w:id="1268734591">
      <w:bodyDiv w:val="1"/>
      <w:marLeft w:val="0"/>
      <w:marRight w:val="0"/>
      <w:marTop w:val="0"/>
      <w:marBottom w:val="0"/>
      <w:divBdr>
        <w:top w:val="none" w:sz="0" w:space="0" w:color="auto"/>
        <w:left w:val="none" w:sz="0" w:space="0" w:color="auto"/>
        <w:bottom w:val="none" w:sz="0" w:space="0" w:color="auto"/>
        <w:right w:val="none" w:sz="0" w:space="0" w:color="auto"/>
      </w:divBdr>
    </w:div>
    <w:div w:id="1269661033">
      <w:bodyDiv w:val="1"/>
      <w:marLeft w:val="0"/>
      <w:marRight w:val="0"/>
      <w:marTop w:val="0"/>
      <w:marBottom w:val="0"/>
      <w:divBdr>
        <w:top w:val="none" w:sz="0" w:space="0" w:color="auto"/>
        <w:left w:val="none" w:sz="0" w:space="0" w:color="auto"/>
        <w:bottom w:val="none" w:sz="0" w:space="0" w:color="auto"/>
        <w:right w:val="none" w:sz="0" w:space="0" w:color="auto"/>
      </w:divBdr>
    </w:div>
    <w:div w:id="1426850547">
      <w:bodyDiv w:val="1"/>
      <w:marLeft w:val="0"/>
      <w:marRight w:val="0"/>
      <w:marTop w:val="0"/>
      <w:marBottom w:val="0"/>
      <w:divBdr>
        <w:top w:val="none" w:sz="0" w:space="0" w:color="auto"/>
        <w:left w:val="none" w:sz="0" w:space="0" w:color="auto"/>
        <w:bottom w:val="none" w:sz="0" w:space="0" w:color="auto"/>
        <w:right w:val="none" w:sz="0" w:space="0" w:color="auto"/>
      </w:divBdr>
    </w:div>
    <w:div w:id="1467579674">
      <w:bodyDiv w:val="1"/>
      <w:marLeft w:val="0"/>
      <w:marRight w:val="0"/>
      <w:marTop w:val="0"/>
      <w:marBottom w:val="0"/>
      <w:divBdr>
        <w:top w:val="none" w:sz="0" w:space="0" w:color="auto"/>
        <w:left w:val="none" w:sz="0" w:space="0" w:color="auto"/>
        <w:bottom w:val="none" w:sz="0" w:space="0" w:color="auto"/>
        <w:right w:val="none" w:sz="0" w:space="0" w:color="auto"/>
      </w:divBdr>
    </w:div>
    <w:div w:id="1475949407">
      <w:bodyDiv w:val="1"/>
      <w:marLeft w:val="0"/>
      <w:marRight w:val="0"/>
      <w:marTop w:val="0"/>
      <w:marBottom w:val="0"/>
      <w:divBdr>
        <w:top w:val="none" w:sz="0" w:space="0" w:color="auto"/>
        <w:left w:val="none" w:sz="0" w:space="0" w:color="auto"/>
        <w:bottom w:val="none" w:sz="0" w:space="0" w:color="auto"/>
        <w:right w:val="none" w:sz="0" w:space="0" w:color="auto"/>
      </w:divBdr>
    </w:div>
    <w:div w:id="1501384041">
      <w:bodyDiv w:val="1"/>
      <w:marLeft w:val="0"/>
      <w:marRight w:val="0"/>
      <w:marTop w:val="0"/>
      <w:marBottom w:val="0"/>
      <w:divBdr>
        <w:top w:val="none" w:sz="0" w:space="0" w:color="auto"/>
        <w:left w:val="none" w:sz="0" w:space="0" w:color="auto"/>
        <w:bottom w:val="none" w:sz="0" w:space="0" w:color="auto"/>
        <w:right w:val="none" w:sz="0" w:space="0" w:color="auto"/>
      </w:divBdr>
    </w:div>
    <w:div w:id="1505242214">
      <w:bodyDiv w:val="1"/>
      <w:marLeft w:val="0"/>
      <w:marRight w:val="0"/>
      <w:marTop w:val="0"/>
      <w:marBottom w:val="0"/>
      <w:divBdr>
        <w:top w:val="none" w:sz="0" w:space="0" w:color="auto"/>
        <w:left w:val="none" w:sz="0" w:space="0" w:color="auto"/>
        <w:bottom w:val="none" w:sz="0" w:space="0" w:color="auto"/>
        <w:right w:val="none" w:sz="0" w:space="0" w:color="auto"/>
      </w:divBdr>
    </w:div>
    <w:div w:id="1505315420">
      <w:bodyDiv w:val="1"/>
      <w:marLeft w:val="0"/>
      <w:marRight w:val="0"/>
      <w:marTop w:val="0"/>
      <w:marBottom w:val="0"/>
      <w:divBdr>
        <w:top w:val="none" w:sz="0" w:space="0" w:color="auto"/>
        <w:left w:val="none" w:sz="0" w:space="0" w:color="auto"/>
        <w:bottom w:val="none" w:sz="0" w:space="0" w:color="auto"/>
        <w:right w:val="none" w:sz="0" w:space="0" w:color="auto"/>
      </w:divBdr>
    </w:div>
    <w:div w:id="1565095650">
      <w:bodyDiv w:val="1"/>
      <w:marLeft w:val="0"/>
      <w:marRight w:val="0"/>
      <w:marTop w:val="0"/>
      <w:marBottom w:val="0"/>
      <w:divBdr>
        <w:top w:val="none" w:sz="0" w:space="0" w:color="auto"/>
        <w:left w:val="none" w:sz="0" w:space="0" w:color="auto"/>
        <w:bottom w:val="none" w:sz="0" w:space="0" w:color="auto"/>
        <w:right w:val="none" w:sz="0" w:space="0" w:color="auto"/>
      </w:divBdr>
    </w:div>
    <w:div w:id="1568344888">
      <w:bodyDiv w:val="1"/>
      <w:marLeft w:val="0"/>
      <w:marRight w:val="0"/>
      <w:marTop w:val="0"/>
      <w:marBottom w:val="0"/>
      <w:divBdr>
        <w:top w:val="none" w:sz="0" w:space="0" w:color="auto"/>
        <w:left w:val="none" w:sz="0" w:space="0" w:color="auto"/>
        <w:bottom w:val="none" w:sz="0" w:space="0" w:color="auto"/>
        <w:right w:val="none" w:sz="0" w:space="0" w:color="auto"/>
      </w:divBdr>
    </w:div>
    <w:div w:id="1584607572">
      <w:bodyDiv w:val="1"/>
      <w:marLeft w:val="0"/>
      <w:marRight w:val="0"/>
      <w:marTop w:val="0"/>
      <w:marBottom w:val="0"/>
      <w:divBdr>
        <w:top w:val="none" w:sz="0" w:space="0" w:color="auto"/>
        <w:left w:val="none" w:sz="0" w:space="0" w:color="auto"/>
        <w:bottom w:val="none" w:sz="0" w:space="0" w:color="auto"/>
        <w:right w:val="none" w:sz="0" w:space="0" w:color="auto"/>
      </w:divBdr>
    </w:div>
    <w:div w:id="1584678993">
      <w:bodyDiv w:val="1"/>
      <w:marLeft w:val="0"/>
      <w:marRight w:val="0"/>
      <w:marTop w:val="0"/>
      <w:marBottom w:val="0"/>
      <w:divBdr>
        <w:top w:val="none" w:sz="0" w:space="0" w:color="auto"/>
        <w:left w:val="none" w:sz="0" w:space="0" w:color="auto"/>
        <w:bottom w:val="none" w:sz="0" w:space="0" w:color="auto"/>
        <w:right w:val="none" w:sz="0" w:space="0" w:color="auto"/>
      </w:divBdr>
    </w:div>
    <w:div w:id="1640648631">
      <w:bodyDiv w:val="1"/>
      <w:marLeft w:val="0"/>
      <w:marRight w:val="0"/>
      <w:marTop w:val="0"/>
      <w:marBottom w:val="0"/>
      <w:divBdr>
        <w:top w:val="none" w:sz="0" w:space="0" w:color="auto"/>
        <w:left w:val="none" w:sz="0" w:space="0" w:color="auto"/>
        <w:bottom w:val="none" w:sz="0" w:space="0" w:color="auto"/>
        <w:right w:val="none" w:sz="0" w:space="0" w:color="auto"/>
      </w:divBdr>
    </w:div>
    <w:div w:id="1649632294">
      <w:bodyDiv w:val="1"/>
      <w:marLeft w:val="0"/>
      <w:marRight w:val="0"/>
      <w:marTop w:val="0"/>
      <w:marBottom w:val="0"/>
      <w:divBdr>
        <w:top w:val="none" w:sz="0" w:space="0" w:color="auto"/>
        <w:left w:val="none" w:sz="0" w:space="0" w:color="auto"/>
        <w:bottom w:val="none" w:sz="0" w:space="0" w:color="auto"/>
        <w:right w:val="none" w:sz="0" w:space="0" w:color="auto"/>
      </w:divBdr>
    </w:div>
    <w:div w:id="1665817683">
      <w:bodyDiv w:val="1"/>
      <w:marLeft w:val="0"/>
      <w:marRight w:val="0"/>
      <w:marTop w:val="0"/>
      <w:marBottom w:val="0"/>
      <w:divBdr>
        <w:top w:val="none" w:sz="0" w:space="0" w:color="auto"/>
        <w:left w:val="none" w:sz="0" w:space="0" w:color="auto"/>
        <w:bottom w:val="none" w:sz="0" w:space="0" w:color="auto"/>
        <w:right w:val="none" w:sz="0" w:space="0" w:color="auto"/>
      </w:divBdr>
    </w:div>
    <w:div w:id="1710648198">
      <w:bodyDiv w:val="1"/>
      <w:marLeft w:val="0"/>
      <w:marRight w:val="0"/>
      <w:marTop w:val="0"/>
      <w:marBottom w:val="0"/>
      <w:divBdr>
        <w:top w:val="none" w:sz="0" w:space="0" w:color="auto"/>
        <w:left w:val="none" w:sz="0" w:space="0" w:color="auto"/>
        <w:bottom w:val="none" w:sz="0" w:space="0" w:color="auto"/>
        <w:right w:val="none" w:sz="0" w:space="0" w:color="auto"/>
      </w:divBdr>
    </w:div>
    <w:div w:id="1770084609">
      <w:bodyDiv w:val="1"/>
      <w:marLeft w:val="0"/>
      <w:marRight w:val="0"/>
      <w:marTop w:val="0"/>
      <w:marBottom w:val="0"/>
      <w:divBdr>
        <w:top w:val="none" w:sz="0" w:space="0" w:color="auto"/>
        <w:left w:val="none" w:sz="0" w:space="0" w:color="auto"/>
        <w:bottom w:val="none" w:sz="0" w:space="0" w:color="auto"/>
        <w:right w:val="none" w:sz="0" w:space="0" w:color="auto"/>
      </w:divBdr>
    </w:div>
    <w:div w:id="1787235113">
      <w:bodyDiv w:val="1"/>
      <w:marLeft w:val="0"/>
      <w:marRight w:val="0"/>
      <w:marTop w:val="0"/>
      <w:marBottom w:val="0"/>
      <w:divBdr>
        <w:top w:val="none" w:sz="0" w:space="0" w:color="auto"/>
        <w:left w:val="none" w:sz="0" w:space="0" w:color="auto"/>
        <w:bottom w:val="none" w:sz="0" w:space="0" w:color="auto"/>
        <w:right w:val="none" w:sz="0" w:space="0" w:color="auto"/>
      </w:divBdr>
    </w:div>
    <w:div w:id="1907181495">
      <w:bodyDiv w:val="1"/>
      <w:marLeft w:val="0"/>
      <w:marRight w:val="0"/>
      <w:marTop w:val="0"/>
      <w:marBottom w:val="0"/>
      <w:divBdr>
        <w:top w:val="none" w:sz="0" w:space="0" w:color="auto"/>
        <w:left w:val="none" w:sz="0" w:space="0" w:color="auto"/>
        <w:bottom w:val="none" w:sz="0" w:space="0" w:color="auto"/>
        <w:right w:val="none" w:sz="0" w:space="0" w:color="auto"/>
      </w:divBdr>
      <w:divsChild>
        <w:div w:id="931016190">
          <w:marLeft w:val="0"/>
          <w:marRight w:val="0"/>
          <w:marTop w:val="0"/>
          <w:marBottom w:val="0"/>
          <w:divBdr>
            <w:top w:val="none" w:sz="0" w:space="0" w:color="auto"/>
            <w:left w:val="none" w:sz="0" w:space="0" w:color="auto"/>
            <w:bottom w:val="none" w:sz="0" w:space="0" w:color="auto"/>
            <w:right w:val="none" w:sz="0" w:space="0" w:color="auto"/>
          </w:divBdr>
          <w:divsChild>
            <w:div w:id="1745956392">
              <w:marLeft w:val="0"/>
              <w:marRight w:val="0"/>
              <w:marTop w:val="0"/>
              <w:marBottom w:val="0"/>
              <w:divBdr>
                <w:top w:val="none" w:sz="0" w:space="0" w:color="auto"/>
                <w:left w:val="none" w:sz="0" w:space="0" w:color="auto"/>
                <w:bottom w:val="none" w:sz="0" w:space="0" w:color="auto"/>
                <w:right w:val="none" w:sz="0" w:space="0" w:color="auto"/>
              </w:divBdr>
              <w:divsChild>
                <w:div w:id="1556157667">
                  <w:marLeft w:val="0"/>
                  <w:marRight w:val="0"/>
                  <w:marTop w:val="0"/>
                  <w:marBottom w:val="0"/>
                  <w:divBdr>
                    <w:top w:val="none" w:sz="0" w:space="0" w:color="auto"/>
                    <w:left w:val="none" w:sz="0" w:space="0" w:color="auto"/>
                    <w:bottom w:val="none" w:sz="0" w:space="0" w:color="auto"/>
                    <w:right w:val="none" w:sz="0" w:space="0" w:color="auto"/>
                  </w:divBdr>
                  <w:divsChild>
                    <w:div w:id="528879236">
                      <w:marLeft w:val="0"/>
                      <w:marRight w:val="0"/>
                      <w:marTop w:val="0"/>
                      <w:marBottom w:val="0"/>
                      <w:divBdr>
                        <w:top w:val="none" w:sz="0" w:space="0" w:color="auto"/>
                        <w:left w:val="none" w:sz="0" w:space="0" w:color="auto"/>
                        <w:bottom w:val="none" w:sz="0" w:space="0" w:color="auto"/>
                        <w:right w:val="none" w:sz="0" w:space="0" w:color="auto"/>
                      </w:divBdr>
                      <w:divsChild>
                        <w:div w:id="543061148">
                          <w:marLeft w:val="0"/>
                          <w:marRight w:val="0"/>
                          <w:marTop w:val="0"/>
                          <w:marBottom w:val="0"/>
                          <w:divBdr>
                            <w:top w:val="none" w:sz="0" w:space="0" w:color="auto"/>
                            <w:left w:val="none" w:sz="0" w:space="0" w:color="auto"/>
                            <w:bottom w:val="none" w:sz="0" w:space="0" w:color="auto"/>
                            <w:right w:val="none" w:sz="0" w:space="0" w:color="auto"/>
                          </w:divBdr>
                          <w:divsChild>
                            <w:div w:id="1607806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0332847">
      <w:bodyDiv w:val="1"/>
      <w:marLeft w:val="0"/>
      <w:marRight w:val="0"/>
      <w:marTop w:val="0"/>
      <w:marBottom w:val="0"/>
      <w:divBdr>
        <w:top w:val="none" w:sz="0" w:space="0" w:color="auto"/>
        <w:left w:val="none" w:sz="0" w:space="0" w:color="auto"/>
        <w:bottom w:val="none" w:sz="0" w:space="0" w:color="auto"/>
        <w:right w:val="none" w:sz="0" w:space="0" w:color="auto"/>
      </w:divBdr>
    </w:div>
    <w:div w:id="1942567487">
      <w:bodyDiv w:val="1"/>
      <w:marLeft w:val="0"/>
      <w:marRight w:val="0"/>
      <w:marTop w:val="0"/>
      <w:marBottom w:val="0"/>
      <w:divBdr>
        <w:top w:val="none" w:sz="0" w:space="0" w:color="auto"/>
        <w:left w:val="none" w:sz="0" w:space="0" w:color="auto"/>
        <w:bottom w:val="none" w:sz="0" w:space="0" w:color="auto"/>
        <w:right w:val="none" w:sz="0" w:space="0" w:color="auto"/>
      </w:divBdr>
    </w:div>
    <w:div w:id="1965385725">
      <w:bodyDiv w:val="1"/>
      <w:marLeft w:val="0"/>
      <w:marRight w:val="0"/>
      <w:marTop w:val="0"/>
      <w:marBottom w:val="0"/>
      <w:divBdr>
        <w:top w:val="none" w:sz="0" w:space="0" w:color="auto"/>
        <w:left w:val="none" w:sz="0" w:space="0" w:color="auto"/>
        <w:bottom w:val="none" w:sz="0" w:space="0" w:color="auto"/>
        <w:right w:val="none" w:sz="0" w:space="0" w:color="auto"/>
      </w:divBdr>
    </w:div>
    <w:div w:id="1989363301">
      <w:bodyDiv w:val="1"/>
      <w:marLeft w:val="0"/>
      <w:marRight w:val="0"/>
      <w:marTop w:val="0"/>
      <w:marBottom w:val="0"/>
      <w:divBdr>
        <w:top w:val="none" w:sz="0" w:space="0" w:color="auto"/>
        <w:left w:val="none" w:sz="0" w:space="0" w:color="auto"/>
        <w:bottom w:val="none" w:sz="0" w:space="0" w:color="auto"/>
        <w:right w:val="none" w:sz="0" w:space="0" w:color="auto"/>
      </w:divBdr>
    </w:div>
    <w:div w:id="1991784628">
      <w:bodyDiv w:val="1"/>
      <w:marLeft w:val="0"/>
      <w:marRight w:val="0"/>
      <w:marTop w:val="0"/>
      <w:marBottom w:val="0"/>
      <w:divBdr>
        <w:top w:val="none" w:sz="0" w:space="0" w:color="auto"/>
        <w:left w:val="none" w:sz="0" w:space="0" w:color="auto"/>
        <w:bottom w:val="none" w:sz="0" w:space="0" w:color="auto"/>
        <w:right w:val="none" w:sz="0" w:space="0" w:color="auto"/>
      </w:divBdr>
    </w:div>
    <w:div w:id="2008970763">
      <w:bodyDiv w:val="1"/>
      <w:marLeft w:val="0"/>
      <w:marRight w:val="0"/>
      <w:marTop w:val="0"/>
      <w:marBottom w:val="0"/>
      <w:divBdr>
        <w:top w:val="none" w:sz="0" w:space="0" w:color="auto"/>
        <w:left w:val="none" w:sz="0" w:space="0" w:color="auto"/>
        <w:bottom w:val="none" w:sz="0" w:space="0" w:color="auto"/>
        <w:right w:val="none" w:sz="0" w:space="0" w:color="auto"/>
      </w:divBdr>
    </w:div>
    <w:div w:id="2080521513">
      <w:bodyDiv w:val="1"/>
      <w:marLeft w:val="0"/>
      <w:marRight w:val="0"/>
      <w:marTop w:val="0"/>
      <w:marBottom w:val="0"/>
      <w:divBdr>
        <w:top w:val="none" w:sz="0" w:space="0" w:color="auto"/>
        <w:left w:val="none" w:sz="0" w:space="0" w:color="auto"/>
        <w:bottom w:val="none" w:sz="0" w:space="0" w:color="auto"/>
        <w:right w:val="none" w:sz="0" w:space="0" w:color="auto"/>
      </w:divBdr>
    </w:div>
    <w:div w:id="2110852557">
      <w:bodyDiv w:val="1"/>
      <w:marLeft w:val="0"/>
      <w:marRight w:val="0"/>
      <w:marTop w:val="0"/>
      <w:marBottom w:val="0"/>
      <w:divBdr>
        <w:top w:val="none" w:sz="0" w:space="0" w:color="auto"/>
        <w:left w:val="none" w:sz="0" w:space="0" w:color="auto"/>
        <w:bottom w:val="none" w:sz="0" w:space="0" w:color="auto"/>
        <w:right w:val="none" w:sz="0" w:space="0" w:color="auto"/>
      </w:divBdr>
      <w:divsChild>
        <w:div w:id="1451244902">
          <w:marLeft w:val="0"/>
          <w:marRight w:val="0"/>
          <w:marTop w:val="0"/>
          <w:marBottom w:val="0"/>
          <w:divBdr>
            <w:top w:val="none" w:sz="0" w:space="0" w:color="auto"/>
            <w:left w:val="none" w:sz="0" w:space="0" w:color="auto"/>
            <w:bottom w:val="none" w:sz="0" w:space="0" w:color="auto"/>
            <w:right w:val="none" w:sz="0" w:space="0" w:color="auto"/>
          </w:divBdr>
          <w:divsChild>
            <w:div w:id="172574140">
              <w:marLeft w:val="0"/>
              <w:marRight w:val="0"/>
              <w:marTop w:val="0"/>
              <w:marBottom w:val="0"/>
              <w:divBdr>
                <w:top w:val="none" w:sz="0" w:space="0" w:color="auto"/>
                <w:left w:val="none" w:sz="0" w:space="0" w:color="auto"/>
                <w:bottom w:val="none" w:sz="0" w:space="0" w:color="auto"/>
                <w:right w:val="none" w:sz="0" w:space="0" w:color="auto"/>
              </w:divBdr>
              <w:divsChild>
                <w:div w:id="1431241151">
                  <w:marLeft w:val="0"/>
                  <w:marRight w:val="0"/>
                  <w:marTop w:val="0"/>
                  <w:marBottom w:val="0"/>
                  <w:divBdr>
                    <w:top w:val="none" w:sz="0" w:space="0" w:color="auto"/>
                    <w:left w:val="none" w:sz="0" w:space="0" w:color="auto"/>
                    <w:bottom w:val="none" w:sz="0" w:space="0" w:color="auto"/>
                    <w:right w:val="none" w:sz="0" w:space="0" w:color="auto"/>
                  </w:divBdr>
                  <w:divsChild>
                    <w:div w:id="2064863066">
                      <w:marLeft w:val="0"/>
                      <w:marRight w:val="0"/>
                      <w:marTop w:val="0"/>
                      <w:marBottom w:val="0"/>
                      <w:divBdr>
                        <w:top w:val="none" w:sz="0" w:space="0" w:color="auto"/>
                        <w:left w:val="none" w:sz="0" w:space="0" w:color="auto"/>
                        <w:bottom w:val="none" w:sz="0" w:space="0" w:color="auto"/>
                        <w:right w:val="none" w:sz="0" w:space="0" w:color="auto"/>
                      </w:divBdr>
                      <w:divsChild>
                        <w:div w:id="1557357281">
                          <w:marLeft w:val="0"/>
                          <w:marRight w:val="0"/>
                          <w:marTop w:val="0"/>
                          <w:marBottom w:val="0"/>
                          <w:divBdr>
                            <w:top w:val="none" w:sz="0" w:space="0" w:color="auto"/>
                            <w:left w:val="none" w:sz="0" w:space="0" w:color="auto"/>
                            <w:bottom w:val="none" w:sz="0" w:space="0" w:color="auto"/>
                            <w:right w:val="none" w:sz="0" w:space="0" w:color="auto"/>
                          </w:divBdr>
                          <w:divsChild>
                            <w:div w:id="180056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3643750">
      <w:bodyDiv w:val="1"/>
      <w:marLeft w:val="0"/>
      <w:marRight w:val="0"/>
      <w:marTop w:val="0"/>
      <w:marBottom w:val="0"/>
      <w:divBdr>
        <w:top w:val="none" w:sz="0" w:space="0" w:color="auto"/>
        <w:left w:val="none" w:sz="0" w:space="0" w:color="auto"/>
        <w:bottom w:val="none" w:sz="0" w:space="0" w:color="auto"/>
        <w:right w:val="none" w:sz="0" w:space="0" w:color="auto"/>
      </w:divBdr>
    </w:div>
    <w:div w:id="2137719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5335/laweco.v17i3.43" TargetMode="External"/><Relationship Id="rId18" Type="http://schemas.openxmlformats.org/officeDocument/2006/relationships/hyperlink" Target="https://doi.org/10.2196/22280" TargetMode="External"/><Relationship Id="rId26" Type="http://schemas.openxmlformats.org/officeDocument/2006/relationships/hyperlink" Target="https://urn.fi/URN:NBN:fi:amk-2023120333767" TargetMode="External"/><Relationship Id="rId3" Type="http://schemas.openxmlformats.org/officeDocument/2006/relationships/styles" Target="styles.xml"/><Relationship Id="rId21" Type="http://schemas.openxmlformats.org/officeDocument/2006/relationships/hyperlink" Target="https://doi.org/10.1016/j.sintl.2021.100117"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2337/dc20-S005" TargetMode="External"/><Relationship Id="rId17" Type="http://schemas.openxmlformats.org/officeDocument/2006/relationships/hyperlink" Target="https://doi.org/10.1177/01622439211055697" TargetMode="External"/><Relationship Id="rId25" Type="http://schemas.openxmlformats.org/officeDocument/2006/relationships/hyperlink" Target="https://doi.org/10.3390/jpm14030282" TargetMode="External"/><Relationship Id="rId33" Type="http://schemas.openxmlformats.org/officeDocument/2006/relationships/hyperlink" Target="https://doi.org/10.1108/INTR-06-2022-0482" TargetMode="External"/><Relationship Id="rId2" Type="http://schemas.openxmlformats.org/officeDocument/2006/relationships/numbering" Target="numbering.xml"/><Relationship Id="rId16" Type="http://schemas.openxmlformats.org/officeDocument/2006/relationships/hyperlink" Target="https://www.england.nhs.uk/long-read/information-governance-and-data-protection/" TargetMode="External"/><Relationship Id="rId20" Type="http://schemas.openxmlformats.org/officeDocument/2006/relationships/hyperlink" Target="https://doi.org/10.1093/intqhc/mzab072" TargetMode="External"/><Relationship Id="rId29" Type="http://schemas.openxmlformats.org/officeDocument/2006/relationships/hyperlink" Target="https://doi.org/10.1177/2055207621101003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lww.com/ijdigitalhealth/fulltext/2021/01010/a_digital_first_primary_care_model_in_the_national.11.aspx" TargetMode="External"/><Relationship Id="rId24" Type="http://schemas.openxmlformats.org/officeDocument/2006/relationships/hyperlink" Target="https://doi.org/10.1186/s12910-021-00574-x" TargetMode="External"/><Relationship Id="rId32" Type="http://schemas.openxmlformats.org/officeDocument/2006/relationships/hyperlink" Target="https://doi.org/10.3390/s25123710" TargetMode="External"/><Relationship Id="rId5" Type="http://schemas.openxmlformats.org/officeDocument/2006/relationships/webSettings" Target="webSettings.xml"/><Relationship Id="rId15" Type="http://schemas.openxmlformats.org/officeDocument/2006/relationships/hyperlink" Target="https://doi.org/10.20517/jtgg.2018.17" TargetMode="External"/><Relationship Id="rId23" Type="http://schemas.openxmlformats.org/officeDocument/2006/relationships/hyperlink" Target="https://ico.org.uk/media2/migrated/4027166/nottinghamshire-police-reprimand.pdf" TargetMode="External"/><Relationship Id="rId28" Type="http://schemas.openxmlformats.org/officeDocument/2006/relationships/hyperlink" Target="https://doi.org/10.1016/j.gim.2021.08.010" TargetMode="External"/><Relationship Id="rId10" Type="http://schemas.openxmlformats.org/officeDocument/2006/relationships/hyperlink" Target="https://doi.org/10.2196/56473" TargetMode="External"/><Relationship Id="rId19" Type="http://schemas.openxmlformats.org/officeDocument/2006/relationships/hyperlink" Target="https://www.degruyterbrill.com/document/doi/10.1515/dx-2017-0012/html" TargetMode="External"/><Relationship Id="rId31" Type="http://schemas.openxmlformats.org/officeDocument/2006/relationships/hyperlink" Target="https://doi.org/10.3390/asi7030051" TargetMode="External"/><Relationship Id="rId4" Type="http://schemas.openxmlformats.org/officeDocument/2006/relationships/settings" Target="settings.xml"/><Relationship Id="rId9" Type="http://schemas.openxmlformats.org/officeDocument/2006/relationships/hyperlink" Target="https://www.proquest.com/openview/1ead2f0651a258487ba77a77aea81671/1?pq-origsite=gscholar&amp;cbl=6480378" TargetMode="External"/><Relationship Id="rId14" Type="http://schemas.openxmlformats.org/officeDocument/2006/relationships/hyperlink" Target="https://avonlmc.co.uk/data-security-protection-toolkit-dspt-for-2024-25/" TargetMode="External"/><Relationship Id="rId22" Type="http://schemas.openxmlformats.org/officeDocument/2006/relationships/hyperlink" Target="https://publicpolicyprojects.com/wp-content/uploads/2025/02/Patient-safety-report-online-version.pdf" TargetMode="External"/><Relationship Id="rId27" Type="http://schemas.openxmlformats.org/officeDocument/2006/relationships/hyperlink" Target="https://doi.org/10.1016/j.fhj.2024.100168" TargetMode="External"/><Relationship Id="rId30" Type="http://schemas.openxmlformats.org/officeDocument/2006/relationships/hyperlink" Target="https://doi.org/10.1002/lrh2.10209"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FBF7E3-EC2B-490F-833D-D9E89B972E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2994</Words>
  <Characters>22341</Characters>
  <Application>Microsoft Office Word</Application>
  <DocSecurity>0</DocSecurity>
  <Lines>186</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25285</CharactersWithSpaces>
  <SharedDoc>false</SharedDoc>
  <HLinks>
    <vt:vector size="192" baseType="variant">
      <vt:variant>
        <vt:i4>1572940</vt:i4>
      </vt:variant>
      <vt:variant>
        <vt:i4>120</vt:i4>
      </vt:variant>
      <vt:variant>
        <vt:i4>0</vt:i4>
      </vt:variant>
      <vt:variant>
        <vt:i4>5</vt:i4>
      </vt:variant>
      <vt:variant>
        <vt:lpwstr>https://doi.org/10.1108/INTR-06-2022-0482</vt:lpwstr>
      </vt:variant>
      <vt:variant>
        <vt:lpwstr/>
      </vt:variant>
      <vt:variant>
        <vt:i4>1638426</vt:i4>
      </vt:variant>
      <vt:variant>
        <vt:i4>117</vt:i4>
      </vt:variant>
      <vt:variant>
        <vt:i4>0</vt:i4>
      </vt:variant>
      <vt:variant>
        <vt:i4>5</vt:i4>
      </vt:variant>
      <vt:variant>
        <vt:lpwstr>https://doi.org/10.3390/s25123710</vt:lpwstr>
      </vt:variant>
      <vt:variant>
        <vt:lpwstr/>
      </vt:variant>
      <vt:variant>
        <vt:i4>7209060</vt:i4>
      </vt:variant>
      <vt:variant>
        <vt:i4>114</vt:i4>
      </vt:variant>
      <vt:variant>
        <vt:i4>0</vt:i4>
      </vt:variant>
      <vt:variant>
        <vt:i4>5</vt:i4>
      </vt:variant>
      <vt:variant>
        <vt:lpwstr>https://doi.org/10.3390/asi7030051</vt:lpwstr>
      </vt:variant>
      <vt:variant>
        <vt:lpwstr/>
      </vt:variant>
      <vt:variant>
        <vt:i4>6881394</vt:i4>
      </vt:variant>
      <vt:variant>
        <vt:i4>111</vt:i4>
      </vt:variant>
      <vt:variant>
        <vt:i4>0</vt:i4>
      </vt:variant>
      <vt:variant>
        <vt:i4>5</vt:i4>
      </vt:variant>
      <vt:variant>
        <vt:lpwstr>https://doi.org/10.1002/lrh2.10209</vt:lpwstr>
      </vt:variant>
      <vt:variant>
        <vt:lpwstr/>
      </vt:variant>
      <vt:variant>
        <vt:i4>1376348</vt:i4>
      </vt:variant>
      <vt:variant>
        <vt:i4>108</vt:i4>
      </vt:variant>
      <vt:variant>
        <vt:i4>0</vt:i4>
      </vt:variant>
      <vt:variant>
        <vt:i4>5</vt:i4>
      </vt:variant>
      <vt:variant>
        <vt:lpwstr>https://doi.org/10.1177/20552076211010033</vt:lpwstr>
      </vt:variant>
      <vt:variant>
        <vt:lpwstr/>
      </vt:variant>
      <vt:variant>
        <vt:i4>5570586</vt:i4>
      </vt:variant>
      <vt:variant>
        <vt:i4>105</vt:i4>
      </vt:variant>
      <vt:variant>
        <vt:i4>0</vt:i4>
      </vt:variant>
      <vt:variant>
        <vt:i4>5</vt:i4>
      </vt:variant>
      <vt:variant>
        <vt:lpwstr>https://doi.org/10.1016/j.gim.2021.08.010</vt:lpwstr>
      </vt:variant>
      <vt:variant>
        <vt:lpwstr/>
      </vt:variant>
      <vt:variant>
        <vt:i4>4784149</vt:i4>
      </vt:variant>
      <vt:variant>
        <vt:i4>102</vt:i4>
      </vt:variant>
      <vt:variant>
        <vt:i4>0</vt:i4>
      </vt:variant>
      <vt:variant>
        <vt:i4>5</vt:i4>
      </vt:variant>
      <vt:variant>
        <vt:lpwstr>https://doi.org/10.1016/j.fhj.2024.100168</vt:lpwstr>
      </vt:variant>
      <vt:variant>
        <vt:lpwstr/>
      </vt:variant>
      <vt:variant>
        <vt:i4>2359396</vt:i4>
      </vt:variant>
      <vt:variant>
        <vt:i4>99</vt:i4>
      </vt:variant>
      <vt:variant>
        <vt:i4>0</vt:i4>
      </vt:variant>
      <vt:variant>
        <vt:i4>5</vt:i4>
      </vt:variant>
      <vt:variant>
        <vt:lpwstr>https://urn.fi/URN:NBN:fi:amk-2023120333767</vt:lpwstr>
      </vt:variant>
      <vt:variant>
        <vt:lpwstr/>
      </vt:variant>
      <vt:variant>
        <vt:i4>6357099</vt:i4>
      </vt:variant>
      <vt:variant>
        <vt:i4>96</vt:i4>
      </vt:variant>
      <vt:variant>
        <vt:i4>0</vt:i4>
      </vt:variant>
      <vt:variant>
        <vt:i4>5</vt:i4>
      </vt:variant>
      <vt:variant>
        <vt:lpwstr>https://doi.org/10.3390/jpm14030282</vt:lpwstr>
      </vt:variant>
      <vt:variant>
        <vt:lpwstr/>
      </vt:variant>
      <vt:variant>
        <vt:i4>7012405</vt:i4>
      </vt:variant>
      <vt:variant>
        <vt:i4>93</vt:i4>
      </vt:variant>
      <vt:variant>
        <vt:i4>0</vt:i4>
      </vt:variant>
      <vt:variant>
        <vt:i4>5</vt:i4>
      </vt:variant>
      <vt:variant>
        <vt:lpwstr>https://doi.org/10.1186/s12910-021-00574-x</vt:lpwstr>
      </vt:variant>
      <vt:variant>
        <vt:lpwstr/>
      </vt:variant>
      <vt:variant>
        <vt:i4>2097199</vt:i4>
      </vt:variant>
      <vt:variant>
        <vt:i4>90</vt:i4>
      </vt:variant>
      <vt:variant>
        <vt:i4>0</vt:i4>
      </vt:variant>
      <vt:variant>
        <vt:i4>5</vt:i4>
      </vt:variant>
      <vt:variant>
        <vt:lpwstr>https://ico.org.uk/media2/migrated/4027166/nottinghamshire-police-reprimand.pdf</vt:lpwstr>
      </vt:variant>
      <vt:variant>
        <vt:lpwstr/>
      </vt:variant>
      <vt:variant>
        <vt:i4>4194314</vt:i4>
      </vt:variant>
      <vt:variant>
        <vt:i4>87</vt:i4>
      </vt:variant>
      <vt:variant>
        <vt:i4>0</vt:i4>
      </vt:variant>
      <vt:variant>
        <vt:i4>5</vt:i4>
      </vt:variant>
      <vt:variant>
        <vt:lpwstr>https://publicpolicyprojects.com/wp-content/uploads/2025/02/Patient-safety-report-online-version.pdf</vt:lpwstr>
      </vt:variant>
      <vt:variant>
        <vt:lpwstr/>
      </vt:variant>
      <vt:variant>
        <vt:i4>4063336</vt:i4>
      </vt:variant>
      <vt:variant>
        <vt:i4>84</vt:i4>
      </vt:variant>
      <vt:variant>
        <vt:i4>0</vt:i4>
      </vt:variant>
      <vt:variant>
        <vt:i4>5</vt:i4>
      </vt:variant>
      <vt:variant>
        <vt:lpwstr>https://doi.org/10.1016/j.sintl.2021.100117</vt:lpwstr>
      </vt:variant>
      <vt:variant>
        <vt:lpwstr/>
      </vt:variant>
      <vt:variant>
        <vt:i4>6815788</vt:i4>
      </vt:variant>
      <vt:variant>
        <vt:i4>81</vt:i4>
      </vt:variant>
      <vt:variant>
        <vt:i4>0</vt:i4>
      </vt:variant>
      <vt:variant>
        <vt:i4>5</vt:i4>
      </vt:variant>
      <vt:variant>
        <vt:lpwstr>https://doi.org/10.1093/intqhc/mzab072</vt:lpwstr>
      </vt:variant>
      <vt:variant>
        <vt:lpwstr/>
      </vt:variant>
      <vt:variant>
        <vt:i4>983117</vt:i4>
      </vt:variant>
      <vt:variant>
        <vt:i4>78</vt:i4>
      </vt:variant>
      <vt:variant>
        <vt:i4>0</vt:i4>
      </vt:variant>
      <vt:variant>
        <vt:i4>5</vt:i4>
      </vt:variant>
      <vt:variant>
        <vt:lpwstr>https://www.degruyterbrill.com/document/doi/10.1515/dx-2017-0012/html</vt:lpwstr>
      </vt:variant>
      <vt:variant>
        <vt:lpwstr/>
      </vt:variant>
      <vt:variant>
        <vt:i4>1245277</vt:i4>
      </vt:variant>
      <vt:variant>
        <vt:i4>75</vt:i4>
      </vt:variant>
      <vt:variant>
        <vt:i4>0</vt:i4>
      </vt:variant>
      <vt:variant>
        <vt:i4>5</vt:i4>
      </vt:variant>
      <vt:variant>
        <vt:lpwstr>https://doi.org/10.2196/22280</vt:lpwstr>
      </vt:variant>
      <vt:variant>
        <vt:lpwstr/>
      </vt:variant>
      <vt:variant>
        <vt:i4>1507419</vt:i4>
      </vt:variant>
      <vt:variant>
        <vt:i4>72</vt:i4>
      </vt:variant>
      <vt:variant>
        <vt:i4>0</vt:i4>
      </vt:variant>
      <vt:variant>
        <vt:i4>5</vt:i4>
      </vt:variant>
      <vt:variant>
        <vt:lpwstr>https://doi.org/10.1177/01622439211055697</vt:lpwstr>
      </vt:variant>
      <vt:variant>
        <vt:lpwstr/>
      </vt:variant>
      <vt:variant>
        <vt:i4>5046274</vt:i4>
      </vt:variant>
      <vt:variant>
        <vt:i4>69</vt:i4>
      </vt:variant>
      <vt:variant>
        <vt:i4>0</vt:i4>
      </vt:variant>
      <vt:variant>
        <vt:i4>5</vt:i4>
      </vt:variant>
      <vt:variant>
        <vt:lpwstr>https://www.england.nhs.uk/long-read/information-governance-and-data-protection/</vt:lpwstr>
      </vt:variant>
      <vt:variant>
        <vt:lpwstr>:~:text=Data%20Security%20and%20Protection%20Toolkit%20(DSPT),-Your%20organisation%20will&amp;text=Completing%20the%20DSPT%20is%20a,and%20handling%20personal%20data%20correctly</vt:lpwstr>
      </vt:variant>
      <vt:variant>
        <vt:i4>1507402</vt:i4>
      </vt:variant>
      <vt:variant>
        <vt:i4>66</vt:i4>
      </vt:variant>
      <vt:variant>
        <vt:i4>0</vt:i4>
      </vt:variant>
      <vt:variant>
        <vt:i4>5</vt:i4>
      </vt:variant>
      <vt:variant>
        <vt:lpwstr>https://doi.org/10.20517/jtgg.2018.17</vt:lpwstr>
      </vt:variant>
      <vt:variant>
        <vt:lpwstr/>
      </vt:variant>
      <vt:variant>
        <vt:i4>4194394</vt:i4>
      </vt:variant>
      <vt:variant>
        <vt:i4>63</vt:i4>
      </vt:variant>
      <vt:variant>
        <vt:i4>0</vt:i4>
      </vt:variant>
      <vt:variant>
        <vt:i4>5</vt:i4>
      </vt:variant>
      <vt:variant>
        <vt:lpwstr>https://avonlmc.co.uk/data-security-protection-toolkit-dspt-for-2024-25/</vt:lpwstr>
      </vt:variant>
      <vt:variant>
        <vt:lpwstr/>
      </vt:variant>
      <vt:variant>
        <vt:i4>1769566</vt:i4>
      </vt:variant>
      <vt:variant>
        <vt:i4>60</vt:i4>
      </vt:variant>
      <vt:variant>
        <vt:i4>0</vt:i4>
      </vt:variant>
      <vt:variant>
        <vt:i4>5</vt:i4>
      </vt:variant>
      <vt:variant>
        <vt:lpwstr>https://doi.org/10.35335/laweco.v17i3.43</vt:lpwstr>
      </vt:variant>
      <vt:variant>
        <vt:lpwstr/>
      </vt:variant>
      <vt:variant>
        <vt:i4>196629</vt:i4>
      </vt:variant>
      <vt:variant>
        <vt:i4>57</vt:i4>
      </vt:variant>
      <vt:variant>
        <vt:i4>0</vt:i4>
      </vt:variant>
      <vt:variant>
        <vt:i4>5</vt:i4>
      </vt:variant>
      <vt:variant>
        <vt:lpwstr>https://doi.org/10.2337/dc20-S005</vt:lpwstr>
      </vt:variant>
      <vt:variant>
        <vt:lpwstr/>
      </vt:variant>
      <vt:variant>
        <vt:i4>6619179</vt:i4>
      </vt:variant>
      <vt:variant>
        <vt:i4>54</vt:i4>
      </vt:variant>
      <vt:variant>
        <vt:i4>0</vt:i4>
      </vt:variant>
      <vt:variant>
        <vt:i4>5</vt:i4>
      </vt:variant>
      <vt:variant>
        <vt:lpwstr>https://journals.lww.com/ijdigitalhealth/fulltext/2021/01010/a_digital_first_primary_care_model_in_the_national.11.aspx</vt:lpwstr>
      </vt:variant>
      <vt:variant>
        <vt:lpwstr/>
      </vt:variant>
      <vt:variant>
        <vt:i4>1572956</vt:i4>
      </vt:variant>
      <vt:variant>
        <vt:i4>51</vt:i4>
      </vt:variant>
      <vt:variant>
        <vt:i4>0</vt:i4>
      </vt:variant>
      <vt:variant>
        <vt:i4>5</vt:i4>
      </vt:variant>
      <vt:variant>
        <vt:lpwstr>https://doi.org/10.2196/56473</vt:lpwstr>
      </vt:variant>
      <vt:variant>
        <vt:lpwstr/>
      </vt:variant>
      <vt:variant>
        <vt:i4>6029322</vt:i4>
      </vt:variant>
      <vt:variant>
        <vt:i4>48</vt:i4>
      </vt:variant>
      <vt:variant>
        <vt:i4>0</vt:i4>
      </vt:variant>
      <vt:variant>
        <vt:i4>5</vt:i4>
      </vt:variant>
      <vt:variant>
        <vt:lpwstr>https://www.proquest.com/openview/1ead2f0651a258487ba77a77aea81671/1?pq-origsite=gscholar&amp;cbl=6480378</vt:lpwstr>
      </vt:variant>
      <vt:variant>
        <vt:lpwstr/>
      </vt:variant>
      <vt:variant>
        <vt:i4>1966136</vt:i4>
      </vt:variant>
      <vt:variant>
        <vt:i4>38</vt:i4>
      </vt:variant>
      <vt:variant>
        <vt:i4>0</vt:i4>
      </vt:variant>
      <vt:variant>
        <vt:i4>5</vt:i4>
      </vt:variant>
      <vt:variant>
        <vt:lpwstr/>
      </vt:variant>
      <vt:variant>
        <vt:lpwstr>_Toc209438053</vt:lpwstr>
      </vt:variant>
      <vt:variant>
        <vt:i4>1966136</vt:i4>
      </vt:variant>
      <vt:variant>
        <vt:i4>32</vt:i4>
      </vt:variant>
      <vt:variant>
        <vt:i4>0</vt:i4>
      </vt:variant>
      <vt:variant>
        <vt:i4>5</vt:i4>
      </vt:variant>
      <vt:variant>
        <vt:lpwstr/>
      </vt:variant>
      <vt:variant>
        <vt:lpwstr>_Toc209438052</vt:lpwstr>
      </vt:variant>
      <vt:variant>
        <vt:i4>1966136</vt:i4>
      </vt:variant>
      <vt:variant>
        <vt:i4>26</vt:i4>
      </vt:variant>
      <vt:variant>
        <vt:i4>0</vt:i4>
      </vt:variant>
      <vt:variant>
        <vt:i4>5</vt:i4>
      </vt:variant>
      <vt:variant>
        <vt:lpwstr/>
      </vt:variant>
      <vt:variant>
        <vt:lpwstr>_Toc209438051</vt:lpwstr>
      </vt:variant>
      <vt:variant>
        <vt:i4>1966136</vt:i4>
      </vt:variant>
      <vt:variant>
        <vt:i4>20</vt:i4>
      </vt:variant>
      <vt:variant>
        <vt:i4>0</vt:i4>
      </vt:variant>
      <vt:variant>
        <vt:i4>5</vt:i4>
      </vt:variant>
      <vt:variant>
        <vt:lpwstr/>
      </vt:variant>
      <vt:variant>
        <vt:lpwstr>_Toc209438050</vt:lpwstr>
      </vt:variant>
      <vt:variant>
        <vt:i4>2031672</vt:i4>
      </vt:variant>
      <vt:variant>
        <vt:i4>14</vt:i4>
      </vt:variant>
      <vt:variant>
        <vt:i4>0</vt:i4>
      </vt:variant>
      <vt:variant>
        <vt:i4>5</vt:i4>
      </vt:variant>
      <vt:variant>
        <vt:lpwstr/>
      </vt:variant>
      <vt:variant>
        <vt:lpwstr>_Toc209438049</vt:lpwstr>
      </vt:variant>
      <vt:variant>
        <vt:i4>2031672</vt:i4>
      </vt:variant>
      <vt:variant>
        <vt:i4>8</vt:i4>
      </vt:variant>
      <vt:variant>
        <vt:i4>0</vt:i4>
      </vt:variant>
      <vt:variant>
        <vt:i4>5</vt:i4>
      </vt:variant>
      <vt:variant>
        <vt:lpwstr/>
      </vt:variant>
      <vt:variant>
        <vt:lpwstr>_Toc209438048</vt:lpwstr>
      </vt:variant>
      <vt:variant>
        <vt:i4>2031672</vt:i4>
      </vt:variant>
      <vt:variant>
        <vt:i4>2</vt:i4>
      </vt:variant>
      <vt:variant>
        <vt:i4>0</vt:i4>
      </vt:variant>
      <vt:variant>
        <vt:i4>5</vt:i4>
      </vt:variant>
      <vt:variant>
        <vt:lpwstr/>
      </vt:variant>
      <vt:variant>
        <vt:lpwstr>_Toc209438047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Sameena Iqbal (2315950)</dc:creator>
  <cp:keywords/>
  <dc:description/>
  <cp:lastModifiedBy>Sameena Iqbal (2315950)</cp:lastModifiedBy>
  <cp:revision>13</cp:revision>
  <dcterms:created xsi:type="dcterms:W3CDTF">2025-10-18T17:04:00Z</dcterms:created>
  <dcterms:modified xsi:type="dcterms:W3CDTF">2025-10-18T17:17:00Z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7b1b98e6-06b6-4c15-b15b-c3365e2a271e</vt:lpwstr>
  </property>
</Properties>
</file>