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jc w:val="center"/>
        <w:rPr>
          <w:rFonts w:hint="default" w:ascii="Times New Roman" w:hAnsi="Times New Roman" w:cs="Times New Roman"/>
          <w:b w:val="0"/>
          <w:bCs w:val="0"/>
          <w:color w:val="auto"/>
          <w:sz w:val="24"/>
          <w:szCs w:val="24"/>
        </w:rPr>
      </w:pPr>
      <w:bookmarkStart w:id="35" w:name="_GoBack"/>
      <w:bookmarkEnd w:id="35"/>
      <w:r>
        <w:rPr>
          <w:rFonts w:hint="default" w:ascii="Times New Roman" w:hAnsi="Times New Roman" w:cs="Times New Roman"/>
          <w:b w:val="0"/>
          <w:bCs w:val="0"/>
          <w:color w:val="auto"/>
          <w:sz w:val="24"/>
          <w:szCs w:val="24"/>
        </w:rPr>
        <w:t>UNIVERSITY OF WALES TRINITY ST DAVID</w:t>
      </w: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SWANSEA</w:t>
      </w: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MBA</w:t>
      </w: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STRATEGIC MANAGEMENT</w:t>
      </w:r>
      <w:r>
        <w:rPr>
          <w:rFonts w:hint="default" w:ascii="Times New Roman" w:hAnsi="Times New Roman" w:cs="Times New Roman"/>
          <w:b w:val="0"/>
          <w:bCs w:val="0"/>
          <w:color w:val="auto"/>
          <w:sz w:val="24"/>
          <w:szCs w:val="24"/>
        </w:rPr>
        <w:t xml:space="preserve"> ASSIGNMENT 201</w:t>
      </w:r>
      <w:r>
        <w:rPr>
          <w:rFonts w:hint="default" w:ascii="Times New Roman" w:hAnsi="Times New Roman" w:eastAsia="SimSun" w:cs="Times New Roman"/>
          <w:b w:val="0"/>
          <w:bCs w:val="0"/>
          <w:color w:val="auto"/>
          <w:sz w:val="24"/>
          <w:szCs w:val="24"/>
          <w:lang w:val="en-US" w:eastAsia="zh-CN"/>
        </w:rPr>
        <w:t>9</w:t>
      </w:r>
    </w:p>
    <w:p>
      <w:pPr>
        <w:spacing w:after="0" w:line="480" w:lineRule="auto"/>
        <w:jc w:val="center"/>
        <w:rPr>
          <w:rFonts w:hint="default" w:ascii="Times New Roman" w:hAnsi="Times New Roman" w:eastAsia="SimSun" w:cs="Times New Roman"/>
          <w:b w:val="0"/>
          <w:bCs w:val="0"/>
          <w:color w:val="auto"/>
          <w:sz w:val="24"/>
          <w:szCs w:val="24"/>
          <w:lang w:val="en-US" w:eastAsia="zh-CN"/>
        </w:rPr>
      </w:pPr>
    </w:p>
    <w:p>
      <w:pPr>
        <w:spacing w:after="0" w:line="480" w:lineRule="auto"/>
        <w:jc w:val="center"/>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RE-SHAPING STRATEGIC</w:t>
      </w: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for MUHAMMAD TAHIR MUSHTAQ</w:t>
      </w: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LINING</w:t>
      </w: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p>
    <w:p>
      <w:pPr>
        <w:spacing w:after="0" w:line="480" w:lineRule="auto"/>
        <w:jc w:val="center"/>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NAME: LI MENGTING (1504086)</w:t>
      </w:r>
    </w:p>
    <w:p>
      <w:pPr>
        <w:spacing w:line="480" w:lineRule="auto"/>
        <w:jc w:val="center"/>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before="0" w:beforeLines="0" w:after="0" w:afterLines="0" w:line="480" w:lineRule="auto"/>
        <w:ind w:left="0" w:leftChars="0" w:right="0" w:rightChars="0" w:firstLine="0" w:firstLineChars="0"/>
        <w:jc w:val="center"/>
        <w:rPr>
          <w:rFonts w:hint="default" w:ascii="Times New Roman" w:hAnsi="Times New Roman" w:eastAsia="SimSun" w:cs="Times New Roman"/>
          <w:sz w:val="24"/>
          <w:szCs w:val="24"/>
          <w:lang w:val="en-US" w:eastAsia="zh-CN"/>
        </w:rPr>
      </w:pPr>
      <w:r>
        <w:rPr>
          <w:rFonts w:hint="default" w:ascii="Times New Roman" w:hAnsi="Times New Roman" w:eastAsia="SimSun" w:cs="Times New Roman"/>
          <w:sz w:val="24"/>
          <w:szCs w:val="24"/>
          <w:lang w:val="en-US" w:eastAsia="zh-CN"/>
        </w:rPr>
        <w:t>Content</w:t>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 w:val="0"/>
          <w:bCs w:val="0"/>
          <w:color w:val="auto"/>
          <w:sz w:val="24"/>
          <w:szCs w:val="24"/>
        </w:rPr>
        <w:fldChar w:fldCharType="begin"/>
      </w:r>
      <w:r>
        <w:rPr>
          <w:rFonts w:hint="default" w:ascii="Times New Roman" w:hAnsi="Times New Roman" w:cs="Times New Roman"/>
          <w:b w:val="0"/>
          <w:bCs w:val="0"/>
          <w:color w:val="auto"/>
          <w:sz w:val="24"/>
          <w:szCs w:val="24"/>
        </w:rPr>
        <w:instrText xml:space="preserve"> TOC \o "1-3" \h \z \u </w:instrText>
      </w:r>
      <w:r>
        <w:rPr>
          <w:rFonts w:hint="default" w:ascii="Times New Roman" w:hAnsi="Times New Roman" w:cs="Times New Roman"/>
          <w:b w:val="0"/>
          <w:bCs w:val="0"/>
          <w:color w:val="auto"/>
          <w:sz w:val="24"/>
          <w:szCs w:val="24"/>
        </w:rPr>
        <w:fldChar w:fldCharType="separate"/>
      </w: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_Toc5645 </w:instrText>
      </w:r>
      <w:r>
        <w:rPr>
          <w:rFonts w:hint="default" w:ascii="Times New Roman" w:hAnsi="Times New Roman" w:cs="Times New Roman"/>
          <w:bCs w:val="0"/>
          <w:sz w:val="24"/>
          <w:szCs w:val="24"/>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_Toc5645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_Toc2883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_Toc1485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2. Strategic 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_Toc28312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2.1 PEST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_Toc13869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2.1.1 Political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_Toc30721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2.1.</w:t>
      </w:r>
      <w:r>
        <w:rPr>
          <w:rFonts w:hint="default" w:ascii="Times New Roman" w:hAnsi="Times New Roman" w:cs="Times New Roman"/>
          <w:bCs w:val="0"/>
          <w:sz w:val="24"/>
          <w:szCs w:val="24"/>
          <w:lang w:val="en-US" w:eastAsia="zh-CN"/>
        </w:rPr>
        <w:t>2</w:t>
      </w:r>
      <w:r>
        <w:rPr>
          <w:rFonts w:hint="default" w:ascii="Times New Roman" w:hAnsi="Times New Roman" w:cs="Times New Roman"/>
          <w:bCs w:val="0"/>
          <w:sz w:val="24"/>
          <w:szCs w:val="24"/>
        </w:rPr>
        <w:t xml:space="preserve"> Social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_Toc30721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_Toc19839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2.1.</w:t>
      </w:r>
      <w:r>
        <w:rPr>
          <w:rFonts w:hint="default" w:ascii="Times New Roman" w:hAnsi="Times New Roman" w:cs="Times New Roman"/>
          <w:bCs w:val="0"/>
          <w:sz w:val="24"/>
          <w:szCs w:val="24"/>
          <w:lang w:val="en-US" w:eastAsia="zh-CN"/>
        </w:rPr>
        <w:t>3</w:t>
      </w:r>
      <w:r>
        <w:rPr>
          <w:rFonts w:hint="default" w:ascii="Times New Roman" w:hAnsi="Times New Roman" w:cs="Times New Roman"/>
          <w:bCs w:val="0"/>
          <w:sz w:val="24"/>
          <w:szCs w:val="24"/>
        </w:rPr>
        <w:t xml:space="preserve">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_Toc3587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2.2 Porter’s Five Forces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_Toc5041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2.2.1 Potential Entrant Threat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_Toc20074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2.2.2 Bargaining Power of Buyers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_Toc20074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_Toc5796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2.2.3 Competitor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_Toc5796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_Toc435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2.3 VRIO</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_Toc11904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2.3.1 Brand Name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_Toc29338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2.3.2 Research and Development Capabilities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_Toc29338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_Toc18809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2.3.3 Nationwide Distribution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_Toc18809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_Toc4932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2.4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_Toc4932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_Toc25306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2.4.1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_Toc25306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_Toc25764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2.4.2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_Toc25764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_Toc26453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2.4.3 Opportunities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_Toc26453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_Toc31235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rPr>
        <w:t>3.Strategic Choice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_Toc6377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3.1 Ansoff Matrix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_Toc6377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_Toc471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3.1.1 Market Penetration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_Toc22236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3.1.2 New Products and Services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_Toc22236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_Toc18000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3.1.3 Market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_Toc18000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5"/>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_Toc4761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3.1.4 Conglomerate Diversification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_Toc27456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3.2 Strategy Clock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_Toc27456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_Toc16502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4.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_Toc16502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_Toc7239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eastAsia="zh-CN"/>
        </w:rPr>
        <w:t>4.1 Scientific brand 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_Toc19370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eastAsia="zh-CN"/>
        </w:rPr>
        <w:t>4.2 Developing new market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_Toc19370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9"/>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_Toc13679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eastAsia="zh-CN"/>
        </w:rPr>
        <w:t>4.3 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_Toc3840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sz w:val="24"/>
          <w:szCs w:val="24"/>
          <w:lang w:val="en-US"/>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pStyle w:val="8"/>
        <w:tabs>
          <w:tab w:val="right" w:leader="dot" w:pos="8640"/>
        </w:tabs>
        <w:spacing w:line="480" w:lineRule="auto"/>
        <w:rPr>
          <w:rFonts w:hint="default" w:ascii="Times New Roman" w:hAnsi="Times New Roman" w:cs="Times New Roman"/>
          <w:sz w:val="24"/>
          <w:szCs w:val="24"/>
        </w:rPr>
      </w:pPr>
      <w:r>
        <w:rPr>
          <w:rFonts w:hint="default" w:ascii="Times New Roman" w:hAnsi="Times New Roman" w:cs="Times New Roman"/>
          <w:bCs w:val="0"/>
          <w:color w:val="auto"/>
          <w:sz w:val="24"/>
          <w:szCs w:val="24"/>
        </w:rPr>
        <w:fldChar w:fldCharType="begin"/>
      </w:r>
      <w:r>
        <w:rPr>
          <w:rFonts w:hint="default" w:ascii="Times New Roman" w:hAnsi="Times New Roman" w:cs="Times New Roman"/>
          <w:bCs w:val="0"/>
          <w:sz w:val="24"/>
          <w:szCs w:val="24"/>
        </w:rPr>
        <w:instrText xml:space="preserve"> HYPERLINK \l _Toc415 </w:instrText>
      </w:r>
      <w:r>
        <w:rPr>
          <w:rFonts w:hint="default" w:ascii="Times New Roman" w:hAnsi="Times New Roman" w:cs="Times New Roman"/>
          <w:bCs w:val="0"/>
          <w:sz w:val="24"/>
          <w:szCs w:val="24"/>
        </w:rPr>
        <w:fldChar w:fldCharType="separate"/>
      </w:r>
      <w:r>
        <w:rPr>
          <w:rFonts w:hint="default" w:ascii="Times New Roman" w:hAnsi="Times New Roman" w:cs="Times New Roman"/>
          <w:bCs w:val="0"/>
          <w:i w:val="0"/>
          <w:iCs w:val="0"/>
          <w:sz w:val="24"/>
          <w:szCs w:val="24"/>
          <w:lang w:val="en-US"/>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bCs w:val="0"/>
          <w:color w:val="auto"/>
          <w:sz w:val="24"/>
          <w:szCs w:val="24"/>
        </w:rPr>
        <w:fldChar w:fldCharType="end"/>
      </w:r>
    </w:p>
    <w:p>
      <w:pPr>
        <w:spacing w:line="480" w:lineRule="auto"/>
        <w:jc w:val="both"/>
        <w:rPr>
          <w:rFonts w:hint="default" w:ascii="Times New Roman" w:hAnsi="Times New Roman" w:eastAsia="Calibri" w:cs="Times New Roman"/>
          <w:b w:val="0"/>
          <w:bCs w:val="0"/>
          <w:color w:val="auto"/>
          <w:sz w:val="24"/>
          <w:szCs w:val="24"/>
          <w:lang w:val="en-GB"/>
        </w:rPr>
      </w:pPr>
      <w:r>
        <w:rPr>
          <w:rFonts w:hint="default" w:ascii="Times New Roman" w:hAnsi="Times New Roman" w:cs="Times New Roman"/>
          <w:bCs w:val="0"/>
          <w:color w:val="auto"/>
          <w:sz w:val="24"/>
          <w:szCs w:val="24"/>
        </w:rPr>
        <w:fldChar w:fldCharType="end"/>
      </w: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sectPr>
          <w:footerReference r:id="rId3" w:type="default"/>
          <w:pgSz w:w="12240" w:h="15840"/>
          <w:pgMar w:top="1440" w:right="1800" w:bottom="1440" w:left="1800" w:header="720" w:footer="720" w:gutter="0"/>
          <w:pgNumType w:start="1"/>
          <w:cols w:space="720" w:num="1"/>
          <w:docGrid w:linePitch="360" w:charSpace="0"/>
        </w:sectPr>
      </w:pPr>
    </w:p>
    <w:p>
      <w:pPr>
        <w:pStyle w:val="2"/>
        <w:bidi w:val="0"/>
        <w:rPr>
          <w:rFonts w:hint="default" w:ascii="Times New Roman" w:hAnsi="Times New Roman" w:cs="Times New Roman"/>
          <w:color w:val="auto"/>
          <w:sz w:val="24"/>
          <w:szCs w:val="24"/>
        </w:rPr>
      </w:pPr>
      <w:bookmarkStart w:id="0" w:name="_Toc5645"/>
      <w:r>
        <w:rPr>
          <w:rFonts w:hint="default" w:ascii="Times New Roman" w:hAnsi="Times New Roman" w:cs="Times New Roman"/>
          <w:color w:val="auto"/>
          <w:sz w:val="24"/>
          <w:szCs w:val="24"/>
        </w:rPr>
        <w:t>Executive Summary</w:t>
      </w:r>
      <w:bookmarkEnd w:id="0"/>
    </w:p>
    <w:p>
      <w:pPr>
        <w:rPr>
          <w:rFonts w:hint="default" w:ascii="Times New Roman" w:hAnsi="Times New Roman" w:cs="Times New Roman"/>
          <w:sz w:val="24"/>
          <w:szCs w:val="24"/>
        </w:rPr>
      </w:pPr>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Li Ning is a famous Chinese sportwear company established in 1990 by gymnast Li Ning. From the very beginning, Li Ning had been a leader in China’s sportswear market and it occupied the largest market share as compared competitors. However, after foreign brands such as Adidas and Nike entered the Chinese market in response to China’s open up policy, they quickly overtook Li Ning and become bestselling sportswear brand in China based on their design prowess, strong financial backing and skilled marketing management. In the meantime, other local domestic sportswear brands rose and started to capture market share from Li Ning. Being threatened by both international and domestic brands, Li Ning started to pursue an international strategy ever since 1999; however, its international efforts largely failed by 2004 due to the lack of systematic planning. The current report is written with the aim to make appropriate strategy recommendations for Li Ning. It first of all reviews the micro</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rPr>
        <w:t xml:space="preserve">environment by using the PEST analysis method, then analyses the sportswear industry in China by using the five-forces method; the report also adopts the VRIO model to identify Li Ning’s most valuable resource as a competitive advantage as well as uses the SWOT to analyse the company’s internal and external environment. At the end of the report, it summarizes the findings of various analysis and proposed strategic changes based on the findings. </w:t>
      </w: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spacing w:line="480" w:lineRule="auto"/>
        <w:jc w:val="both"/>
        <w:rPr>
          <w:rFonts w:hint="default" w:ascii="Times New Roman" w:hAnsi="Times New Roman" w:cs="Times New Roman"/>
          <w:b w:val="0"/>
          <w:bCs w:val="0"/>
          <w:color w:val="auto"/>
          <w:sz w:val="24"/>
          <w:szCs w:val="24"/>
        </w:rPr>
      </w:pPr>
    </w:p>
    <w:p>
      <w:pPr>
        <w:pStyle w:val="2"/>
        <w:spacing w:line="480" w:lineRule="auto"/>
        <w:jc w:val="both"/>
        <w:rPr>
          <w:rFonts w:hint="default" w:ascii="Times New Roman" w:hAnsi="Times New Roman" w:cs="Times New Roman"/>
          <w:b w:val="0"/>
          <w:bCs w:val="0"/>
          <w:color w:val="auto"/>
          <w:sz w:val="24"/>
          <w:szCs w:val="24"/>
        </w:rPr>
      </w:pPr>
      <w:bookmarkStart w:id="1" w:name="_Toc2883"/>
      <w:r>
        <w:rPr>
          <w:rFonts w:hint="default" w:ascii="Times New Roman" w:hAnsi="Times New Roman" w:cs="Times New Roman"/>
          <w:b w:val="0"/>
          <w:bCs w:val="0"/>
          <w:color w:val="auto"/>
          <w:sz w:val="24"/>
          <w:szCs w:val="24"/>
        </w:rPr>
        <w:t>1. Introduction</w:t>
      </w:r>
      <w:bookmarkEnd w:id="1"/>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One major trend of international economy in the 21</w:t>
      </w:r>
      <w:r>
        <w:rPr>
          <w:rFonts w:hint="default" w:ascii="Times New Roman" w:hAnsi="Times New Roman" w:cs="Times New Roman"/>
          <w:b w:val="0"/>
          <w:bCs w:val="0"/>
          <w:color w:val="auto"/>
          <w:sz w:val="24"/>
          <w:szCs w:val="24"/>
          <w:vertAlign w:val="superscript"/>
        </w:rPr>
        <w:t>st</w:t>
      </w:r>
      <w:r>
        <w:rPr>
          <w:rFonts w:hint="default" w:ascii="Times New Roman" w:hAnsi="Times New Roman" w:cs="Times New Roman"/>
          <w:b w:val="0"/>
          <w:bCs w:val="0"/>
          <w:color w:val="auto"/>
          <w:sz w:val="24"/>
          <w:szCs w:val="24"/>
        </w:rPr>
        <w:t xml:space="preserve"> century is the quickening pace of economic globalization, which helped to enhance the integration of all world markets. China joined the trend by being accepted into the WTO as a member country and since then, Chinese companies are facing more international competition that forced them to rethink their development strategies. Li Ning Sports Goods Company is one famous Chinese local sportswear company that had to cope with the increased competition due to China’s economic globalization. It was named after its founder, Li Ning, who is a famous gymnast with the nickname of “Prince of Gymnastics”. When the company was started in 1990, it was only making and selling a single “Li Ning” brand sportswear; however, after decades of operation and expansion, the company has increased its product lines to include sports clothing, shoes, hats and sports equipment (Yu, 2010). It was regarded as the first Chinese local sportswear brand and in a sense, it has also become a national brand. As such, Li Ning has developed all key abilities in sportswear manufacturing and marketing, including research and development, style design, manufacturing, retail and distribution. By 2010, Li Ning has developed a nationwide distribution network with 7,915 stores scattered around the country and it was hiring 4,215 employees in its headquarters alone (Li Ning</w:t>
      </w:r>
      <w:r>
        <w:rPr>
          <w:rFonts w:hint="default" w:ascii="Times New Roman" w:hAnsi="Times New Roman" w:eastAsia="SimSun" w:cs="Times New Roman"/>
          <w:b w:val="0"/>
          <w:bCs w:val="0"/>
          <w:color w:val="auto"/>
          <w:sz w:val="24"/>
          <w:szCs w:val="24"/>
          <w:lang w:val="en-US" w:eastAsia="zh-CN"/>
        </w:rPr>
        <w:t>.com,2019</w:t>
      </w:r>
      <w:r>
        <w:rPr>
          <w:rFonts w:hint="default" w:ascii="Times New Roman" w:hAnsi="Times New Roman" w:cs="Times New Roman"/>
          <w:b w:val="0"/>
          <w:bCs w:val="0"/>
          <w:color w:val="auto"/>
          <w:sz w:val="24"/>
          <w:szCs w:val="24"/>
        </w:rPr>
        <w:t xml:space="preserve">). Li Ning’s products are classified by the function they satisfy and they include shoes, hats, sports clothing and sports equipment as well. Li Ning’s products were known for their excellent quality, dynamic and stylish design they are priced well within the financial capabilities of most Chinese; thus, it quickly became the most popular independent sportswear brand in China and the brand was deeply loved and respected by most Chinese consumers. To many Chinese consumers, it was not only a leader of sportswear brands but also a national brand that represents their national pride (Jun, 2007). However, the last decade has seen great changes in China’s sportswear market. International brands have expanded rapidly in China by running expensive advertising and promotion campaigns, actively managing their marketing activities and ferociously acquire or merge with local brands. Domestic brands have also mushroomed as they see the great potential of the growth of the sportswear market in China. </w:t>
      </w:r>
    </w:p>
    <w:tbl>
      <w:tblPr>
        <w:tblStyle w:val="11"/>
        <w:tblpPr w:leftFromText="180" w:rightFromText="180" w:vertAnchor="text" w:horzAnchor="margin" w:tblpXSpec="center" w:tblpY="480"/>
        <w:tblOverlap w:val="never"/>
        <w:tblW w:w="81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0"/>
        <w:gridCol w:w="3603"/>
        <w:gridCol w:w="3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Brand</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rPr>
              <w:t>2017 Revenue</w:t>
            </w:r>
            <w:r>
              <w:rPr>
                <w:rFonts w:hint="default" w:ascii="Times New Roman" w:hAnsi="Times New Roman" w:eastAsia="Microsoft YaHei" w:cs="Times New Roman"/>
                <w:b w:val="0"/>
                <w:bCs w:val="0"/>
                <w:color w:val="auto"/>
                <w:sz w:val="24"/>
                <w:szCs w:val="24"/>
                <w:lang w:val="en-US" w:eastAsia="zh-CN"/>
              </w:rPr>
              <w:t xml:space="preserve"> (Billions of Dollars)</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2018 Revenue (Billions of Dollars)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Nike</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2314.91</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2449.30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Adidas</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1592.90</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1644.10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Li Ning</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88.74</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105.11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ANTA</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166.93</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241.00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Xtep</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51.13</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63.83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31" w:hRule="atLeast"/>
        </w:trPr>
        <w:tc>
          <w:tcPr>
            <w:tcW w:w="970"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Puma</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310.50</w:t>
            </w:r>
          </w:p>
        </w:tc>
        <w:tc>
          <w:tcPr>
            <w:tcW w:w="3603"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348.94</w:t>
            </w:r>
          </w:p>
        </w:tc>
      </w:tr>
    </w:tbl>
    <w:p>
      <w:pPr>
        <w:spacing w:line="480" w:lineRule="auto"/>
        <w:jc w:val="center"/>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Annual Revenue for Top 6 Sportswear Brands in China (2017-2018)</w:t>
      </w:r>
    </w:p>
    <w:p>
      <w:pPr>
        <w:spacing w:line="480" w:lineRule="auto"/>
        <w:jc w:val="center"/>
        <w:rPr>
          <w:rFonts w:hint="default" w:ascii="Times New Roman" w:hAnsi="Times New Roman" w:cs="Times New Roman"/>
          <w:b w:val="0"/>
          <w:bCs w:val="0"/>
          <w:color w:val="auto"/>
          <w:sz w:val="24"/>
          <w:szCs w:val="24"/>
          <w:lang w:val="en-US"/>
        </w:rPr>
      </w:pPr>
      <w:r>
        <w:rPr>
          <w:rFonts w:hint="default" w:ascii="Times New Roman" w:hAnsi="Times New Roman" w:eastAsia="SimSun" w:cs="Times New Roman"/>
          <w:b w:val="0"/>
          <w:bCs w:val="0"/>
          <w:color w:val="auto"/>
          <w:sz w:val="24"/>
          <w:szCs w:val="24"/>
          <w:lang w:val="en-US" w:eastAsia="zh-CN"/>
        </w:rPr>
        <w:t>(</w:t>
      </w:r>
      <w:r>
        <w:rPr>
          <w:rFonts w:hint="default" w:ascii="Times New Roman" w:hAnsi="Times New Roman" w:cs="Times New Roman"/>
          <w:b w:val="0"/>
          <w:bCs w:val="0"/>
          <w:color w:val="auto"/>
          <w:sz w:val="24"/>
          <w:szCs w:val="24"/>
          <w:lang w:val="en-US"/>
        </w:rPr>
        <w:t>L</w:t>
      </w:r>
      <w:r>
        <w:rPr>
          <w:rFonts w:hint="default" w:ascii="Times New Roman" w:hAnsi="Times New Roman" w:eastAsia="SimSun" w:cs="Times New Roman"/>
          <w:b w:val="0"/>
          <w:bCs w:val="0"/>
          <w:color w:val="auto"/>
          <w:sz w:val="24"/>
          <w:szCs w:val="24"/>
          <w:lang w:val="en-US" w:eastAsia="zh-CN"/>
        </w:rPr>
        <w:t xml:space="preserve">inkshop.com, </w:t>
      </w:r>
      <w:r>
        <w:rPr>
          <w:rFonts w:hint="default" w:ascii="Times New Roman" w:hAnsi="Times New Roman" w:cs="Times New Roman"/>
          <w:b w:val="0"/>
          <w:bCs w:val="0"/>
          <w:color w:val="auto"/>
          <w:sz w:val="24"/>
          <w:szCs w:val="24"/>
          <w:lang w:val="en-US"/>
        </w:rPr>
        <w:t>2019)</w:t>
      </w:r>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As demonstrated in the above table, brands such as Nike, Adidas, ANTA, Puma have consistently performed better than Li Ning for 2017 and 2018. As a matter of fact, with an annual revenue of USD 88.74 billion in 2017 and USD 105.11 billion, Li Ning ranks only the fifth in the top six sportswear brands in China. It means that Li Ning has decreased in popularity and is no longer the most favorite sportswear brand in China. To regain its former glory and success, Li Ning has to realign its strategic efforts. In the next section, the report will analyze the strategic environment and the opportunities and threats in that environment that Li Ning currently faces.</w:t>
      </w:r>
    </w:p>
    <w:p>
      <w:pPr>
        <w:pStyle w:val="2"/>
        <w:spacing w:line="480" w:lineRule="auto"/>
        <w:jc w:val="both"/>
        <w:rPr>
          <w:rFonts w:hint="default" w:ascii="Times New Roman" w:hAnsi="Times New Roman" w:cs="Times New Roman"/>
          <w:b w:val="0"/>
          <w:bCs w:val="0"/>
          <w:color w:val="auto"/>
          <w:sz w:val="24"/>
          <w:szCs w:val="24"/>
          <w:lang w:val="en-US"/>
        </w:rPr>
      </w:pPr>
      <w:bookmarkStart w:id="2" w:name="_Toc1485"/>
      <w:r>
        <w:rPr>
          <w:rFonts w:hint="default" w:ascii="Times New Roman" w:hAnsi="Times New Roman" w:cs="Times New Roman"/>
          <w:b w:val="0"/>
          <w:bCs w:val="0"/>
          <w:color w:val="auto"/>
          <w:sz w:val="24"/>
          <w:szCs w:val="24"/>
          <w:lang w:val="en-US"/>
        </w:rPr>
        <w:t>2. Strategic Position</w:t>
      </w:r>
      <w:bookmarkEnd w:id="2"/>
    </w:p>
    <w:p>
      <w:pPr>
        <w:pStyle w:val="3"/>
        <w:spacing w:line="480" w:lineRule="auto"/>
        <w:jc w:val="both"/>
        <w:rPr>
          <w:rFonts w:hint="default" w:ascii="Times New Roman" w:hAnsi="Times New Roman" w:cs="Times New Roman"/>
          <w:b w:val="0"/>
          <w:bCs w:val="0"/>
          <w:color w:val="auto"/>
          <w:sz w:val="24"/>
          <w:szCs w:val="24"/>
          <w:lang w:val="en-US"/>
        </w:rPr>
      </w:pPr>
      <w:bookmarkStart w:id="3" w:name="_Toc28312"/>
      <w:r>
        <w:rPr>
          <w:rFonts w:hint="default" w:ascii="Times New Roman" w:hAnsi="Times New Roman" w:cs="Times New Roman"/>
          <w:b w:val="0"/>
          <w:bCs w:val="0"/>
          <w:color w:val="auto"/>
          <w:sz w:val="24"/>
          <w:szCs w:val="24"/>
          <w:lang w:val="en-US"/>
        </w:rPr>
        <w:t>2.1 PEST Analysis</w:t>
      </w:r>
      <w:bookmarkEnd w:id="3"/>
    </w:p>
    <w:p>
      <w:pPr>
        <w:pStyle w:val="4"/>
        <w:spacing w:line="480" w:lineRule="auto"/>
        <w:jc w:val="both"/>
        <w:rPr>
          <w:rFonts w:hint="default" w:ascii="Times New Roman" w:hAnsi="Times New Roman" w:cs="Times New Roman"/>
          <w:b w:val="0"/>
          <w:bCs w:val="0"/>
          <w:color w:val="auto"/>
          <w:sz w:val="24"/>
          <w:szCs w:val="24"/>
        </w:rPr>
      </w:pPr>
      <w:bookmarkStart w:id="4" w:name="_Toc13869"/>
      <w:r>
        <w:rPr>
          <w:rFonts w:hint="default" w:ascii="Times New Roman" w:hAnsi="Times New Roman" w:cs="Times New Roman"/>
          <w:b w:val="0"/>
          <w:bCs w:val="0"/>
          <w:color w:val="auto"/>
          <w:sz w:val="24"/>
          <w:szCs w:val="24"/>
        </w:rPr>
        <w:t>2.1.1 Political</w:t>
      </w:r>
      <w:bookmarkEnd w:id="4"/>
      <w:r>
        <w:rPr>
          <w:rFonts w:hint="default" w:ascii="Times New Roman" w:hAnsi="Times New Roman" w:cs="Times New Roman"/>
          <w:b w:val="0"/>
          <w:bCs w:val="0"/>
          <w:color w:val="auto"/>
          <w:sz w:val="24"/>
          <w:szCs w:val="24"/>
        </w:rPr>
        <w:t xml:space="preserve"> </w:t>
      </w:r>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One favourable development in the political environment in China for Li Ning is a recent policy statement from the office of the State Council on the national official position to develop its physical education industry. Titled “Guidelines on Accelerating the Development of Sports Industry”</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rPr>
        <w:t>(Yang, 2007). With the explicit support of the central government, China’s sports industry is expected to develop even faster and at a much grander scale. As a national brand that once was leading the development of China’s sportswear industry, this is naturally a great opportunity for Li Ning to enhance its competitive strengths and regain its lose market share from international brands such as Nike and Adidas. The national policy of promoting the development of China’s sports industry favours domestic brands such as Li Ning; in the meantime, Li Ning has enhanced its international reputation by having access to global media exposure in the 2008 Beijing Olympic Games. Considering the favourable policy environment as well as enhanced brand recognition both in China and over the world, as well as the great growth opportunities presented by the Chinese sports industry, Li Ning is no doubt facing the greatest opportunity since its establishment. Sports globalization has brought new opportunities to all sports brands in the world, including Li Ning.</w:t>
      </w:r>
    </w:p>
    <w:p>
      <w:pPr>
        <w:pStyle w:val="4"/>
        <w:bidi w:val="0"/>
        <w:spacing w:line="480" w:lineRule="auto"/>
        <w:jc w:val="both"/>
        <w:rPr>
          <w:rFonts w:hint="default" w:ascii="Times New Roman" w:hAnsi="Times New Roman" w:cs="Times New Roman"/>
          <w:b w:val="0"/>
          <w:bCs w:val="0"/>
          <w:color w:val="auto"/>
          <w:sz w:val="24"/>
          <w:szCs w:val="24"/>
        </w:rPr>
      </w:pPr>
      <w:bookmarkStart w:id="5" w:name="_Toc30721"/>
      <w:r>
        <w:rPr>
          <w:rFonts w:hint="default" w:ascii="Times New Roman" w:hAnsi="Times New Roman" w:cs="Times New Roman"/>
          <w:b w:val="0"/>
          <w:bCs w:val="0"/>
          <w:color w:val="auto"/>
          <w:sz w:val="24"/>
          <w:szCs w:val="24"/>
        </w:rPr>
        <w:t>2.1.</w:t>
      </w:r>
      <w:r>
        <w:rPr>
          <w:rFonts w:hint="default" w:ascii="Times New Roman" w:hAnsi="Times New Roman" w:cs="Times New Roman"/>
          <w:b w:val="0"/>
          <w:bCs w:val="0"/>
          <w:color w:val="auto"/>
          <w:sz w:val="24"/>
          <w:szCs w:val="24"/>
          <w:lang w:val="en-US" w:eastAsia="zh-CN"/>
        </w:rPr>
        <w:t>2</w:t>
      </w:r>
      <w:r>
        <w:rPr>
          <w:rFonts w:hint="default" w:ascii="Times New Roman" w:hAnsi="Times New Roman" w:cs="Times New Roman"/>
          <w:b w:val="0"/>
          <w:bCs w:val="0"/>
          <w:color w:val="auto"/>
          <w:sz w:val="24"/>
          <w:szCs w:val="24"/>
        </w:rPr>
        <w:t xml:space="preserve"> Social</w:t>
      </w:r>
      <w:bookmarkEnd w:id="5"/>
    </w:p>
    <w:p>
      <w:pPr>
        <w:bidi w:val="0"/>
        <w:spacing w:line="480" w:lineRule="auto"/>
        <w:jc w:val="both"/>
        <w:outlineLvl w:val="9"/>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 xml:space="preserve"> The world economy and business are becoming increasingly internationalized, diversified and personalized. As consumers becoming increasingly wealthy and pursue ever more colourful and exciting lifestyles, competition among businesses at both international and domestic level is becoming cutthroat. The same trend also exists in the sportswear industry. As Chinese consumers continue to see their living standards being improved, they are becoming more attentive to their health. As a result, an increasing number of Chinese consumers have developed the habit of taking regular physical exercises, which in turn greatly increased their demand for sportswear and sports-related goods.  </w:t>
      </w:r>
      <w:r>
        <w:rPr>
          <w:rFonts w:hint="default" w:ascii="Times New Roman" w:hAnsi="Times New Roman" w:eastAsia="SimSun" w:cs="Times New Roman"/>
          <w:b w:val="0"/>
          <w:bCs w:val="0"/>
          <w:color w:val="auto"/>
          <w:sz w:val="24"/>
          <w:szCs w:val="24"/>
          <w:lang w:val="en-US" w:eastAsia="zh-CN"/>
        </w:rPr>
        <w:t xml:space="preserve">This </w:t>
      </w:r>
      <w:r>
        <w:rPr>
          <w:rFonts w:hint="default" w:ascii="Times New Roman" w:hAnsi="Times New Roman" w:cs="Times New Roman"/>
          <w:b w:val="0"/>
          <w:bCs w:val="0"/>
          <w:color w:val="auto"/>
          <w:sz w:val="24"/>
          <w:szCs w:val="24"/>
        </w:rPr>
        <w:t>social environment brings more opportunities to the development of Li Ning</w:t>
      </w:r>
      <w:r>
        <w:rPr>
          <w:rFonts w:hint="default" w:ascii="Times New Roman" w:hAnsi="Times New Roman" w:eastAsia="SimSun" w:cs="Times New Roman"/>
          <w:b w:val="0"/>
          <w:bCs w:val="0"/>
          <w:color w:val="auto"/>
          <w:sz w:val="24"/>
          <w:szCs w:val="24"/>
          <w:lang w:val="en-US" w:eastAsia="zh-CN"/>
        </w:rPr>
        <w:t xml:space="preserve"> (Xu,2008)</w:t>
      </w:r>
      <w:r>
        <w:rPr>
          <w:rFonts w:hint="default" w:ascii="Times New Roman" w:hAnsi="Times New Roman" w:cs="Times New Roman"/>
          <w:b w:val="0"/>
          <w:bCs w:val="0"/>
          <w:color w:val="auto"/>
          <w:sz w:val="24"/>
          <w:szCs w:val="24"/>
        </w:rPr>
        <w:t>.</w:t>
      </w:r>
    </w:p>
    <w:p>
      <w:pPr>
        <w:spacing w:line="480" w:lineRule="auto"/>
        <w:jc w:val="both"/>
        <w:outlineLvl w:val="9"/>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 xml:space="preserve">Based on survey research by Nielsen’s 2015 </w:t>
      </w:r>
      <w:r>
        <w:rPr>
          <w:rFonts w:hint="default" w:ascii="Times New Roman" w:hAnsi="Times New Roman" w:cs="Times New Roman"/>
          <w:b w:val="0"/>
          <w:bCs w:val="0"/>
          <w:i/>
          <w:iCs/>
          <w:color w:val="auto"/>
          <w:sz w:val="24"/>
          <w:szCs w:val="24"/>
        </w:rPr>
        <w:t>China Sports Crowd Research Report</w:t>
      </w:r>
      <w:r>
        <w:rPr>
          <w:rFonts w:hint="default" w:ascii="Times New Roman" w:hAnsi="Times New Roman" w:cs="Times New Roman"/>
          <w:b w:val="0"/>
          <w:bCs w:val="0"/>
          <w:color w:val="auto"/>
          <w:sz w:val="24"/>
          <w:szCs w:val="24"/>
        </w:rPr>
        <w:t>, as compared to 2007, 80% of consumers in China had purchased sports shoes in 2014 and 70% of those who were surveyed had purchased sportswear. Other sports-related products they have purchased include sports beverages (61% had purchased), sports equipment (41% had purchased); fitness program member cards (30% had purchased). According to Zhang Lin, who serves as the vice president of sports industry research in Nielsan China, China’s booming sports market is only at the beginning stage and there still are development gaps between China and developed countries such as the United States, which hosts more than 700 marathons per annuum. The number of fitness clubs in China is 20% fewer than that of the United States and the number of fitness club members is 10% fewer than that of the United States. Therefore, there is still a huge potential for the sports market in China. In the meantime, Chinese consumers are becoming more knowledgeable with the choosing of their sports equipment. This has forced sports brands to pay more attention to the development of their different product lines to ensure that sufficient differentiation and specialization is achieved in their sports products to accommodate to the different needs of Chinese consumers (Nielsen, 2015).</w:t>
      </w:r>
    </w:p>
    <w:p>
      <w:pPr>
        <w:pStyle w:val="4"/>
        <w:spacing w:line="480" w:lineRule="auto"/>
        <w:jc w:val="both"/>
        <w:rPr>
          <w:rFonts w:hint="default" w:ascii="Times New Roman" w:hAnsi="Times New Roman" w:cs="Times New Roman"/>
          <w:b w:val="0"/>
          <w:bCs w:val="0"/>
          <w:color w:val="auto"/>
          <w:sz w:val="24"/>
          <w:szCs w:val="24"/>
        </w:rPr>
      </w:pPr>
      <w:bookmarkStart w:id="6" w:name="_Toc19839"/>
      <w:r>
        <w:rPr>
          <w:rFonts w:hint="default" w:ascii="Times New Roman" w:hAnsi="Times New Roman" w:cs="Times New Roman"/>
          <w:b w:val="0"/>
          <w:bCs w:val="0"/>
          <w:color w:val="auto"/>
          <w:sz w:val="24"/>
          <w:szCs w:val="24"/>
        </w:rPr>
        <w:t>2.1.</w:t>
      </w:r>
      <w:r>
        <w:rPr>
          <w:rFonts w:hint="default" w:ascii="Times New Roman" w:hAnsi="Times New Roman" w:cs="Times New Roman"/>
          <w:b w:val="0"/>
          <w:bCs w:val="0"/>
          <w:color w:val="auto"/>
          <w:sz w:val="24"/>
          <w:szCs w:val="24"/>
          <w:lang w:val="en-US" w:eastAsia="zh-CN"/>
        </w:rPr>
        <w:t>3</w:t>
      </w:r>
      <w:r>
        <w:rPr>
          <w:rFonts w:hint="default" w:ascii="Times New Roman" w:hAnsi="Times New Roman" w:cs="Times New Roman"/>
          <w:b w:val="0"/>
          <w:bCs w:val="0"/>
          <w:color w:val="auto"/>
          <w:sz w:val="24"/>
          <w:szCs w:val="24"/>
        </w:rPr>
        <w:t xml:space="preserve"> Technology</w:t>
      </w:r>
      <w:bookmarkEnd w:id="6"/>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Among domestic sportswear brands, Li Ning is at the leading position in the adoption of technology to enhance its competitiveness. Li Ning was the first company in China’s sportswear business to invest in its research and design by establishing a R&amp;D centre in FoShan, Guangzhou in 1998. However, its R&amp;D were mainly focused on style design rather than the development of new materials and new production procedures, which results in lower perception of technology of its products by consumers. However, the company has realized the importance of the role technology and branding plays in the industry of sportswear and have ramped up its investment in the development of new materials and the optimization of production procedures by cooperating with well-known international firms focused on sportswear research</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rPr>
        <w:t xml:space="preserve">(Li Ning, 2019). </w:t>
      </w:r>
    </w:p>
    <w:p>
      <w:pPr>
        <w:pStyle w:val="3"/>
        <w:spacing w:line="480" w:lineRule="auto"/>
        <w:jc w:val="both"/>
        <w:rPr>
          <w:rFonts w:hint="default" w:ascii="Times New Roman" w:hAnsi="Times New Roman" w:cs="Times New Roman"/>
          <w:b w:val="0"/>
          <w:bCs w:val="0"/>
          <w:color w:val="auto"/>
          <w:sz w:val="24"/>
          <w:szCs w:val="24"/>
        </w:rPr>
      </w:pPr>
      <w:bookmarkStart w:id="7" w:name="_Toc3587"/>
      <w:r>
        <w:rPr>
          <w:rFonts w:hint="default" w:ascii="Times New Roman" w:hAnsi="Times New Roman" w:cs="Times New Roman"/>
          <w:b w:val="0"/>
          <w:bCs w:val="0"/>
          <w:color w:val="auto"/>
          <w:sz w:val="24"/>
          <w:szCs w:val="24"/>
        </w:rPr>
        <w:t>2.2 Porter’s Five Forces Model</w:t>
      </w:r>
      <w:bookmarkEnd w:id="7"/>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Porter’s five forces model is a classic strategic tool for managers and researchers to understand the industrial forces that influences a company’s competitive position and therefore strategic choices (Potter, 1997).</w:t>
      </w:r>
    </w:p>
    <w:p>
      <w:pPr>
        <w:pStyle w:val="4"/>
        <w:spacing w:line="480" w:lineRule="auto"/>
        <w:jc w:val="both"/>
        <w:rPr>
          <w:rFonts w:hint="default" w:ascii="Times New Roman" w:hAnsi="Times New Roman" w:cs="Times New Roman"/>
          <w:b w:val="0"/>
          <w:bCs w:val="0"/>
          <w:color w:val="auto"/>
          <w:sz w:val="24"/>
          <w:szCs w:val="24"/>
        </w:rPr>
      </w:pPr>
      <w:bookmarkStart w:id="8" w:name="_Toc5041"/>
      <w:r>
        <w:rPr>
          <w:rFonts w:hint="default" w:ascii="Times New Roman" w:hAnsi="Times New Roman" w:cs="Times New Roman"/>
          <w:b w:val="0"/>
          <w:bCs w:val="0"/>
          <w:color w:val="auto"/>
          <w:sz w:val="24"/>
          <w:szCs w:val="24"/>
        </w:rPr>
        <w:t>2.2.1 Potential Entrant Threat Analysis</w:t>
      </w:r>
      <w:bookmarkEnd w:id="8"/>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 xml:space="preserve">With more than two decades of operation and expansion, Li Ning has established a relative strong entrance barrier that is featured by rich operational experience, product R&amp;D knowledge and skills, brand awareness and market share. At the same time, Li Ning has actively extended to both the higher- and lower-end in the sportswear market to effectively deter the entrance of new comers. Thus, unless the new entrant is backed up by bigger brands with better technological and managerial prowess, they are unlikely to enter the Chinese sports market successfully (Li, 2014). </w:t>
      </w:r>
    </w:p>
    <w:p>
      <w:pPr>
        <w:pStyle w:val="4"/>
        <w:spacing w:line="480" w:lineRule="auto"/>
        <w:jc w:val="both"/>
        <w:rPr>
          <w:rFonts w:hint="default" w:ascii="Times New Roman" w:hAnsi="Times New Roman" w:cs="Times New Roman"/>
          <w:b w:val="0"/>
          <w:bCs w:val="0"/>
          <w:color w:val="auto"/>
          <w:sz w:val="24"/>
          <w:szCs w:val="24"/>
        </w:rPr>
      </w:pPr>
      <w:bookmarkStart w:id="9" w:name="_Toc20074"/>
      <w:r>
        <w:rPr>
          <w:rFonts w:hint="default" w:ascii="Times New Roman" w:hAnsi="Times New Roman" w:cs="Times New Roman"/>
          <w:b w:val="0"/>
          <w:bCs w:val="0"/>
          <w:color w:val="auto"/>
          <w:sz w:val="24"/>
          <w:szCs w:val="24"/>
        </w:rPr>
        <w:t>2.2.2 Bargaining Power of Buyers</w:t>
      </w:r>
      <w:bookmarkEnd w:id="9"/>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According to </w:t>
      </w:r>
      <w:r>
        <w:rPr>
          <w:rFonts w:hint="default" w:ascii="Times New Roman" w:hAnsi="Times New Roman" w:cs="Times New Roman"/>
          <w:b w:val="0"/>
          <w:bCs w:val="0"/>
          <w:color w:val="auto"/>
          <w:sz w:val="24"/>
          <w:szCs w:val="24"/>
        </w:rPr>
        <w:t xml:space="preserve">Inderst and Wey (2007), buyers’ power originates from their abilities to withhold demand, whether the buyers are individual customers or organizations. In terms of Li Ning, since it adopts direct-marketing, its customers are individual customers. Although individual customers tend to have powerless against large organizations, the fact that they can easily switch to competitive brands such as Nike, Adidas, Puma, ANTA, etc. means that customers of Li Ning have great bargaining power against the company. </w:t>
      </w:r>
    </w:p>
    <w:p>
      <w:pPr>
        <w:pStyle w:val="4"/>
        <w:spacing w:line="480" w:lineRule="auto"/>
        <w:jc w:val="both"/>
        <w:rPr>
          <w:rFonts w:hint="default" w:ascii="Times New Roman" w:hAnsi="Times New Roman" w:cs="Times New Roman"/>
          <w:b w:val="0"/>
          <w:bCs w:val="0"/>
          <w:color w:val="auto"/>
          <w:sz w:val="24"/>
          <w:szCs w:val="24"/>
        </w:rPr>
      </w:pPr>
      <w:bookmarkStart w:id="10" w:name="_Toc5796"/>
      <w:r>
        <w:rPr>
          <w:rFonts w:hint="default" w:ascii="Times New Roman" w:hAnsi="Times New Roman" w:cs="Times New Roman"/>
          <w:b w:val="0"/>
          <w:bCs w:val="0"/>
          <w:color w:val="auto"/>
          <w:sz w:val="24"/>
          <w:szCs w:val="24"/>
        </w:rPr>
        <w:t>2.2.3 Competitor Analysis</w:t>
      </w:r>
      <w:bookmarkEnd w:id="10"/>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The current competition in the sports industry in China is fierce. On the one hand, Li Ning has to compete with major international sportswear brands such as Nike and Adidas and there is still a large gap between Li Ning and international brands that it must find a way to bridge in aspects of brand awareness, research and development as well as overall management. On the other hand, it also has to compete with a number of increasingly competitive domestic brands who are providing better quality for lower prices such as ANTA, Puma, which are grabbing market share from Li Ning by imitating Li Ning’s design while undersell Li Ning</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 xml:space="preserve">(Xu, 2008). </w:t>
      </w:r>
    </w:p>
    <w:p>
      <w:pPr>
        <w:pStyle w:val="3"/>
        <w:spacing w:line="480" w:lineRule="auto"/>
        <w:jc w:val="both"/>
        <w:rPr>
          <w:rFonts w:hint="default" w:ascii="Times New Roman" w:hAnsi="Times New Roman" w:cs="Times New Roman"/>
          <w:b w:val="0"/>
          <w:bCs w:val="0"/>
          <w:color w:val="auto"/>
          <w:sz w:val="24"/>
          <w:szCs w:val="24"/>
          <w:lang w:val="en-US"/>
        </w:rPr>
      </w:pPr>
      <w:bookmarkStart w:id="11" w:name="_Toc435"/>
      <w:r>
        <w:rPr>
          <w:rFonts w:hint="default" w:ascii="Times New Roman" w:hAnsi="Times New Roman" w:cs="Times New Roman"/>
          <w:b w:val="0"/>
          <w:bCs w:val="0"/>
          <w:color w:val="auto"/>
          <w:sz w:val="24"/>
          <w:szCs w:val="24"/>
          <w:lang w:val="en-US"/>
        </w:rPr>
        <w:t>2.3 VRIO</w:t>
      </w:r>
      <w:bookmarkEnd w:id="11"/>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The VRIO framework is a useful tool for analyzing the internal resources of capabilities of an organization so as to identify the ones that could bring sustained competitive advantage; it achieves this purpose by asking four key questions: whether the resource is valuable, rare, costly to imitate and whether the organization can exploit the resource to capture value and only resources or capabilities that can satisfy all four questions could result in sustained competitive advantage (</w:t>
      </w:r>
      <w:r>
        <w:rPr>
          <w:rFonts w:hint="default" w:ascii="Times New Roman" w:hAnsi="Times New Roman" w:cs="Times New Roman"/>
          <w:b w:val="0"/>
          <w:bCs w:val="0"/>
          <w:color w:val="auto"/>
          <w:sz w:val="24"/>
          <w:szCs w:val="24"/>
        </w:rPr>
        <w:t>Barney &amp; Hesterly, 2010)</w:t>
      </w:r>
      <w:r>
        <w:rPr>
          <w:rFonts w:hint="default" w:ascii="Times New Roman" w:hAnsi="Times New Roman" w:cs="Times New Roman"/>
          <w:b w:val="0"/>
          <w:bCs w:val="0"/>
          <w:color w:val="auto"/>
          <w:sz w:val="24"/>
          <w:szCs w:val="24"/>
          <w:lang w:val="en-US"/>
        </w:rPr>
        <w:t xml:space="preserve">. As previously discussed, Li Ning mainly has three resources: brand name, research and development capabilities, and nationwide distribution network. </w:t>
      </w:r>
    </w:p>
    <w:p>
      <w:pPr>
        <w:pStyle w:val="4"/>
        <w:spacing w:line="480" w:lineRule="auto"/>
        <w:jc w:val="both"/>
        <w:rPr>
          <w:rFonts w:hint="default" w:ascii="Times New Roman" w:hAnsi="Times New Roman" w:cs="Times New Roman"/>
          <w:b w:val="0"/>
          <w:bCs w:val="0"/>
          <w:color w:val="auto"/>
          <w:sz w:val="24"/>
          <w:szCs w:val="24"/>
        </w:rPr>
      </w:pPr>
      <w:bookmarkStart w:id="12" w:name="_Toc11904"/>
      <w:r>
        <w:rPr>
          <w:rFonts w:hint="default" w:ascii="Times New Roman" w:hAnsi="Times New Roman" w:cs="Times New Roman"/>
          <w:b w:val="0"/>
          <w:bCs w:val="0"/>
          <w:color w:val="auto"/>
          <w:sz w:val="24"/>
          <w:szCs w:val="24"/>
        </w:rPr>
        <w:t>2.3.1 Brand Name</w:t>
      </w:r>
      <w:bookmarkEnd w:id="12"/>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Although Li Ning is not as popular as it used to be, as China’s first sportswear brand, it commands high recognition and respect among the Chinese population. In addition, the brand of Li Ning is a guarantee of quality to a certain level (although not as good as international brands such as Nike and Adidas) and as a national brand, Li Ning is closely related with national pride. In this sense, the brand is valuable to Chinese customers, is unique due to the fact that it is named after the legendary Chinese gymnast Li Ning, rather costly to imitate due to the difficulty of brand development and the company can continue to exploit the brand to capture value.</w:t>
      </w:r>
    </w:p>
    <w:p>
      <w:pPr>
        <w:pStyle w:val="4"/>
        <w:spacing w:line="480" w:lineRule="auto"/>
        <w:jc w:val="both"/>
        <w:rPr>
          <w:rFonts w:hint="default" w:ascii="Times New Roman" w:hAnsi="Times New Roman" w:cs="Times New Roman"/>
          <w:b w:val="0"/>
          <w:bCs w:val="0"/>
          <w:color w:val="auto"/>
          <w:sz w:val="24"/>
          <w:szCs w:val="24"/>
        </w:rPr>
      </w:pPr>
      <w:bookmarkStart w:id="13" w:name="_Toc29338"/>
      <w:r>
        <w:rPr>
          <w:rFonts w:hint="default" w:ascii="Times New Roman" w:hAnsi="Times New Roman" w:cs="Times New Roman"/>
          <w:b w:val="0"/>
          <w:bCs w:val="0"/>
          <w:color w:val="auto"/>
          <w:sz w:val="24"/>
          <w:szCs w:val="24"/>
        </w:rPr>
        <w:t>2.3.2 Research and Development Capabilities</w:t>
      </w:r>
      <w:bookmarkEnd w:id="13"/>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Li Ning is leading the research and development in sportswear among Chinese sportswear brands (China Daily, 2010). Research and development are certainly crucial for the future of Li Ning and thus it is valuable; in addition, Li Ning can certain exploit its own research and development to capture value. However, it is not rare since international brands such as Nike and Adidas have better research and development abilities in sportswear and Li Ning had to invest heavily just to keep up. </w:t>
      </w:r>
    </w:p>
    <w:p>
      <w:pPr>
        <w:pStyle w:val="4"/>
        <w:spacing w:line="480" w:lineRule="auto"/>
        <w:jc w:val="both"/>
        <w:rPr>
          <w:rFonts w:hint="default" w:ascii="Times New Roman" w:hAnsi="Times New Roman" w:cs="Times New Roman"/>
          <w:b w:val="0"/>
          <w:bCs w:val="0"/>
          <w:color w:val="auto"/>
          <w:sz w:val="24"/>
          <w:szCs w:val="24"/>
        </w:rPr>
      </w:pPr>
      <w:bookmarkStart w:id="14" w:name="_Toc18809"/>
      <w:r>
        <w:rPr>
          <w:rFonts w:hint="default" w:ascii="Times New Roman" w:hAnsi="Times New Roman" w:cs="Times New Roman"/>
          <w:b w:val="0"/>
          <w:bCs w:val="0"/>
          <w:color w:val="auto"/>
          <w:sz w:val="24"/>
          <w:szCs w:val="24"/>
        </w:rPr>
        <w:t>2.3.3 Nationwide Distribution Network</w:t>
      </w:r>
      <w:bookmarkEnd w:id="14"/>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Over decades of operation has allowed Nike to establish a sprawling nationwide distribution network that works to its advantage. It is valuable since it guarantees that customers can purchase Li Ning brands conveniently and locally but it is not rare since international brands such as Nike and Adidas as well as other domestic brands have quickly established their own nationwide distribution network. In recent years, the development of e-commerce has made sales to any part of China so easy that many businesses have forgone the development of distribution network and rely on online sales and an efficient logistics network to ensure delivery</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 xml:space="preserve">(Zhen, 2015). Thus, the nationwide distribution network is neither rare nor costly to imitate. </w:t>
      </w:r>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The following table summarizes the VRIO analysis:</w:t>
      </w:r>
    </w:p>
    <w:tbl>
      <w:tblPr>
        <w:tblStyle w:val="11"/>
        <w:tblW w:w="7443"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89"/>
        <w:gridCol w:w="776"/>
        <w:gridCol w:w="1936"/>
        <w:gridCol w:w="35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Li Ning Brand Name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Valuable?</w:t>
            </w:r>
          </w:p>
        </w:tc>
        <w:tc>
          <w:tcPr>
            <w:tcW w:w="77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Rare?</w:t>
            </w:r>
          </w:p>
        </w:tc>
        <w:tc>
          <w:tcPr>
            <w:tcW w:w="193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Costly to Imitate?</w:t>
            </w:r>
          </w:p>
        </w:tc>
        <w:tc>
          <w:tcPr>
            <w:tcW w:w="3542"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Can be exploited to capture 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c>
          <w:tcPr>
            <w:tcW w:w="77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c>
          <w:tcPr>
            <w:tcW w:w="193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c>
          <w:tcPr>
            <w:tcW w:w="3542"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Result: Sustained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Research and Development Capabilities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Valuable?</w:t>
            </w:r>
          </w:p>
        </w:tc>
        <w:tc>
          <w:tcPr>
            <w:tcW w:w="77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Rare?</w:t>
            </w:r>
          </w:p>
        </w:tc>
        <w:tc>
          <w:tcPr>
            <w:tcW w:w="193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Costly to Imitate?</w:t>
            </w:r>
          </w:p>
        </w:tc>
        <w:tc>
          <w:tcPr>
            <w:tcW w:w="3542"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Can be exploited to capture 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c>
          <w:tcPr>
            <w:tcW w:w="77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NO</w:t>
            </w:r>
          </w:p>
        </w:tc>
        <w:tc>
          <w:tcPr>
            <w:tcW w:w="193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c>
          <w:tcPr>
            <w:tcW w:w="3542"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Result: Not Sustained Competitive 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Nationwide Distribution Network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Valuable?</w:t>
            </w:r>
          </w:p>
        </w:tc>
        <w:tc>
          <w:tcPr>
            <w:tcW w:w="77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Rare?</w:t>
            </w:r>
          </w:p>
        </w:tc>
        <w:tc>
          <w:tcPr>
            <w:tcW w:w="193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Costly to Imitate?</w:t>
            </w:r>
          </w:p>
        </w:tc>
        <w:tc>
          <w:tcPr>
            <w:tcW w:w="3542"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Can be exploited to capture 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189"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c>
          <w:tcPr>
            <w:tcW w:w="77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NO</w:t>
            </w:r>
          </w:p>
        </w:tc>
        <w:tc>
          <w:tcPr>
            <w:tcW w:w="1936"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NO</w:t>
            </w:r>
          </w:p>
        </w:tc>
        <w:tc>
          <w:tcPr>
            <w:tcW w:w="3542" w:type="dxa"/>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7443" w:type="dxa"/>
            <w:gridSpan w:val="4"/>
            <w:noWrap w:val="0"/>
            <w:vAlign w:val="top"/>
          </w:tcPr>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Result: Not Sustained Competitive Advantage</w:t>
            </w:r>
          </w:p>
        </w:tc>
      </w:tr>
    </w:tbl>
    <w:p>
      <w:pPr>
        <w:spacing w:line="480" w:lineRule="auto"/>
        <w:jc w:val="both"/>
        <w:rPr>
          <w:rFonts w:hint="default" w:ascii="Times New Roman" w:hAnsi="Times New Roman" w:cs="Times New Roman"/>
          <w:b w:val="0"/>
          <w:bCs w:val="0"/>
          <w:color w:val="auto"/>
          <w:sz w:val="24"/>
          <w:szCs w:val="24"/>
        </w:rPr>
      </w:pPr>
    </w:p>
    <w:p>
      <w:pPr>
        <w:pStyle w:val="3"/>
        <w:spacing w:line="480" w:lineRule="auto"/>
        <w:jc w:val="both"/>
        <w:rPr>
          <w:rFonts w:hint="default" w:ascii="Times New Roman" w:hAnsi="Times New Roman" w:cs="Times New Roman"/>
          <w:b w:val="0"/>
          <w:bCs w:val="0"/>
          <w:color w:val="auto"/>
          <w:sz w:val="24"/>
          <w:szCs w:val="24"/>
        </w:rPr>
      </w:pPr>
      <w:bookmarkStart w:id="15" w:name="_Toc4932"/>
      <w:r>
        <w:rPr>
          <w:rFonts w:hint="default" w:ascii="Times New Roman" w:hAnsi="Times New Roman" w:cs="Times New Roman"/>
          <w:b w:val="0"/>
          <w:bCs w:val="0"/>
          <w:color w:val="auto"/>
          <w:sz w:val="24"/>
          <w:szCs w:val="24"/>
        </w:rPr>
        <w:t>2.4 SWOT Analysis</w:t>
      </w:r>
      <w:bookmarkEnd w:id="15"/>
    </w:p>
    <w:p>
      <w:pPr>
        <w:pStyle w:val="4"/>
        <w:spacing w:line="480" w:lineRule="auto"/>
        <w:jc w:val="both"/>
        <w:rPr>
          <w:rFonts w:hint="default" w:ascii="Times New Roman" w:hAnsi="Times New Roman" w:cs="Times New Roman"/>
          <w:b w:val="0"/>
          <w:bCs w:val="0"/>
          <w:color w:val="auto"/>
          <w:sz w:val="24"/>
          <w:szCs w:val="24"/>
        </w:rPr>
      </w:pPr>
      <w:bookmarkStart w:id="16" w:name="_Toc25306"/>
      <w:r>
        <w:rPr>
          <w:rFonts w:hint="default" w:ascii="Times New Roman" w:hAnsi="Times New Roman" w:cs="Times New Roman"/>
          <w:b w:val="0"/>
          <w:bCs w:val="0"/>
          <w:color w:val="auto"/>
          <w:sz w:val="24"/>
          <w:szCs w:val="24"/>
        </w:rPr>
        <w:t>2.4.1 Strengths</w:t>
      </w:r>
      <w:bookmarkEnd w:id="16"/>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One great strength that Li Ning has is its relatively lower pricing as compared to international brands. For example, Li Ning’s products are typically priced within the range of RMB 100 to 600 while international brands such as Nike and Adidas typically price their products at least RM</w:t>
      </w:r>
      <w:r>
        <w:rPr>
          <w:rFonts w:hint="default" w:ascii="Times New Roman" w:hAnsi="Times New Roman" w:eastAsia="SimSun" w:cs="Times New Roman"/>
          <w:b w:val="0"/>
          <w:bCs w:val="0"/>
          <w:color w:val="auto"/>
          <w:sz w:val="24"/>
          <w:szCs w:val="24"/>
          <w:lang w:val="en-US" w:eastAsia="zh-CN"/>
        </w:rPr>
        <w:t>B</w:t>
      </w:r>
      <w:r>
        <w:rPr>
          <w:rFonts w:hint="default" w:ascii="Times New Roman" w:hAnsi="Times New Roman" w:cs="Times New Roman"/>
          <w:b w:val="0"/>
          <w:bCs w:val="0"/>
          <w:color w:val="auto"/>
          <w:sz w:val="24"/>
          <w:szCs w:val="24"/>
        </w:rPr>
        <w:t xml:space="preserve"> 1,000, which is well beyond the affordability of most Chinese consumers. A second strength that Li Ning has is that it has established a wider sales network in China than most other competing brands. As the founder of China's own national sports brand, Li Ning has certain local advantages. Specifically embodied in the absence of cultural differences, it is easier to judge consumers'</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rPr>
        <w:t>purchase preferences and more convenient to communicate with consumers, thus formulating a humanized service suitable for local consumers.</w:t>
      </w:r>
    </w:p>
    <w:p>
      <w:pPr>
        <w:pStyle w:val="4"/>
        <w:spacing w:line="480" w:lineRule="auto"/>
        <w:jc w:val="both"/>
        <w:rPr>
          <w:rFonts w:hint="default" w:ascii="Times New Roman" w:hAnsi="Times New Roman" w:cs="Times New Roman"/>
          <w:b w:val="0"/>
          <w:bCs w:val="0"/>
          <w:color w:val="auto"/>
          <w:sz w:val="24"/>
          <w:szCs w:val="24"/>
        </w:rPr>
      </w:pPr>
      <w:bookmarkStart w:id="17" w:name="_Toc25764"/>
      <w:r>
        <w:rPr>
          <w:rFonts w:hint="default" w:ascii="Times New Roman" w:hAnsi="Times New Roman" w:cs="Times New Roman"/>
          <w:b w:val="0"/>
          <w:bCs w:val="0"/>
          <w:color w:val="auto"/>
          <w:sz w:val="24"/>
          <w:szCs w:val="24"/>
        </w:rPr>
        <w:t>2.4.2 Weakness</w:t>
      </w:r>
      <w:bookmarkEnd w:id="17"/>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One weakness that Li Ning has is the relatively weak abilities in its research and development capabilities. Although Li Ning ranks as number one among Chinese sportswear brands in terms of research and development, it is still lagging far behind international brands in this respect (Li Ning, 2019). The sports products that Li Ning has developed could not compete effectively with those launched by international brands such as Nike and Adidas; what makes things worse is that Li Ning also lacks the capital to run expensive marketing campaigns such as sponsoring major sports events, as frequently done by international brands. In addition, the quality of Li Ning’s products clearly is inferior than those of competing international brands and the application of science and technology in the design and manufacturing process is also lagging those of international brands. Another major weakness is the unclear brand positioning of Li Ning.  While Nike represented the spirit of transcendence and competitiveness and Adidas represents professionalism in sports, Li Ning seems lack a clear brand personality, which is reflected in consumers’ relatively diverse and ambiguous perception of the Li Ning brand</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rPr>
        <w:t xml:space="preserve">(Weng, 2008). </w:t>
      </w:r>
    </w:p>
    <w:p>
      <w:pPr>
        <w:pStyle w:val="4"/>
        <w:spacing w:line="480" w:lineRule="auto"/>
        <w:jc w:val="both"/>
        <w:rPr>
          <w:rFonts w:hint="default" w:ascii="Times New Roman" w:hAnsi="Times New Roman" w:cs="Times New Roman"/>
          <w:b w:val="0"/>
          <w:bCs w:val="0"/>
          <w:color w:val="auto"/>
          <w:sz w:val="24"/>
          <w:szCs w:val="24"/>
        </w:rPr>
      </w:pPr>
      <w:bookmarkStart w:id="18" w:name="_Toc26453"/>
      <w:r>
        <w:rPr>
          <w:rFonts w:hint="default" w:ascii="Times New Roman" w:hAnsi="Times New Roman" w:cs="Times New Roman"/>
          <w:b w:val="0"/>
          <w:bCs w:val="0"/>
          <w:color w:val="auto"/>
          <w:sz w:val="24"/>
          <w:szCs w:val="24"/>
        </w:rPr>
        <w:t>2.4.3 Opportunities</w:t>
      </w:r>
      <w:bookmarkEnd w:id="18"/>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 xml:space="preserve">As the living standards of Chinese consumers continue to improve and so are the health awareness and the popularity of fitness activities among the Chinese population, there is a huge potential for the sports industry in China. As the market continuous to growth, it will help to ensure that all sports brands in China will have room to grow and this, in a certain sense, helps to relax the fierce competition among sports brands. In addition, Li Ning has greatly improved its brand awareness by appearing in the 2008 Beijing Olympic Games in China and over the world, this will help Li Ning to gain bigger market share. </w:t>
      </w:r>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2.4.4 Threats</w:t>
      </w:r>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 xml:space="preserve">As previously mentioned, Li Ning faces two major threats. In addition to the international brands such as Nike and Adidas, which are squeezing Li Ning’s market share at the high-end sports market, a large number of local Chinese sports brand have sprung up in the last decade. They survive by copying the design and manufacturing procedures of both international brands such as Nike and Adidas as well as Chinese brands such as Li Ning. They usually offer lower-quality products at much-lower-prices and thus they still capture a large market share and poses as strong competitors to Li Ning at the low-end sports market. </w:t>
      </w:r>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rPr>
        <w:t>The following table summarizes the findings of the SWOT analysis of Li Ning:</w:t>
      </w:r>
    </w:p>
    <w:tbl>
      <w:tblPr>
        <w:tblStyle w:val="21"/>
        <w:tblpPr w:leftFromText="180" w:rightFromText="180" w:vertAnchor="text" w:horzAnchor="page" w:tblpX="1877" w:tblpY="174"/>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1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noWrap w:val="0"/>
            <w:vAlign w:val="top"/>
          </w:tcPr>
          <w:p>
            <w:pPr>
              <w:widowControl w:val="0"/>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Strengths</w:t>
            </w:r>
          </w:p>
        </w:tc>
        <w:tc>
          <w:tcPr>
            <w:tcW w:w="4130" w:type="dxa"/>
            <w:noWrap w:val="0"/>
            <w:vAlign w:val="top"/>
          </w:tcPr>
          <w:p>
            <w:pPr>
              <w:widowControl w:val="0"/>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84" w:hRule="atLeast"/>
        </w:trPr>
        <w:tc>
          <w:tcPr>
            <w:tcW w:w="4130" w:type="dxa"/>
            <w:noWrap w:val="0"/>
            <w:vAlign w:val="top"/>
          </w:tcPr>
          <w:p>
            <w:pPr>
              <w:widowControl w:val="0"/>
              <w:numPr>
                <w:ilvl w:val="0"/>
                <w:numId w:val="1"/>
              </w:numPr>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 xml:space="preserve">Affordable </w:t>
            </w:r>
            <w:r>
              <w:rPr>
                <w:rFonts w:hint="default" w:ascii="Times New Roman" w:hAnsi="Times New Roman" w:eastAsia="Arial" w:cs="Times New Roman"/>
                <w:b w:val="0"/>
                <w:bCs w:val="0"/>
                <w:color w:val="auto"/>
                <w:sz w:val="24"/>
                <w:szCs w:val="24"/>
              </w:rPr>
              <w:t>prices</w:t>
            </w:r>
          </w:p>
          <w:p>
            <w:pPr>
              <w:widowControl w:val="0"/>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2.</w:t>
            </w:r>
            <w:r>
              <w:rPr>
                <w:rFonts w:hint="default" w:ascii="Times New Roman" w:hAnsi="Times New Roman" w:eastAsia="Arial" w:cs="Times New Roman"/>
                <w:b w:val="0"/>
                <w:bCs w:val="0"/>
                <w:color w:val="auto"/>
                <w:sz w:val="24"/>
                <w:szCs w:val="24"/>
              </w:rPr>
              <w:t xml:space="preserve"> </w:t>
            </w:r>
            <w:r>
              <w:rPr>
                <w:rFonts w:hint="default" w:ascii="Times New Roman" w:hAnsi="Times New Roman" w:eastAsia="SimSun" w:cs="Times New Roman"/>
                <w:b w:val="0"/>
                <w:bCs w:val="0"/>
                <w:color w:val="auto"/>
                <w:sz w:val="24"/>
                <w:szCs w:val="24"/>
                <w:lang w:val="en-US" w:eastAsia="zh-CN"/>
              </w:rPr>
              <w:t>Large product assortment and great depth in product lines</w:t>
            </w:r>
          </w:p>
        </w:tc>
        <w:tc>
          <w:tcPr>
            <w:tcW w:w="4130" w:type="dxa"/>
            <w:noWrap w:val="0"/>
            <w:vAlign w:val="top"/>
          </w:tcPr>
          <w:p>
            <w:pPr>
              <w:widowControl w:val="0"/>
              <w:numPr>
                <w:ilvl w:val="0"/>
                <w:numId w:val="2"/>
              </w:numPr>
              <w:spacing w:after="0" w:line="480" w:lineRule="auto"/>
              <w:jc w:val="both"/>
              <w:rPr>
                <w:rFonts w:hint="default" w:ascii="Times New Roman" w:hAnsi="Times New Roman" w:eastAsia="Arial" w:cs="Times New Roman"/>
                <w:b w:val="0"/>
                <w:bCs w:val="0"/>
                <w:color w:val="auto"/>
                <w:sz w:val="24"/>
                <w:szCs w:val="24"/>
              </w:rPr>
            </w:pPr>
            <w:r>
              <w:rPr>
                <w:rFonts w:hint="default" w:ascii="Times New Roman" w:hAnsi="Times New Roman" w:eastAsia="Arial" w:cs="Times New Roman"/>
                <w:b w:val="0"/>
                <w:bCs w:val="0"/>
                <w:color w:val="auto"/>
                <w:sz w:val="24"/>
                <w:szCs w:val="24"/>
              </w:rPr>
              <w:t>Research and development lack behind international brands</w:t>
            </w:r>
          </w:p>
          <w:p>
            <w:pPr>
              <w:widowControl w:val="0"/>
              <w:numPr>
                <w:ilvl w:val="0"/>
                <w:numId w:val="2"/>
              </w:numPr>
              <w:spacing w:after="0" w:line="480" w:lineRule="auto"/>
              <w:jc w:val="both"/>
              <w:rPr>
                <w:rFonts w:hint="default" w:ascii="Times New Roman" w:hAnsi="Times New Roman" w:eastAsia="Arial" w:cs="Times New Roman"/>
                <w:b w:val="0"/>
                <w:bCs w:val="0"/>
                <w:color w:val="auto"/>
                <w:sz w:val="24"/>
                <w:szCs w:val="24"/>
                <w:lang w:val="en-US" w:eastAsia="zh-CN"/>
              </w:rPr>
            </w:pPr>
            <w:r>
              <w:rPr>
                <w:rFonts w:hint="default" w:ascii="Times New Roman" w:hAnsi="Times New Roman" w:eastAsia="Arial" w:cs="Times New Roman"/>
                <w:b w:val="0"/>
                <w:bCs w:val="0"/>
                <w:color w:val="auto"/>
                <w:sz w:val="24"/>
                <w:szCs w:val="24"/>
                <w:lang w:val="en-US" w:eastAsia="zh-CN"/>
              </w:rPr>
              <w:t xml:space="preserve">Unclear brand positioning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6" w:hRule="atLeast"/>
        </w:trPr>
        <w:tc>
          <w:tcPr>
            <w:tcW w:w="4130" w:type="dxa"/>
            <w:noWrap w:val="0"/>
            <w:vAlign w:val="top"/>
          </w:tcPr>
          <w:p>
            <w:pPr>
              <w:widowControl w:val="0"/>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Opportunities</w:t>
            </w:r>
          </w:p>
        </w:tc>
        <w:tc>
          <w:tcPr>
            <w:tcW w:w="4130" w:type="dxa"/>
            <w:noWrap w:val="0"/>
            <w:vAlign w:val="top"/>
          </w:tcPr>
          <w:p>
            <w:pPr>
              <w:widowControl w:val="0"/>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286" w:hRule="atLeast"/>
        </w:trPr>
        <w:tc>
          <w:tcPr>
            <w:tcW w:w="4130" w:type="dxa"/>
            <w:noWrap w:val="0"/>
            <w:vAlign w:val="top"/>
          </w:tcPr>
          <w:p>
            <w:pPr>
              <w:widowControl w:val="0"/>
              <w:numPr>
                <w:ilvl w:val="0"/>
                <w:numId w:val="3"/>
              </w:numPr>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Increasing living standards backed up by increasing income</w:t>
            </w:r>
          </w:p>
          <w:p>
            <w:pPr>
              <w:widowControl w:val="0"/>
              <w:numPr>
                <w:ilvl w:val="0"/>
                <w:numId w:val="3"/>
              </w:numPr>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Arial" w:cs="Times New Roman"/>
                <w:b w:val="0"/>
                <w:bCs w:val="0"/>
                <w:color w:val="auto"/>
                <w:sz w:val="24"/>
                <w:szCs w:val="24"/>
              </w:rPr>
              <w:t xml:space="preserve">Increasingly healthy lifestyle </w:t>
            </w:r>
          </w:p>
        </w:tc>
        <w:tc>
          <w:tcPr>
            <w:tcW w:w="4130" w:type="dxa"/>
            <w:noWrap w:val="0"/>
            <w:vAlign w:val="top"/>
          </w:tcPr>
          <w:p>
            <w:pPr>
              <w:widowControl w:val="0"/>
              <w:spacing w:after="0"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1.</w:t>
            </w:r>
            <w:r>
              <w:rPr>
                <w:rFonts w:hint="default" w:ascii="Times New Roman" w:hAnsi="Times New Roman" w:eastAsia="Arial" w:cs="Times New Roman"/>
                <w:b w:val="0"/>
                <w:bCs w:val="0"/>
                <w:color w:val="auto"/>
                <w:sz w:val="24"/>
                <w:szCs w:val="24"/>
              </w:rPr>
              <w:t xml:space="preserve"> Competition from international brands at the high end market</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eastAsia="Arial" w:cs="Times New Roman"/>
                <w:b w:val="0"/>
                <w:bCs w:val="0"/>
                <w:color w:val="auto"/>
                <w:sz w:val="24"/>
                <w:szCs w:val="24"/>
              </w:rPr>
              <w:t>and competition from local brands at the low end market</w:t>
            </w:r>
          </w:p>
        </w:tc>
      </w:tr>
    </w:tbl>
    <w:p>
      <w:pPr>
        <w:pStyle w:val="2"/>
        <w:spacing w:line="480" w:lineRule="auto"/>
        <w:jc w:val="both"/>
        <w:rPr>
          <w:rFonts w:hint="default" w:ascii="Times New Roman" w:hAnsi="Times New Roman" w:cs="Times New Roman"/>
          <w:b w:val="0"/>
          <w:bCs w:val="0"/>
          <w:color w:val="auto"/>
          <w:sz w:val="24"/>
          <w:szCs w:val="24"/>
        </w:rPr>
      </w:pPr>
      <w:bookmarkStart w:id="19" w:name="_Toc7576"/>
      <w:bookmarkStart w:id="20" w:name="_Toc31235"/>
      <w:r>
        <w:rPr>
          <w:rFonts w:hint="default" w:ascii="Times New Roman" w:hAnsi="Times New Roman" w:cs="Times New Roman"/>
          <w:b w:val="0"/>
          <w:bCs w:val="0"/>
          <w:color w:val="auto"/>
          <w:sz w:val="24"/>
          <w:szCs w:val="24"/>
        </w:rPr>
        <w:t>3.Strategic Choice</w:t>
      </w:r>
      <w:bookmarkEnd w:id="19"/>
      <w:bookmarkEnd w:id="20"/>
      <w:r>
        <w:rPr>
          <w:rFonts w:hint="default" w:ascii="Times New Roman" w:hAnsi="Times New Roman" w:cs="Times New Roman"/>
          <w:b w:val="0"/>
          <w:bCs w:val="0"/>
          <w:color w:val="auto"/>
          <w:sz w:val="24"/>
          <w:szCs w:val="24"/>
        </w:rPr>
        <w:t xml:space="preserve"> </w:t>
      </w:r>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The previous sections have conducted environmental analysis and Porter’s Five Forces analysis to analyze the external and industrial environment of Li Ning; then through the VRIO analysis, it is identified that the brand name of Li Ning is its most important and sustained competitive advantage; and the SWOT analysis identified that it has strengths in pricing and sales coverage, weaknesses in research and development capabilities and brand positioning while facing opportunities of increasing needs for sportswear products and the threats of international and domestic competitors. Combining such findings with the Ansoff Matrix and Strategy Clock, the current section tried to identify the appropriate strategic choices that Li Ning has. </w:t>
      </w:r>
    </w:p>
    <w:p>
      <w:pPr>
        <w:pStyle w:val="3"/>
        <w:spacing w:line="480" w:lineRule="auto"/>
        <w:jc w:val="both"/>
        <w:rPr>
          <w:rFonts w:hint="default" w:ascii="Times New Roman" w:hAnsi="Times New Roman" w:cs="Times New Roman"/>
          <w:b w:val="0"/>
          <w:bCs w:val="0"/>
          <w:color w:val="auto"/>
          <w:sz w:val="24"/>
          <w:szCs w:val="24"/>
          <w:lang w:val="en-US"/>
        </w:rPr>
      </w:pPr>
      <w:bookmarkStart w:id="21" w:name="_Toc6377"/>
      <w:r>
        <w:rPr>
          <w:rFonts w:hint="default" w:ascii="Times New Roman" w:hAnsi="Times New Roman" w:cs="Times New Roman"/>
          <w:b w:val="0"/>
          <w:bCs w:val="0"/>
          <w:color w:val="auto"/>
          <w:sz w:val="24"/>
          <w:szCs w:val="24"/>
          <w:lang w:val="en-US"/>
        </w:rPr>
        <w:t>3.1 Ansoff Matrix</w:t>
      </w:r>
      <w:bookmarkEnd w:id="21"/>
      <w:r>
        <w:rPr>
          <w:rFonts w:hint="default" w:ascii="Times New Roman" w:hAnsi="Times New Roman" w:cs="Times New Roman"/>
          <w:b w:val="0"/>
          <w:bCs w:val="0"/>
          <w:color w:val="auto"/>
          <w:sz w:val="24"/>
          <w:szCs w:val="24"/>
          <w:lang w:val="en-US"/>
        </w:rPr>
        <w:t xml:space="preserve"> </w:t>
      </w:r>
    </w:p>
    <w:p>
      <w:pPr>
        <w:spacing w:line="480" w:lineRule="auto"/>
        <w:jc w:val="both"/>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lang w:val="en-US"/>
        </w:rPr>
        <w:t>The Ansoff Matrix is a strategic tool that considers an organization’s strategic choices alongside two dimensions products and markets and therefore, it is also known as the product-market matrix. The four quadrants represents four strategic choices, including market penetration, where organizations try to increase revenue by increasing sales of existing products to existing markets; new products and services, where organizations try to increase revenue by launching new products and services in existing markets; market development, where organizations try to increase revenue by selling existing products to new markets; and conglomerate diversification, where organizations try to increase revenue by launching new products and services to new markets (</w:t>
      </w:r>
      <w:r>
        <w:rPr>
          <w:rFonts w:hint="default" w:ascii="Times New Roman" w:hAnsi="Times New Roman" w:cs="Times New Roman"/>
          <w:b w:val="0"/>
          <w:bCs w:val="0"/>
          <w:color w:val="auto"/>
          <w:sz w:val="24"/>
          <w:szCs w:val="24"/>
        </w:rPr>
        <w:t>Watts, Cope, &amp; Hulme, 1998). Based on the Ansoff Matrix, Li Ning has the following strategic choices.</w:t>
      </w:r>
    </w:p>
    <w:p>
      <w:pPr>
        <w:pStyle w:val="4"/>
        <w:spacing w:line="480" w:lineRule="auto"/>
        <w:jc w:val="both"/>
        <w:rPr>
          <w:rFonts w:hint="default" w:ascii="Times New Roman" w:hAnsi="Times New Roman" w:cs="Times New Roman"/>
          <w:b w:val="0"/>
          <w:bCs w:val="0"/>
          <w:color w:val="auto"/>
          <w:sz w:val="24"/>
          <w:szCs w:val="24"/>
          <w:lang w:val="en-US"/>
        </w:rPr>
      </w:pPr>
      <w:bookmarkStart w:id="22" w:name="_Toc471"/>
      <w:r>
        <w:rPr>
          <w:rFonts w:hint="default" w:ascii="Times New Roman" w:hAnsi="Times New Roman" w:cs="Times New Roman"/>
          <w:b w:val="0"/>
          <w:bCs w:val="0"/>
          <w:color w:val="auto"/>
          <w:sz w:val="24"/>
          <w:szCs w:val="24"/>
          <w:lang w:val="en-US"/>
        </w:rPr>
        <w:t>3.1.1 Market Penetration Strategy</w:t>
      </w:r>
      <w:bookmarkEnd w:id="22"/>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Li Ning is currently using the market penetration strategy as it tries to compete with both international and domestic brands to sell its exiting products to various customer segments in China with a main focus on the youth. However, in its existing market and with its existing products, Li Ning had failed to sufficiently differentiate its brands from those of competitors; in the past, Li Ning focused on the mass market by providing moderately priced and sportswear with average quality to consumers but in recent years, Li Ning is imitating competitors’ strategies, including its logo and slogan, which reminds customers of similarities to those of Nike (Schütte, Bhattacharyya &amp; Probert, 2013). Thus, the key to succeed in this strategic choice is for Li Ning is to identify a niche market segment and sufficiently </w:t>
      </w:r>
      <w:r>
        <w:rPr>
          <w:rFonts w:hint="default" w:ascii="Times New Roman" w:hAnsi="Times New Roman" w:eastAsia="SimSun" w:cs="Times New Roman"/>
          <w:b w:val="0"/>
          <w:bCs w:val="0"/>
          <w:color w:val="auto"/>
          <w:sz w:val="24"/>
          <w:szCs w:val="24"/>
          <w:lang w:val="en-US" w:eastAsia="zh-CN"/>
        </w:rPr>
        <w:t>differentiate</w:t>
      </w:r>
      <w:r>
        <w:rPr>
          <w:rFonts w:hint="default" w:ascii="Times New Roman" w:hAnsi="Times New Roman" w:cs="Times New Roman"/>
          <w:b w:val="0"/>
          <w:bCs w:val="0"/>
          <w:color w:val="auto"/>
          <w:sz w:val="24"/>
          <w:szCs w:val="24"/>
          <w:lang w:val="en-US"/>
        </w:rPr>
        <w:t xml:space="preserve"> its marketing offers and brand image from those of competitors.</w:t>
      </w:r>
    </w:p>
    <w:p>
      <w:pPr>
        <w:pStyle w:val="4"/>
        <w:spacing w:line="480" w:lineRule="auto"/>
        <w:jc w:val="both"/>
        <w:rPr>
          <w:rFonts w:hint="default" w:ascii="Times New Roman" w:hAnsi="Times New Roman" w:cs="Times New Roman"/>
          <w:b w:val="0"/>
          <w:bCs w:val="0"/>
          <w:color w:val="auto"/>
          <w:sz w:val="24"/>
          <w:szCs w:val="24"/>
          <w:lang w:val="en-US"/>
        </w:rPr>
      </w:pPr>
      <w:bookmarkStart w:id="23" w:name="_Toc22236"/>
      <w:r>
        <w:rPr>
          <w:rFonts w:hint="default" w:ascii="Times New Roman" w:hAnsi="Times New Roman" w:cs="Times New Roman"/>
          <w:b w:val="0"/>
          <w:bCs w:val="0"/>
          <w:color w:val="auto"/>
          <w:sz w:val="24"/>
          <w:szCs w:val="24"/>
          <w:lang w:val="en-US"/>
        </w:rPr>
        <w:t>3.1.2 New Products and Services</w:t>
      </w:r>
      <w:bookmarkEnd w:id="23"/>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Due to the strength of the Li Ning brand name, the company can continue to leverage its brand name to launch new sportswear products, as it has already been doing in the past. However, the same lack of differentiation of its brand from those of competitors creates difficulty for the sales of other products. In the meantime, Li Ning has tried to increase the prices of its products to try to transform itself into a premium brand; however, customers still seem Li Ning products generally lack the level of quality that Nike and Adidas command (Schütte, Bhattacharyya &amp; Probert, 2013). So far, the only product category that Li Ning can leverage to launch new products and services is the badminton category, to which competitors such as Nike and Adidas did not enter and thus Li Ning still retained a leading position (Zhang, 2008). </w:t>
      </w:r>
    </w:p>
    <w:p>
      <w:pPr>
        <w:pStyle w:val="4"/>
        <w:spacing w:line="480" w:lineRule="auto"/>
        <w:jc w:val="both"/>
        <w:rPr>
          <w:rFonts w:hint="default" w:ascii="Times New Roman" w:hAnsi="Times New Roman" w:cs="Times New Roman"/>
          <w:b w:val="0"/>
          <w:bCs w:val="0"/>
          <w:color w:val="auto"/>
          <w:sz w:val="24"/>
          <w:szCs w:val="24"/>
          <w:lang w:val="en-US"/>
        </w:rPr>
      </w:pPr>
      <w:bookmarkStart w:id="24" w:name="_Toc18000"/>
      <w:r>
        <w:rPr>
          <w:rFonts w:hint="default" w:ascii="Times New Roman" w:hAnsi="Times New Roman" w:cs="Times New Roman"/>
          <w:b w:val="0"/>
          <w:bCs w:val="0"/>
          <w:color w:val="auto"/>
          <w:sz w:val="24"/>
          <w:szCs w:val="24"/>
          <w:lang w:val="en-US"/>
        </w:rPr>
        <w:t>3.1.3 Market Development</w:t>
      </w:r>
      <w:bookmarkEnd w:id="24"/>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An alternative strategy that Li Ning can pursue is to change its focus from youth in first-tier cities to more price-conscious consumers in second- or third-tier cities in China. Li Ning used to be a mass market brand and its advantages lies in its relatively lower-price as compared to international brands such as Nike and Adidas but its quality is still decent enough for the more price conscious consumers in less popular cities (Schütte, Bhattacharyya &amp; Probert, 2013). Thus, Li Ning can focus on marketing its existing products to consumers in second- and third-tier cities.  </w:t>
      </w:r>
    </w:p>
    <w:p>
      <w:pPr>
        <w:pStyle w:val="4"/>
        <w:spacing w:line="480" w:lineRule="auto"/>
        <w:jc w:val="both"/>
        <w:rPr>
          <w:rFonts w:hint="default" w:ascii="Times New Roman" w:hAnsi="Times New Roman" w:cs="Times New Roman"/>
          <w:b w:val="0"/>
          <w:bCs w:val="0"/>
          <w:color w:val="auto"/>
          <w:sz w:val="24"/>
          <w:szCs w:val="24"/>
          <w:lang w:val="en-US"/>
        </w:rPr>
      </w:pPr>
      <w:bookmarkStart w:id="25" w:name="_Toc4761"/>
      <w:r>
        <w:rPr>
          <w:rFonts w:hint="default" w:ascii="Times New Roman" w:hAnsi="Times New Roman" w:cs="Times New Roman"/>
          <w:b w:val="0"/>
          <w:bCs w:val="0"/>
          <w:color w:val="auto"/>
          <w:sz w:val="24"/>
          <w:szCs w:val="24"/>
          <w:lang w:val="en-US"/>
        </w:rPr>
        <w:t>3.1.4 Conglomerate Diversification</w:t>
      </w:r>
      <w:bookmarkEnd w:id="25"/>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This strategy is not recommended for Li Ning as it is highly risky for launching new products in new markets. In the meantime, Li Ning has a serious issue with brand positioning and differentiation and before it can solve its positioning issue, it should avoid adopting this strategy. </w:t>
      </w:r>
    </w:p>
    <w:p>
      <w:pPr>
        <w:pStyle w:val="3"/>
        <w:spacing w:line="480" w:lineRule="auto"/>
        <w:jc w:val="both"/>
        <w:rPr>
          <w:rFonts w:hint="default" w:ascii="Times New Roman" w:hAnsi="Times New Roman" w:cs="Times New Roman"/>
          <w:b w:val="0"/>
          <w:bCs w:val="0"/>
          <w:color w:val="auto"/>
          <w:sz w:val="24"/>
          <w:szCs w:val="24"/>
          <w:lang w:val="en-US"/>
        </w:rPr>
      </w:pPr>
      <w:bookmarkStart w:id="26" w:name="_Toc27456"/>
      <w:r>
        <w:rPr>
          <w:rFonts w:hint="default" w:ascii="Times New Roman" w:hAnsi="Times New Roman" w:cs="Times New Roman"/>
          <w:b w:val="0"/>
          <w:bCs w:val="0"/>
          <w:color w:val="auto"/>
          <w:sz w:val="24"/>
          <w:szCs w:val="24"/>
          <w:lang w:val="en-US"/>
        </w:rPr>
        <w:t>3.2 Strategy Clock</w:t>
      </w:r>
      <w:bookmarkEnd w:id="26"/>
    </w:p>
    <w:p>
      <w:pPr>
        <w:tabs>
          <w:tab w:val="left" w:pos="1095"/>
        </w:tabs>
        <w:spacing w:line="480" w:lineRule="auto"/>
        <w:jc w:val="both"/>
        <w:rPr>
          <w:rFonts w:hint="default" w:ascii="Times New Roman" w:hAnsi="Times New Roman" w:eastAsia="DengXian Light" w:cs="Times New Roman"/>
          <w:b w:val="0"/>
          <w:bCs w:val="0"/>
          <w:color w:val="auto"/>
          <w:sz w:val="24"/>
          <w:szCs w:val="24"/>
          <w:lang w:val="en-US"/>
        </w:rPr>
      </w:pPr>
      <w:r>
        <w:rPr>
          <w:rFonts w:hint="default" w:ascii="Times New Roman" w:hAnsi="Times New Roman" w:eastAsia="DengXian Light" w:cs="Times New Roman"/>
          <w:b w:val="0"/>
          <w:bCs w:val="0"/>
          <w:color w:val="auto"/>
          <w:sz w:val="24"/>
          <w:szCs w:val="24"/>
          <w:lang w:val="en-US"/>
        </w:rPr>
        <w:pict>
          <v:shape id="_x0000_i1025" o:spt="75" type="#_x0000_t75" style="height:197.3pt;width:242.4pt;" filled="f" o:preferrelative="t" stroked="f" coordsize="21600,21600">
            <v:path/>
            <v:fill on="f" focussize="0,0"/>
            <v:stroke on="f"/>
            <v:imagedata r:id="rId6" o:title=""/>
            <o:lock v:ext="edit" aspectratio="t"/>
            <w10:wrap type="none"/>
            <w10:anchorlock/>
          </v:shape>
        </w:pict>
      </w:r>
    </w:p>
    <w:p>
      <w:pPr>
        <w:spacing w:line="480" w:lineRule="auto"/>
        <w:ind w:firstLine="720" w:firstLineChars="0"/>
        <w:jc w:val="center"/>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(Faulkner and Bowman, 1995)</w:t>
      </w:r>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 xml:space="preserve">Faulkner and Bowman (1995) proposed the model of strategic clock as a strategic tool for the development of strategies by businesses by the locating of the different stages that companies are at in their own markets. </w:t>
      </w:r>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Based on the strategy clock model, Li Ning should adopt the differentiation strateg</w:t>
      </w:r>
      <w:r>
        <w:rPr>
          <w:rFonts w:hint="default" w:ascii="Times New Roman" w:hAnsi="Times New Roman" w:eastAsia="SimSun" w:cs="Times New Roman"/>
          <w:b w:val="0"/>
          <w:bCs w:val="0"/>
          <w:color w:val="auto"/>
          <w:sz w:val="24"/>
          <w:szCs w:val="24"/>
          <w:lang w:val="en-US" w:eastAsia="zh-CN"/>
        </w:rPr>
        <w:t>ies in China</w:t>
      </w:r>
      <w:r>
        <w:rPr>
          <w:rFonts w:hint="default" w:ascii="Times New Roman" w:hAnsi="Times New Roman" w:cs="Times New Roman"/>
          <w:b w:val="0"/>
          <w:bCs w:val="0"/>
          <w:color w:val="auto"/>
          <w:sz w:val="24"/>
          <w:szCs w:val="24"/>
          <w:lang w:val="en-US"/>
        </w:rPr>
        <w:t>. China is a multiethnic country with 56 ethnic groups and people differ in their culture and living habits depending on where they are located in China. Thus, companies operating in China need to realize that they need to localize or differentiate their products and services to better satisfy Chinese consumers</w:t>
      </w:r>
      <w:r>
        <w:rPr>
          <w:rFonts w:hint="default" w:ascii="Times New Roman" w:hAnsi="Times New Roman" w:eastAsia="SimSun" w:cs="Times New Roman"/>
          <w:b w:val="0"/>
          <w:bCs w:val="0"/>
          <w:color w:val="auto"/>
          <w:sz w:val="24"/>
          <w:szCs w:val="24"/>
          <w:lang w:val="en-US" w:eastAsia="zh-CN"/>
        </w:rPr>
        <w:t xml:space="preserve"> (Cheng, 2013)</w:t>
      </w:r>
      <w:r>
        <w:rPr>
          <w:rFonts w:hint="default" w:ascii="Times New Roman" w:hAnsi="Times New Roman" w:cs="Times New Roman"/>
          <w:b w:val="0"/>
          <w:bCs w:val="0"/>
          <w:color w:val="auto"/>
          <w:sz w:val="24"/>
          <w:szCs w:val="24"/>
          <w:lang w:val="en-US"/>
        </w:rPr>
        <w:t xml:space="preserve">. Thus, Li Ning needs to carry out extensive market research and correspondingly, design products that cater to the different needs of Chinese customers based on their ethnic culture and local specificities.This </w:t>
      </w:r>
      <w:r>
        <w:rPr>
          <w:rFonts w:hint="default" w:ascii="Times New Roman" w:hAnsi="Times New Roman" w:eastAsia="SimSun" w:cs="Times New Roman"/>
          <w:b w:val="0"/>
          <w:bCs w:val="0"/>
          <w:color w:val="auto"/>
          <w:sz w:val="24"/>
          <w:szCs w:val="24"/>
          <w:lang w:val="en-US" w:eastAsia="zh-CN"/>
        </w:rPr>
        <w:t>may</w:t>
      </w:r>
      <w:r>
        <w:rPr>
          <w:rFonts w:hint="default" w:ascii="Times New Roman" w:hAnsi="Times New Roman" w:cs="Times New Roman"/>
          <w:b w:val="0"/>
          <w:bCs w:val="0"/>
          <w:color w:val="auto"/>
          <w:sz w:val="24"/>
          <w:szCs w:val="24"/>
          <w:lang w:val="en-US"/>
        </w:rPr>
        <w:t xml:space="preserve"> attract more attention from Chinese consumers. </w:t>
      </w:r>
      <w:r>
        <w:rPr>
          <w:rFonts w:hint="default" w:ascii="Times New Roman" w:hAnsi="Times New Roman" w:eastAsia="SimSun" w:cs="Times New Roman"/>
          <w:b w:val="0"/>
          <w:bCs w:val="0"/>
          <w:color w:val="auto"/>
          <w:sz w:val="24"/>
          <w:szCs w:val="24"/>
          <w:lang w:val="en-US" w:eastAsia="zh-CN"/>
        </w:rPr>
        <w:t xml:space="preserve">For </w:t>
      </w:r>
      <w:r>
        <w:rPr>
          <w:rFonts w:hint="default" w:ascii="Times New Roman" w:hAnsi="Times New Roman" w:cs="Times New Roman"/>
          <w:b w:val="0"/>
          <w:bCs w:val="0"/>
          <w:color w:val="auto"/>
          <w:sz w:val="24"/>
          <w:szCs w:val="24"/>
          <w:lang w:val="en-US"/>
        </w:rPr>
        <w:t xml:space="preserve">Southeast Asia and India, </w:t>
      </w:r>
      <w:r>
        <w:rPr>
          <w:rFonts w:hint="default" w:ascii="Times New Roman" w:hAnsi="Times New Roman" w:eastAsia="SimSun" w:cs="Times New Roman"/>
          <w:b w:val="0"/>
          <w:bCs w:val="0"/>
          <w:color w:val="auto"/>
          <w:sz w:val="24"/>
          <w:szCs w:val="24"/>
          <w:lang w:val="en-US" w:eastAsia="zh-CN"/>
        </w:rPr>
        <w:t>Lining can choose low-price strategies. Citizens</w:t>
      </w:r>
      <w:r>
        <w:rPr>
          <w:rFonts w:hint="default" w:ascii="Times New Roman" w:hAnsi="Times New Roman" w:cs="Times New Roman"/>
          <w:b w:val="0"/>
          <w:bCs w:val="0"/>
          <w:color w:val="auto"/>
          <w:sz w:val="24"/>
          <w:szCs w:val="24"/>
          <w:lang w:val="en-US"/>
        </w:rPr>
        <w:t xml:space="preserve"> generally have a low living standard due to low-level of income. In response, Li Ning can adopt the cost-leadership strategy by providing low-priced products to satisfy local residents’ need for economy</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(Li Ning, 2019).</w:t>
      </w:r>
      <w:r>
        <w:rPr>
          <w:rFonts w:hint="default" w:ascii="Times New Roman" w:hAnsi="Times New Roman" w:eastAsia="SimSun" w:cs="Times New Roman"/>
          <w:b w:val="0"/>
          <w:bCs w:val="0"/>
          <w:color w:val="auto"/>
          <w:sz w:val="24"/>
          <w:szCs w:val="24"/>
          <w:lang w:val="en-US" w:eastAsia="zh-CN"/>
        </w:rPr>
        <w:t xml:space="preserve"> Non-competitive strategies can be used </w:t>
      </w:r>
      <w:r>
        <w:rPr>
          <w:rFonts w:hint="default" w:ascii="Times New Roman" w:hAnsi="Times New Roman" w:cs="Times New Roman"/>
          <w:b w:val="0"/>
          <w:bCs w:val="0"/>
          <w:color w:val="auto"/>
          <w:sz w:val="24"/>
          <w:szCs w:val="24"/>
          <w:lang w:val="en-US"/>
        </w:rPr>
        <w:t xml:space="preserve"> </w:t>
      </w:r>
      <w:r>
        <w:rPr>
          <w:rFonts w:hint="default" w:ascii="Times New Roman" w:hAnsi="Times New Roman" w:eastAsia="SimSun" w:cs="Times New Roman"/>
          <w:b w:val="0"/>
          <w:bCs w:val="0"/>
          <w:color w:val="auto"/>
          <w:sz w:val="24"/>
          <w:szCs w:val="24"/>
          <w:lang w:val="en-US" w:eastAsia="zh-CN"/>
        </w:rPr>
        <w:t>i</w:t>
      </w:r>
      <w:r>
        <w:rPr>
          <w:rFonts w:hint="default" w:ascii="Times New Roman" w:hAnsi="Times New Roman" w:cs="Times New Roman"/>
          <w:b w:val="0"/>
          <w:bCs w:val="0"/>
          <w:color w:val="auto"/>
          <w:sz w:val="24"/>
          <w:szCs w:val="24"/>
          <w:lang w:val="en-US"/>
        </w:rPr>
        <w:t>n developed countries such as the United States and Europe, Li Ning has failed to effectively compete with international brands such as Nike and Adidas due to its failure in providing products with better qualities and due to the relatively lower brand awareness</w:t>
      </w:r>
      <w:r>
        <w:rPr>
          <w:rFonts w:hint="default" w:ascii="Times New Roman" w:hAnsi="Times New Roman" w:eastAsia="SimSun" w:cs="Times New Roman"/>
          <w:b w:val="0"/>
          <w:bCs w:val="0"/>
          <w:color w:val="auto"/>
          <w:sz w:val="24"/>
          <w:szCs w:val="24"/>
          <w:lang w:val="en-US" w:eastAsia="zh-CN"/>
        </w:rPr>
        <w:t xml:space="preserve"> (Yu, 2010)</w:t>
      </w:r>
      <w:r>
        <w:rPr>
          <w:rFonts w:hint="default" w:ascii="Times New Roman" w:hAnsi="Times New Roman" w:cs="Times New Roman"/>
          <w:b w:val="0"/>
          <w:bCs w:val="0"/>
          <w:color w:val="auto"/>
          <w:sz w:val="24"/>
          <w:szCs w:val="24"/>
          <w:lang w:val="en-US"/>
        </w:rPr>
        <w:t xml:space="preserve">. Thus, Li Ning should avoid direct competition with international brands in those markets and try to find ways to cooperate with local distribution channels to gradually build up its brand reputation and operational abilities. This will take longer and potentially consume a lot of Li Ning’s financial resources; however, it is less risky than direct competition with international brands and once succeeds, Li Ning will gain a strong foothold in developed markets. One example of this strategy is Li Ning’s appearance in the New York Fashion Week in 2018 to promote its brand awareness before it develops its sales network in the United States in large scale (Zhang, 2008). </w:t>
      </w:r>
    </w:p>
    <w:p>
      <w:pPr>
        <w:pStyle w:val="2"/>
        <w:spacing w:line="480" w:lineRule="auto"/>
        <w:jc w:val="both"/>
        <w:rPr>
          <w:rFonts w:hint="default" w:ascii="Times New Roman" w:hAnsi="Times New Roman" w:cs="Times New Roman"/>
          <w:b w:val="0"/>
          <w:bCs w:val="0"/>
          <w:color w:val="auto"/>
          <w:sz w:val="24"/>
          <w:szCs w:val="24"/>
          <w:lang w:val="en-US"/>
        </w:rPr>
      </w:pPr>
      <w:bookmarkStart w:id="27" w:name="_Toc16502"/>
      <w:r>
        <w:rPr>
          <w:rFonts w:hint="default" w:ascii="Times New Roman" w:hAnsi="Times New Roman" w:cs="Times New Roman"/>
          <w:b w:val="0"/>
          <w:bCs w:val="0"/>
          <w:color w:val="auto"/>
          <w:sz w:val="24"/>
          <w:szCs w:val="24"/>
          <w:lang w:val="en-US"/>
        </w:rPr>
        <w:t>4. Recommendations</w:t>
      </w:r>
      <w:bookmarkEnd w:id="27"/>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Based on previous analysis, there is no doubt that the domestic market, for now and for a very long time in the future, should be the main target market for Li Ning before it can pursue its international strategy wholeheartedly.</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In addition,</w:t>
      </w:r>
      <w:r>
        <w:rPr>
          <w:rFonts w:hint="default" w:ascii="Times New Roman" w:hAnsi="Times New Roman" w:eastAsia="SimSun" w:cs="Times New Roman"/>
          <w:b w:val="0"/>
          <w:bCs w:val="0"/>
          <w:color w:val="auto"/>
          <w:sz w:val="24"/>
          <w:szCs w:val="24"/>
          <w:lang w:val="en-US" w:eastAsia="zh-CN"/>
        </w:rPr>
        <w:t xml:space="preserve"> t</w:t>
      </w:r>
      <w:r>
        <w:rPr>
          <w:rFonts w:hint="default" w:ascii="Times New Roman" w:hAnsi="Times New Roman" w:cs="Times New Roman"/>
          <w:b w:val="0"/>
          <w:bCs w:val="0"/>
          <w:color w:val="auto"/>
          <w:sz w:val="24"/>
          <w:szCs w:val="24"/>
          <w:lang w:val="en-US"/>
        </w:rPr>
        <w:t xml:space="preserve">he following recommendations are made for Li Ning. </w:t>
      </w:r>
    </w:p>
    <w:p>
      <w:pPr>
        <w:pStyle w:val="3"/>
        <w:bidi w:val="0"/>
        <w:spacing w:line="480" w:lineRule="auto"/>
        <w:jc w:val="both"/>
        <w:rPr>
          <w:rFonts w:hint="default" w:ascii="Times New Roman" w:hAnsi="Times New Roman" w:cs="Times New Roman"/>
          <w:b w:val="0"/>
          <w:bCs w:val="0"/>
          <w:color w:val="auto"/>
          <w:sz w:val="24"/>
          <w:szCs w:val="24"/>
          <w:lang w:val="en-US" w:eastAsia="zh-CN"/>
        </w:rPr>
      </w:pPr>
      <w:bookmarkStart w:id="28" w:name="_Toc7239"/>
      <w:r>
        <w:rPr>
          <w:rFonts w:hint="default" w:ascii="Times New Roman" w:hAnsi="Times New Roman" w:cs="Times New Roman"/>
          <w:b w:val="0"/>
          <w:bCs w:val="0"/>
          <w:color w:val="auto"/>
          <w:sz w:val="24"/>
          <w:szCs w:val="24"/>
          <w:lang w:val="en-US" w:eastAsia="zh-CN"/>
        </w:rPr>
        <w:t>4.1 Scientific brand position</w:t>
      </w:r>
      <w:bookmarkEnd w:id="28"/>
    </w:p>
    <w:p>
      <w:pPr>
        <w:spacing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rPr>
        <w:t>Li Ning needs to Position Brand Scientifically. It takes a long time to build a brand image. Brand positioning is the key and prerequisite to build a brand image, including the establishment of brand LOGO, the selection of advertising language and the choice of image spokesperson. Li Ning should position itself as a middle and high-end professional sports brand. Regardless of brand history or technology content, Li Ning is still unable to compete with Nike and other strong traditional sports brands, and Li Ning should set reasonable product prices to distinguish it from high-end brands. For example, in the same category of products such as basketball shoes, Li Ning shoes can be priced at 80% of Nike shoes. According to the research, 20% price difference can effectively affect consumers'final choice</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(Gan,</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2005)</w:t>
      </w:r>
      <w:r>
        <w:rPr>
          <w:rFonts w:hint="default" w:ascii="Times New Roman" w:hAnsi="Times New Roman" w:eastAsia="SimSun" w:cs="Times New Roman"/>
          <w:b w:val="0"/>
          <w:bCs w:val="0"/>
          <w:color w:val="auto"/>
          <w:sz w:val="24"/>
          <w:szCs w:val="24"/>
          <w:lang w:val="en-US" w:eastAsia="zh-CN"/>
        </w:rPr>
        <w:t>. In terms of category, Li Ning should focus on professional sports products, such as professional basketball, football and badminton. In the past, Li Ning's product line covered a very wide range, from basketball, football, badminton to training, sports life, and so on, But there is no special selling point for all kinds of products. With the economic and social development, domestic consumer habits tend to be more rational. Consumer habits in developed countries and regions are earlier than those in China for decades. They will choose professional sports equipment or amateur products according to their needs (Zhang, 2007).</w:t>
      </w:r>
    </w:p>
    <w:p>
      <w:pPr>
        <w:pStyle w:val="3"/>
        <w:bidi w:val="0"/>
        <w:spacing w:line="480" w:lineRule="auto"/>
        <w:jc w:val="both"/>
        <w:rPr>
          <w:rFonts w:hint="default" w:ascii="Times New Roman" w:hAnsi="Times New Roman" w:cs="Times New Roman"/>
          <w:b w:val="0"/>
          <w:bCs w:val="0"/>
          <w:color w:val="auto"/>
          <w:sz w:val="24"/>
          <w:szCs w:val="24"/>
          <w:lang w:val="en-US" w:eastAsia="zh-CN"/>
        </w:rPr>
      </w:pPr>
      <w:bookmarkStart w:id="29" w:name="_Toc19370"/>
      <w:r>
        <w:rPr>
          <w:rFonts w:hint="default" w:ascii="Times New Roman" w:hAnsi="Times New Roman" w:cs="Times New Roman"/>
          <w:b w:val="0"/>
          <w:bCs w:val="0"/>
          <w:color w:val="auto"/>
          <w:sz w:val="24"/>
          <w:szCs w:val="24"/>
          <w:lang w:val="en-US" w:eastAsia="zh-CN"/>
        </w:rPr>
        <w:t>4.2 Developing new market</w:t>
      </w:r>
      <w:bookmarkEnd w:id="29"/>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Li Ning needs to effectively differentiate its own brand from those of competitors. Li Ning can achieve this by first of all carry out an segmentation, targeting and positioning analysis: by dividing Chinese consumers by their demographic, psychographic, geographic and behavioral characteristics</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The key is to find a niche market that is overlooked by stronger competitors so that Li Ning can lock in and expand (Han, 2003). For example, in the market for children’s sportswear, the dominating brands are international brands such as Nike Kids, which are far more expensive for average Chinese consumers; while in the meantime, low-end brands that are cheaply priced generally have a quality that Chinese parents are unwilling to take the risk of for the sake of their children. Thus, Li Ning would have an opportunity to swoop in and design and launch products that are moderately priced but still have trustable quality. At the same time, regional is also a factor to be considered. For example, in cities close to the sea, you can choose to sell more swimming suits and surfboards; in cold areas, you can mainly sell skating supplies and mountaineering clothes and so on</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(Lang, 2008).</w:t>
      </w:r>
    </w:p>
    <w:p>
      <w:pPr>
        <w:pStyle w:val="3"/>
        <w:bidi w:val="0"/>
        <w:spacing w:line="480" w:lineRule="auto"/>
        <w:jc w:val="both"/>
        <w:rPr>
          <w:rFonts w:hint="default" w:ascii="Times New Roman" w:hAnsi="Times New Roman" w:cs="Times New Roman"/>
          <w:b w:val="0"/>
          <w:bCs w:val="0"/>
          <w:color w:val="auto"/>
          <w:sz w:val="24"/>
          <w:szCs w:val="24"/>
          <w:lang w:val="en-US" w:eastAsia="zh-CN"/>
        </w:rPr>
      </w:pPr>
      <w:bookmarkStart w:id="30" w:name="_Toc13679"/>
      <w:r>
        <w:rPr>
          <w:rFonts w:hint="default" w:ascii="Times New Roman" w:hAnsi="Times New Roman" w:cs="Times New Roman"/>
          <w:b w:val="0"/>
          <w:bCs w:val="0"/>
          <w:color w:val="auto"/>
          <w:sz w:val="24"/>
          <w:szCs w:val="24"/>
          <w:lang w:val="en-US" w:eastAsia="zh-CN"/>
        </w:rPr>
        <w:t>4.3 Differentiation strategy</w:t>
      </w:r>
      <w:bookmarkEnd w:id="30"/>
    </w:p>
    <w:p>
      <w:pPr>
        <w:spacing w:line="480" w:lineRule="auto"/>
        <w:jc w:val="both"/>
        <w:rPr>
          <w:rFonts w:hint="default" w:ascii="Times New Roman" w:hAnsi="Times New Roman" w:eastAsia="SimSun" w:cs="Times New Roman"/>
          <w:b w:val="0"/>
          <w:bCs w:val="0"/>
          <w:color w:val="auto"/>
          <w:sz w:val="24"/>
          <w:szCs w:val="24"/>
          <w:lang w:val="en-US" w:eastAsia="zh-CN"/>
        </w:rPr>
      </w:pPr>
      <w:r>
        <w:rPr>
          <w:rFonts w:hint="default" w:ascii="Times New Roman" w:hAnsi="Times New Roman" w:eastAsia="SimSun" w:cs="Times New Roman"/>
          <w:b w:val="0"/>
          <w:bCs w:val="0"/>
          <w:color w:val="auto"/>
          <w:sz w:val="24"/>
          <w:szCs w:val="24"/>
          <w:lang w:val="en-US" w:eastAsia="zh-CN"/>
        </w:rPr>
        <w:t xml:space="preserve">For India and Southeast Asian countries, their living standards are far from those of China and the United States and other countries. That is to say, the local residents' consumption ability is very low. For local people, cheap goods are more attractive than expensive ones. Therefore, the goods sold in these places do not need super-high technology or beautiful appearance, as long as the product with the highest price ratio is the most suitable choice </w:t>
      </w:r>
      <w:r>
        <w:rPr>
          <w:rFonts w:hint="default" w:ascii="Times New Roman" w:hAnsi="Times New Roman" w:cs="Times New Roman"/>
          <w:b w:val="0"/>
          <w:bCs w:val="0"/>
          <w:color w:val="auto"/>
          <w:sz w:val="24"/>
          <w:szCs w:val="24"/>
          <w:lang w:val="en-US"/>
        </w:rPr>
        <w:t>(Lai, 2008)</w:t>
      </w:r>
      <w:r>
        <w:rPr>
          <w:rFonts w:hint="default" w:ascii="Times New Roman" w:hAnsi="Times New Roman" w:eastAsia="SimSun" w:cs="Times New Roman"/>
          <w:b w:val="0"/>
          <w:bCs w:val="0"/>
          <w:color w:val="auto"/>
          <w:sz w:val="24"/>
          <w:szCs w:val="24"/>
          <w:lang w:val="en-US" w:eastAsia="zh-CN"/>
        </w:rPr>
        <w:t>.</w:t>
      </w:r>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eastAsia="SimSun" w:cs="Times New Roman"/>
          <w:b w:val="0"/>
          <w:bCs w:val="0"/>
          <w:color w:val="auto"/>
          <w:sz w:val="24"/>
          <w:szCs w:val="24"/>
          <w:lang w:val="en-US" w:eastAsia="zh-CN"/>
        </w:rPr>
        <w:t>For developed countries, due to the strong technical advantages of competitors, it is impossible to compete with Nike and other international brands. First of all, it needs to improve its brand image in the international market by learning and developing marketing activities suitable for itself, so that Li Ning can be remembered in the international market better. Therefore, Li Ning can choose badminton and table tennis as the choice to enter the international market. Badminton and table tennis are also popular compared with basketball and football (Shi, 2007). Moreover, badminton does not need a lot of momentum, and the demand for sports venues is small, and the demand for the number of participants is also low, so it is easy to develop into a popular sport. That is to say, badminton products are more acceptable to most people than basketball and football. In addition, China has achieved better results in both sports, and the cooperation and design of products with these sports events can be better remembered.</w:t>
      </w:r>
    </w:p>
    <w:p>
      <w:pPr>
        <w:pStyle w:val="2"/>
        <w:spacing w:line="480" w:lineRule="auto"/>
        <w:jc w:val="both"/>
        <w:rPr>
          <w:rFonts w:hint="default" w:ascii="Times New Roman" w:hAnsi="Times New Roman" w:cs="Times New Roman"/>
          <w:b w:val="0"/>
          <w:bCs w:val="0"/>
          <w:color w:val="auto"/>
          <w:sz w:val="24"/>
          <w:szCs w:val="24"/>
          <w:lang w:val="en-US"/>
        </w:rPr>
      </w:pPr>
      <w:bookmarkStart w:id="31" w:name="_Toc3840"/>
      <w:r>
        <w:rPr>
          <w:rFonts w:hint="default" w:ascii="Times New Roman" w:hAnsi="Times New Roman" w:cs="Times New Roman"/>
          <w:b w:val="0"/>
          <w:bCs w:val="0"/>
          <w:color w:val="auto"/>
          <w:sz w:val="24"/>
          <w:szCs w:val="24"/>
          <w:lang w:val="en-US"/>
        </w:rPr>
        <w:t>Conclusion</w:t>
      </w:r>
      <w:bookmarkEnd w:id="31"/>
    </w:p>
    <w:p>
      <w:pPr>
        <w:spacing w:line="480" w:lineRule="auto"/>
        <w:jc w:val="both"/>
        <w:rPr>
          <w:rFonts w:hint="default" w:ascii="Times New Roman" w:hAnsi="Times New Roman" w:cs="Times New Roman"/>
          <w:b w:val="0"/>
          <w:bCs w:val="0"/>
          <w:color w:val="auto"/>
          <w:sz w:val="24"/>
          <w:szCs w:val="24"/>
          <w:lang w:val="en-US"/>
        </w:rPr>
      </w:pPr>
      <w:r>
        <w:rPr>
          <w:rFonts w:hint="default" w:ascii="Times New Roman" w:hAnsi="Times New Roman" w:cs="Times New Roman"/>
          <w:b w:val="0"/>
          <w:bCs w:val="0"/>
          <w:color w:val="auto"/>
          <w:sz w:val="24"/>
          <w:szCs w:val="24"/>
          <w:lang w:val="en-US"/>
        </w:rPr>
        <w:t>China’s sporting goods industry has a relatively short history as it has only begun to emerge since the 1980s. However, it has experienced huge transformations as it transitioned from a planned economy to a market economy and as it embraces modern technologies in manufacturing and management. At the moment, China is still at the beginning stage of a sports industry of great potential and thus, Li Ning faces great opportunities despite the temporary difficulties and challenges. Thus, it is suggested that Li Ning should better segment its customers and fine the niche segment and better position itself against the selected segments;</w:t>
      </w:r>
      <w:r>
        <w:rPr>
          <w:rFonts w:hint="default" w:ascii="Times New Roman" w:hAnsi="Times New Roman" w:eastAsia="SimSun" w:cs="Times New Roman"/>
          <w:b w:val="0"/>
          <w:bCs w:val="0"/>
          <w:color w:val="auto"/>
          <w:sz w:val="24"/>
          <w:szCs w:val="24"/>
          <w:lang w:val="en-US" w:eastAsia="zh-CN"/>
        </w:rPr>
        <w:t xml:space="preserve"> i</w:t>
      </w:r>
      <w:r>
        <w:rPr>
          <w:rFonts w:hint="default" w:ascii="Times New Roman" w:hAnsi="Times New Roman" w:cs="Times New Roman"/>
          <w:b w:val="0"/>
          <w:bCs w:val="0"/>
          <w:color w:val="auto"/>
          <w:sz w:val="24"/>
          <w:szCs w:val="24"/>
          <w:lang w:val="en-US"/>
        </w:rPr>
        <w:t>t should also further study the strategic implementation plans for China's and overseas development.</w:t>
      </w:r>
      <w:r>
        <w:rPr>
          <w:rFonts w:hint="default" w:ascii="Times New Roman" w:hAnsi="Times New Roman" w:eastAsia="SimSu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rPr>
        <w:t xml:space="preserve">Li Ning used to be a very successful brand in China, which made it high recognizable as a national pride, and consumers would love to see it rebound although it is currently lags behind international brands. </w:t>
      </w:r>
    </w:p>
    <w:p>
      <w:pPr>
        <w:spacing w:line="480" w:lineRule="auto"/>
        <w:jc w:val="both"/>
        <w:rPr>
          <w:rFonts w:hint="default" w:ascii="Times New Roman" w:hAnsi="Times New Roman" w:cs="Times New Roman"/>
          <w:b w:val="0"/>
          <w:bCs w:val="0"/>
          <w:color w:val="auto"/>
          <w:sz w:val="24"/>
          <w:szCs w:val="24"/>
          <w:lang w:val="en-US"/>
        </w:rPr>
      </w:pPr>
    </w:p>
    <w:p>
      <w:pPr>
        <w:spacing w:line="480" w:lineRule="auto"/>
        <w:jc w:val="both"/>
        <w:rPr>
          <w:rFonts w:hint="default" w:ascii="Times New Roman" w:hAnsi="Times New Roman" w:cs="Times New Roman"/>
          <w:b w:val="0"/>
          <w:b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p>
    <w:p>
      <w:pPr>
        <w:spacing w:line="480" w:lineRule="auto"/>
        <w:jc w:val="both"/>
        <w:rPr>
          <w:rFonts w:hint="default" w:ascii="Times New Roman" w:hAnsi="Times New Roman" w:cs="Times New Roman"/>
          <w:b w:val="0"/>
          <w:bCs w:val="0"/>
          <w:i w:val="0"/>
          <w:iCs w:val="0"/>
          <w:color w:val="auto"/>
          <w:sz w:val="24"/>
          <w:szCs w:val="24"/>
          <w:lang w:val="en-US"/>
        </w:rPr>
      </w:pPr>
    </w:p>
    <w:p>
      <w:pPr>
        <w:pStyle w:val="2"/>
        <w:spacing w:line="480" w:lineRule="auto"/>
        <w:jc w:val="both"/>
        <w:rPr>
          <w:rFonts w:hint="default" w:ascii="Times New Roman" w:hAnsi="Times New Roman" w:cs="Times New Roman"/>
          <w:b w:val="0"/>
          <w:bCs w:val="0"/>
          <w:i w:val="0"/>
          <w:iCs w:val="0"/>
          <w:color w:val="auto"/>
          <w:sz w:val="24"/>
          <w:szCs w:val="24"/>
          <w:lang w:val="en-US"/>
        </w:rPr>
      </w:pPr>
      <w:bookmarkStart w:id="32" w:name="_Toc415"/>
      <w:r>
        <w:rPr>
          <w:rFonts w:hint="default" w:ascii="Times New Roman" w:hAnsi="Times New Roman" w:cs="Times New Roman"/>
          <w:b w:val="0"/>
          <w:bCs w:val="0"/>
          <w:i w:val="0"/>
          <w:iCs w:val="0"/>
          <w:color w:val="auto"/>
          <w:sz w:val="24"/>
          <w:szCs w:val="24"/>
          <w:lang w:val="en-US"/>
        </w:rPr>
        <w:t>Reference</w:t>
      </w:r>
      <w:bookmarkEnd w:id="32"/>
    </w:p>
    <w:p>
      <w:pPr>
        <w:spacing w:line="480" w:lineRule="auto"/>
        <w:jc w:val="both"/>
        <w:rPr>
          <w:rFonts w:hint="default" w:ascii="Times New Roman" w:hAnsi="Times New Roman" w:cs="Times New Roman"/>
          <w:b w:val="0"/>
          <w:bCs w:val="0"/>
          <w:i w:val="0"/>
          <w:iCs w:val="0"/>
          <w:color w:val="auto"/>
          <w:sz w:val="24"/>
          <w:szCs w:val="24"/>
          <w:lang w:val="en-US"/>
        </w:rPr>
      </w:pP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Ansoff. (1979), Strategic management, Machinery industry press, 240-241.</w:t>
      </w:r>
    </w:p>
    <w:p>
      <w:pPr>
        <w:spacing w:line="480" w:lineRule="auto"/>
        <w:jc w:val="both"/>
        <w:rPr>
          <w:rFonts w:hint="default" w:ascii="Times New Roman" w:hAnsi="Times New Roman" w:cs="Times New Roman"/>
          <w:b w:val="0"/>
          <w:bCs w:val="0"/>
          <w:i w:val="0"/>
          <w:iCs w:val="0"/>
          <w:color w:val="auto"/>
          <w:sz w:val="24"/>
          <w:szCs w:val="24"/>
        </w:rPr>
      </w:pPr>
      <w:bookmarkStart w:id="33" w:name="_Hlk14214794"/>
      <w:r>
        <w:rPr>
          <w:rFonts w:hint="default" w:ascii="Times New Roman" w:hAnsi="Times New Roman" w:cs="Times New Roman"/>
          <w:b w:val="0"/>
          <w:bCs w:val="0"/>
          <w:i w:val="0"/>
          <w:iCs w:val="0"/>
          <w:color w:val="auto"/>
          <w:sz w:val="24"/>
          <w:szCs w:val="24"/>
        </w:rPr>
        <w:t>Barney, J. B., &amp; Hesterly, W. S. (2010</w:t>
      </w:r>
      <w:bookmarkEnd w:id="33"/>
      <w:r>
        <w:rPr>
          <w:rFonts w:hint="default" w:ascii="Times New Roman" w:hAnsi="Times New Roman" w:cs="Times New Roman"/>
          <w:b w:val="0"/>
          <w:bCs w:val="0"/>
          <w:i w:val="0"/>
          <w:iCs w:val="0"/>
          <w:color w:val="auto"/>
          <w:sz w:val="24"/>
          <w:szCs w:val="24"/>
        </w:rPr>
        <w:t>). VRIO framework. Strategic management and competitive advantage, 68-86.</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Chen, J. (2009), Advertising Planning and Brand Management, Guangdong and Nanda University Publishing House, 7(1),145-148.</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Cheng, S. (2013), based on the strategic management perspective, Li Ning brand confusion and way out, Jiujiang College Press, 12 (1), 115-117.</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Times New Roman" w:hAnsi="Times New Roman" w:eastAsia="SimSun" w:cs="Times New Roman"/>
          <w:b w:val="0"/>
          <w:bCs w:val="0"/>
          <w:i w:val="0"/>
          <w:iCs w:val="0"/>
          <w:color w:val="auto"/>
          <w:sz w:val="24"/>
          <w:szCs w:val="24"/>
          <w:lang w:val="en-US" w:eastAsia="zh-CN"/>
        </w:rPr>
      </w:pPr>
      <w:r>
        <w:rPr>
          <w:rFonts w:hint="default" w:ascii="Times New Roman" w:hAnsi="Times New Roman" w:eastAsia="SimSun" w:cs="Times New Roman"/>
          <w:b w:val="0"/>
          <w:bCs w:val="0"/>
          <w:i w:val="0"/>
          <w:iCs w:val="0"/>
          <w:color w:val="auto"/>
          <w:sz w:val="24"/>
          <w:szCs w:val="24"/>
          <w:lang w:val="en-US" w:eastAsia="zh-CN"/>
        </w:rPr>
        <w:t>China Daily</w:t>
      </w:r>
      <w:r>
        <w:rPr>
          <w:rFonts w:hint="default" w:ascii="Times New Roman" w:hAnsi="Times New Roman" w:cs="Times New Roman"/>
          <w:b w:val="0"/>
          <w:bCs w:val="0"/>
          <w:i w:val="0"/>
          <w:iCs w:val="0"/>
          <w:color w:val="auto"/>
          <w:sz w:val="24"/>
          <w:szCs w:val="24"/>
          <w:lang w:val="en-US"/>
        </w:rPr>
        <w:t xml:space="preserve">. (2010). Li Ning ups the stakes by signing US basketball star Evan Turner. </w:t>
      </w:r>
      <w:r>
        <w:rPr>
          <w:rFonts w:hint="default" w:ascii="Times New Roman" w:hAnsi="Times New Roman" w:eastAsia="SimSun" w:cs="Times New Roman"/>
          <w:b w:val="0"/>
          <w:bCs w:val="0"/>
          <w:i w:val="0"/>
          <w:iCs w:val="0"/>
          <w:color w:val="auto"/>
          <w:sz w:val="24"/>
          <w:szCs w:val="24"/>
          <w:lang w:val="en-US" w:eastAsia="zh-CN"/>
        </w:rPr>
        <w:t xml:space="preserve">[ONLINE] Available at: </w:t>
      </w:r>
      <w:r>
        <w:rPr>
          <w:rFonts w:hint="default" w:ascii="Times New Roman" w:hAnsi="Times New Roman" w:cs="Times New Roman"/>
          <w:b w:val="0"/>
          <w:bCs w:val="0"/>
          <w:i w:val="0"/>
          <w:iCs w:val="0"/>
          <w:color w:val="auto"/>
          <w:sz w:val="24"/>
          <w:szCs w:val="24"/>
          <w:lang w:val="en-US"/>
        </w:rPr>
        <w:fldChar w:fldCharType="begin"/>
      </w:r>
      <w:r>
        <w:rPr>
          <w:rFonts w:hint="default" w:ascii="Times New Roman" w:hAnsi="Times New Roman" w:cs="Times New Roman"/>
          <w:b w:val="0"/>
          <w:bCs w:val="0"/>
          <w:i w:val="0"/>
          <w:iCs w:val="0"/>
          <w:color w:val="auto"/>
          <w:sz w:val="24"/>
          <w:szCs w:val="24"/>
          <w:lang w:val="en-US"/>
        </w:rPr>
        <w:instrText xml:space="preserve"> HYPERLINK "http://www.chinadaily.com.cn/cndy/2010-08/30/content_11221839.htm" </w:instrText>
      </w:r>
      <w:r>
        <w:rPr>
          <w:rFonts w:hint="default" w:ascii="Times New Roman" w:hAnsi="Times New Roman" w:cs="Times New Roman"/>
          <w:b w:val="0"/>
          <w:bCs w:val="0"/>
          <w:i w:val="0"/>
          <w:iCs w:val="0"/>
          <w:color w:val="auto"/>
          <w:sz w:val="24"/>
          <w:szCs w:val="24"/>
          <w:lang w:val="en-US"/>
        </w:rPr>
        <w:fldChar w:fldCharType="separate"/>
      </w:r>
      <w:r>
        <w:rPr>
          <w:rStyle w:val="13"/>
          <w:rFonts w:hint="default" w:ascii="Times New Roman" w:hAnsi="Times New Roman" w:cs="Times New Roman"/>
          <w:b w:val="0"/>
          <w:bCs w:val="0"/>
          <w:i w:val="0"/>
          <w:iCs w:val="0"/>
          <w:sz w:val="24"/>
          <w:szCs w:val="24"/>
          <w:lang w:val="en-US"/>
        </w:rPr>
        <w:t>http://www.chinadaily.com.cn/cndy/201008/30/content_11221839.htm</w:t>
      </w:r>
      <w:r>
        <w:rPr>
          <w:rFonts w:hint="default" w:ascii="Times New Roman" w:hAnsi="Times New Roman" w:cs="Times New Roman"/>
          <w:b w:val="0"/>
          <w:bCs w:val="0"/>
          <w:i w:val="0"/>
          <w:iCs w:val="0"/>
          <w:color w:val="auto"/>
          <w:sz w:val="24"/>
          <w:szCs w:val="24"/>
          <w:lang w:val="en-US"/>
        </w:rPr>
        <w:fldChar w:fldCharType="end"/>
      </w:r>
      <w:r>
        <w:rPr>
          <w:rFonts w:hint="default" w:ascii="Times New Roman" w:hAnsi="Times New Roman" w:eastAsia="SimSun" w:cs="Times New Roman"/>
          <w:b w:val="0"/>
          <w:bCs w:val="0"/>
          <w:i w:val="0"/>
          <w:iCs w:val="0"/>
          <w:color w:val="auto"/>
          <w:sz w:val="24"/>
          <w:szCs w:val="24"/>
          <w:lang w:val="en-US" w:eastAsia="zh-CN"/>
        </w:rPr>
        <w:t xml:space="preserve"> (Accessed 2010)</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Faulkner, D. and Bowman, C. (1995), The Essence of Competitive Strategy, Prentice Hall, 12(1),145-146.</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Gan, Q. (2005), Li Ning Vs Nike's Inspiration to China's Sports Goods Industry, Tsinghua University, 124-129.</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Han, Z. (2003), Brand Internationalization Strategy, Fudan University Publishing House, 9(1), 34-37.</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Hao, J. (2007), the thinking of the national sports brand to create an international brand, the group economic research, 121-146.</w:t>
      </w:r>
    </w:p>
    <w:p>
      <w:pPr>
        <w:spacing w:line="480" w:lineRule="auto"/>
        <w:jc w:val="both"/>
        <w:rPr>
          <w:rFonts w:hint="default" w:ascii="Times New Roman" w:hAnsi="Times New Roman" w:cs="Times New Roman"/>
          <w:b w:val="0"/>
          <w:bCs w:val="0"/>
          <w:i w:val="0"/>
          <w:iCs w:val="0"/>
          <w:color w:val="auto"/>
          <w:sz w:val="24"/>
          <w:szCs w:val="24"/>
          <w:lang w:val="en-US"/>
        </w:rPr>
      </w:pPr>
      <w:bookmarkStart w:id="34" w:name="_Hlk14213541"/>
      <w:r>
        <w:rPr>
          <w:rFonts w:hint="default" w:ascii="Times New Roman" w:hAnsi="Times New Roman" w:cs="Times New Roman"/>
          <w:b w:val="0"/>
          <w:bCs w:val="0"/>
          <w:i w:val="0"/>
          <w:iCs w:val="0"/>
          <w:color w:val="auto"/>
          <w:sz w:val="24"/>
          <w:szCs w:val="24"/>
        </w:rPr>
        <w:t>Inderst, R., &amp; Wey, C. (2007</w:t>
      </w:r>
      <w:bookmarkEnd w:id="34"/>
      <w:r>
        <w:rPr>
          <w:rFonts w:hint="default" w:ascii="Times New Roman" w:hAnsi="Times New Roman" w:cs="Times New Roman"/>
          <w:b w:val="0"/>
          <w:bCs w:val="0"/>
          <w:i w:val="0"/>
          <w:iCs w:val="0"/>
          <w:color w:val="auto"/>
          <w:sz w:val="24"/>
          <w:szCs w:val="24"/>
        </w:rPr>
        <w:t>). Buyer power and supplier incentives. European Economic Review, 51(3), 647-667.</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Lai, Y. (2008), Thoughts on the strategy of international branding in China's corporate brand, commercialization, 32(1), 112-123.</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Lang, J. (2008), Li Ning's Olympic marketing strategy research, market research, 32 (1), 456-560.</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Li, H. (2014), Internet Thinking and Traditional Enterprise Reengineering, China Industrial Economy, 6(10), 135-140.</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Linkshop. (2019), 6 well-known sports brands at home and abroad big PK 2018 who is the most moisturizing?</w:t>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t>[ONLINE] Avaliable at:</w:t>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fldChar w:fldCharType="begin"/>
      </w:r>
      <w:r>
        <w:rPr>
          <w:rFonts w:hint="default" w:ascii="Times New Roman" w:hAnsi="Times New Roman" w:cs="Times New Roman"/>
          <w:b w:val="0"/>
          <w:bCs w:val="0"/>
          <w:i w:val="0"/>
          <w:iCs w:val="0"/>
          <w:color w:val="auto"/>
          <w:sz w:val="24"/>
          <w:szCs w:val="24"/>
          <w:lang w:val="en-US"/>
        </w:rPr>
        <w:instrText xml:space="preserve"> HYPERLINK "http://www.linkshop.com.cn/web/archives/2019/424383.shtml?sf=wd_search" </w:instrText>
      </w:r>
      <w:r>
        <w:rPr>
          <w:rFonts w:hint="default" w:ascii="Times New Roman" w:hAnsi="Times New Roman" w:cs="Times New Roman"/>
          <w:b w:val="0"/>
          <w:bCs w:val="0"/>
          <w:i w:val="0"/>
          <w:iCs w:val="0"/>
          <w:color w:val="auto"/>
          <w:sz w:val="24"/>
          <w:szCs w:val="24"/>
          <w:lang w:val="en-US"/>
        </w:rPr>
        <w:fldChar w:fldCharType="separate"/>
      </w:r>
      <w:r>
        <w:rPr>
          <w:rStyle w:val="13"/>
          <w:rFonts w:hint="default" w:ascii="Times New Roman" w:hAnsi="Times New Roman" w:cs="Times New Roman"/>
          <w:b w:val="0"/>
          <w:bCs w:val="0"/>
          <w:i w:val="0"/>
          <w:iCs w:val="0"/>
          <w:sz w:val="24"/>
          <w:szCs w:val="24"/>
          <w:lang w:val="en-US"/>
        </w:rPr>
        <w:t>http://www.linkshop.com.cn/web/archives/2019/424383.shtml?sf=wd_search</w:t>
      </w:r>
      <w:r>
        <w:rPr>
          <w:rFonts w:hint="default" w:ascii="Times New Roman" w:hAnsi="Times New Roman" w:cs="Times New Roman"/>
          <w:b w:val="0"/>
          <w:bCs w:val="0"/>
          <w:i w:val="0"/>
          <w:iCs w:val="0"/>
          <w:color w:val="auto"/>
          <w:sz w:val="24"/>
          <w:szCs w:val="24"/>
          <w:lang w:val="en-US"/>
        </w:rPr>
        <w:fldChar w:fldCharType="end"/>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t>(Accessed at 2019)</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Li</w:t>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t>Ning</w:t>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t>(2019), Brand History, [ONLINE] Avaliable at:</w:t>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fldChar w:fldCharType="begin"/>
      </w:r>
      <w:r>
        <w:rPr>
          <w:rFonts w:hint="default" w:ascii="Times New Roman" w:hAnsi="Times New Roman" w:cs="Times New Roman"/>
          <w:b w:val="0"/>
          <w:bCs w:val="0"/>
          <w:i w:val="0"/>
          <w:iCs w:val="0"/>
          <w:color w:val="auto"/>
          <w:sz w:val="24"/>
          <w:szCs w:val="24"/>
          <w:lang w:val="en-US"/>
        </w:rPr>
        <w:instrText xml:space="preserve"> HYPERLINK "http://www.lining.com/brand/history.html" </w:instrText>
      </w:r>
      <w:r>
        <w:rPr>
          <w:rFonts w:hint="default" w:ascii="Times New Roman" w:hAnsi="Times New Roman" w:cs="Times New Roman"/>
          <w:b w:val="0"/>
          <w:bCs w:val="0"/>
          <w:i w:val="0"/>
          <w:iCs w:val="0"/>
          <w:color w:val="auto"/>
          <w:sz w:val="24"/>
          <w:szCs w:val="24"/>
          <w:lang w:val="en-US"/>
        </w:rPr>
        <w:fldChar w:fldCharType="separate"/>
      </w:r>
      <w:r>
        <w:rPr>
          <w:rStyle w:val="13"/>
          <w:rFonts w:hint="default" w:ascii="Times New Roman" w:hAnsi="Times New Roman" w:cs="Times New Roman"/>
          <w:b w:val="0"/>
          <w:bCs w:val="0"/>
          <w:i w:val="0"/>
          <w:iCs w:val="0"/>
          <w:sz w:val="24"/>
          <w:szCs w:val="24"/>
          <w:lang w:val="en-US"/>
        </w:rPr>
        <w:t>http://www.lining.com/brand/history.html</w:t>
      </w:r>
      <w:r>
        <w:rPr>
          <w:rFonts w:hint="default" w:ascii="Times New Roman" w:hAnsi="Times New Roman" w:cs="Times New Roman"/>
          <w:b w:val="0"/>
          <w:bCs w:val="0"/>
          <w:i w:val="0"/>
          <w:iCs w:val="0"/>
          <w:color w:val="auto"/>
          <w:sz w:val="24"/>
          <w:szCs w:val="24"/>
          <w:lang w:val="en-US"/>
        </w:rPr>
        <w:fldChar w:fldCharType="end"/>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t>(Accessed at 2019)</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Ma, N. (2010), Research on the Marketing Strategy of Physical Education in China, Sports and Culture Guide, 12(3), 45-47.</w:t>
      </w:r>
    </w:p>
    <w:p>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 xml:space="preserve">Nielsen.(2015), Nielsen released the latest "2015 China Sports Crowd Survey Research Report", [ONLINE] Avaliable at: </w:t>
      </w:r>
      <w:r>
        <w:rPr>
          <w:rFonts w:hint="default" w:ascii="Times New Roman" w:hAnsi="Times New Roman" w:cs="Times New Roman"/>
          <w:b w:val="0"/>
          <w:bCs w:val="0"/>
          <w:i w:val="0"/>
          <w:iCs w:val="0"/>
          <w:color w:val="auto"/>
          <w:sz w:val="24"/>
          <w:szCs w:val="24"/>
          <w:lang w:val="en-US"/>
        </w:rPr>
        <w:fldChar w:fldCharType="begin"/>
      </w:r>
      <w:r>
        <w:rPr>
          <w:rFonts w:hint="default" w:ascii="Times New Roman" w:hAnsi="Times New Roman" w:cs="Times New Roman"/>
          <w:b w:val="0"/>
          <w:bCs w:val="0"/>
          <w:i w:val="0"/>
          <w:iCs w:val="0"/>
          <w:color w:val="auto"/>
          <w:sz w:val="24"/>
          <w:szCs w:val="24"/>
          <w:lang w:val="en-US"/>
        </w:rPr>
        <w:instrText xml:space="preserve"> HYPERLINK "https://www.nielsen.com/cn/zh/insights/article/2015/unleashing-the-consumption-power-of-china-s-emerging-sports-enthusiasts/" </w:instrText>
      </w:r>
      <w:r>
        <w:rPr>
          <w:rFonts w:hint="default" w:ascii="Times New Roman" w:hAnsi="Times New Roman" w:cs="Times New Roman"/>
          <w:b w:val="0"/>
          <w:bCs w:val="0"/>
          <w:i w:val="0"/>
          <w:iCs w:val="0"/>
          <w:color w:val="auto"/>
          <w:sz w:val="24"/>
          <w:szCs w:val="24"/>
          <w:lang w:val="en-US"/>
        </w:rPr>
        <w:fldChar w:fldCharType="separate"/>
      </w:r>
      <w:r>
        <w:rPr>
          <w:rStyle w:val="13"/>
          <w:rFonts w:hint="default" w:ascii="Times New Roman" w:hAnsi="Times New Roman" w:cs="Times New Roman"/>
          <w:b w:val="0"/>
          <w:bCs w:val="0"/>
          <w:i w:val="0"/>
          <w:iCs w:val="0"/>
          <w:sz w:val="24"/>
          <w:szCs w:val="24"/>
          <w:lang w:val="en-US"/>
        </w:rPr>
        <w:t>https://www.nielsen.com/cn/zh/insights/article/2015/unleashing-the-consumption-power-of-china-s-emerging-sports-enthusiasts/</w:t>
      </w:r>
      <w:r>
        <w:rPr>
          <w:rFonts w:hint="default" w:ascii="Times New Roman" w:hAnsi="Times New Roman" w:cs="Times New Roman"/>
          <w:b w:val="0"/>
          <w:bCs w:val="0"/>
          <w:i w:val="0"/>
          <w:iCs w:val="0"/>
          <w:color w:val="auto"/>
          <w:sz w:val="24"/>
          <w:szCs w:val="24"/>
          <w:lang w:val="en-US"/>
        </w:rPr>
        <w:fldChar w:fldCharType="end"/>
      </w:r>
      <w:r>
        <w:rPr>
          <w:rFonts w:hint="default" w:ascii="Times New Roman" w:hAnsi="Times New Roman" w:eastAsia="SimSun" w:cs="Times New Roman"/>
          <w:b w:val="0"/>
          <w:bCs w:val="0"/>
          <w:i w:val="0"/>
          <w:iCs w:val="0"/>
          <w:color w:val="auto"/>
          <w:sz w:val="24"/>
          <w:szCs w:val="24"/>
          <w:lang w:val="en-US" w:eastAsia="zh-CN"/>
        </w:rPr>
        <w:t xml:space="preserve"> </w:t>
      </w:r>
      <w:r>
        <w:rPr>
          <w:rFonts w:hint="default" w:ascii="Times New Roman" w:hAnsi="Times New Roman" w:cs="Times New Roman"/>
          <w:b w:val="0"/>
          <w:bCs w:val="0"/>
          <w:i w:val="0"/>
          <w:iCs w:val="0"/>
          <w:color w:val="auto"/>
          <w:sz w:val="24"/>
          <w:szCs w:val="24"/>
          <w:lang w:val="en-US"/>
        </w:rPr>
        <w:t xml:space="preserve"> (Accessed</w:t>
      </w:r>
      <w:r>
        <w:rPr>
          <w:rFonts w:hint="default" w:ascii="Times New Roman" w:hAnsi="Times New Roman" w:eastAsia="SimSun" w:cs="Times New Roman"/>
          <w:b w:val="0"/>
          <w:bCs w:val="0"/>
          <w:i w:val="0"/>
          <w:iCs w:val="0"/>
          <w:color w:val="auto"/>
          <w:sz w:val="24"/>
          <w:szCs w:val="24"/>
          <w:lang w:val="en-US" w:eastAsia="zh-CN"/>
        </w:rPr>
        <w:t xml:space="preserve"> at</w:t>
      </w:r>
      <w:r>
        <w:rPr>
          <w:rFonts w:hint="default" w:ascii="Times New Roman" w:hAnsi="Times New Roman" w:cs="Times New Roman"/>
          <w:b w:val="0"/>
          <w:bCs w:val="0"/>
          <w:i w:val="0"/>
          <w:iCs w:val="0"/>
          <w:color w:val="auto"/>
          <w:sz w:val="24"/>
          <w:szCs w:val="24"/>
          <w:lang w:val="en-US"/>
        </w:rPr>
        <w:t xml:space="preserve"> 2015)</w:t>
      </w:r>
    </w:p>
    <w:p>
      <w:pPr>
        <w:keepNext w:val="0"/>
        <w:keepLines w:val="0"/>
        <w:pageBreakBefore w:val="0"/>
        <w:widowControl/>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b w:val="0"/>
          <w:bCs w:val="0"/>
          <w:i w:val="0"/>
          <w:iCs w:val="0"/>
          <w:color w:val="auto"/>
          <w:sz w:val="24"/>
          <w:szCs w:val="24"/>
          <w:lang w:val="en-US"/>
        </w:rPr>
      </w:pPr>
    </w:p>
    <w:p>
      <w:pPr>
        <w:spacing w:line="480" w:lineRule="auto"/>
        <w:ind w:left="720" w:hanging="720"/>
        <w:jc w:val="both"/>
        <w:rPr>
          <w:rFonts w:hint="default" w:ascii="Times New Roman" w:hAnsi="Times New Roman" w:eastAsia="SimSun" w:cs="Times New Roman"/>
          <w:b w:val="0"/>
          <w:bCs w:val="0"/>
          <w:i w:val="0"/>
          <w:iCs w:val="0"/>
          <w:color w:val="auto"/>
          <w:sz w:val="24"/>
          <w:szCs w:val="24"/>
          <w:lang w:val="en-US" w:eastAsia="zh-CN"/>
        </w:rPr>
      </w:pPr>
      <w:r>
        <w:rPr>
          <w:rFonts w:hint="default" w:ascii="Times New Roman" w:hAnsi="Times New Roman" w:cs="Times New Roman"/>
          <w:b w:val="0"/>
          <w:bCs w:val="0"/>
          <w:i w:val="0"/>
          <w:iCs w:val="0"/>
          <w:color w:val="auto"/>
          <w:sz w:val="24"/>
          <w:szCs w:val="24"/>
          <w:lang w:val="en-US"/>
        </w:rPr>
        <w:t>Potter, M.E. (1997), Competitive Strategy, Huaxia Publishing House, 18(3), pp.4-14</w:t>
      </w:r>
      <w:r>
        <w:rPr>
          <w:rFonts w:hint="default" w:ascii="Times New Roman" w:hAnsi="Times New Roman" w:eastAsia="SimSun" w:cs="Times New Roman"/>
          <w:b w:val="0"/>
          <w:bCs w:val="0"/>
          <w:i w:val="0"/>
          <w:iCs w:val="0"/>
          <w:color w:val="auto"/>
          <w:sz w:val="24"/>
          <w:szCs w:val="24"/>
          <w:lang w:val="en-US" w:eastAsia="zh-CN"/>
        </w:rPr>
        <w:t>.</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Shi, X. (2007), Thoughts on the problems in the process of China's international branding, Heilongjiang vs. Foreign Trade, 12(1), 667-689.</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Times New Roman" w:hAnsi="Times New Roman" w:eastAsia="SimSun" w:cs="Times New Roman"/>
          <w:b w:val="0"/>
          <w:bCs w:val="0"/>
          <w:i w:val="0"/>
          <w:iCs w:val="0"/>
          <w:color w:val="auto"/>
          <w:sz w:val="24"/>
          <w:szCs w:val="24"/>
          <w:lang w:val="en-US" w:eastAsia="zh-CN"/>
        </w:rPr>
      </w:pPr>
      <w:r>
        <w:rPr>
          <w:rFonts w:hint="default" w:ascii="Times New Roman" w:hAnsi="Times New Roman" w:cs="Times New Roman"/>
          <w:b w:val="0"/>
          <w:bCs w:val="0"/>
          <w:i w:val="0"/>
          <w:iCs w:val="0"/>
          <w:color w:val="auto"/>
          <w:sz w:val="24"/>
          <w:szCs w:val="24"/>
          <w:lang w:val="en-US"/>
        </w:rPr>
        <w:t xml:space="preserve">Schütte H., Bhattacharyya, S. &amp; Probert, J. (2013). Li-Ning lost out to foreign rivals in China. Financial Times. </w:t>
      </w:r>
      <w:r>
        <w:rPr>
          <w:rFonts w:hint="default" w:ascii="Times New Roman" w:hAnsi="Times New Roman" w:eastAsia="SimSun" w:cs="Times New Roman"/>
          <w:b w:val="0"/>
          <w:bCs w:val="0"/>
          <w:i w:val="0"/>
          <w:iCs w:val="0"/>
          <w:color w:val="auto"/>
          <w:sz w:val="24"/>
          <w:szCs w:val="24"/>
          <w:lang w:val="en-US" w:eastAsia="zh-CN"/>
        </w:rPr>
        <w:t>[ONLINE]Available at:</w:t>
      </w:r>
      <w:r>
        <w:rPr>
          <w:rFonts w:hint="default" w:ascii="Times New Roman" w:hAnsi="Times New Roman" w:cs="Times New Roman"/>
          <w:b w:val="0"/>
          <w:bCs w:val="0"/>
          <w:i w:val="0"/>
          <w:iCs w:val="0"/>
          <w:color w:val="auto"/>
          <w:sz w:val="24"/>
          <w:szCs w:val="24"/>
          <w:lang w:val="en-US"/>
        </w:rPr>
        <w:t xml:space="preserve"> </w:t>
      </w:r>
      <w:r>
        <w:rPr>
          <w:rFonts w:hint="default" w:ascii="Times New Roman" w:hAnsi="Times New Roman" w:cs="Times New Roman"/>
          <w:b w:val="0"/>
          <w:bCs w:val="0"/>
          <w:i w:val="0"/>
          <w:iCs w:val="0"/>
          <w:color w:val="auto"/>
          <w:sz w:val="24"/>
          <w:szCs w:val="24"/>
          <w:lang w:val="en-US"/>
        </w:rPr>
        <w:fldChar w:fldCharType="begin"/>
      </w:r>
      <w:r>
        <w:rPr>
          <w:rFonts w:hint="default" w:ascii="Times New Roman" w:hAnsi="Times New Roman" w:cs="Times New Roman"/>
          <w:b w:val="0"/>
          <w:bCs w:val="0"/>
          <w:i w:val="0"/>
          <w:iCs w:val="0"/>
          <w:color w:val="auto"/>
          <w:sz w:val="24"/>
          <w:szCs w:val="24"/>
          <w:lang w:val="en-US"/>
        </w:rPr>
        <w:instrText xml:space="preserve"> HYPERLINK "https://www.ft.com/content/14a3f514-cea9-11e2-8e16-00144feab7de" </w:instrText>
      </w:r>
      <w:r>
        <w:rPr>
          <w:rFonts w:hint="default" w:ascii="Times New Roman" w:hAnsi="Times New Roman" w:cs="Times New Roman"/>
          <w:b w:val="0"/>
          <w:bCs w:val="0"/>
          <w:i w:val="0"/>
          <w:iCs w:val="0"/>
          <w:color w:val="auto"/>
          <w:sz w:val="24"/>
          <w:szCs w:val="24"/>
          <w:lang w:val="en-US"/>
        </w:rPr>
        <w:fldChar w:fldCharType="separate"/>
      </w:r>
      <w:r>
        <w:rPr>
          <w:rStyle w:val="13"/>
          <w:rFonts w:hint="default" w:ascii="Times New Roman" w:hAnsi="Times New Roman" w:cs="Times New Roman"/>
          <w:b w:val="0"/>
          <w:bCs w:val="0"/>
          <w:i w:val="0"/>
          <w:iCs w:val="0"/>
          <w:sz w:val="24"/>
          <w:szCs w:val="24"/>
          <w:lang w:val="en-US"/>
        </w:rPr>
        <w:t>https://www.ft.com/content/14a3f514-cea9-11e2-8e16-00144feab7de</w:t>
      </w:r>
      <w:r>
        <w:rPr>
          <w:rFonts w:hint="default" w:ascii="Times New Roman" w:hAnsi="Times New Roman" w:cs="Times New Roman"/>
          <w:b w:val="0"/>
          <w:bCs w:val="0"/>
          <w:i w:val="0"/>
          <w:iCs w:val="0"/>
          <w:color w:val="auto"/>
          <w:sz w:val="24"/>
          <w:szCs w:val="24"/>
          <w:lang w:val="en-US"/>
        </w:rPr>
        <w:fldChar w:fldCharType="end"/>
      </w:r>
      <w:r>
        <w:rPr>
          <w:rFonts w:hint="default" w:ascii="Times New Roman" w:hAnsi="Times New Roman" w:eastAsia="SimSun" w:cs="Times New Roman"/>
          <w:b w:val="0"/>
          <w:bCs w:val="0"/>
          <w:i w:val="0"/>
          <w:iCs w:val="0"/>
          <w:color w:val="auto"/>
          <w:sz w:val="24"/>
          <w:szCs w:val="24"/>
          <w:lang w:val="en-US" w:eastAsia="zh-CN"/>
        </w:rPr>
        <w:t xml:space="preserve"> (Accessed at 2013)</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rPr>
        <w:t xml:space="preserve">Watts, G., Cope, J., &amp; Hulme, M. (1998). Ansoff’s matrix, pain and gain: growth strategies and adaptive learning among small food producers. International Journal of Entrepreneurial Behaviour &amp; Research, 4(2), 101-111. </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Weng, X. (2008), Local Brand Strategy, Nanjing University Publishing House, 12(6) ,34-35.</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Xu, P. (2008), a brief discussion on the internationalization strategy of self-owned brands and brands, commercial era, 12(1), 1123-1134.</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Yang, D. (2007), Macro Environment Analysis of Sports Industry under the Model, Research and Exploration, 12(8), 50-51.</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Ye, T. (2008), Li Ning, Public Welfare Brand Marketing Research Company, Beijing University of Posts and Telecommunications, 5(1) 23-24.</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Yu, R. (2010), Li ning brand marketing strategy research, Jiangsu science and technology information, 12 (7),113-114.</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Zeng, Z. (2004), 15 steps of the brand, China Business and Industry Press, 12 (1), 56-58.</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Zhang J. (2007), Globalization Strategy and Internationalization of Chinese Enterprises, Corporate Management Publishing House, 145-156.</w:t>
      </w:r>
    </w:p>
    <w:p>
      <w:pPr>
        <w:spacing w:line="480" w:lineRule="auto"/>
        <w:jc w:val="both"/>
        <w:rPr>
          <w:rFonts w:hint="default" w:ascii="Times New Roman" w:hAnsi="Times New Roman" w:cs="Times New Roman"/>
          <w:b w:val="0"/>
          <w:bCs w:val="0"/>
          <w:i w:val="0"/>
          <w:iCs w:val="0"/>
          <w:color w:val="auto"/>
          <w:sz w:val="24"/>
          <w:szCs w:val="24"/>
          <w:lang w:val="en-US"/>
        </w:rPr>
      </w:pPr>
      <w:r>
        <w:rPr>
          <w:rFonts w:hint="default" w:ascii="Times New Roman" w:hAnsi="Times New Roman" w:cs="Times New Roman"/>
          <w:b w:val="0"/>
          <w:bCs w:val="0"/>
          <w:i w:val="0"/>
          <w:iCs w:val="0"/>
          <w:color w:val="auto"/>
          <w:sz w:val="24"/>
          <w:szCs w:val="24"/>
          <w:lang w:val="en-US"/>
        </w:rPr>
        <w:t>Zhang, J. (2008), Li Ning Group, Health Products, Brand Management, Science and Technology Economic Market, 23(1),25-26.</w:t>
      </w: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Times New Roman" w:hAnsi="Times New Roman" w:eastAsia="SimSun" w:cs="Times New Roman"/>
          <w:b w:val="0"/>
          <w:bCs w:val="0"/>
          <w:i w:val="0"/>
          <w:iCs w:val="0"/>
          <w:color w:val="auto"/>
          <w:sz w:val="24"/>
          <w:szCs w:val="24"/>
          <w:lang w:val="en-US" w:eastAsia="zh-CN"/>
        </w:rPr>
      </w:pPr>
      <w:r>
        <w:rPr>
          <w:rFonts w:hint="default" w:ascii="Times New Roman" w:hAnsi="Times New Roman" w:cs="Times New Roman"/>
          <w:b w:val="0"/>
          <w:bCs w:val="0"/>
          <w:i w:val="0"/>
          <w:iCs w:val="0"/>
          <w:color w:val="auto"/>
          <w:sz w:val="24"/>
          <w:szCs w:val="24"/>
          <w:lang w:val="en-US"/>
        </w:rPr>
        <w:t xml:space="preserve">Zhen, S. (2015). Booming e-commerce growth is pushing China’s logistics system to its limit, promoting calls for improvements. South China Morning Post. </w:t>
      </w:r>
      <w:r>
        <w:rPr>
          <w:rFonts w:hint="default" w:ascii="Times New Roman" w:hAnsi="Times New Roman" w:eastAsia="SimSun" w:cs="Times New Roman"/>
          <w:b w:val="0"/>
          <w:bCs w:val="0"/>
          <w:i w:val="0"/>
          <w:iCs w:val="0"/>
          <w:color w:val="auto"/>
          <w:sz w:val="24"/>
          <w:szCs w:val="24"/>
          <w:lang w:val="en-US" w:eastAsia="zh-CN"/>
        </w:rPr>
        <w:t xml:space="preserve">[ONLINE]Available at: </w:t>
      </w:r>
      <w:r>
        <w:rPr>
          <w:rFonts w:hint="default" w:ascii="Times New Roman" w:hAnsi="Times New Roman" w:cs="Times New Roman"/>
          <w:b w:val="0"/>
          <w:bCs w:val="0"/>
          <w:i w:val="0"/>
          <w:iCs w:val="0"/>
          <w:color w:val="auto"/>
          <w:sz w:val="24"/>
          <w:szCs w:val="24"/>
          <w:lang w:val="en-US"/>
        </w:rPr>
        <w:fldChar w:fldCharType="begin"/>
      </w:r>
      <w:r>
        <w:rPr>
          <w:rFonts w:hint="default" w:ascii="Times New Roman" w:hAnsi="Times New Roman" w:cs="Times New Roman"/>
          <w:b w:val="0"/>
          <w:bCs w:val="0"/>
          <w:i w:val="0"/>
          <w:iCs w:val="0"/>
          <w:color w:val="auto"/>
          <w:sz w:val="24"/>
          <w:szCs w:val="24"/>
          <w:lang w:val="en-US"/>
        </w:rPr>
        <w:instrText xml:space="preserve"> HYPERLINK "https://www.scmp.com/business/companies/article/1880564/booming-e-commerce-growth-pushing-chinas-logistics-system-its" </w:instrText>
      </w:r>
      <w:r>
        <w:rPr>
          <w:rFonts w:hint="default" w:ascii="Times New Roman" w:hAnsi="Times New Roman" w:cs="Times New Roman"/>
          <w:b w:val="0"/>
          <w:bCs w:val="0"/>
          <w:i w:val="0"/>
          <w:iCs w:val="0"/>
          <w:color w:val="auto"/>
          <w:sz w:val="24"/>
          <w:szCs w:val="24"/>
          <w:lang w:val="en-US"/>
        </w:rPr>
        <w:fldChar w:fldCharType="separate"/>
      </w:r>
      <w:r>
        <w:rPr>
          <w:rStyle w:val="13"/>
          <w:rFonts w:hint="default" w:ascii="Times New Roman" w:hAnsi="Times New Roman" w:cs="Times New Roman"/>
          <w:b w:val="0"/>
          <w:bCs w:val="0"/>
          <w:i w:val="0"/>
          <w:iCs w:val="0"/>
          <w:sz w:val="24"/>
          <w:szCs w:val="24"/>
          <w:lang w:val="en-US"/>
        </w:rPr>
        <w:t>https://www.scmp.com/business/companies/article/1880564/booming-e-commerce-growth-pushing-chinas-logistics-system-its</w:t>
      </w:r>
      <w:r>
        <w:rPr>
          <w:rFonts w:hint="default" w:ascii="Times New Roman" w:hAnsi="Times New Roman" w:cs="Times New Roman"/>
          <w:b w:val="0"/>
          <w:bCs w:val="0"/>
          <w:i w:val="0"/>
          <w:iCs w:val="0"/>
          <w:color w:val="auto"/>
          <w:sz w:val="24"/>
          <w:szCs w:val="24"/>
          <w:lang w:val="en-US"/>
        </w:rPr>
        <w:fldChar w:fldCharType="end"/>
      </w:r>
      <w:r>
        <w:rPr>
          <w:rFonts w:hint="default" w:ascii="Times New Roman" w:hAnsi="Times New Roman" w:eastAsia="SimSun" w:cs="Times New Roman"/>
          <w:b w:val="0"/>
          <w:bCs w:val="0"/>
          <w:i w:val="0"/>
          <w:iCs w:val="0"/>
          <w:color w:val="auto"/>
          <w:sz w:val="24"/>
          <w:szCs w:val="24"/>
          <w:lang w:val="en-US" w:eastAsia="zh-CN"/>
        </w:rPr>
        <w:t xml:space="preserve"> (Accessed at 2015)</w:t>
      </w:r>
    </w:p>
    <w:p>
      <w:pPr>
        <w:spacing w:line="480" w:lineRule="auto"/>
        <w:ind w:left="720" w:hanging="720"/>
        <w:jc w:val="both"/>
        <w:rPr>
          <w:rFonts w:hint="default" w:ascii="Times New Roman" w:hAnsi="Times New Roman" w:cs="Times New Roman"/>
          <w:b w:val="0"/>
          <w:bCs w:val="0"/>
          <w:color w:val="auto"/>
          <w:sz w:val="24"/>
          <w:szCs w:val="24"/>
          <w:lang w:val="en-US"/>
        </w:rPr>
      </w:pPr>
    </w:p>
    <w:p>
      <w:pPr>
        <w:spacing w:line="480" w:lineRule="auto"/>
        <w:ind w:left="720" w:hanging="720"/>
        <w:jc w:val="both"/>
        <w:rPr>
          <w:rFonts w:hint="default" w:ascii="Times New Roman" w:hAnsi="Times New Roman" w:cs="Times New Roman"/>
          <w:b w:val="0"/>
          <w:bCs w:val="0"/>
          <w:color w:val="auto"/>
          <w:sz w:val="24"/>
          <w:szCs w:val="24"/>
          <w:lang w:val="en-US"/>
        </w:rPr>
      </w:pPr>
    </w:p>
    <w:p>
      <w:pPr>
        <w:spacing w:line="480" w:lineRule="auto"/>
        <w:ind w:left="720" w:hanging="720"/>
        <w:jc w:val="both"/>
        <w:rPr>
          <w:rFonts w:hint="default" w:ascii="Times New Roman" w:hAnsi="Times New Roman" w:cs="Times New Roman"/>
          <w:b w:val="0"/>
          <w:bCs w:val="0"/>
          <w:color w:val="auto"/>
          <w:sz w:val="24"/>
          <w:szCs w:val="24"/>
          <w:lang w:val="en-US"/>
        </w:rPr>
      </w:pPr>
    </w:p>
    <w:sectPr>
      <w:footerReference r:id="rId4" w:type="default"/>
      <w:pgSz w:w="12240" w:h="15840"/>
      <w:pgMar w:top="1440" w:right="1800" w:bottom="1440" w:left="180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FangSong">
    <w:panose1 w:val="02010609060101010101"/>
    <w:charset w:val="86"/>
    <w:family w:val="modern"/>
    <w:pitch w:val="default"/>
    <w:sig w:usb0="800002BF" w:usb1="38CF7CFA" w:usb2="00000016" w:usb3="00000000" w:csb0="00040001" w:csb1="00000000"/>
  </w:font>
  <w:font w:name="Calibri Light">
    <w:panose1 w:val="020F0302020204030204"/>
    <w:charset w:val="00"/>
    <w:family w:val="swiss"/>
    <w:pitch w:val="default"/>
    <w:sig w:usb0="E0002AFF" w:usb1="C000247B" w:usb2="00000009" w:usb3="00000000" w:csb0="200001FF" w:csb1="00000000"/>
  </w:font>
  <w:font w:name="DengXian Light">
    <w:panose1 w:val="02010600030101010101"/>
    <w:charset w:val="86"/>
    <w:family w:val="auto"/>
    <w:pitch w:val="default"/>
    <w:sig w:usb0="A00002BF" w:usb1="38CF7CFA" w:usb2="00000016" w:usb3="00000000" w:csb0="0004000F" w:csb1="00000000"/>
  </w:font>
  <w:font w:name="Microsoft YaHei">
    <w:panose1 w:val="020B0503020204020204"/>
    <w:charset w:val="86"/>
    <w:family w:val="swiss"/>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pP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rPr>
    </w:pPr>
    <w:r>
      <w:rPr>
        <w:rFonts w:hint="default" w:ascii="Times New Roman" w:hAnsi="Times New Roman" w:cs="Times New Roman"/>
        <w:sz w:val="24"/>
        <w:szCs w:val="24"/>
      </w:rPr>
      <w:pict>
        <v:shape id="文本框 2" o:spid="_x0000_s4097"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path/>
          <v:fill on="f" focussize="0,0"/>
          <v:stroke on="f" weight="0.5pt"/>
          <v:imagedata o:title=""/>
          <o:lock v:ext="edit" aspectratio="f"/>
          <v:textbox inset="0mm,0mm,0mm,0mm" style="mso-fit-shape-to-text:t;">
            <w:txbxContent>
              <w:p>
                <w:pPr>
                  <w:pStyle w:val="6"/>
                  <w:rPr>
                    <w:rFonts w:hint="eastAsia" w:eastAsia="SimSun"/>
                    <w:lang w:eastAsia="zh-CN"/>
                  </w:rPr>
                </w:pPr>
                <w:r>
                  <w:rPr>
                    <w:rFonts w:hint="eastAsia" w:eastAsia="SimSun"/>
                    <w:lang w:eastAsia="zh-CN"/>
                  </w:rPr>
                  <w:fldChar w:fldCharType="begin"/>
                </w:r>
                <w:r>
                  <w:rPr>
                    <w:rFonts w:hint="eastAsia" w:eastAsia="SimSun"/>
                    <w:lang w:eastAsia="zh-CN"/>
                  </w:rPr>
                  <w:instrText xml:space="preserve"> PAGE  \* MERGEFORMAT </w:instrText>
                </w:r>
                <w:r>
                  <w:rPr>
                    <w:rFonts w:hint="eastAsia" w:eastAsia="SimSun"/>
                    <w:lang w:eastAsia="zh-CN"/>
                  </w:rPr>
                  <w:fldChar w:fldCharType="separate"/>
                </w:r>
                <w:r>
                  <w:rPr>
                    <w:rFonts w:hint="eastAsia" w:eastAsia="SimSun"/>
                    <w:lang w:eastAsia="zh-CN"/>
                  </w:rPr>
                  <w:t>1</w:t>
                </w:r>
                <w:r>
                  <w:rPr>
                    <w:rFonts w:hint="eastAsia" w:eastAsia="SimSun"/>
                    <w:lang w:eastAsia="zh-CN"/>
                  </w:rPr>
                  <w:fldChar w:fldCharType="end"/>
                </w:r>
              </w:p>
            </w:txbxContent>
          </v:textbox>
        </v:shape>
      </w:pict>
    </w:r>
  </w:p>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98D58CC"/>
    <w:multiLevelType w:val="singleLevel"/>
    <w:tmpl w:val="A98D58CC"/>
    <w:lvl w:ilvl="0" w:tentative="0">
      <w:start w:val="1"/>
      <w:numFmt w:val="decimal"/>
      <w:suff w:val="space"/>
      <w:lvlText w:val="%1."/>
      <w:lvlJc w:val="left"/>
    </w:lvl>
  </w:abstractNum>
  <w:abstractNum w:abstractNumId="1">
    <w:nsid w:val="FF8FAC12"/>
    <w:multiLevelType w:val="singleLevel"/>
    <w:tmpl w:val="FF8FAC12"/>
    <w:lvl w:ilvl="0" w:tentative="0">
      <w:start w:val="1"/>
      <w:numFmt w:val="decimal"/>
      <w:lvlText w:val="%1."/>
      <w:lvlJc w:val="left"/>
      <w:pPr>
        <w:tabs>
          <w:tab w:val="left" w:pos="312"/>
        </w:tabs>
      </w:pPr>
    </w:lvl>
  </w:abstractNum>
  <w:abstractNum w:abstractNumId="2">
    <w:nsid w:val="456FA991"/>
    <w:multiLevelType w:val="singleLevel"/>
    <w:tmpl w:val="456FA991"/>
    <w:lvl w:ilvl="0" w:tentative="0">
      <w:start w:val="1"/>
      <w:numFmt w:val="decimal"/>
      <w:lvlText w:val="%1."/>
      <w:lvlJc w:val="left"/>
      <w:pPr>
        <w:tabs>
          <w:tab w:val="left" w:pos="312"/>
        </w:tabs>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hyphenationZone w:val="360"/>
  <w:displayHorizontalDrawingGridEvery w:val="1"/>
  <w:displayVerticalDrawingGridEvery w:val="1"/>
  <w:characterSpacingControl w:val="doNotCompress"/>
  <w:hdrShapeDefaults>
    <o:shapelayout v:ext="edit">
      <o:idmap v:ext="edit" data="3,4"/>
    </o:shapelayout>
  </w:hdrShapeDefault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2B1531"/>
    <w:rsid w:val="00004F98"/>
    <w:rsid w:val="000A1F02"/>
    <w:rsid w:val="00182052"/>
    <w:rsid w:val="001F5C77"/>
    <w:rsid w:val="00203F13"/>
    <w:rsid w:val="00250FCA"/>
    <w:rsid w:val="002902AD"/>
    <w:rsid w:val="002B1531"/>
    <w:rsid w:val="003540E0"/>
    <w:rsid w:val="00357A9C"/>
    <w:rsid w:val="003A2275"/>
    <w:rsid w:val="0042505D"/>
    <w:rsid w:val="00475BB2"/>
    <w:rsid w:val="004E2922"/>
    <w:rsid w:val="00520B01"/>
    <w:rsid w:val="00634CD2"/>
    <w:rsid w:val="006A48EB"/>
    <w:rsid w:val="006C0686"/>
    <w:rsid w:val="006D4AEF"/>
    <w:rsid w:val="006F229D"/>
    <w:rsid w:val="007378BA"/>
    <w:rsid w:val="00757C0D"/>
    <w:rsid w:val="00974488"/>
    <w:rsid w:val="0098791C"/>
    <w:rsid w:val="009C6C1E"/>
    <w:rsid w:val="00BC0304"/>
    <w:rsid w:val="00C71B6A"/>
    <w:rsid w:val="00C971FE"/>
    <w:rsid w:val="00CF2EF6"/>
    <w:rsid w:val="00D13C14"/>
    <w:rsid w:val="00F13180"/>
    <w:rsid w:val="00FD14F5"/>
    <w:rsid w:val="01F21622"/>
    <w:rsid w:val="085B794E"/>
    <w:rsid w:val="0CAC626E"/>
    <w:rsid w:val="0DAA3510"/>
    <w:rsid w:val="166121EF"/>
    <w:rsid w:val="1C40560B"/>
    <w:rsid w:val="1CDB06A1"/>
    <w:rsid w:val="1D662634"/>
    <w:rsid w:val="2E8B054A"/>
    <w:rsid w:val="32EC0E65"/>
    <w:rsid w:val="3B886084"/>
    <w:rsid w:val="3E275885"/>
    <w:rsid w:val="3E8D77B9"/>
    <w:rsid w:val="40C72ADC"/>
    <w:rsid w:val="427D1970"/>
    <w:rsid w:val="4455746F"/>
    <w:rsid w:val="46FB603E"/>
    <w:rsid w:val="49186BF9"/>
    <w:rsid w:val="494E3607"/>
    <w:rsid w:val="4AAA7292"/>
    <w:rsid w:val="4EA35A3C"/>
    <w:rsid w:val="4F5C2367"/>
    <w:rsid w:val="51007612"/>
    <w:rsid w:val="530C52C8"/>
    <w:rsid w:val="5A6E2227"/>
    <w:rsid w:val="5F13419F"/>
    <w:rsid w:val="60AB6C96"/>
    <w:rsid w:val="660A5012"/>
    <w:rsid w:val="6ABC13D2"/>
    <w:rsid w:val="6B2C0632"/>
    <w:rsid w:val="6D8E4A37"/>
    <w:rsid w:val="6E974530"/>
    <w:rsid w:val="79285C4D"/>
    <w:rsid w:val="7ABC793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FangSong"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link w:val="16"/>
    <w:qFormat/>
    <w:uiPriority w:val="9"/>
    <w:pPr>
      <w:keepNext/>
      <w:keepLines/>
      <w:spacing w:before="240" w:after="0"/>
      <w:outlineLvl w:val="0"/>
    </w:pPr>
    <w:rPr>
      <w:rFonts w:ascii="Calibri Light" w:hAnsi="Calibri Light" w:eastAsia="DengXian Light" w:cs="Times New Roman"/>
      <w:color w:val="2F5496"/>
      <w:sz w:val="32"/>
      <w:szCs w:val="32"/>
    </w:rPr>
  </w:style>
  <w:style w:type="paragraph" w:styleId="3">
    <w:name w:val="heading 2"/>
    <w:basedOn w:val="1"/>
    <w:next w:val="1"/>
    <w:link w:val="17"/>
    <w:unhideWhenUsed/>
    <w:qFormat/>
    <w:uiPriority w:val="9"/>
    <w:pPr>
      <w:keepNext/>
      <w:keepLines/>
      <w:spacing w:before="40" w:after="0"/>
      <w:outlineLvl w:val="1"/>
    </w:pPr>
    <w:rPr>
      <w:rFonts w:ascii="Calibri Light" w:hAnsi="Calibri Light" w:eastAsia="DengXian Light" w:cs="Times New Roman"/>
      <w:color w:val="2F5496"/>
      <w:sz w:val="26"/>
      <w:szCs w:val="26"/>
    </w:rPr>
  </w:style>
  <w:style w:type="paragraph" w:styleId="4">
    <w:name w:val="heading 3"/>
    <w:basedOn w:val="1"/>
    <w:next w:val="1"/>
    <w:link w:val="19"/>
    <w:unhideWhenUsed/>
    <w:qFormat/>
    <w:uiPriority w:val="9"/>
    <w:pPr>
      <w:keepNext/>
      <w:keepLines/>
      <w:spacing w:before="40" w:after="0"/>
      <w:outlineLvl w:val="2"/>
    </w:pPr>
    <w:rPr>
      <w:rFonts w:ascii="Calibri Light" w:hAnsi="Calibri Light" w:eastAsia="DengXian Light" w:cs="Times New Roman"/>
      <w:color w:val="1F3864"/>
      <w:sz w:val="24"/>
      <w:szCs w:val="24"/>
    </w:rPr>
  </w:style>
  <w:style w:type="character" w:default="1" w:styleId="12">
    <w:name w:val="Default Paragraph Font"/>
    <w:unhideWhenUsed/>
    <w:qFormat/>
    <w:uiPriority w:val="1"/>
  </w:style>
  <w:style w:type="table" w:default="1" w:styleId="10">
    <w:name w:val="Normal Table"/>
    <w:unhideWhenUsed/>
    <w:uiPriority w:val="99"/>
    <w:tblPr>
      <w:tblStyle w:val="10"/>
      <w:tblLayout w:type="fixed"/>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link w:val="18"/>
    <w:unhideWhenUsed/>
    <w:uiPriority w:val="99"/>
    <w:pPr>
      <w:tabs>
        <w:tab w:val="center" w:pos="4320"/>
        <w:tab w:val="right" w:pos="8640"/>
      </w:tabs>
      <w:spacing w:after="0" w:line="240" w:lineRule="auto"/>
    </w:pPr>
  </w:style>
  <w:style w:type="paragraph" w:styleId="7">
    <w:name w:val="header"/>
    <w:basedOn w:val="1"/>
    <w:link w:val="15"/>
    <w:unhideWhenUsed/>
    <w:qFormat/>
    <w:uiPriority w:val="99"/>
    <w:pPr>
      <w:tabs>
        <w:tab w:val="center" w:pos="4320"/>
        <w:tab w:val="right" w:pos="8640"/>
      </w:tabs>
      <w:spacing w:after="0" w:line="240" w:lineRule="auto"/>
    </w:pPr>
  </w:style>
  <w:style w:type="paragraph" w:styleId="8">
    <w:name w:val="toc 1"/>
    <w:basedOn w:val="1"/>
    <w:next w:val="1"/>
    <w:unhideWhenUsed/>
    <w:uiPriority w:val="39"/>
    <w:pPr>
      <w:spacing w:after="100"/>
    </w:pPr>
  </w:style>
  <w:style w:type="paragraph" w:styleId="9">
    <w:name w:val="toc 2"/>
    <w:basedOn w:val="1"/>
    <w:next w:val="1"/>
    <w:unhideWhenUsed/>
    <w:qFormat/>
    <w:uiPriority w:val="39"/>
    <w:pPr>
      <w:spacing w:after="100"/>
      <w:ind w:left="220"/>
    </w:pPr>
  </w:style>
  <w:style w:type="table" w:styleId="11">
    <w:name w:val="Table Grid"/>
    <w:basedOn w:val="10"/>
    <w:qFormat/>
    <w:uiPriority w:val="39"/>
    <w:pPr>
      <w:spacing w:after="0" w:line="240" w:lineRule="auto"/>
    </w:pPr>
    <w:tblPr>
      <w:tblStyle w:val="10"/>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3">
    <w:name w:val="Hyperlink"/>
    <w:basedOn w:val="12"/>
    <w:unhideWhenUsed/>
    <w:uiPriority w:val="99"/>
    <w:rPr>
      <w:color w:val="0563C1"/>
      <w:u w:val="single"/>
    </w:rPr>
  </w:style>
  <w:style w:type="paragraph" w:customStyle="1" w:styleId="14">
    <w:name w:val="TOC Heading"/>
    <w:basedOn w:val="2"/>
    <w:next w:val="1"/>
    <w:unhideWhenUsed/>
    <w:qFormat/>
    <w:uiPriority w:val="39"/>
    <w:pPr>
      <w:spacing w:line="259" w:lineRule="auto"/>
      <w:outlineLvl w:val="9"/>
    </w:pPr>
    <w:rPr>
      <w:lang w:val="en-US"/>
    </w:rPr>
  </w:style>
  <w:style w:type="character" w:customStyle="1" w:styleId="15">
    <w:name w:val="Header Char"/>
    <w:basedOn w:val="12"/>
    <w:link w:val="7"/>
    <w:qFormat/>
    <w:uiPriority w:val="99"/>
    <w:rPr>
      <w:rFonts w:ascii="Calibri" w:hAnsi="Calibri" w:eastAsia="Calibri" w:cs="Calibri"/>
      <w:sz w:val="22"/>
      <w:lang w:val="en-GB" w:eastAsia="en-US"/>
    </w:rPr>
  </w:style>
  <w:style w:type="character" w:customStyle="1" w:styleId="16">
    <w:name w:val="Heading 1 Char"/>
    <w:basedOn w:val="12"/>
    <w:link w:val="2"/>
    <w:uiPriority w:val="9"/>
    <w:rPr>
      <w:rFonts w:ascii="Calibri Light" w:hAnsi="Calibri Light" w:eastAsia="DengXian Light" w:cs="Times New Roman"/>
      <w:color w:val="2F5496"/>
      <w:sz w:val="32"/>
      <w:szCs w:val="32"/>
      <w:lang w:val="en-GB" w:eastAsia="en-US"/>
    </w:rPr>
  </w:style>
  <w:style w:type="character" w:customStyle="1" w:styleId="17">
    <w:name w:val="Heading 2 Char"/>
    <w:basedOn w:val="12"/>
    <w:link w:val="3"/>
    <w:qFormat/>
    <w:uiPriority w:val="9"/>
    <w:rPr>
      <w:rFonts w:ascii="Calibri Light" w:hAnsi="Calibri Light" w:eastAsia="DengXian Light" w:cs="Times New Roman"/>
      <w:color w:val="2F5496"/>
      <w:sz w:val="26"/>
      <w:szCs w:val="26"/>
      <w:lang w:val="en-GB" w:eastAsia="en-US"/>
    </w:rPr>
  </w:style>
  <w:style w:type="character" w:customStyle="1" w:styleId="18">
    <w:name w:val="Footer Char"/>
    <w:basedOn w:val="12"/>
    <w:link w:val="6"/>
    <w:uiPriority w:val="99"/>
    <w:rPr>
      <w:rFonts w:ascii="Calibri" w:hAnsi="Calibri" w:eastAsia="Calibri" w:cs="Calibri"/>
      <w:sz w:val="22"/>
      <w:lang w:val="en-GB" w:eastAsia="en-US"/>
    </w:rPr>
  </w:style>
  <w:style w:type="character" w:customStyle="1" w:styleId="19">
    <w:name w:val="Heading 3 Char"/>
    <w:basedOn w:val="12"/>
    <w:link w:val="4"/>
    <w:uiPriority w:val="9"/>
    <w:rPr>
      <w:rFonts w:ascii="Calibri Light" w:hAnsi="Calibri Light" w:eastAsia="DengXian Light" w:cs="Times New Roman"/>
      <w:color w:val="1F3864"/>
      <w:szCs w:val="24"/>
      <w:lang w:val="en-GB" w:eastAsia="en-US"/>
    </w:rPr>
  </w:style>
  <w:style w:type="character" w:customStyle="1" w:styleId="20">
    <w:name w:val="Unresolved Mention"/>
    <w:basedOn w:val="12"/>
    <w:unhideWhenUsed/>
    <w:uiPriority w:val="99"/>
    <w:rPr>
      <w:color w:val="605E5C"/>
      <w:shd w:val="clear" w:color="auto" w:fill="E1DFDD"/>
    </w:rPr>
  </w:style>
  <w:style w:type="table" w:customStyle="1" w:styleId="21">
    <w:name w:val="Table Grid1"/>
    <w:basedOn w:val="10"/>
    <w:qFormat/>
    <w:uiPriority w:val="0"/>
    <w:pPr>
      <w:widowControl w:val="0"/>
      <w:jc w:val="both"/>
    </w:pPr>
    <w:rPr>
      <w:rFonts w:eastAsia="SimSun"/>
      <w:sz w:val="20"/>
      <w:szCs w:val="20"/>
    </w:rPr>
    <w:tblPr>
      <w:tblStyle w:val="10"/>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4097"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27</Pages>
  <Words>6018</Words>
  <Characters>34307</Characters>
  <Lines>285</Lines>
  <Paragraphs>80</Paragraphs>
  <TotalTime>14</TotalTime>
  <ScaleCrop>false</ScaleCrop>
  <LinksUpToDate>false</LinksUpToDate>
  <CharactersWithSpaces>40245</CharactersWithSpaces>
  <Application>WPS Office_11.1.0.8864_F1E327BC-269C-435d-A152-05C5408002CA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2019-07-22T07:26:00Z</dcterms:created>
  <dc:creator>user</dc:creator>
  <cp:lastModifiedBy>不倒小怪兽</cp:lastModifiedBy>
  <dcterms:modified xsi:type="dcterms:W3CDTF">2019-07-22T21:24:01Z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2052-11.1.0.8864</vt:lpwstr>
  </property>
</Properties>
</file>