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7C771" w14:textId="126954A6" w:rsidR="002A32C2" w:rsidRDefault="008B4AD9">
      <w:pPr>
        <w:rPr>
          <w:rFonts w:eastAsia="Times New Roman" w:cs="Times New Roman"/>
          <w:color w:val="000000"/>
          <w:kern w:val="0"/>
          <w14:ligatures w14:val="none"/>
        </w:rPr>
      </w:pPr>
      <w:r>
        <w:rPr>
          <w:rFonts w:eastAsia="Times New Roman" w:cs="Times New Roman"/>
          <w:color w:val="000000"/>
          <w:kern w:val="0"/>
          <w14:ligatures w14:val="none"/>
        </w:rPr>
        <w:t>Shannon Fry</w:t>
      </w:r>
    </w:p>
    <w:p w14:paraId="73033B2A" w14:textId="14CEF338" w:rsidR="008B4AD9" w:rsidRDefault="00C15FC6">
      <w:pPr>
        <w:rPr>
          <w:rFonts w:eastAsia="Times New Roman" w:cs="Times New Roman"/>
          <w:color w:val="000000"/>
          <w:kern w:val="0"/>
          <w14:ligatures w14:val="none"/>
        </w:rPr>
      </w:pPr>
      <w:r>
        <w:rPr>
          <w:rFonts w:eastAsia="Times New Roman" w:cs="Times New Roman"/>
          <w:color w:val="000000"/>
          <w:kern w:val="0"/>
          <w14:ligatures w14:val="none"/>
        </w:rPr>
        <w:t>25057</w:t>
      </w:r>
      <w:r w:rsidR="00180340">
        <w:rPr>
          <w:rFonts w:eastAsia="Times New Roman" w:cs="Times New Roman"/>
          <w:color w:val="000000"/>
          <w:kern w:val="0"/>
          <w14:ligatures w14:val="none"/>
        </w:rPr>
        <w:t>62</w:t>
      </w:r>
    </w:p>
    <w:p w14:paraId="038788E9" w14:textId="59C7FB46" w:rsidR="00180340" w:rsidRDefault="00180340">
      <w:pPr>
        <w:rPr>
          <w:rFonts w:eastAsia="Times New Roman" w:cs="Times New Roman"/>
          <w:color w:val="000000"/>
          <w:kern w:val="0"/>
          <w14:ligatures w14:val="none"/>
        </w:rPr>
      </w:pPr>
      <w:r>
        <w:rPr>
          <w:rFonts w:eastAsia="Times New Roman" w:cs="Times New Roman"/>
          <w:color w:val="000000"/>
          <w:kern w:val="0"/>
          <w14:ligatures w14:val="none"/>
        </w:rPr>
        <w:t>ECEY4P03/C</w:t>
      </w:r>
    </w:p>
    <w:p w14:paraId="51B1EC85" w14:textId="2E79F8AF" w:rsidR="00180340" w:rsidRDefault="00180340">
      <w:pPr>
        <w:rPr>
          <w:rFonts w:eastAsia="Times New Roman" w:cs="Times New Roman"/>
          <w:color w:val="000000"/>
          <w:kern w:val="0"/>
          <w14:ligatures w14:val="none"/>
        </w:rPr>
      </w:pPr>
      <w:r>
        <w:rPr>
          <w:rFonts w:eastAsia="Times New Roman" w:cs="Times New Roman"/>
          <w:color w:val="000000"/>
          <w:kern w:val="0"/>
          <w14:ligatures w14:val="none"/>
        </w:rPr>
        <w:t>Children’s play</w:t>
      </w:r>
      <w:r w:rsidR="00C46A42">
        <w:rPr>
          <w:rFonts w:eastAsia="Times New Roman" w:cs="Times New Roman"/>
          <w:color w:val="000000"/>
          <w:kern w:val="0"/>
          <w14:ligatures w14:val="none"/>
        </w:rPr>
        <w:t xml:space="preserve">: Theory and Practice </w:t>
      </w:r>
    </w:p>
    <w:p w14:paraId="5358FD15" w14:textId="77777777" w:rsidR="00C46A42" w:rsidRPr="008B4AD9" w:rsidRDefault="00C46A42">
      <w:pPr>
        <w:rPr>
          <w:rFonts w:eastAsia="Times New Roman" w:cs="Times New Roman"/>
          <w:color w:val="000000"/>
          <w:kern w:val="0"/>
          <w14:ligatures w14:val="none"/>
        </w:rPr>
      </w:pPr>
    </w:p>
    <w:p w14:paraId="505D8058" w14:textId="77777777" w:rsidR="002A32C2" w:rsidRPr="008B4AD9" w:rsidRDefault="002A32C2">
      <w:pPr>
        <w:rPr>
          <w:rFonts w:eastAsia="Times New Roman" w:cs="Times New Roman"/>
          <w:color w:val="000000"/>
          <w:kern w:val="0"/>
          <w14:ligatures w14:val="none"/>
        </w:rPr>
      </w:pPr>
      <w:r w:rsidRPr="008B4AD9">
        <w:rPr>
          <w:rFonts w:eastAsia="Times New Roman" w:cs="Times New Roman"/>
          <w:color w:val="000000"/>
          <w:kern w:val="0"/>
          <w14:ligatures w14:val="none"/>
        </w:rPr>
        <w:br w:type="page"/>
      </w:r>
    </w:p>
    <w:p w14:paraId="401A8BCE"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lastRenderedPageBreak/>
        <w:t> </w:t>
      </w:r>
    </w:p>
    <w:p w14:paraId="557246E2" w14:textId="77777777" w:rsidR="002A32C2" w:rsidRPr="008B4AD9" w:rsidRDefault="002A32C2">
      <w:pPr>
        <w:pStyle w:val="NormalWeb"/>
        <w:spacing w:before="0" w:beforeAutospacing="0" w:after="0" w:afterAutospacing="0"/>
        <w:rPr>
          <w:rFonts w:asciiTheme="minorHAnsi" w:hAnsiTheme="minorHAnsi"/>
          <w:color w:val="454545"/>
        </w:rPr>
      </w:pPr>
    </w:p>
    <w:p w14:paraId="1C163F45"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t> </w:t>
      </w:r>
    </w:p>
    <w:p w14:paraId="1C85F483"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t>1. Two Types of Play and Their Practical Support</w:t>
      </w:r>
    </w:p>
    <w:p w14:paraId="55DDCD3D" w14:textId="77777777" w:rsidR="00020806" w:rsidRPr="008B4AD9" w:rsidRDefault="002A32C2">
      <w:pPr>
        <w:rPr>
          <w:rFonts w:eastAsia="Times New Roman" w:cs="Times New Roman"/>
          <w:color w:val="454545"/>
          <w:kern w:val="0"/>
          <w14:ligatures w14:val="none"/>
        </w:rPr>
      </w:pPr>
      <w:r w:rsidRPr="008B4AD9">
        <w:rPr>
          <w:color w:val="454545"/>
        </w:rPr>
        <w:t> </w:t>
      </w:r>
      <w:r w:rsidR="00020806" w:rsidRPr="008B4AD9">
        <w:rPr>
          <w:rFonts w:eastAsia="Times New Roman" w:cs="Times New Roman"/>
          <w:color w:val="454545"/>
          <w:kern w:val="0"/>
          <w14:ligatures w14:val="none"/>
        </w:rPr>
        <w:t>Play is a fundamental component of early childhood development, shaping how children learn, explore, and make sense of the world around them. It provides opportunities for children to develop cognitive, social, emotional, and physical skills through meaningful, hands</w:t>
      </w:r>
      <w:r w:rsidR="00020806" w:rsidRPr="008B4AD9">
        <w:rPr>
          <w:rFonts w:eastAsia="Times New Roman" w:cs="Times New Roman"/>
          <w:color w:val="454545"/>
          <w:kern w:val="0"/>
          <w14:ligatures w14:val="none"/>
        </w:rPr>
        <w:noBreakHyphen/>
        <w:t>on experiences. Research highlights that play enables children to construct knowledge through active engagement and interaction with their environment (Whitebread, 2021). For this reason, practitioners must understand the different forms of play and how to support them effectively within early years settings.</w:t>
      </w:r>
    </w:p>
    <w:p w14:paraId="39176ED5" w14:textId="77777777" w:rsidR="00020806" w:rsidRPr="008B4AD9" w:rsidRDefault="00020806" w:rsidP="00020806">
      <w:pPr>
        <w:spacing w:after="0" w:line="240" w:lineRule="auto"/>
        <w:rPr>
          <w:rFonts w:eastAsia="Times New Roman" w:cs="Times New Roman"/>
          <w:color w:val="454545"/>
          <w:kern w:val="0"/>
          <w14:ligatures w14:val="none"/>
        </w:rPr>
      </w:pPr>
    </w:p>
    <w:p w14:paraId="5303BAC4"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The Curriculum for Wales positions play as the foundation for children’s holistic development, recognising its role in supporting communication, language, emotional intelligence, and problem</w:t>
      </w:r>
      <w:r w:rsidRPr="008B4AD9">
        <w:rPr>
          <w:rFonts w:eastAsia="Times New Roman" w:cs="Times New Roman"/>
          <w:color w:val="454545"/>
          <w:kern w:val="0"/>
          <w14:ligatures w14:val="none"/>
        </w:rPr>
        <w:noBreakHyphen/>
        <w:t>solving (Welsh Government, 2022). Through play, children develop essential competencies that underpin later learning, including creativity, resilience, and the ability to collaborate with others. These skills emerge naturally when children are given time, space, and freedom to explore.</w:t>
      </w:r>
    </w:p>
    <w:p w14:paraId="5120E5CA" w14:textId="77777777" w:rsidR="00020806" w:rsidRPr="008B4AD9" w:rsidRDefault="00020806" w:rsidP="00020806">
      <w:pPr>
        <w:spacing w:after="0" w:line="240" w:lineRule="auto"/>
        <w:rPr>
          <w:rFonts w:eastAsia="Times New Roman" w:cs="Times New Roman"/>
          <w:color w:val="454545"/>
          <w:kern w:val="0"/>
          <w14:ligatures w14:val="none"/>
        </w:rPr>
      </w:pPr>
    </w:p>
    <w:p w14:paraId="761C687F"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Developmental theorists have long emphasised the importance of play in early learning. Piaget argued that children learn through active exploration and construct knowledge from their experiences (Piaget, 1962). He identified three stages of play. These are practice play, symbolic play, and games with rules. Each supporting different aspects of development. Practice play helps children develop motor skills and coordination. Symbolic play supports imagination and language, and games with rules encourage cooperation, turn</w:t>
      </w:r>
      <w:r w:rsidRPr="008B4AD9">
        <w:rPr>
          <w:rFonts w:eastAsia="Times New Roman" w:cs="Times New Roman"/>
          <w:color w:val="454545"/>
          <w:kern w:val="0"/>
          <w14:ligatures w14:val="none"/>
        </w:rPr>
        <w:noBreakHyphen/>
        <w:t>taking, and logical thinking. Vygotsky, meanwhile, highlighted the social nature of learning, arguing that pretend play allows children to operate “a head taller than themselves” by enabling them to practise skills within the Zone of Proximal Development (Vygotsky, 1978). His work emphasises the importance of social interaction, imagination, and adult scaffolding in supporting cognitive growth.</w:t>
      </w:r>
    </w:p>
    <w:p w14:paraId="3AE1C27A" w14:textId="77777777" w:rsidR="00020806" w:rsidRPr="008B4AD9" w:rsidRDefault="00020806" w:rsidP="00020806">
      <w:pPr>
        <w:spacing w:after="0" w:line="240" w:lineRule="auto"/>
        <w:rPr>
          <w:rFonts w:eastAsia="Times New Roman" w:cs="Times New Roman"/>
          <w:color w:val="454545"/>
          <w:kern w:val="0"/>
          <w14:ligatures w14:val="none"/>
        </w:rPr>
      </w:pPr>
    </w:p>
    <w:p w14:paraId="01EEA335"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One key form of play is physical play, which is essential for young children’s health and development. Activities such as running, climbing, balancing, and ball games support strength, coordination, balance, cardiovascular fitness, spatial awareness, and proprioception. Physical play also contributes to emotional wellbeing by allowing children to release energy, manage stress, and build confidence. Play Wales (2022) highlights that well</w:t>
      </w:r>
      <w:r w:rsidRPr="008B4AD9">
        <w:rPr>
          <w:rFonts w:eastAsia="Times New Roman" w:cs="Times New Roman"/>
          <w:color w:val="454545"/>
          <w:kern w:val="0"/>
          <w14:ligatures w14:val="none"/>
        </w:rPr>
        <w:noBreakHyphen/>
        <w:t>calibrated risks in physical play help children develop resilience and sound judgement. Risky play, such as climbing, jumping from heights, or navigating uneven terrain supports independence and the ability to manage uncertainty, aligning with the Playwork Principles (Playwork Principles Scrutiny Group, 2005). These experiences help children understand their own capabilities and develop self</w:t>
      </w:r>
      <w:r w:rsidRPr="008B4AD9">
        <w:rPr>
          <w:rFonts w:eastAsia="Times New Roman" w:cs="Times New Roman"/>
          <w:color w:val="454545"/>
          <w:kern w:val="0"/>
          <w14:ligatures w14:val="none"/>
        </w:rPr>
        <w:noBreakHyphen/>
        <w:t>regulation.</w:t>
      </w:r>
    </w:p>
    <w:p w14:paraId="3AF7D669" w14:textId="77777777" w:rsidR="00020806" w:rsidRPr="008B4AD9" w:rsidRDefault="00020806" w:rsidP="00020806">
      <w:pPr>
        <w:spacing w:after="0" w:line="240" w:lineRule="auto"/>
        <w:rPr>
          <w:rFonts w:eastAsia="Times New Roman" w:cs="Times New Roman"/>
          <w:color w:val="454545"/>
          <w:kern w:val="0"/>
          <w14:ligatures w14:val="none"/>
        </w:rPr>
      </w:pPr>
    </w:p>
    <w:p w14:paraId="50E94FCA"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lastRenderedPageBreak/>
        <w:t>Practitioners can promote physical play by providing varied and stimulating environments. This may include outdoor spaces with natural materials, climbing structures, loose parts, and different surfaces that encourage exploration. Ensuring that children have daily access to outdoor play is essential for supporting physical development and wellbeing.</w:t>
      </w:r>
    </w:p>
    <w:p w14:paraId="21A6DA77" w14:textId="77777777" w:rsidR="00020806" w:rsidRPr="008B4AD9" w:rsidRDefault="00020806" w:rsidP="00020806">
      <w:pPr>
        <w:spacing w:after="0" w:line="240" w:lineRule="auto"/>
        <w:rPr>
          <w:rFonts w:eastAsia="Times New Roman" w:cs="Times New Roman"/>
          <w:color w:val="454545"/>
          <w:kern w:val="0"/>
          <w14:ligatures w14:val="none"/>
        </w:rPr>
      </w:pPr>
    </w:p>
    <w:p w14:paraId="1917D828"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Another key form of play is imaginative play, also known as pretend or fantasy play. This involves children creating narratives, adopting roles, and exploring ideas through symbolic representation. Imaginative play supports symbolic thinking, which is important for literacy and numeracy development (Piaget, 1962). Small</w:t>
      </w:r>
      <w:r w:rsidRPr="008B4AD9">
        <w:rPr>
          <w:rFonts w:eastAsia="Times New Roman" w:cs="Times New Roman"/>
          <w:color w:val="454545"/>
          <w:kern w:val="0"/>
          <w14:ligatures w14:val="none"/>
        </w:rPr>
        <w:noBreakHyphen/>
        <w:t>world play, such as using figures or props to recreate real</w:t>
      </w:r>
      <w:r w:rsidRPr="008B4AD9">
        <w:rPr>
          <w:rFonts w:eastAsia="Times New Roman" w:cs="Times New Roman"/>
          <w:color w:val="454545"/>
          <w:kern w:val="0"/>
          <w14:ligatures w14:val="none"/>
        </w:rPr>
        <w:noBreakHyphen/>
        <w:t>life scenarios, helps children make sense of their experiences and express their understanding of the world.</w:t>
      </w:r>
    </w:p>
    <w:p w14:paraId="42CC309A" w14:textId="77777777" w:rsidR="00020806" w:rsidRPr="008B4AD9" w:rsidRDefault="00020806" w:rsidP="00020806">
      <w:pPr>
        <w:spacing w:after="0" w:line="240" w:lineRule="auto"/>
        <w:rPr>
          <w:rFonts w:eastAsia="Times New Roman" w:cs="Times New Roman"/>
          <w:color w:val="454545"/>
          <w:kern w:val="0"/>
          <w14:ligatures w14:val="none"/>
        </w:rPr>
      </w:pPr>
    </w:p>
    <w:p w14:paraId="2E715505"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Imaginative play also plays a crucial role in language development. Role play encourages children to communicate, negotiate roles, and use increasingly complex vocabulary (Whitebread, 2021). It supports narrative skills as children create stories with characters, settings, and plots. Emotionally, imaginative play provides a safe space for children to express and process feelings, rehearse social situations, and explore different perspectives.</w:t>
      </w:r>
    </w:p>
    <w:p w14:paraId="4CD768D2" w14:textId="77777777" w:rsidR="00020806" w:rsidRPr="008B4AD9" w:rsidRDefault="00020806" w:rsidP="00020806">
      <w:pPr>
        <w:spacing w:after="0" w:line="240" w:lineRule="auto"/>
        <w:rPr>
          <w:rFonts w:eastAsia="Times New Roman" w:cs="Times New Roman"/>
          <w:color w:val="454545"/>
          <w:kern w:val="0"/>
          <w14:ligatures w14:val="none"/>
        </w:rPr>
      </w:pPr>
    </w:p>
    <w:p w14:paraId="7EDD2F7B"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Practitioners can encourage imaginative play by providing open</w:t>
      </w:r>
      <w:r w:rsidRPr="008B4AD9">
        <w:rPr>
          <w:rFonts w:eastAsia="Times New Roman" w:cs="Times New Roman"/>
          <w:color w:val="454545"/>
          <w:kern w:val="0"/>
          <w14:ligatures w14:val="none"/>
        </w:rPr>
        <w:noBreakHyphen/>
        <w:t>ended resources such as costumes, puppets, dolls, and loose parts that can be used flexibly. Adults should avoid directing the play and instead support it sensitively through sustained shared thinking (Siraj</w:t>
      </w:r>
      <w:r w:rsidRPr="008B4AD9">
        <w:rPr>
          <w:rFonts w:eastAsia="Times New Roman" w:cs="Times New Roman"/>
          <w:color w:val="454545"/>
          <w:kern w:val="0"/>
          <w14:ligatures w14:val="none"/>
        </w:rPr>
        <w:noBreakHyphen/>
        <w:t>Blatchford et al., 2002). Asking open</w:t>
      </w:r>
      <w:r w:rsidRPr="008B4AD9">
        <w:rPr>
          <w:rFonts w:eastAsia="Times New Roman" w:cs="Times New Roman"/>
          <w:color w:val="454545"/>
          <w:kern w:val="0"/>
          <w14:ligatures w14:val="none"/>
        </w:rPr>
        <w:noBreakHyphen/>
        <w:t>ended questions, modelling language, and joining play as a co</w:t>
      </w:r>
      <w:r w:rsidRPr="008B4AD9">
        <w:rPr>
          <w:rFonts w:eastAsia="Times New Roman" w:cs="Times New Roman"/>
          <w:color w:val="454545"/>
          <w:kern w:val="0"/>
          <w14:ligatures w14:val="none"/>
        </w:rPr>
        <w:noBreakHyphen/>
        <w:t>player rather than a leader, can enrich children’s thinking without taking control.</w:t>
      </w:r>
    </w:p>
    <w:p w14:paraId="067370CE" w14:textId="77777777" w:rsidR="00020806" w:rsidRPr="008B4AD9" w:rsidRDefault="00020806" w:rsidP="00020806">
      <w:pPr>
        <w:spacing w:after="0" w:line="240" w:lineRule="auto"/>
        <w:rPr>
          <w:rFonts w:eastAsia="Times New Roman" w:cs="Times New Roman"/>
          <w:color w:val="454545"/>
          <w:kern w:val="0"/>
          <w14:ligatures w14:val="none"/>
        </w:rPr>
      </w:pPr>
    </w:p>
    <w:p w14:paraId="15BB50B3"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A supportive environment is essential to ensure that all children, including those with Additional Learning Needs (ALN) and English as an Additional Language (EAL), can access meaningful play. This may involve providing visual supports, simplifying language, offering sensory</w:t>
      </w:r>
      <w:r w:rsidRPr="008B4AD9">
        <w:rPr>
          <w:rFonts w:eastAsia="Times New Roman" w:cs="Times New Roman"/>
          <w:color w:val="454545"/>
          <w:kern w:val="0"/>
          <w14:ligatures w14:val="none"/>
        </w:rPr>
        <w:noBreakHyphen/>
        <w:t>friendly materials, or creating quiet spaces. Inclusive practice ensures that every child can participate fully and benefit from the developmental opportunities that play provides.</w:t>
      </w:r>
    </w:p>
    <w:p w14:paraId="4E13AFE7" w14:textId="77777777" w:rsidR="00020806" w:rsidRPr="008B4AD9" w:rsidRDefault="00020806" w:rsidP="00020806">
      <w:pPr>
        <w:spacing w:after="0" w:line="240" w:lineRule="auto"/>
        <w:rPr>
          <w:rFonts w:eastAsia="Times New Roman" w:cs="Times New Roman"/>
          <w:color w:val="454545"/>
          <w:kern w:val="0"/>
          <w14:ligatures w14:val="none"/>
        </w:rPr>
      </w:pPr>
    </w:p>
    <w:p w14:paraId="645018B1" w14:textId="77777777" w:rsidR="00020806" w:rsidRPr="008B4AD9" w:rsidRDefault="00020806" w:rsidP="00020806">
      <w:pPr>
        <w:spacing w:after="0" w:line="240" w:lineRule="auto"/>
        <w:rPr>
          <w:rFonts w:eastAsia="Times New Roman" w:cs="Times New Roman"/>
          <w:color w:val="454545"/>
          <w:kern w:val="0"/>
          <w14:ligatures w14:val="none"/>
        </w:rPr>
      </w:pPr>
      <w:r w:rsidRPr="008B4AD9">
        <w:rPr>
          <w:rFonts w:eastAsia="Times New Roman" w:cs="Times New Roman"/>
          <w:color w:val="454545"/>
          <w:kern w:val="0"/>
          <w14:ligatures w14:val="none"/>
        </w:rPr>
        <w:t>In conclusion, both physical and imaginative play are vital for children’s holistic development. Physical play supports health, confidence, and motor skills, while imaginative play fosters creativity, language, and emotional understanding. By creating rich, inclusive environments and supporting play sensitively, practitioners enable children to engage deeply, explore freely, and develop essential lifelong skills.</w:t>
      </w:r>
    </w:p>
    <w:p w14:paraId="5A021324" w14:textId="6FD02E17" w:rsidR="002A32C2" w:rsidRPr="008B4AD9" w:rsidRDefault="002A32C2">
      <w:pPr>
        <w:pStyle w:val="NormalWeb"/>
        <w:spacing w:before="0" w:beforeAutospacing="0" w:after="0" w:afterAutospacing="0"/>
        <w:rPr>
          <w:rFonts w:asciiTheme="minorHAnsi" w:hAnsiTheme="minorHAnsi"/>
          <w:color w:val="454545"/>
        </w:rPr>
      </w:pPr>
    </w:p>
    <w:p w14:paraId="3D6AF97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4BF170DF"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t>2. The Significance of Child</w:t>
      </w:r>
      <w:r w:rsidRPr="008B4AD9">
        <w:rPr>
          <w:rFonts w:asciiTheme="minorHAnsi" w:hAnsiTheme="minorHAnsi"/>
          <w:color w:val="454545"/>
        </w:rPr>
        <w:noBreakHyphen/>
        <w:t>Directed Play and the Adult’s Role</w:t>
      </w:r>
    </w:p>
    <w:p w14:paraId="0883F3A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492722F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Child</w:t>
      </w:r>
      <w:r w:rsidRPr="008B4AD9">
        <w:rPr>
          <w:rFonts w:asciiTheme="minorHAnsi" w:hAnsiTheme="minorHAnsi"/>
          <w:color w:val="454545"/>
        </w:rPr>
        <w:noBreakHyphen/>
        <w:t xml:space="preserve">directed play is central to early childhood education because it allows children to choose activities, follow their interests, develop motivation, and build independence. This increases engagement and curiosity, supporting learning and development. When children take the lead in their play, they demonstrate autonomy, agency, and intrinsic </w:t>
      </w:r>
      <w:r w:rsidRPr="008B4AD9">
        <w:rPr>
          <w:rFonts w:asciiTheme="minorHAnsi" w:hAnsiTheme="minorHAnsi"/>
          <w:color w:val="454545"/>
        </w:rPr>
        <w:lastRenderedPageBreak/>
        <w:t>motivation, which are essential foundations for lifelong learning. Research shows that children are more deeply involved and more likely to persist with challenges when they have ownership over their play (Laevers, 2021).</w:t>
      </w:r>
    </w:p>
    <w:p w14:paraId="7D741FC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AF4509D"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Major theorists support child</w:t>
      </w:r>
      <w:r w:rsidRPr="008B4AD9">
        <w:rPr>
          <w:rFonts w:asciiTheme="minorHAnsi" w:hAnsiTheme="minorHAnsi"/>
          <w:color w:val="454545"/>
        </w:rPr>
        <w:noBreakHyphen/>
        <w:t>initiated play. Froebel described play as the “highest expression of human development,” emphasising creativity and individuality (Froebel, 2005). Montessori highlighted independence and free</w:t>
      </w:r>
      <w:r w:rsidRPr="008B4AD9">
        <w:rPr>
          <w:rFonts w:asciiTheme="minorHAnsi" w:hAnsiTheme="minorHAnsi"/>
          <w:color w:val="454545"/>
        </w:rPr>
        <w:noBreakHyphen/>
        <w:t>choice activities, arguing that children learn best when they choose their tasks (Montessori, 2013). Bruce’s concept of free</w:t>
      </w:r>
      <w:r w:rsidRPr="008B4AD9">
        <w:rPr>
          <w:rFonts w:asciiTheme="minorHAnsi" w:hAnsiTheme="minorHAnsi"/>
          <w:color w:val="454545"/>
        </w:rPr>
        <w:noBreakHyphen/>
        <w:t>flow play suggests that children learn optimally when they can move freely between activities (Bruce, 2015). These perspectives collectively highlight that child</w:t>
      </w:r>
      <w:r w:rsidRPr="008B4AD9">
        <w:rPr>
          <w:rFonts w:asciiTheme="minorHAnsi" w:hAnsiTheme="minorHAnsi"/>
          <w:color w:val="454545"/>
        </w:rPr>
        <w:noBreakHyphen/>
        <w:t>directed play is not simply a preference but a pedagogical approach grounded in developmental theory.</w:t>
      </w:r>
    </w:p>
    <w:p w14:paraId="39C574C5"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71D8C65"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Contemporary research reinforces these classical theories. For example, Weisberg et al. (2013) argue that guided play — where children lead but adults sensitively support — results in stronger learning outcomes than either direct instruction or unguided free play. This aligns with Vygotsky’s sociocultural theory, which emphasises the importance of social interaction and scaffolding within the Zone of Proximal Development (Vygotsky, 1978). Child</w:t>
      </w:r>
      <w:r w:rsidRPr="008B4AD9">
        <w:rPr>
          <w:rFonts w:asciiTheme="minorHAnsi" w:hAnsiTheme="minorHAnsi"/>
          <w:color w:val="454545"/>
        </w:rPr>
        <w:noBreakHyphen/>
        <w:t>directed play provides the ideal context for such scaffolding because children are already motivated and engaged.</w:t>
      </w:r>
    </w:p>
    <w:p w14:paraId="739FEEEE"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599E246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The EYFS highlights the importance of play, exploration, and active learning (DfE, 2023). The Curriculum for Wales also emphasises play</w:t>
      </w:r>
      <w:r w:rsidRPr="008B4AD9">
        <w:rPr>
          <w:rFonts w:asciiTheme="minorHAnsi" w:hAnsiTheme="minorHAnsi"/>
          <w:color w:val="454545"/>
        </w:rPr>
        <w:noBreakHyphen/>
        <w:t>based learning and child agency (Welsh Government, 2022). Both frameworks stress the importance of children’s interests and choice. The EYFS Characteristics of Effective Learning — playing and exploring, active learning, and creating and thinking critically — are strengthened when children direct their own play. These characteristics are closely linked to executive function development, including working memory, cognitive flexibility, and self</w:t>
      </w:r>
      <w:r w:rsidRPr="008B4AD9">
        <w:rPr>
          <w:rFonts w:asciiTheme="minorHAnsi" w:hAnsiTheme="minorHAnsi"/>
          <w:color w:val="454545"/>
        </w:rPr>
        <w:noBreakHyphen/>
        <w:t>regulation (Whitebread, 2021).</w:t>
      </w:r>
    </w:p>
    <w:p w14:paraId="22E7A50A"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2BB342C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Child</w:t>
      </w:r>
      <w:r w:rsidRPr="008B4AD9">
        <w:rPr>
          <w:rFonts w:asciiTheme="minorHAnsi" w:hAnsiTheme="minorHAnsi"/>
          <w:color w:val="454545"/>
        </w:rPr>
        <w:noBreakHyphen/>
        <w:t>led play supports executive functions such as attention, working memory, and problem</w:t>
      </w:r>
      <w:r w:rsidRPr="008B4AD9">
        <w:rPr>
          <w:rFonts w:asciiTheme="minorHAnsi" w:hAnsiTheme="minorHAnsi"/>
          <w:color w:val="454545"/>
        </w:rPr>
        <w:noBreakHyphen/>
        <w:t>solving. The Leuven Scale shows that children who initiate their own play demonstrate deeper involvement (Laevers, 2021). Autonomy also supports confidence, negotiation, cooperation, and conflict resolution. Research by Gopnik (2020) suggests that when children explore freely, they develop stronger problem</w:t>
      </w:r>
      <w:r w:rsidRPr="008B4AD9">
        <w:rPr>
          <w:rFonts w:asciiTheme="minorHAnsi" w:hAnsiTheme="minorHAnsi"/>
          <w:color w:val="454545"/>
        </w:rPr>
        <w:noBreakHyphen/>
        <w:t>solving skills because they test hypotheses, take risks, and learn from trial and error.</w:t>
      </w:r>
    </w:p>
    <w:p w14:paraId="1714C2F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1287C02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Although play should be child</w:t>
      </w:r>
      <w:r w:rsidRPr="008B4AD9">
        <w:rPr>
          <w:rFonts w:asciiTheme="minorHAnsi" w:hAnsiTheme="minorHAnsi"/>
          <w:color w:val="454545"/>
        </w:rPr>
        <w:noBreakHyphen/>
        <w:t>led, adults play a crucial role as facilitators. They must create environments that encourage exploration, provide opportunities for free play, observe children, and model language. Sustained shared thinking supports deeper learning (Siraj</w:t>
      </w:r>
      <w:r w:rsidRPr="008B4AD9">
        <w:rPr>
          <w:rFonts w:asciiTheme="minorHAnsi" w:hAnsiTheme="minorHAnsi"/>
          <w:color w:val="454545"/>
        </w:rPr>
        <w:noBreakHyphen/>
        <w:t>Blatchford et al., 2002). Adults can extend children’s thinking by asking open</w:t>
      </w:r>
      <w:r w:rsidRPr="008B4AD9">
        <w:rPr>
          <w:rFonts w:asciiTheme="minorHAnsi" w:hAnsiTheme="minorHAnsi"/>
          <w:color w:val="454545"/>
        </w:rPr>
        <w:noBreakHyphen/>
        <w:t>ended questions, introducing new vocabulary, or offering resources that enrich the play without directing it. This approach aligns with the concept of “co</w:t>
      </w:r>
      <w:r w:rsidRPr="008B4AD9">
        <w:rPr>
          <w:rFonts w:asciiTheme="minorHAnsi" w:hAnsiTheme="minorHAnsi"/>
          <w:color w:val="454545"/>
        </w:rPr>
        <w:noBreakHyphen/>
        <w:t>play,” where adults participate as partners rather than leaders (Fisher et al., 2011).</w:t>
      </w:r>
    </w:p>
    <w:p w14:paraId="7CE2F31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2994237A"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Observation helps adults understand children’s interests, abilities, and needs. It supports the observe</w:t>
      </w:r>
      <w:r w:rsidRPr="008B4AD9">
        <w:rPr>
          <w:rFonts w:asciiTheme="minorHAnsi" w:hAnsiTheme="minorHAnsi"/>
          <w:color w:val="454545"/>
        </w:rPr>
        <w:noBreakHyphen/>
        <w:t>plan</w:t>
      </w:r>
      <w:r w:rsidRPr="008B4AD9">
        <w:rPr>
          <w:rFonts w:asciiTheme="minorHAnsi" w:hAnsiTheme="minorHAnsi"/>
          <w:color w:val="454545"/>
        </w:rPr>
        <w:noBreakHyphen/>
        <w:t>do</w:t>
      </w:r>
      <w:r w:rsidRPr="008B4AD9">
        <w:rPr>
          <w:rFonts w:asciiTheme="minorHAnsi" w:hAnsiTheme="minorHAnsi"/>
          <w:color w:val="454545"/>
        </w:rPr>
        <w:noBreakHyphen/>
        <w:t xml:space="preserve">review cycle and can be carried out using narrative </w:t>
      </w:r>
      <w:r w:rsidRPr="008B4AD9">
        <w:rPr>
          <w:rFonts w:asciiTheme="minorHAnsi" w:hAnsiTheme="minorHAnsi"/>
          <w:color w:val="454545"/>
        </w:rPr>
        <w:lastRenderedPageBreak/>
        <w:t>observations, time sampling, and the Leuven Scale. Through careful observation, practitioners can identify schemas, emerging skills, and areas where children may need additional support. This ensures that planning is responsive and tailored to each child’s developmental stage.</w:t>
      </w:r>
    </w:p>
    <w:p w14:paraId="3321D7A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45B4E27"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Adults may need to intervene sensitively during conflicts. Co</w:t>
      </w:r>
      <w:r w:rsidRPr="008B4AD9">
        <w:rPr>
          <w:rFonts w:asciiTheme="minorHAnsi" w:hAnsiTheme="minorHAnsi"/>
          <w:color w:val="454545"/>
        </w:rPr>
        <w:noBreakHyphen/>
        <w:t>regulation strategies such as “I feel upset when…” help children develop emotional and communication skills. Research shows that emotional coaching during play helps children develop empathy, self</w:t>
      </w:r>
      <w:r w:rsidRPr="008B4AD9">
        <w:rPr>
          <w:rFonts w:asciiTheme="minorHAnsi" w:hAnsiTheme="minorHAnsi"/>
          <w:color w:val="454545"/>
        </w:rPr>
        <w:noBreakHyphen/>
        <w:t>regulation, and resilience (Denham et al., 2012). These skills are essential for social competence and long</w:t>
      </w:r>
      <w:r w:rsidRPr="008B4AD9">
        <w:rPr>
          <w:rFonts w:asciiTheme="minorHAnsi" w:hAnsiTheme="minorHAnsi"/>
          <w:color w:val="454545"/>
        </w:rPr>
        <w:noBreakHyphen/>
        <w:t>term wellbeing.</w:t>
      </w:r>
    </w:p>
    <w:p w14:paraId="2DD20D4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E533D5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Practitioners must also ensure inclusivity. Children with ALN, EAL, or sensory needs may require visual cues, simplified language, or quiet spaces. Child</w:t>
      </w:r>
      <w:r w:rsidRPr="008B4AD9">
        <w:rPr>
          <w:rFonts w:asciiTheme="minorHAnsi" w:hAnsiTheme="minorHAnsi"/>
          <w:color w:val="454545"/>
        </w:rPr>
        <w:noBreakHyphen/>
        <w:t>led play promotes holistic development, and practitioners support this by providing inclusive, responsive environments. For example, children with sensory processing differences may benefit from predictable routines and sensory</w:t>
      </w:r>
      <w:r w:rsidRPr="008B4AD9">
        <w:rPr>
          <w:rFonts w:asciiTheme="minorHAnsi" w:hAnsiTheme="minorHAnsi"/>
          <w:color w:val="454545"/>
        </w:rPr>
        <w:noBreakHyphen/>
        <w:t>friendly materials, while children with EAL may need visual supports and opportunities for non</w:t>
      </w:r>
      <w:r w:rsidRPr="008B4AD9">
        <w:rPr>
          <w:rFonts w:asciiTheme="minorHAnsi" w:hAnsiTheme="minorHAnsi"/>
          <w:color w:val="454545"/>
        </w:rPr>
        <w:noBreakHyphen/>
        <w:t>verbal communication.</w:t>
      </w:r>
    </w:p>
    <w:p w14:paraId="0A6544CB"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A0CE1E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In summary, child</w:t>
      </w:r>
      <w:r w:rsidRPr="008B4AD9">
        <w:rPr>
          <w:rFonts w:asciiTheme="minorHAnsi" w:hAnsiTheme="minorHAnsi"/>
          <w:color w:val="454545"/>
        </w:rPr>
        <w:noBreakHyphen/>
        <w:t>directed play is a powerful pedagogical approach supported by classical theorists, contemporary research, and national frameworks. It promotes autonomy, deep involvement, executive function development, and social competence. Adults play a vital role in facilitating, observing, and enriching this play without dominating it. When practitioners create inclusive, responsive environments, child</w:t>
      </w:r>
      <w:r w:rsidRPr="008B4AD9">
        <w:rPr>
          <w:rFonts w:asciiTheme="minorHAnsi" w:hAnsiTheme="minorHAnsi"/>
          <w:color w:val="454545"/>
        </w:rPr>
        <w:noBreakHyphen/>
        <w:t>directed play becomes a foundation for holistic development and lifelong learning.</w:t>
      </w:r>
    </w:p>
    <w:p w14:paraId="0B436A0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4478C3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3. Observation Methods – The Leuven Scale</w:t>
      </w:r>
    </w:p>
    <w:p w14:paraId="37DA4B75"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4C8D938E"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Observation is essential in early years practice because it helps practitioners understand children’s development, learning, interests, and behaviour. Observing children during play is particularly effective because play is a natural context. The Leuven Scale of Well</w:t>
      </w:r>
      <w:r w:rsidRPr="008B4AD9">
        <w:rPr>
          <w:rFonts w:asciiTheme="minorHAnsi" w:hAnsiTheme="minorHAnsi"/>
          <w:color w:val="454545"/>
        </w:rPr>
        <w:noBreakHyphen/>
        <w:t>Being and Involvement, created by Laevers (2021), is widely used to measure emotional and cognitive engagement. It provides a structured way to assess how children experience their environment and how deeply they are involved in learning.</w:t>
      </w:r>
    </w:p>
    <w:p w14:paraId="6E62966F"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5732171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Well</w:t>
      </w:r>
      <w:r w:rsidRPr="008B4AD9">
        <w:rPr>
          <w:rFonts w:asciiTheme="minorHAnsi" w:hAnsiTheme="minorHAnsi"/>
          <w:color w:val="454545"/>
        </w:rPr>
        <w:noBreakHyphen/>
        <w:t>being refers to security, comfort, and confidence. Involvement refers to concentration, interest, and absorption. High well</w:t>
      </w:r>
      <w:r w:rsidRPr="008B4AD9">
        <w:rPr>
          <w:rFonts w:asciiTheme="minorHAnsi" w:hAnsiTheme="minorHAnsi"/>
          <w:color w:val="454545"/>
        </w:rPr>
        <w:noBreakHyphen/>
        <w:t>being is shown through relaxed, confident behaviour; low well</w:t>
      </w:r>
      <w:r w:rsidRPr="008B4AD9">
        <w:rPr>
          <w:rFonts w:asciiTheme="minorHAnsi" w:hAnsiTheme="minorHAnsi"/>
          <w:color w:val="454545"/>
        </w:rPr>
        <w:noBreakHyphen/>
        <w:t>being through withdrawal or distress. High involvement is shown through deep focus and persistence; low involvement through distraction or wandering. These indicators help practitioners understand not only what children are doing but how they are experiencing their learning environment.</w:t>
      </w:r>
    </w:p>
    <w:p w14:paraId="37AC7D1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F47838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The Leuven Scale uses a five</w:t>
      </w:r>
      <w:r w:rsidRPr="008B4AD9">
        <w:rPr>
          <w:rFonts w:asciiTheme="minorHAnsi" w:hAnsiTheme="minorHAnsi"/>
          <w:color w:val="454545"/>
        </w:rPr>
        <w:noBreakHyphen/>
        <w:t>point rating system (Laevers, 2021). High involvement is a strong predictor of deep</w:t>
      </w:r>
      <w:r w:rsidRPr="008B4AD9">
        <w:rPr>
          <w:rFonts w:asciiTheme="minorHAnsi" w:hAnsiTheme="minorHAnsi"/>
          <w:color w:val="454545"/>
        </w:rPr>
        <w:noBreakHyphen/>
        <w:t>level learning and intrinsic motivation. Research supports this link: children who demonstrate high involvement are more likely to retain information, develop problem</w:t>
      </w:r>
      <w:r w:rsidRPr="008B4AD9">
        <w:rPr>
          <w:rFonts w:asciiTheme="minorHAnsi" w:hAnsiTheme="minorHAnsi"/>
          <w:color w:val="454545"/>
        </w:rPr>
        <w:noBreakHyphen/>
        <w:t xml:space="preserve">solving skills, and show creativity (Pascal and Bertram, 2018). This </w:t>
      </w:r>
      <w:r w:rsidRPr="008B4AD9">
        <w:rPr>
          <w:rFonts w:asciiTheme="minorHAnsi" w:hAnsiTheme="minorHAnsi"/>
          <w:color w:val="454545"/>
        </w:rPr>
        <w:lastRenderedPageBreak/>
        <w:t>makes the Leuven Scale a valuable tool for assessing the quality of provision and identifying areas for improvement.</w:t>
      </w:r>
    </w:p>
    <w:p w14:paraId="258D4695"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7D97DB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The Leuven method focuses on children’s experiences rather than outcomes, aligning with play</w:t>
      </w:r>
      <w:r w:rsidRPr="008B4AD9">
        <w:rPr>
          <w:rFonts w:asciiTheme="minorHAnsi" w:hAnsiTheme="minorHAnsi"/>
          <w:color w:val="454545"/>
        </w:rPr>
        <w:noBreakHyphen/>
        <w:t>based learning principles. It helps practitioners understand learning processes, emotional security, and problem</w:t>
      </w:r>
      <w:r w:rsidRPr="008B4AD9">
        <w:rPr>
          <w:rFonts w:asciiTheme="minorHAnsi" w:hAnsiTheme="minorHAnsi"/>
          <w:color w:val="454545"/>
        </w:rPr>
        <w:noBreakHyphen/>
        <w:t>solving. This approach is consistent with the Curriculum for Wales and the EYFS, both of which emphasise child</w:t>
      </w:r>
      <w:r w:rsidRPr="008B4AD9">
        <w:rPr>
          <w:rFonts w:asciiTheme="minorHAnsi" w:hAnsiTheme="minorHAnsi"/>
          <w:color w:val="454545"/>
        </w:rPr>
        <w:noBreakHyphen/>
        <w:t>centred, holistic development (Welsh Government, 2022; DfE, 2023). By focusing on well</w:t>
      </w:r>
      <w:r w:rsidRPr="008B4AD9">
        <w:rPr>
          <w:rFonts w:asciiTheme="minorHAnsi" w:hAnsiTheme="minorHAnsi"/>
          <w:color w:val="454545"/>
        </w:rPr>
        <w:noBreakHyphen/>
        <w:t>being and involvement, practitioners can ensure that learning environments support children’s emotional and cognitive needs.</w:t>
      </w:r>
    </w:p>
    <w:p w14:paraId="2DB7FF0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6BEFEC5"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Examples include a child deeply engaged in building a tower (high involvement), a relaxed and confident child (high well</w:t>
      </w:r>
      <w:r w:rsidRPr="008B4AD9">
        <w:rPr>
          <w:rFonts w:asciiTheme="minorHAnsi" w:hAnsiTheme="minorHAnsi"/>
          <w:color w:val="454545"/>
        </w:rPr>
        <w:noBreakHyphen/>
        <w:t>being), or a child wandering aimlessly (low involvement). These observations provide insight into how children interact with their environment and whether the provision meets their developmental needs. For instance, low involvement may indicate that resources are not stimulating enough, while low well</w:t>
      </w:r>
      <w:r w:rsidRPr="008B4AD9">
        <w:rPr>
          <w:rFonts w:asciiTheme="minorHAnsi" w:hAnsiTheme="minorHAnsi"/>
          <w:color w:val="454545"/>
        </w:rPr>
        <w:noBreakHyphen/>
        <w:t>being may suggest emotional or social challenges.</w:t>
      </w:r>
    </w:p>
    <w:p w14:paraId="6840758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BE98B1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The Leuven Scale also helps assess the learning environment. Low involvement may indicate a need for more open</w:t>
      </w:r>
      <w:r w:rsidRPr="008B4AD9">
        <w:rPr>
          <w:rFonts w:asciiTheme="minorHAnsi" w:hAnsiTheme="minorHAnsi"/>
          <w:color w:val="454545"/>
        </w:rPr>
        <w:noBreakHyphen/>
        <w:t>ended materials or quieter spaces. Research by Sylva et al. (2010) shows that high</w:t>
      </w:r>
      <w:r w:rsidRPr="008B4AD9">
        <w:rPr>
          <w:rFonts w:asciiTheme="minorHAnsi" w:hAnsiTheme="minorHAnsi"/>
          <w:color w:val="454545"/>
        </w:rPr>
        <w:noBreakHyphen/>
        <w:t>quality environments with rich, varied resources promote deeper engagement and better developmental outcomes. Practitioners can use Leuven observations to evaluate whether their environment supports exploration, autonomy, and sustained engagement.</w:t>
      </w:r>
    </w:p>
    <w:p w14:paraId="1989E36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59E5851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Limitations include subjectivity, cultural differences, and the need for repeated observations. Distinguishing between moderate and high involvement may require training. Cultural expectations may also influence how children express well</w:t>
      </w:r>
      <w:r w:rsidRPr="008B4AD9">
        <w:rPr>
          <w:rFonts w:asciiTheme="minorHAnsi" w:hAnsiTheme="minorHAnsi"/>
          <w:color w:val="454545"/>
        </w:rPr>
        <w:noBreakHyphen/>
        <w:t>being or engagement. For example, some cultures encourage quieter, more reserved behaviour, which may be misinterpreted as low involvement. Pascal and Bertram (2018) emphasise the importance of practitioner reflection and calibration to ensure consistency and accuracy.</w:t>
      </w:r>
    </w:p>
    <w:p w14:paraId="552E9BD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781C751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Despite limitations, the Leuven Scale aligns with early years pedagogy and supports holistic development. It encourages practitioners to look beyond surface</w:t>
      </w:r>
      <w:r w:rsidRPr="008B4AD9">
        <w:rPr>
          <w:rFonts w:asciiTheme="minorHAnsi" w:hAnsiTheme="minorHAnsi"/>
          <w:color w:val="454545"/>
        </w:rPr>
        <w:noBreakHyphen/>
        <w:t>level behaviours and consider the emotional and cognitive dimensions of learning. This aligns with contemporary research on self</w:t>
      </w:r>
      <w:r w:rsidRPr="008B4AD9">
        <w:rPr>
          <w:rFonts w:asciiTheme="minorHAnsi" w:hAnsiTheme="minorHAnsi"/>
          <w:color w:val="454545"/>
        </w:rPr>
        <w:noBreakHyphen/>
        <w:t>regulation, executive function, and emotional wellbeing (Whitebread, 2021).</w:t>
      </w:r>
    </w:p>
    <w:p w14:paraId="76C40CB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5A28351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The Leuven Scale also supports inclusive practice. Children with ALN, EAL, or sensory needs may express involvement differently. For example, a child with autism may show deep involvement in repetitive play, which still reflects meaningful engagement. Practitioners must interpret Leuven scores within the context of each child’s developmental profile and needs.</w:t>
      </w:r>
    </w:p>
    <w:p w14:paraId="5388F21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47BC548A"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t>In conclusion, the Leuven Scale is a valuable observational tool that supports high</w:t>
      </w:r>
      <w:r w:rsidRPr="008B4AD9">
        <w:rPr>
          <w:rFonts w:asciiTheme="minorHAnsi" w:hAnsiTheme="minorHAnsi"/>
          <w:color w:val="454545"/>
        </w:rPr>
        <w:noBreakHyphen/>
        <w:t xml:space="preserve">quality early years practice. It provides insight into children’s emotional wellbeing, </w:t>
      </w:r>
      <w:r w:rsidRPr="008B4AD9">
        <w:rPr>
          <w:rFonts w:asciiTheme="minorHAnsi" w:hAnsiTheme="minorHAnsi"/>
          <w:color w:val="454545"/>
        </w:rPr>
        <w:lastRenderedPageBreak/>
        <w:t>cognitive engagement, and the effectiveness of the learning environment. When used reflectively and consistently, it helps practitioners plan responsive, inclusive, and developmentally appropriate experiences that promote deep</w:t>
      </w:r>
      <w:r w:rsidRPr="008B4AD9">
        <w:rPr>
          <w:rFonts w:asciiTheme="minorHAnsi" w:hAnsiTheme="minorHAnsi"/>
          <w:color w:val="454545"/>
        </w:rPr>
        <w:noBreakHyphen/>
        <w:t>level learning.</w:t>
      </w:r>
    </w:p>
    <w:p w14:paraId="1F041976" w14:textId="77777777" w:rsidR="002A32C2" w:rsidRPr="008B4AD9" w:rsidRDefault="002A32C2">
      <w:pPr>
        <w:pStyle w:val="NormalWeb"/>
        <w:spacing w:before="0" w:beforeAutospacing="0" w:after="161" w:afterAutospacing="0"/>
        <w:rPr>
          <w:rFonts w:asciiTheme="minorHAnsi" w:hAnsiTheme="minorHAnsi"/>
          <w:color w:val="454545"/>
        </w:rPr>
      </w:pPr>
      <w:r w:rsidRPr="008B4AD9">
        <w:rPr>
          <w:rFonts w:asciiTheme="minorHAnsi" w:hAnsiTheme="minorHAnsi"/>
          <w:color w:val="454545"/>
        </w:rPr>
        <w:t>4. The Role of Play in Observation and Assessment</w:t>
      </w:r>
    </w:p>
    <w:p w14:paraId="7B5189D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2223CB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 provides a natural context for observing children’s learning and development. During play, children demonstrate communication, creativity, problem</w:t>
      </w:r>
      <w:r w:rsidRPr="008B4AD9">
        <w:rPr>
          <w:rFonts w:asciiTheme="minorHAnsi" w:hAnsiTheme="minorHAnsi"/>
          <w:color w:val="454545"/>
        </w:rPr>
        <w:noBreakHyphen/>
        <w:t>solving, and social skills in ways that are often not visible in more structured situations. Because play is self</w:t>
      </w:r>
      <w:r w:rsidRPr="008B4AD9">
        <w:rPr>
          <w:rFonts w:asciiTheme="minorHAnsi" w:hAnsiTheme="minorHAnsi"/>
          <w:color w:val="454545"/>
        </w:rPr>
        <w:noBreakHyphen/>
        <w:t>chosen and intrinsically motivating, it allows practitioners to gain a more authentic understanding of each child’s abilities, interests, and developmental stage. Observing children at play therefore provides a deeper and more accurate insight into their learning behaviours and emerging competencies.</w:t>
      </w:r>
    </w:p>
    <w:p w14:paraId="767F640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102D9247"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 removes the pressure that children may feel in formal assessment situations, allowing them to express themselves freely and confidently. This freedom enables practitioners to observe capabilities such as leadership, negotiation, imagination, and resilience which are skills that may not emerge when children feel they are being evaluated. Play</w:t>
      </w:r>
      <w:r w:rsidRPr="008B4AD9">
        <w:rPr>
          <w:rFonts w:asciiTheme="minorHAnsi" w:hAnsiTheme="minorHAnsi"/>
          <w:color w:val="454545"/>
        </w:rPr>
        <w:noBreakHyphen/>
        <w:t>based observation is therefore considered a realistic and valid method of assessment, as it captures children’s natural behaviours and genuine engagement with their environment.</w:t>
      </w:r>
    </w:p>
    <w:p w14:paraId="3F51728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2A287FF"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One of the key strengths of play</w:t>
      </w:r>
      <w:r w:rsidRPr="008B4AD9">
        <w:rPr>
          <w:rFonts w:asciiTheme="minorHAnsi" w:hAnsiTheme="minorHAnsi"/>
          <w:color w:val="454545"/>
        </w:rPr>
        <w:noBreakHyphen/>
        <w:t>based observation is its ability to reveal children’s true interests and motivations. When children choose their own activities, they naturally gravitate towards resources and experiences that reflect their preferences and developmental needs. For example, a child who consistently chooses construction materials may be developing spatial awareness and problem</w:t>
      </w:r>
      <w:r w:rsidRPr="008B4AD9">
        <w:rPr>
          <w:rFonts w:asciiTheme="minorHAnsi" w:hAnsiTheme="minorHAnsi"/>
          <w:color w:val="454545"/>
        </w:rPr>
        <w:noBreakHyphen/>
        <w:t>solving skills, while a child who prefers role</w:t>
      </w:r>
      <w:r w:rsidRPr="008B4AD9">
        <w:rPr>
          <w:rFonts w:asciiTheme="minorHAnsi" w:hAnsiTheme="minorHAnsi"/>
          <w:color w:val="454545"/>
        </w:rPr>
        <w:noBreakHyphen/>
        <w:t>play may be exploring communication, emotional expression, and social understanding. These patterns provide valuable information for planning next steps and tailoring learning opportunities to individual needs.</w:t>
      </w:r>
    </w:p>
    <w:p w14:paraId="2047FFE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5311897"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 also supports high levels of involvement, which is a major indicator of effective learning. According to Laevers (2021), involvement reflects the depth of a child’s concentration, curiosity, and persistence. Children who are deeply engaged in play demonstrate intrinsic motivation and are more likely to experience deep</w:t>
      </w:r>
      <w:r w:rsidRPr="008B4AD9">
        <w:rPr>
          <w:rFonts w:asciiTheme="minorHAnsi" w:hAnsiTheme="minorHAnsi"/>
          <w:color w:val="454545"/>
        </w:rPr>
        <w:noBreakHyphen/>
        <w:t>level learning. High involvement is often seen when children are exploring new challenges, experimenting with materials, or engaging in imaginative scenarios. In contrast, low involvement, such as wandering, disengagement, or repetitive behaviour may indicate that the environment or activity is not meeting the child’s developmental needs. This makes involvement a powerful tool for assessing the quality of provision.</w:t>
      </w:r>
    </w:p>
    <w:p w14:paraId="4788F9E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CE7CA5D"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w:t>
      </w:r>
      <w:r w:rsidRPr="008B4AD9">
        <w:rPr>
          <w:rFonts w:asciiTheme="minorHAnsi" w:hAnsiTheme="minorHAnsi"/>
          <w:color w:val="454545"/>
        </w:rPr>
        <w:noBreakHyphen/>
        <w:t>based observation also provides insight into children’s social development. Through play, children learn to negotiate roles, share resources, take turns, and resolve conflicts. Practitioners can identify children who may need additional support, such as those who dominate play or those who struggle to communicate their needs. Observing these interactions helps practitioners plan targeted interventions, such as modelling language for turn</w:t>
      </w:r>
      <w:r w:rsidRPr="008B4AD9">
        <w:rPr>
          <w:rFonts w:asciiTheme="minorHAnsi" w:hAnsiTheme="minorHAnsi"/>
          <w:color w:val="454545"/>
        </w:rPr>
        <w:noBreakHyphen/>
        <w:t xml:space="preserve">taking or supporting children to express their emotions appropriately. </w:t>
      </w:r>
      <w:r w:rsidRPr="008B4AD9">
        <w:rPr>
          <w:rFonts w:asciiTheme="minorHAnsi" w:hAnsiTheme="minorHAnsi"/>
          <w:color w:val="454545"/>
        </w:rPr>
        <w:lastRenderedPageBreak/>
        <w:t>These observations are particularly important for children with ALN or EAL, who may require adapted strategies to participate fully in social play.</w:t>
      </w:r>
    </w:p>
    <w:p w14:paraId="134B3B8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4836CF7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However, practitioners must approach play</w:t>
      </w:r>
      <w:r w:rsidRPr="008B4AD9">
        <w:rPr>
          <w:rFonts w:asciiTheme="minorHAnsi" w:hAnsiTheme="minorHAnsi"/>
          <w:color w:val="454545"/>
        </w:rPr>
        <w:noBreakHyphen/>
        <w:t>based observation sensitively. Over</w:t>
      </w:r>
      <w:r w:rsidRPr="008B4AD9">
        <w:rPr>
          <w:rFonts w:asciiTheme="minorHAnsi" w:hAnsiTheme="minorHAnsi"/>
          <w:color w:val="454545"/>
        </w:rPr>
        <w:noBreakHyphen/>
        <w:t>involvement can disrupt the natural flow of play and alter children’s behaviour, reducing the validity of the observation. Practitioners should observe from the periphery, stepping in only when necessary. For example, to support conflict resolution or ensure safety. When intervention is required, it should enhance rather than direct the play. Using open</w:t>
      </w:r>
      <w:r w:rsidRPr="008B4AD9">
        <w:rPr>
          <w:rFonts w:asciiTheme="minorHAnsi" w:hAnsiTheme="minorHAnsi"/>
          <w:color w:val="454545"/>
        </w:rPr>
        <w:noBreakHyphen/>
        <w:t>ended questions such as “What do you think might happen next?” or “How could we solve this problem?” encourages children’s thinking without taking control of the activity.</w:t>
      </w:r>
    </w:p>
    <w:p w14:paraId="79C17E3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F12EA9B"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Ethical considerations are also essential in play</w:t>
      </w:r>
      <w:r w:rsidRPr="008B4AD9">
        <w:rPr>
          <w:rFonts w:asciiTheme="minorHAnsi" w:hAnsiTheme="minorHAnsi"/>
          <w:color w:val="454545"/>
        </w:rPr>
        <w:noBreakHyphen/>
        <w:t>based observation. Practitioners must respect children’s privacy and dignity, ensuring that observations are conducted discreetly and recorded in a confidential manner. Parental consent is required, and practitioners must avoid judgemental or culturally biased interpretations of behaviour. Awareness of cultural differences is particularly important, as children from diverse backgrounds may express emotions or engage in play in ways that differ from the practitioner’s expectations.</w:t>
      </w:r>
    </w:p>
    <w:p w14:paraId="63BEF6D3"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00FF78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Regular and ongoing observations are more effective than one</w:t>
      </w:r>
      <w:r w:rsidRPr="008B4AD9">
        <w:rPr>
          <w:rFonts w:asciiTheme="minorHAnsi" w:hAnsiTheme="minorHAnsi"/>
          <w:color w:val="454545"/>
        </w:rPr>
        <w:noBreakHyphen/>
        <w:t>off assessments. Children’s behaviour can vary from day to day depending on factors such as mood, environment, or social dynamics. Longitudinal observations provide a more complete and accurate picture of a child’s development, enabling practitioners to identify patterns, progress, and emerging needs over time. This aligns with the observe</w:t>
      </w:r>
      <w:r w:rsidRPr="008B4AD9">
        <w:rPr>
          <w:rFonts w:asciiTheme="minorHAnsi" w:hAnsiTheme="minorHAnsi"/>
          <w:color w:val="454545"/>
        </w:rPr>
        <w:noBreakHyphen/>
        <w:t>plan</w:t>
      </w:r>
      <w:r w:rsidRPr="008B4AD9">
        <w:rPr>
          <w:rFonts w:asciiTheme="minorHAnsi" w:hAnsiTheme="minorHAnsi"/>
          <w:color w:val="454545"/>
        </w:rPr>
        <w:noBreakHyphen/>
        <w:t>do</w:t>
      </w:r>
      <w:r w:rsidRPr="008B4AD9">
        <w:rPr>
          <w:rFonts w:asciiTheme="minorHAnsi" w:hAnsiTheme="minorHAnsi"/>
          <w:color w:val="454545"/>
        </w:rPr>
        <w:noBreakHyphen/>
        <w:t>review cycle used in early years practice, ensuring that planning is responsive and based on reliable evidence.</w:t>
      </w:r>
    </w:p>
    <w:p w14:paraId="6F98186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38ED659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w:t>
      </w:r>
      <w:r w:rsidRPr="008B4AD9">
        <w:rPr>
          <w:rFonts w:asciiTheme="minorHAnsi" w:hAnsiTheme="minorHAnsi"/>
          <w:color w:val="454545"/>
        </w:rPr>
        <w:noBreakHyphen/>
        <w:t>based observation is closely aligned with the Curriculum for Wales and the EYFS, both of which emphasise child</w:t>
      </w:r>
      <w:r w:rsidRPr="008B4AD9">
        <w:rPr>
          <w:rFonts w:asciiTheme="minorHAnsi" w:hAnsiTheme="minorHAnsi"/>
          <w:color w:val="454545"/>
        </w:rPr>
        <w:noBreakHyphen/>
        <w:t>centred, play</w:t>
      </w:r>
      <w:r w:rsidRPr="008B4AD9">
        <w:rPr>
          <w:rFonts w:asciiTheme="minorHAnsi" w:hAnsiTheme="minorHAnsi"/>
          <w:color w:val="454545"/>
        </w:rPr>
        <w:noBreakHyphen/>
        <w:t>based learning. These frameworks highlight the importance of holistic development and recognise that play is a powerful vehicle for learning. By observing children in play, practitioners can ensure that the learning environment is responsive, inclusive, and developmentally appropriate. This approach supports children to become confident, capable learners who are actively involved in their own development.</w:t>
      </w:r>
    </w:p>
    <w:p w14:paraId="065F057C"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06621F4C"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In conclusion, play</w:t>
      </w:r>
      <w:r w:rsidRPr="008B4AD9">
        <w:rPr>
          <w:rFonts w:asciiTheme="minorHAnsi" w:hAnsiTheme="minorHAnsi"/>
          <w:color w:val="454545"/>
        </w:rPr>
        <w:noBreakHyphen/>
        <w:t>based observation is a highly effective method for understanding children’s learning, interests, and social interactions. It provides authentic insights into children’s development and supports practitioners in creating environments that promote curiosity, engagement, and holistic growth. When carried out sensitively and ethically, play</w:t>
      </w:r>
      <w:r w:rsidRPr="008B4AD9">
        <w:rPr>
          <w:rFonts w:asciiTheme="minorHAnsi" w:hAnsiTheme="minorHAnsi"/>
          <w:color w:val="454545"/>
        </w:rPr>
        <w:noBreakHyphen/>
        <w:t>based observation enables practitioners to plan meaningful, individualised learning experiences that help every child reach their full potential.</w:t>
      </w:r>
    </w:p>
    <w:p w14:paraId="7D57516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19DA5EAB"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696E8AD4"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Reference List</w:t>
      </w:r>
    </w:p>
    <w:p w14:paraId="50D0D682"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 </w:t>
      </w:r>
    </w:p>
    <w:p w14:paraId="76C21DDA"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Bruce, T. (2015) Early Childhood Education. 5th edn. London: Hodder Education.</w:t>
      </w:r>
    </w:p>
    <w:p w14:paraId="1000323A" w14:textId="77777777" w:rsidR="002A32C2" w:rsidRPr="008B4AD9" w:rsidRDefault="002A32C2">
      <w:pPr>
        <w:pStyle w:val="NormalWeb"/>
        <w:spacing w:before="0" w:beforeAutospacing="0" w:after="0" w:afterAutospacing="0"/>
        <w:rPr>
          <w:rFonts w:asciiTheme="minorHAnsi" w:hAnsiTheme="minorHAnsi"/>
          <w:color w:val="454545"/>
        </w:rPr>
      </w:pPr>
    </w:p>
    <w:p w14:paraId="7293A279"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Denham, S.A., Bassett, H.H. and Zinsser, K. (2012) ‘Early childhood teachers as socialisers of young children’s emotional competence’, Early Childhood Education Journal, 40(3), pp. 137–143.</w:t>
      </w:r>
    </w:p>
    <w:p w14:paraId="24CD0022" w14:textId="77777777" w:rsidR="002A32C2" w:rsidRPr="008B4AD9" w:rsidRDefault="002A32C2">
      <w:pPr>
        <w:pStyle w:val="NormalWeb"/>
        <w:spacing w:before="0" w:beforeAutospacing="0" w:after="0" w:afterAutospacing="0"/>
        <w:rPr>
          <w:rFonts w:asciiTheme="minorHAnsi" w:hAnsiTheme="minorHAnsi"/>
          <w:color w:val="454545"/>
        </w:rPr>
      </w:pPr>
    </w:p>
    <w:p w14:paraId="678ADBB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Department for Education (2023) Statutory Framework for the Early Years Foundation Stage. London: DfE.</w:t>
      </w:r>
    </w:p>
    <w:p w14:paraId="551BBA45" w14:textId="77777777" w:rsidR="002A32C2" w:rsidRPr="008B4AD9" w:rsidRDefault="002A32C2">
      <w:pPr>
        <w:pStyle w:val="NormalWeb"/>
        <w:spacing w:before="0" w:beforeAutospacing="0" w:after="0" w:afterAutospacing="0"/>
        <w:rPr>
          <w:rFonts w:asciiTheme="minorHAnsi" w:hAnsiTheme="minorHAnsi"/>
          <w:color w:val="454545"/>
        </w:rPr>
      </w:pPr>
    </w:p>
    <w:p w14:paraId="23C5CB26"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Froebel, F. (2005) The Education of Man. Mineola, NY: Dover Publications.</w:t>
      </w:r>
    </w:p>
    <w:p w14:paraId="760F41B9" w14:textId="77777777" w:rsidR="002A32C2" w:rsidRPr="008B4AD9" w:rsidRDefault="002A32C2">
      <w:pPr>
        <w:pStyle w:val="NormalWeb"/>
        <w:spacing w:before="0" w:beforeAutospacing="0" w:after="0" w:afterAutospacing="0"/>
        <w:rPr>
          <w:rFonts w:asciiTheme="minorHAnsi" w:hAnsiTheme="minorHAnsi"/>
          <w:color w:val="454545"/>
        </w:rPr>
      </w:pPr>
    </w:p>
    <w:p w14:paraId="42595D01"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Gopnik, A. (2020) The Scientist in the Crib: What Early Learning Tells Us About the Mind. London: HarperCollins.</w:t>
      </w:r>
    </w:p>
    <w:p w14:paraId="7951C082" w14:textId="77777777" w:rsidR="002A32C2" w:rsidRPr="008B4AD9" w:rsidRDefault="002A32C2">
      <w:pPr>
        <w:pStyle w:val="NormalWeb"/>
        <w:spacing w:before="0" w:beforeAutospacing="0" w:after="0" w:afterAutospacing="0"/>
        <w:rPr>
          <w:rFonts w:asciiTheme="minorHAnsi" w:hAnsiTheme="minorHAnsi"/>
          <w:color w:val="454545"/>
        </w:rPr>
      </w:pPr>
    </w:p>
    <w:p w14:paraId="5053309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Laevers, F. (2021) The Leuven Involvement Scale for Young Children (LIS</w:t>
      </w:r>
      <w:r w:rsidRPr="008B4AD9">
        <w:rPr>
          <w:rFonts w:asciiTheme="minorHAnsi" w:hAnsiTheme="minorHAnsi"/>
          <w:color w:val="454545"/>
        </w:rPr>
        <w:noBreakHyphen/>
        <w:t>YC). Leuven: Leuven University Press.</w:t>
      </w:r>
    </w:p>
    <w:p w14:paraId="227AEF63" w14:textId="77777777" w:rsidR="002A32C2" w:rsidRPr="008B4AD9" w:rsidRDefault="002A32C2">
      <w:pPr>
        <w:pStyle w:val="NormalWeb"/>
        <w:spacing w:before="0" w:beforeAutospacing="0" w:after="0" w:afterAutospacing="0"/>
        <w:rPr>
          <w:rFonts w:asciiTheme="minorHAnsi" w:hAnsiTheme="minorHAnsi"/>
          <w:color w:val="454545"/>
        </w:rPr>
      </w:pPr>
    </w:p>
    <w:p w14:paraId="613E721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Montessori, M. (2013) The Absorbent Mind. London: Penguin.</w:t>
      </w:r>
    </w:p>
    <w:p w14:paraId="33ABE759" w14:textId="77777777" w:rsidR="002A32C2" w:rsidRPr="008B4AD9" w:rsidRDefault="002A32C2">
      <w:pPr>
        <w:pStyle w:val="NormalWeb"/>
        <w:spacing w:before="0" w:beforeAutospacing="0" w:after="0" w:afterAutospacing="0"/>
        <w:rPr>
          <w:rFonts w:asciiTheme="minorHAnsi" w:hAnsiTheme="minorHAnsi"/>
          <w:color w:val="454545"/>
        </w:rPr>
      </w:pPr>
    </w:p>
    <w:p w14:paraId="64D718FF"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Pascal, C. and Bertram, T. (2018) The Leuven Scales of Well</w:t>
      </w:r>
      <w:r w:rsidRPr="008B4AD9">
        <w:rPr>
          <w:rFonts w:asciiTheme="minorHAnsi" w:hAnsiTheme="minorHAnsi"/>
          <w:color w:val="454545"/>
        </w:rPr>
        <w:noBreakHyphen/>
        <w:t>Being and Involvement in Young Children. Birmingham: Centre for Research in Early Childhood (CREC).</w:t>
      </w:r>
    </w:p>
    <w:p w14:paraId="2AE6DC69" w14:textId="77777777" w:rsidR="002A32C2" w:rsidRPr="008B4AD9" w:rsidRDefault="002A32C2">
      <w:pPr>
        <w:pStyle w:val="NormalWeb"/>
        <w:spacing w:before="0" w:beforeAutospacing="0" w:after="0" w:afterAutospacing="0"/>
        <w:rPr>
          <w:rFonts w:asciiTheme="minorHAnsi" w:hAnsiTheme="minorHAnsi"/>
          <w:color w:val="454545"/>
        </w:rPr>
      </w:pPr>
    </w:p>
    <w:p w14:paraId="75A25F97"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Piaget, J. (1962) Play, Dreams and Imitation in Childhood. New York: Norton.</w:t>
      </w:r>
    </w:p>
    <w:p w14:paraId="713A0D94" w14:textId="77777777" w:rsidR="002A32C2" w:rsidRPr="008B4AD9" w:rsidRDefault="002A32C2">
      <w:pPr>
        <w:pStyle w:val="NormalWeb"/>
        <w:spacing w:before="0" w:beforeAutospacing="0" w:after="0" w:afterAutospacing="0"/>
        <w:rPr>
          <w:rFonts w:asciiTheme="minorHAnsi" w:hAnsiTheme="minorHAnsi"/>
          <w:color w:val="454545"/>
        </w:rPr>
      </w:pPr>
    </w:p>
    <w:p w14:paraId="5B27CBFE"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 Wales (2022) The Importance of Play. Cardiff: Play Wales.</w:t>
      </w:r>
    </w:p>
    <w:p w14:paraId="20C9B866" w14:textId="77777777" w:rsidR="002A32C2" w:rsidRPr="008B4AD9" w:rsidRDefault="002A32C2">
      <w:pPr>
        <w:pStyle w:val="NormalWeb"/>
        <w:spacing w:before="0" w:beforeAutospacing="0" w:after="0" w:afterAutospacing="0"/>
        <w:rPr>
          <w:rFonts w:asciiTheme="minorHAnsi" w:hAnsiTheme="minorHAnsi"/>
          <w:color w:val="454545"/>
        </w:rPr>
      </w:pPr>
    </w:p>
    <w:p w14:paraId="75B3F4D2"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Playwork Principles Scrutiny Group (2005) The Playwork Principles. Cardiff: Play Wales.</w:t>
      </w:r>
    </w:p>
    <w:p w14:paraId="13C41F57" w14:textId="77777777" w:rsidR="002A32C2" w:rsidRPr="008B4AD9" w:rsidRDefault="002A32C2">
      <w:pPr>
        <w:pStyle w:val="NormalWeb"/>
        <w:spacing w:before="0" w:beforeAutospacing="0" w:after="0" w:afterAutospacing="0"/>
        <w:rPr>
          <w:rFonts w:asciiTheme="minorHAnsi" w:hAnsiTheme="minorHAnsi"/>
          <w:color w:val="454545"/>
        </w:rPr>
      </w:pPr>
    </w:p>
    <w:p w14:paraId="65F31A9B"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Siraj</w:t>
      </w:r>
      <w:r w:rsidRPr="008B4AD9">
        <w:rPr>
          <w:rFonts w:asciiTheme="minorHAnsi" w:hAnsiTheme="minorHAnsi"/>
          <w:color w:val="454545"/>
        </w:rPr>
        <w:noBreakHyphen/>
        <w:t>Blatchford, I., Sylva, K., Muttock, S., Gilden, R. and Bell, D. (2002) Researching Effective Pedagogy in the Early Years (REPEY). London: DfES.</w:t>
      </w:r>
    </w:p>
    <w:p w14:paraId="3A508985" w14:textId="77777777" w:rsidR="002A32C2" w:rsidRPr="008B4AD9" w:rsidRDefault="002A32C2">
      <w:pPr>
        <w:pStyle w:val="NormalWeb"/>
        <w:spacing w:before="0" w:beforeAutospacing="0" w:after="0" w:afterAutospacing="0"/>
        <w:rPr>
          <w:rFonts w:asciiTheme="minorHAnsi" w:hAnsiTheme="minorHAnsi"/>
          <w:color w:val="454545"/>
        </w:rPr>
      </w:pPr>
    </w:p>
    <w:p w14:paraId="3EB88BA8"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Sylva, K., Melhuish, E., Sammons, P., Siraj</w:t>
      </w:r>
      <w:r w:rsidRPr="008B4AD9">
        <w:rPr>
          <w:rFonts w:asciiTheme="minorHAnsi" w:hAnsiTheme="minorHAnsi"/>
          <w:color w:val="454545"/>
        </w:rPr>
        <w:noBreakHyphen/>
        <w:t>Blatchford, I. and Taggart, B. (2010) Early Childhood Matters: Evidence from the Effective Pre</w:t>
      </w:r>
      <w:r w:rsidRPr="008B4AD9">
        <w:rPr>
          <w:rFonts w:asciiTheme="minorHAnsi" w:hAnsiTheme="minorHAnsi"/>
          <w:color w:val="454545"/>
        </w:rPr>
        <w:noBreakHyphen/>
        <w:t>School and Primary Education Project. London: Routledge.</w:t>
      </w:r>
    </w:p>
    <w:p w14:paraId="48D28BCA" w14:textId="77777777" w:rsidR="002A32C2" w:rsidRPr="008B4AD9" w:rsidRDefault="002A32C2">
      <w:pPr>
        <w:pStyle w:val="NormalWeb"/>
        <w:spacing w:before="0" w:beforeAutospacing="0" w:after="0" w:afterAutospacing="0"/>
        <w:rPr>
          <w:rFonts w:asciiTheme="minorHAnsi" w:hAnsiTheme="minorHAnsi"/>
          <w:color w:val="454545"/>
        </w:rPr>
      </w:pPr>
    </w:p>
    <w:p w14:paraId="5049A377"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Vygotsky, L.S. (1978) Mind in Society: The Development of Higher Psychological Processes. Cambridge, MA: Harvard University Press.</w:t>
      </w:r>
    </w:p>
    <w:p w14:paraId="3410F954" w14:textId="77777777" w:rsidR="002A32C2" w:rsidRPr="008B4AD9" w:rsidRDefault="002A32C2">
      <w:pPr>
        <w:pStyle w:val="NormalWeb"/>
        <w:spacing w:before="0" w:beforeAutospacing="0" w:after="0" w:afterAutospacing="0"/>
        <w:rPr>
          <w:rFonts w:asciiTheme="minorHAnsi" w:hAnsiTheme="minorHAnsi"/>
          <w:color w:val="454545"/>
        </w:rPr>
      </w:pPr>
    </w:p>
    <w:p w14:paraId="0A39D0FA"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Weisberg, D.S., Hirsh</w:t>
      </w:r>
      <w:r w:rsidRPr="008B4AD9">
        <w:rPr>
          <w:rFonts w:asciiTheme="minorHAnsi" w:hAnsiTheme="minorHAnsi"/>
          <w:color w:val="454545"/>
        </w:rPr>
        <w:noBreakHyphen/>
        <w:t>Pasek, K. and Golinkoff, R.M. (2013) ‘Guided play: Where curricular goals meet a playful pedagogy’, Mind, Brain, and Education, 7(2), pp. 104–112.</w:t>
      </w:r>
    </w:p>
    <w:p w14:paraId="6712C8E8" w14:textId="77777777" w:rsidR="002A32C2" w:rsidRPr="008B4AD9" w:rsidRDefault="002A32C2">
      <w:pPr>
        <w:pStyle w:val="NormalWeb"/>
        <w:spacing w:before="0" w:beforeAutospacing="0" w:after="0" w:afterAutospacing="0"/>
        <w:rPr>
          <w:rFonts w:asciiTheme="minorHAnsi" w:hAnsiTheme="minorHAnsi"/>
          <w:color w:val="454545"/>
        </w:rPr>
      </w:pPr>
    </w:p>
    <w:p w14:paraId="56B24E1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Welsh Government (2022) Curriculum for Wales: Guidance. Cardiff: Welsh Government.</w:t>
      </w:r>
    </w:p>
    <w:p w14:paraId="1169973A" w14:textId="77777777" w:rsidR="002A32C2" w:rsidRPr="008B4AD9" w:rsidRDefault="002A32C2">
      <w:pPr>
        <w:pStyle w:val="NormalWeb"/>
        <w:spacing w:before="0" w:beforeAutospacing="0" w:after="0" w:afterAutospacing="0"/>
        <w:rPr>
          <w:rFonts w:asciiTheme="minorHAnsi" w:hAnsiTheme="minorHAnsi"/>
          <w:color w:val="454545"/>
        </w:rPr>
      </w:pPr>
    </w:p>
    <w:p w14:paraId="1ADB56A0" w14:textId="77777777" w:rsidR="002A32C2" w:rsidRPr="008B4AD9" w:rsidRDefault="002A32C2">
      <w:pPr>
        <w:pStyle w:val="NormalWeb"/>
        <w:spacing w:before="0" w:beforeAutospacing="0" w:after="0" w:afterAutospacing="0"/>
        <w:rPr>
          <w:rFonts w:asciiTheme="minorHAnsi" w:hAnsiTheme="minorHAnsi"/>
          <w:color w:val="454545"/>
        </w:rPr>
      </w:pPr>
      <w:r w:rsidRPr="008B4AD9">
        <w:rPr>
          <w:rFonts w:asciiTheme="minorHAnsi" w:hAnsiTheme="minorHAnsi"/>
          <w:color w:val="454545"/>
        </w:rPr>
        <w:t>Whitebread, D. (2021) Play and Self</w:t>
      </w:r>
      <w:r w:rsidRPr="008B4AD9">
        <w:rPr>
          <w:rFonts w:asciiTheme="minorHAnsi" w:hAnsiTheme="minorHAnsi"/>
          <w:color w:val="454545"/>
        </w:rPr>
        <w:noBreakHyphen/>
        <w:t>Regulation in Early Childhood. Cambridge: Cambridge University Press</w:t>
      </w:r>
    </w:p>
    <w:p w14:paraId="42DC7FC6" w14:textId="77777777" w:rsidR="00CF015F" w:rsidRPr="008B4AD9" w:rsidRDefault="00CF015F"/>
    <w:sectPr w:rsidR="00CF015F" w:rsidRPr="008B4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15F"/>
    <w:rsid w:val="00020806"/>
    <w:rsid w:val="00077949"/>
    <w:rsid w:val="00180340"/>
    <w:rsid w:val="00264642"/>
    <w:rsid w:val="002A32C2"/>
    <w:rsid w:val="003316A5"/>
    <w:rsid w:val="00375DF8"/>
    <w:rsid w:val="00771ADD"/>
    <w:rsid w:val="008B4AD9"/>
    <w:rsid w:val="00A96EFF"/>
    <w:rsid w:val="00BB2285"/>
    <w:rsid w:val="00C12E40"/>
    <w:rsid w:val="00C15FC6"/>
    <w:rsid w:val="00C46A42"/>
    <w:rsid w:val="00CF015F"/>
    <w:rsid w:val="00D27BB1"/>
    <w:rsid w:val="00DE477D"/>
    <w:rsid w:val="00F467F3"/>
    <w:rsid w:val="00F9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6E62B2"/>
  <w15:chartTrackingRefBased/>
  <w15:docId w15:val="{3D7C9B4E-A68C-2E47-83DB-F49FAFCE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1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0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0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0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0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01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01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01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01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1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15F"/>
    <w:rPr>
      <w:rFonts w:eastAsiaTheme="majorEastAsia" w:cstheme="majorBidi"/>
      <w:color w:val="272727" w:themeColor="text1" w:themeTint="D8"/>
    </w:rPr>
  </w:style>
  <w:style w:type="paragraph" w:styleId="Title">
    <w:name w:val="Title"/>
    <w:basedOn w:val="Normal"/>
    <w:next w:val="Normal"/>
    <w:link w:val="TitleChar"/>
    <w:uiPriority w:val="10"/>
    <w:qFormat/>
    <w:rsid w:val="00CF01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1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0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15F"/>
    <w:pPr>
      <w:spacing w:before="160"/>
      <w:jc w:val="center"/>
    </w:pPr>
    <w:rPr>
      <w:i/>
      <w:iCs/>
      <w:color w:val="404040" w:themeColor="text1" w:themeTint="BF"/>
    </w:rPr>
  </w:style>
  <w:style w:type="character" w:customStyle="1" w:styleId="QuoteChar">
    <w:name w:val="Quote Char"/>
    <w:basedOn w:val="DefaultParagraphFont"/>
    <w:link w:val="Quote"/>
    <w:uiPriority w:val="29"/>
    <w:rsid w:val="00CF015F"/>
    <w:rPr>
      <w:i/>
      <w:iCs/>
      <w:color w:val="404040" w:themeColor="text1" w:themeTint="BF"/>
    </w:rPr>
  </w:style>
  <w:style w:type="paragraph" w:styleId="ListParagraph">
    <w:name w:val="List Paragraph"/>
    <w:basedOn w:val="Normal"/>
    <w:uiPriority w:val="34"/>
    <w:qFormat/>
    <w:rsid w:val="00CF015F"/>
    <w:pPr>
      <w:ind w:left="720"/>
      <w:contextualSpacing/>
    </w:pPr>
  </w:style>
  <w:style w:type="character" w:styleId="IntenseEmphasis">
    <w:name w:val="Intense Emphasis"/>
    <w:basedOn w:val="DefaultParagraphFont"/>
    <w:uiPriority w:val="21"/>
    <w:qFormat/>
    <w:rsid w:val="00CF015F"/>
    <w:rPr>
      <w:i/>
      <w:iCs/>
      <w:color w:val="0F4761" w:themeColor="accent1" w:themeShade="BF"/>
    </w:rPr>
  </w:style>
  <w:style w:type="paragraph" w:styleId="IntenseQuote">
    <w:name w:val="Intense Quote"/>
    <w:basedOn w:val="Normal"/>
    <w:next w:val="Normal"/>
    <w:link w:val="IntenseQuoteChar"/>
    <w:uiPriority w:val="30"/>
    <w:qFormat/>
    <w:rsid w:val="00CF0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015F"/>
    <w:rPr>
      <w:i/>
      <w:iCs/>
      <w:color w:val="0F4761" w:themeColor="accent1" w:themeShade="BF"/>
    </w:rPr>
  </w:style>
  <w:style w:type="character" w:styleId="IntenseReference">
    <w:name w:val="Intense Reference"/>
    <w:basedOn w:val="DefaultParagraphFont"/>
    <w:uiPriority w:val="32"/>
    <w:qFormat/>
    <w:rsid w:val="00CF015F"/>
    <w:rPr>
      <w:b/>
      <w:bCs/>
      <w:smallCaps/>
      <w:color w:val="0F4761" w:themeColor="accent1" w:themeShade="BF"/>
      <w:spacing w:val="5"/>
    </w:rPr>
  </w:style>
  <w:style w:type="paragraph" w:styleId="NormalWeb">
    <w:name w:val="Normal (Web)"/>
    <w:basedOn w:val="Normal"/>
    <w:uiPriority w:val="99"/>
    <w:semiHidden/>
    <w:unhideWhenUsed/>
    <w:rsid w:val="002A32C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3501</Words>
  <Characters>19958</Characters>
  <Application>Microsoft Office Word</Application>
  <DocSecurity>0</DocSecurity>
  <Lines>166</Lines>
  <Paragraphs>46</Paragraphs>
  <ScaleCrop>false</ScaleCrop>
  <Company/>
  <LinksUpToDate>false</LinksUpToDate>
  <CharactersWithSpaces>23413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Fry (2505762)</dc:creator>
  <cp:keywords/>
  <dc:description/>
  <cp:lastModifiedBy>Shannon Fry (2505762)</cp:lastModifiedBy>
  <cp:revision>2</cp:revision>
  <dcterms:created xsi:type="dcterms:W3CDTF">2026-03-07T15:45:00Z</dcterms:created>
  <dcterms:modified xsi:type="dcterms:W3CDTF">2026-03-07T15:45:00Z</dcterms:modified>
</cp:coreProperties>
</file>