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C16434" w14:textId="77777777" w:rsidR="00796613" w:rsidRDefault="00796613">
      <w:pPr>
        <w:spacing w:after="200"/>
      </w:pPr>
    </w:p>
    <w:p w14:paraId="2E2E162E" w14:textId="68A63189" w:rsidR="00796613" w:rsidRDefault="003D3D7C">
      <w:pPr>
        <w:spacing w:after="400"/>
        <w:jc w:val="center"/>
      </w:pPr>
      <w:r>
        <w:rPr>
          <w:b/>
          <w:bCs/>
          <w:sz w:val="28"/>
          <w:szCs w:val="28"/>
        </w:rPr>
        <w:t>UNIVERSITY OF WALES TRINITY SAINT DAVID</w:t>
      </w:r>
      <w:r w:rsidR="006D6AAE" w:rsidRPr="006D6AAE">
        <w:rPr>
          <w:b/>
          <w:bCs/>
          <w:noProof/>
          <w:sz w:val="28"/>
          <w:szCs w:val="28"/>
        </w:rPr>
        <w:drawing>
          <wp:inline distT="0" distB="0" distL="0" distR="0" wp14:anchorId="4AC73F3E" wp14:editId="58D20BA2">
            <wp:extent cx="1912786" cy="624894"/>
            <wp:effectExtent l="0" t="0" r="0" b="3810"/>
            <wp:docPr id="55680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804098" name=""/>
                    <pic:cNvPicPr/>
                  </pic:nvPicPr>
                  <pic:blipFill>
                    <a:blip r:embed="rId8"/>
                    <a:stretch>
                      <a:fillRect/>
                    </a:stretch>
                  </pic:blipFill>
                  <pic:spPr>
                    <a:xfrm>
                      <a:off x="0" y="0"/>
                      <a:ext cx="1912786" cy="624894"/>
                    </a:xfrm>
                    <a:prstGeom prst="rect">
                      <a:avLst/>
                    </a:prstGeom>
                  </pic:spPr>
                </pic:pic>
              </a:graphicData>
            </a:graphic>
          </wp:inline>
        </w:drawing>
      </w:r>
    </w:p>
    <w:p w14:paraId="39159CC8" w14:textId="77777777" w:rsidR="00796613" w:rsidRDefault="003D3D7C" w:rsidP="004C2795">
      <w:pPr>
        <w:jc w:val="center"/>
      </w:pPr>
      <w:r>
        <w:t>MSc Public Health and Social Care in Practice</w:t>
      </w:r>
    </w:p>
    <w:p w14:paraId="0D2C75BB" w14:textId="77777777" w:rsidR="00796613" w:rsidRDefault="003D3D7C">
      <w:pPr>
        <w:spacing w:after="200"/>
        <w:jc w:val="center"/>
      </w:pPr>
      <w:r>
        <w:t>Module: Social Epidemiology and Public Health Development</w:t>
      </w:r>
    </w:p>
    <w:p w14:paraId="7DAD4EF0" w14:textId="77777777" w:rsidR="00796613" w:rsidRDefault="003D3D7C">
      <w:pPr>
        <w:spacing w:after="200"/>
        <w:jc w:val="center"/>
      </w:pPr>
      <w:r>
        <w:t>Module Code: LCHS7000</w:t>
      </w:r>
    </w:p>
    <w:p w14:paraId="7CBA3C61" w14:textId="05E67AF3" w:rsidR="00796613" w:rsidRDefault="003D3D7C">
      <w:pPr>
        <w:spacing w:after="400"/>
        <w:jc w:val="center"/>
      </w:pPr>
      <w:r>
        <w:t xml:space="preserve">Lecturer: Dr </w:t>
      </w:r>
      <w:r w:rsidR="00FD36C8">
        <w:t>Junaid Shaikh</w:t>
      </w:r>
    </w:p>
    <w:p w14:paraId="0FAB445C" w14:textId="77777777" w:rsidR="00796613" w:rsidRDefault="003D3D7C" w:rsidP="004C2795">
      <w:pPr>
        <w:pBdr>
          <w:bottom w:val="single" w:sz="4" w:space="1" w:color="auto"/>
        </w:pBdr>
        <w:spacing w:after="200"/>
        <w:jc w:val="center"/>
      </w:pPr>
      <w:r>
        <w:rPr>
          <w:b/>
          <w:bCs/>
          <w:sz w:val="32"/>
          <w:szCs w:val="32"/>
        </w:rPr>
        <w:t>COMPONENT 2: ANALYTICAL REPORT</w:t>
      </w:r>
    </w:p>
    <w:p w14:paraId="5F0AA065" w14:textId="77777777" w:rsidR="00796613" w:rsidRDefault="003D3D7C">
      <w:pPr>
        <w:spacing w:after="200"/>
        <w:jc w:val="center"/>
      </w:pPr>
      <w:r>
        <w:t>Task 1: Age and Health Inequalities among Older People (65+) in the UK</w:t>
      </w:r>
    </w:p>
    <w:p w14:paraId="35B82A78" w14:textId="77777777" w:rsidR="00796613" w:rsidRDefault="003D3D7C">
      <w:pPr>
        <w:spacing w:after="400"/>
        <w:jc w:val="center"/>
      </w:pPr>
      <w:r>
        <w:t>Task 2: Epidemiological Analysis of Dementia in the London Borough of Newham</w:t>
      </w:r>
    </w:p>
    <w:p w14:paraId="01144B53" w14:textId="5FC966A3" w:rsidR="00796613" w:rsidRDefault="003D3D7C">
      <w:pPr>
        <w:spacing w:after="100"/>
        <w:jc w:val="center"/>
      </w:pPr>
      <w:r>
        <w:t xml:space="preserve">Student Name: </w:t>
      </w:r>
      <w:r w:rsidR="00C11B66">
        <w:t xml:space="preserve">Geetha </w:t>
      </w:r>
      <w:proofErr w:type="spellStart"/>
      <w:r w:rsidR="00C11B66">
        <w:t>Marimuthu</w:t>
      </w:r>
      <w:proofErr w:type="spellEnd"/>
    </w:p>
    <w:p w14:paraId="029A500D" w14:textId="0A705872" w:rsidR="00796613" w:rsidRDefault="003D3D7C">
      <w:pPr>
        <w:spacing w:after="100"/>
        <w:jc w:val="center"/>
      </w:pPr>
      <w:r>
        <w:t xml:space="preserve">Student ID Number: </w:t>
      </w:r>
      <w:r w:rsidR="00C11B66">
        <w:t>2528691</w:t>
      </w:r>
    </w:p>
    <w:p w14:paraId="74FDAC3B" w14:textId="3FDDD9F5" w:rsidR="00796613" w:rsidRDefault="003D3D7C">
      <w:pPr>
        <w:spacing w:after="100"/>
        <w:jc w:val="center"/>
      </w:pPr>
      <w:r>
        <w:rPr>
          <w:sz w:val="22"/>
          <w:szCs w:val="22"/>
        </w:rPr>
        <w:t>Word Count: Task 1 ≈ 1</w:t>
      </w:r>
      <w:r w:rsidR="006844AC">
        <w:rPr>
          <w:sz w:val="22"/>
          <w:szCs w:val="22"/>
        </w:rPr>
        <w:t>1</w:t>
      </w:r>
      <w:r>
        <w:rPr>
          <w:sz w:val="22"/>
          <w:szCs w:val="22"/>
        </w:rPr>
        <w:t>00 words | Task 2 ≈ 1</w:t>
      </w:r>
      <w:r w:rsidR="006844AC">
        <w:rPr>
          <w:sz w:val="22"/>
          <w:szCs w:val="22"/>
        </w:rPr>
        <w:t>60</w:t>
      </w:r>
      <w:r>
        <w:rPr>
          <w:sz w:val="22"/>
          <w:szCs w:val="22"/>
        </w:rPr>
        <w:t>0 words</w:t>
      </w:r>
    </w:p>
    <w:p w14:paraId="42C550E6" w14:textId="77777777" w:rsidR="00796613" w:rsidRDefault="003D3D7C">
      <w:pPr>
        <w:spacing w:after="100"/>
        <w:jc w:val="center"/>
      </w:pPr>
      <w:r>
        <w:t>Submission Date: 22 July 2026</w:t>
      </w:r>
    </w:p>
    <w:p w14:paraId="26BD63A5" w14:textId="7894144B" w:rsidR="00565F12" w:rsidRDefault="003D3D7C">
      <w:pPr>
        <w:jc w:val="center"/>
      </w:pPr>
      <w:r>
        <w:t>Contribution to Module Assessment: 50%</w:t>
      </w:r>
    </w:p>
    <w:p w14:paraId="63DB7203" w14:textId="77777777" w:rsidR="00565F12" w:rsidRDefault="00565F12">
      <w:pPr>
        <w:spacing w:after="0" w:line="240" w:lineRule="auto"/>
        <w:jc w:val="left"/>
      </w:pPr>
      <w:r>
        <w:br w:type="page"/>
      </w:r>
    </w:p>
    <w:sdt>
      <w:sdtPr>
        <w:rPr>
          <w:rFonts w:ascii="Times New Roman" w:eastAsia="Times New Roman" w:hAnsi="Times New Roman" w:cs="Times New Roman"/>
          <w:b/>
          <w:bCs/>
          <w:color w:val="auto"/>
          <w:sz w:val="24"/>
          <w:szCs w:val="24"/>
          <w:lang w:val="en-IN" w:eastAsia="en-IN" w:bidi="bn-IN"/>
        </w:rPr>
        <w:id w:val="49729868"/>
        <w:docPartObj>
          <w:docPartGallery w:val="Table of Contents"/>
          <w:docPartUnique/>
        </w:docPartObj>
      </w:sdtPr>
      <w:sdtEndPr>
        <w:rPr>
          <w:noProof/>
        </w:rPr>
      </w:sdtEndPr>
      <w:sdtContent>
        <w:p w14:paraId="04E6FDB4" w14:textId="13DF8842" w:rsidR="00565F12" w:rsidRPr="00565F12" w:rsidRDefault="00565F12" w:rsidP="00565F12">
          <w:pPr>
            <w:pStyle w:val="TOCHeading"/>
            <w:spacing w:line="360" w:lineRule="auto"/>
            <w:jc w:val="center"/>
            <w:rPr>
              <w:rFonts w:ascii="Times New Roman" w:hAnsi="Times New Roman" w:cs="Times New Roman"/>
              <w:b/>
              <w:bCs/>
              <w:color w:val="auto"/>
              <w:sz w:val="24"/>
              <w:szCs w:val="24"/>
            </w:rPr>
          </w:pPr>
          <w:r w:rsidRPr="00565F12">
            <w:rPr>
              <w:rFonts w:ascii="Times New Roman" w:hAnsi="Times New Roman" w:cs="Times New Roman"/>
              <w:b/>
              <w:bCs/>
              <w:color w:val="auto"/>
              <w:sz w:val="24"/>
              <w:szCs w:val="24"/>
            </w:rPr>
            <w:t>Table of Contents</w:t>
          </w:r>
        </w:p>
        <w:p w14:paraId="67D5D701" w14:textId="6780FBE1" w:rsidR="00565F12" w:rsidRDefault="00565F12">
          <w:pPr>
            <w:pStyle w:val="TOC1"/>
            <w:tabs>
              <w:tab w:val="right" w:leader="dot" w:pos="9016"/>
            </w:tabs>
            <w:rPr>
              <w:noProof/>
            </w:rPr>
          </w:pPr>
          <w:r>
            <w:fldChar w:fldCharType="begin"/>
          </w:r>
          <w:r>
            <w:instrText xml:space="preserve"> TOC \o "1-3" \h \z \u </w:instrText>
          </w:r>
          <w:r>
            <w:fldChar w:fldCharType="separate"/>
          </w:r>
          <w:hyperlink w:anchor="_Toc235445650" w:history="1">
            <w:r w:rsidRPr="00397815">
              <w:rPr>
                <w:rStyle w:val="Hyperlink"/>
                <w:noProof/>
              </w:rPr>
              <w:t>Task 1: Social Epidemiological Analysis</w:t>
            </w:r>
            <w:r>
              <w:rPr>
                <w:noProof/>
                <w:webHidden/>
              </w:rPr>
              <w:tab/>
            </w:r>
            <w:r>
              <w:rPr>
                <w:noProof/>
                <w:webHidden/>
              </w:rPr>
              <w:fldChar w:fldCharType="begin"/>
            </w:r>
            <w:r>
              <w:rPr>
                <w:noProof/>
                <w:webHidden/>
              </w:rPr>
              <w:instrText xml:space="preserve"> PAGEREF _Toc235445650 \h </w:instrText>
            </w:r>
            <w:r>
              <w:rPr>
                <w:noProof/>
                <w:webHidden/>
              </w:rPr>
            </w:r>
            <w:r>
              <w:rPr>
                <w:noProof/>
                <w:webHidden/>
              </w:rPr>
              <w:fldChar w:fldCharType="separate"/>
            </w:r>
            <w:r>
              <w:rPr>
                <w:noProof/>
                <w:webHidden/>
              </w:rPr>
              <w:t>2</w:t>
            </w:r>
            <w:r>
              <w:rPr>
                <w:noProof/>
                <w:webHidden/>
              </w:rPr>
              <w:fldChar w:fldCharType="end"/>
            </w:r>
          </w:hyperlink>
        </w:p>
        <w:p w14:paraId="11A6259F" w14:textId="283E92E5" w:rsidR="00565F12" w:rsidRDefault="00E31BE4">
          <w:pPr>
            <w:pStyle w:val="TOC2"/>
            <w:tabs>
              <w:tab w:val="right" w:leader="dot" w:pos="9016"/>
            </w:tabs>
            <w:rPr>
              <w:noProof/>
            </w:rPr>
          </w:pPr>
          <w:hyperlink w:anchor="_Toc235445651" w:history="1">
            <w:r w:rsidR="00565F12" w:rsidRPr="00397815">
              <w:rPr>
                <w:rStyle w:val="Hyperlink"/>
                <w:noProof/>
              </w:rPr>
              <w:t>Title: Health Inequalities Faced by Older People Aged 65 and Over in the United Kingdom</w:t>
            </w:r>
            <w:r w:rsidR="00565F12">
              <w:rPr>
                <w:noProof/>
                <w:webHidden/>
              </w:rPr>
              <w:tab/>
            </w:r>
            <w:r w:rsidR="00565F12">
              <w:rPr>
                <w:noProof/>
                <w:webHidden/>
              </w:rPr>
              <w:fldChar w:fldCharType="begin"/>
            </w:r>
            <w:r w:rsidR="00565F12">
              <w:rPr>
                <w:noProof/>
                <w:webHidden/>
              </w:rPr>
              <w:instrText xml:space="preserve"> PAGEREF _Toc235445651 \h </w:instrText>
            </w:r>
            <w:r w:rsidR="00565F12">
              <w:rPr>
                <w:noProof/>
                <w:webHidden/>
              </w:rPr>
            </w:r>
            <w:r w:rsidR="00565F12">
              <w:rPr>
                <w:noProof/>
                <w:webHidden/>
              </w:rPr>
              <w:fldChar w:fldCharType="separate"/>
            </w:r>
            <w:r w:rsidR="00565F12">
              <w:rPr>
                <w:noProof/>
                <w:webHidden/>
              </w:rPr>
              <w:t>2</w:t>
            </w:r>
            <w:r w:rsidR="00565F12">
              <w:rPr>
                <w:noProof/>
                <w:webHidden/>
              </w:rPr>
              <w:fldChar w:fldCharType="end"/>
            </w:r>
          </w:hyperlink>
        </w:p>
        <w:p w14:paraId="2DFDF996" w14:textId="32020229" w:rsidR="00565F12" w:rsidRDefault="00E31BE4">
          <w:pPr>
            <w:pStyle w:val="TOC2"/>
            <w:tabs>
              <w:tab w:val="right" w:leader="dot" w:pos="9016"/>
            </w:tabs>
            <w:rPr>
              <w:noProof/>
            </w:rPr>
          </w:pPr>
          <w:hyperlink w:anchor="_Toc235445652" w:history="1">
            <w:r w:rsidR="00565F12" w:rsidRPr="00397815">
              <w:rPr>
                <w:rStyle w:val="Hyperlink"/>
                <w:noProof/>
              </w:rPr>
              <w:t>Introduction</w:t>
            </w:r>
            <w:r w:rsidR="00565F12">
              <w:rPr>
                <w:noProof/>
                <w:webHidden/>
              </w:rPr>
              <w:tab/>
            </w:r>
            <w:r w:rsidR="00565F12">
              <w:rPr>
                <w:noProof/>
                <w:webHidden/>
              </w:rPr>
              <w:fldChar w:fldCharType="begin"/>
            </w:r>
            <w:r w:rsidR="00565F12">
              <w:rPr>
                <w:noProof/>
                <w:webHidden/>
              </w:rPr>
              <w:instrText xml:space="preserve"> PAGEREF _Toc235445652 \h </w:instrText>
            </w:r>
            <w:r w:rsidR="00565F12">
              <w:rPr>
                <w:noProof/>
                <w:webHidden/>
              </w:rPr>
            </w:r>
            <w:r w:rsidR="00565F12">
              <w:rPr>
                <w:noProof/>
                <w:webHidden/>
              </w:rPr>
              <w:fldChar w:fldCharType="separate"/>
            </w:r>
            <w:r w:rsidR="00565F12">
              <w:rPr>
                <w:noProof/>
                <w:webHidden/>
              </w:rPr>
              <w:t>2</w:t>
            </w:r>
            <w:r w:rsidR="00565F12">
              <w:rPr>
                <w:noProof/>
                <w:webHidden/>
              </w:rPr>
              <w:fldChar w:fldCharType="end"/>
            </w:r>
          </w:hyperlink>
        </w:p>
        <w:p w14:paraId="035CCB82" w14:textId="7E4147F1" w:rsidR="00565F12" w:rsidRDefault="00E31BE4">
          <w:pPr>
            <w:pStyle w:val="TOC2"/>
            <w:tabs>
              <w:tab w:val="right" w:leader="dot" w:pos="9016"/>
            </w:tabs>
            <w:rPr>
              <w:noProof/>
            </w:rPr>
          </w:pPr>
          <w:hyperlink w:anchor="_Toc235445653" w:history="1">
            <w:r w:rsidR="00565F12" w:rsidRPr="00397815">
              <w:rPr>
                <w:rStyle w:val="Hyperlink"/>
                <w:noProof/>
              </w:rPr>
              <w:t>Contextual Background and Underlying Factors</w:t>
            </w:r>
            <w:r w:rsidR="00565F12">
              <w:rPr>
                <w:noProof/>
                <w:webHidden/>
              </w:rPr>
              <w:tab/>
            </w:r>
            <w:r w:rsidR="00565F12">
              <w:rPr>
                <w:noProof/>
                <w:webHidden/>
              </w:rPr>
              <w:fldChar w:fldCharType="begin"/>
            </w:r>
            <w:r w:rsidR="00565F12">
              <w:rPr>
                <w:noProof/>
                <w:webHidden/>
              </w:rPr>
              <w:instrText xml:space="preserve"> PAGEREF _Toc235445653 \h </w:instrText>
            </w:r>
            <w:r w:rsidR="00565F12">
              <w:rPr>
                <w:noProof/>
                <w:webHidden/>
              </w:rPr>
            </w:r>
            <w:r w:rsidR="00565F12">
              <w:rPr>
                <w:noProof/>
                <w:webHidden/>
              </w:rPr>
              <w:fldChar w:fldCharType="separate"/>
            </w:r>
            <w:r w:rsidR="00565F12">
              <w:rPr>
                <w:noProof/>
                <w:webHidden/>
              </w:rPr>
              <w:t>2</w:t>
            </w:r>
            <w:r w:rsidR="00565F12">
              <w:rPr>
                <w:noProof/>
                <w:webHidden/>
              </w:rPr>
              <w:fldChar w:fldCharType="end"/>
            </w:r>
          </w:hyperlink>
        </w:p>
        <w:p w14:paraId="19F7EFCE" w14:textId="11852B3E" w:rsidR="00565F12" w:rsidRDefault="00E31BE4">
          <w:pPr>
            <w:pStyle w:val="TOC3"/>
            <w:tabs>
              <w:tab w:val="right" w:leader="dot" w:pos="9016"/>
            </w:tabs>
            <w:rPr>
              <w:noProof/>
            </w:rPr>
          </w:pPr>
          <w:hyperlink w:anchor="_Toc235445654" w:history="1">
            <w:r w:rsidR="00565F12" w:rsidRPr="00397815">
              <w:rPr>
                <w:rStyle w:val="Hyperlink"/>
                <w:noProof/>
              </w:rPr>
              <w:t>Higher Rates of Dementia</w:t>
            </w:r>
            <w:r w:rsidR="00565F12">
              <w:rPr>
                <w:noProof/>
                <w:webHidden/>
              </w:rPr>
              <w:tab/>
            </w:r>
            <w:r w:rsidR="00565F12">
              <w:rPr>
                <w:noProof/>
                <w:webHidden/>
              </w:rPr>
              <w:fldChar w:fldCharType="begin"/>
            </w:r>
            <w:r w:rsidR="00565F12">
              <w:rPr>
                <w:noProof/>
                <w:webHidden/>
              </w:rPr>
              <w:instrText xml:space="preserve"> PAGEREF _Toc235445654 \h </w:instrText>
            </w:r>
            <w:r w:rsidR="00565F12">
              <w:rPr>
                <w:noProof/>
                <w:webHidden/>
              </w:rPr>
            </w:r>
            <w:r w:rsidR="00565F12">
              <w:rPr>
                <w:noProof/>
                <w:webHidden/>
              </w:rPr>
              <w:fldChar w:fldCharType="separate"/>
            </w:r>
            <w:r w:rsidR="00565F12">
              <w:rPr>
                <w:noProof/>
                <w:webHidden/>
              </w:rPr>
              <w:t>2</w:t>
            </w:r>
            <w:r w:rsidR="00565F12">
              <w:rPr>
                <w:noProof/>
                <w:webHidden/>
              </w:rPr>
              <w:fldChar w:fldCharType="end"/>
            </w:r>
          </w:hyperlink>
        </w:p>
        <w:p w14:paraId="57B76071" w14:textId="5BA48AD6" w:rsidR="00565F12" w:rsidRDefault="00E31BE4">
          <w:pPr>
            <w:pStyle w:val="TOC3"/>
            <w:tabs>
              <w:tab w:val="right" w:leader="dot" w:pos="9016"/>
            </w:tabs>
            <w:rPr>
              <w:noProof/>
            </w:rPr>
          </w:pPr>
          <w:hyperlink w:anchor="_Toc235445655" w:history="1">
            <w:r w:rsidR="00565F12" w:rsidRPr="00397815">
              <w:rPr>
                <w:rStyle w:val="Hyperlink"/>
                <w:noProof/>
              </w:rPr>
              <w:t>Higher Rates of Mental Illness</w:t>
            </w:r>
            <w:r w:rsidR="00565F12">
              <w:rPr>
                <w:noProof/>
                <w:webHidden/>
              </w:rPr>
              <w:tab/>
            </w:r>
            <w:r w:rsidR="00565F12">
              <w:rPr>
                <w:noProof/>
                <w:webHidden/>
              </w:rPr>
              <w:fldChar w:fldCharType="begin"/>
            </w:r>
            <w:r w:rsidR="00565F12">
              <w:rPr>
                <w:noProof/>
                <w:webHidden/>
              </w:rPr>
              <w:instrText xml:space="preserve"> PAGEREF _Toc235445655 \h </w:instrText>
            </w:r>
            <w:r w:rsidR="00565F12">
              <w:rPr>
                <w:noProof/>
                <w:webHidden/>
              </w:rPr>
            </w:r>
            <w:r w:rsidR="00565F12">
              <w:rPr>
                <w:noProof/>
                <w:webHidden/>
              </w:rPr>
              <w:fldChar w:fldCharType="separate"/>
            </w:r>
            <w:r w:rsidR="00565F12">
              <w:rPr>
                <w:noProof/>
                <w:webHidden/>
              </w:rPr>
              <w:t>2</w:t>
            </w:r>
            <w:r w:rsidR="00565F12">
              <w:rPr>
                <w:noProof/>
                <w:webHidden/>
              </w:rPr>
              <w:fldChar w:fldCharType="end"/>
            </w:r>
          </w:hyperlink>
        </w:p>
        <w:p w14:paraId="30FBA824" w14:textId="0BCD2342" w:rsidR="00565F12" w:rsidRDefault="00E31BE4">
          <w:pPr>
            <w:pStyle w:val="TOC3"/>
            <w:tabs>
              <w:tab w:val="right" w:leader="dot" w:pos="9016"/>
            </w:tabs>
            <w:rPr>
              <w:noProof/>
            </w:rPr>
          </w:pPr>
          <w:hyperlink w:anchor="_Toc235445656" w:history="1">
            <w:r w:rsidR="00565F12" w:rsidRPr="00397815">
              <w:rPr>
                <w:rStyle w:val="Hyperlink"/>
                <w:noProof/>
              </w:rPr>
              <w:t>Higher Rates of Multimorbidity and Reduced Healthy Life Expectancy</w:t>
            </w:r>
            <w:r w:rsidR="00565F12">
              <w:rPr>
                <w:noProof/>
                <w:webHidden/>
              </w:rPr>
              <w:tab/>
            </w:r>
            <w:r w:rsidR="00565F12">
              <w:rPr>
                <w:noProof/>
                <w:webHidden/>
              </w:rPr>
              <w:fldChar w:fldCharType="begin"/>
            </w:r>
            <w:r w:rsidR="00565F12">
              <w:rPr>
                <w:noProof/>
                <w:webHidden/>
              </w:rPr>
              <w:instrText xml:space="preserve"> PAGEREF _Toc235445656 \h </w:instrText>
            </w:r>
            <w:r w:rsidR="00565F12">
              <w:rPr>
                <w:noProof/>
                <w:webHidden/>
              </w:rPr>
            </w:r>
            <w:r w:rsidR="00565F12">
              <w:rPr>
                <w:noProof/>
                <w:webHidden/>
              </w:rPr>
              <w:fldChar w:fldCharType="separate"/>
            </w:r>
            <w:r w:rsidR="00565F12">
              <w:rPr>
                <w:noProof/>
                <w:webHidden/>
              </w:rPr>
              <w:t>3</w:t>
            </w:r>
            <w:r w:rsidR="00565F12">
              <w:rPr>
                <w:noProof/>
                <w:webHidden/>
              </w:rPr>
              <w:fldChar w:fldCharType="end"/>
            </w:r>
          </w:hyperlink>
        </w:p>
        <w:p w14:paraId="416E45CB" w14:textId="2142A2B4" w:rsidR="00565F12" w:rsidRDefault="00E31BE4">
          <w:pPr>
            <w:pStyle w:val="TOC3"/>
            <w:tabs>
              <w:tab w:val="right" w:leader="dot" w:pos="9016"/>
            </w:tabs>
            <w:rPr>
              <w:noProof/>
            </w:rPr>
          </w:pPr>
          <w:hyperlink w:anchor="_Toc235445657" w:history="1">
            <w:r w:rsidR="00565F12" w:rsidRPr="00397815">
              <w:rPr>
                <w:rStyle w:val="Hyperlink"/>
                <w:noProof/>
              </w:rPr>
              <w:t>Social Isolation and Loneliness</w:t>
            </w:r>
            <w:r w:rsidR="00565F12">
              <w:rPr>
                <w:noProof/>
                <w:webHidden/>
              </w:rPr>
              <w:tab/>
            </w:r>
            <w:r w:rsidR="00565F12">
              <w:rPr>
                <w:noProof/>
                <w:webHidden/>
              </w:rPr>
              <w:fldChar w:fldCharType="begin"/>
            </w:r>
            <w:r w:rsidR="00565F12">
              <w:rPr>
                <w:noProof/>
                <w:webHidden/>
              </w:rPr>
              <w:instrText xml:space="preserve"> PAGEREF _Toc235445657 \h </w:instrText>
            </w:r>
            <w:r w:rsidR="00565F12">
              <w:rPr>
                <w:noProof/>
                <w:webHidden/>
              </w:rPr>
            </w:r>
            <w:r w:rsidR="00565F12">
              <w:rPr>
                <w:noProof/>
                <w:webHidden/>
              </w:rPr>
              <w:fldChar w:fldCharType="separate"/>
            </w:r>
            <w:r w:rsidR="00565F12">
              <w:rPr>
                <w:noProof/>
                <w:webHidden/>
              </w:rPr>
              <w:t>3</w:t>
            </w:r>
            <w:r w:rsidR="00565F12">
              <w:rPr>
                <w:noProof/>
                <w:webHidden/>
              </w:rPr>
              <w:fldChar w:fldCharType="end"/>
            </w:r>
          </w:hyperlink>
        </w:p>
        <w:p w14:paraId="3E7858FC" w14:textId="09809F06" w:rsidR="00565F12" w:rsidRDefault="00E31BE4">
          <w:pPr>
            <w:pStyle w:val="TOC3"/>
            <w:tabs>
              <w:tab w:val="right" w:leader="dot" w:pos="9016"/>
            </w:tabs>
            <w:rPr>
              <w:noProof/>
            </w:rPr>
          </w:pPr>
          <w:hyperlink w:anchor="_Toc235445658" w:history="1">
            <w:r w:rsidR="00565F12" w:rsidRPr="00397815">
              <w:rPr>
                <w:rStyle w:val="Hyperlink"/>
                <w:noProof/>
              </w:rPr>
              <w:t>Poverty and Financial Insecurity</w:t>
            </w:r>
            <w:r w:rsidR="00565F12">
              <w:rPr>
                <w:noProof/>
                <w:webHidden/>
              </w:rPr>
              <w:tab/>
            </w:r>
            <w:r w:rsidR="00565F12">
              <w:rPr>
                <w:noProof/>
                <w:webHidden/>
              </w:rPr>
              <w:fldChar w:fldCharType="begin"/>
            </w:r>
            <w:r w:rsidR="00565F12">
              <w:rPr>
                <w:noProof/>
                <w:webHidden/>
              </w:rPr>
              <w:instrText xml:space="preserve"> PAGEREF _Toc235445658 \h </w:instrText>
            </w:r>
            <w:r w:rsidR="00565F12">
              <w:rPr>
                <w:noProof/>
                <w:webHidden/>
              </w:rPr>
            </w:r>
            <w:r w:rsidR="00565F12">
              <w:rPr>
                <w:noProof/>
                <w:webHidden/>
              </w:rPr>
              <w:fldChar w:fldCharType="separate"/>
            </w:r>
            <w:r w:rsidR="00565F12">
              <w:rPr>
                <w:noProof/>
                <w:webHidden/>
              </w:rPr>
              <w:t>3</w:t>
            </w:r>
            <w:r w:rsidR="00565F12">
              <w:rPr>
                <w:noProof/>
                <w:webHidden/>
              </w:rPr>
              <w:fldChar w:fldCharType="end"/>
            </w:r>
          </w:hyperlink>
        </w:p>
        <w:p w14:paraId="29FA8607" w14:textId="7DC8263F" w:rsidR="00565F12" w:rsidRDefault="00E31BE4">
          <w:pPr>
            <w:pStyle w:val="TOC3"/>
            <w:tabs>
              <w:tab w:val="right" w:leader="dot" w:pos="9016"/>
            </w:tabs>
            <w:rPr>
              <w:noProof/>
            </w:rPr>
          </w:pPr>
          <w:hyperlink w:anchor="_Toc235445659" w:history="1">
            <w:r w:rsidR="00565F12" w:rsidRPr="00397815">
              <w:rPr>
                <w:rStyle w:val="Hyperlink"/>
                <w:noProof/>
              </w:rPr>
              <w:t>Housing Issues and Unsuitable Living Conditions</w:t>
            </w:r>
            <w:r w:rsidR="00565F12">
              <w:rPr>
                <w:noProof/>
                <w:webHidden/>
              </w:rPr>
              <w:tab/>
            </w:r>
            <w:r w:rsidR="00565F12">
              <w:rPr>
                <w:noProof/>
                <w:webHidden/>
              </w:rPr>
              <w:fldChar w:fldCharType="begin"/>
            </w:r>
            <w:r w:rsidR="00565F12">
              <w:rPr>
                <w:noProof/>
                <w:webHidden/>
              </w:rPr>
              <w:instrText xml:space="preserve"> PAGEREF _Toc235445659 \h </w:instrText>
            </w:r>
            <w:r w:rsidR="00565F12">
              <w:rPr>
                <w:noProof/>
                <w:webHidden/>
              </w:rPr>
            </w:r>
            <w:r w:rsidR="00565F12">
              <w:rPr>
                <w:noProof/>
                <w:webHidden/>
              </w:rPr>
              <w:fldChar w:fldCharType="separate"/>
            </w:r>
            <w:r w:rsidR="00565F12">
              <w:rPr>
                <w:noProof/>
                <w:webHidden/>
              </w:rPr>
              <w:t>4</w:t>
            </w:r>
            <w:r w:rsidR="00565F12">
              <w:rPr>
                <w:noProof/>
                <w:webHidden/>
              </w:rPr>
              <w:fldChar w:fldCharType="end"/>
            </w:r>
          </w:hyperlink>
        </w:p>
        <w:p w14:paraId="0AF48327" w14:textId="26708FB2" w:rsidR="00565F12" w:rsidRDefault="00E31BE4">
          <w:pPr>
            <w:pStyle w:val="TOC2"/>
            <w:tabs>
              <w:tab w:val="right" w:leader="dot" w:pos="9016"/>
            </w:tabs>
            <w:rPr>
              <w:noProof/>
            </w:rPr>
          </w:pPr>
          <w:hyperlink w:anchor="_Toc235445660" w:history="1">
            <w:r w:rsidR="00565F12" w:rsidRPr="00397815">
              <w:rPr>
                <w:rStyle w:val="Hyperlink"/>
                <w:noProof/>
              </w:rPr>
              <w:t>National Response to Reduce Health Inequalities in Older People</w:t>
            </w:r>
            <w:r w:rsidR="00565F12">
              <w:rPr>
                <w:noProof/>
                <w:webHidden/>
              </w:rPr>
              <w:tab/>
            </w:r>
            <w:r w:rsidR="00565F12">
              <w:rPr>
                <w:noProof/>
                <w:webHidden/>
              </w:rPr>
              <w:fldChar w:fldCharType="begin"/>
            </w:r>
            <w:r w:rsidR="00565F12">
              <w:rPr>
                <w:noProof/>
                <w:webHidden/>
              </w:rPr>
              <w:instrText xml:space="preserve"> PAGEREF _Toc235445660 \h </w:instrText>
            </w:r>
            <w:r w:rsidR="00565F12">
              <w:rPr>
                <w:noProof/>
                <w:webHidden/>
              </w:rPr>
            </w:r>
            <w:r w:rsidR="00565F12">
              <w:rPr>
                <w:noProof/>
                <w:webHidden/>
              </w:rPr>
              <w:fldChar w:fldCharType="separate"/>
            </w:r>
            <w:r w:rsidR="00565F12">
              <w:rPr>
                <w:noProof/>
                <w:webHidden/>
              </w:rPr>
              <w:t>4</w:t>
            </w:r>
            <w:r w:rsidR="00565F12">
              <w:rPr>
                <w:noProof/>
                <w:webHidden/>
              </w:rPr>
              <w:fldChar w:fldCharType="end"/>
            </w:r>
          </w:hyperlink>
        </w:p>
        <w:p w14:paraId="61582304" w14:textId="4AA48877" w:rsidR="00565F12" w:rsidRDefault="00E31BE4">
          <w:pPr>
            <w:pStyle w:val="TOC2"/>
            <w:tabs>
              <w:tab w:val="right" w:leader="dot" w:pos="9016"/>
            </w:tabs>
            <w:rPr>
              <w:noProof/>
            </w:rPr>
          </w:pPr>
          <w:hyperlink w:anchor="_Toc235445661" w:history="1">
            <w:r w:rsidR="00565F12" w:rsidRPr="00397815">
              <w:rPr>
                <w:rStyle w:val="Hyperlink"/>
                <w:noProof/>
              </w:rPr>
              <w:t>Organisations that Support Older People</w:t>
            </w:r>
            <w:r w:rsidR="00565F12">
              <w:rPr>
                <w:noProof/>
                <w:webHidden/>
              </w:rPr>
              <w:tab/>
            </w:r>
            <w:r w:rsidR="00565F12">
              <w:rPr>
                <w:noProof/>
                <w:webHidden/>
              </w:rPr>
              <w:fldChar w:fldCharType="begin"/>
            </w:r>
            <w:r w:rsidR="00565F12">
              <w:rPr>
                <w:noProof/>
                <w:webHidden/>
              </w:rPr>
              <w:instrText xml:space="preserve"> PAGEREF _Toc235445661 \h </w:instrText>
            </w:r>
            <w:r w:rsidR="00565F12">
              <w:rPr>
                <w:noProof/>
                <w:webHidden/>
              </w:rPr>
            </w:r>
            <w:r w:rsidR="00565F12">
              <w:rPr>
                <w:noProof/>
                <w:webHidden/>
              </w:rPr>
              <w:fldChar w:fldCharType="separate"/>
            </w:r>
            <w:r w:rsidR="00565F12">
              <w:rPr>
                <w:noProof/>
                <w:webHidden/>
              </w:rPr>
              <w:t>4</w:t>
            </w:r>
            <w:r w:rsidR="00565F12">
              <w:rPr>
                <w:noProof/>
                <w:webHidden/>
              </w:rPr>
              <w:fldChar w:fldCharType="end"/>
            </w:r>
          </w:hyperlink>
        </w:p>
        <w:p w14:paraId="0D4444F8" w14:textId="11EABB01" w:rsidR="00565F12" w:rsidRDefault="00E31BE4">
          <w:pPr>
            <w:pStyle w:val="TOC2"/>
            <w:tabs>
              <w:tab w:val="right" w:leader="dot" w:pos="9016"/>
            </w:tabs>
            <w:rPr>
              <w:noProof/>
            </w:rPr>
          </w:pPr>
          <w:hyperlink w:anchor="_Toc235445662" w:history="1">
            <w:r w:rsidR="00565F12" w:rsidRPr="00397815">
              <w:rPr>
                <w:rStyle w:val="Hyperlink"/>
                <w:noProof/>
              </w:rPr>
              <w:t>Conclusion</w:t>
            </w:r>
            <w:r w:rsidR="00565F12">
              <w:rPr>
                <w:noProof/>
                <w:webHidden/>
              </w:rPr>
              <w:tab/>
            </w:r>
            <w:r w:rsidR="00565F12">
              <w:rPr>
                <w:noProof/>
                <w:webHidden/>
              </w:rPr>
              <w:fldChar w:fldCharType="begin"/>
            </w:r>
            <w:r w:rsidR="00565F12">
              <w:rPr>
                <w:noProof/>
                <w:webHidden/>
              </w:rPr>
              <w:instrText xml:space="preserve"> PAGEREF _Toc235445662 \h </w:instrText>
            </w:r>
            <w:r w:rsidR="00565F12">
              <w:rPr>
                <w:noProof/>
                <w:webHidden/>
              </w:rPr>
            </w:r>
            <w:r w:rsidR="00565F12">
              <w:rPr>
                <w:noProof/>
                <w:webHidden/>
              </w:rPr>
              <w:fldChar w:fldCharType="separate"/>
            </w:r>
            <w:r w:rsidR="00565F12">
              <w:rPr>
                <w:noProof/>
                <w:webHidden/>
              </w:rPr>
              <w:t>5</w:t>
            </w:r>
            <w:r w:rsidR="00565F12">
              <w:rPr>
                <w:noProof/>
                <w:webHidden/>
              </w:rPr>
              <w:fldChar w:fldCharType="end"/>
            </w:r>
          </w:hyperlink>
        </w:p>
        <w:p w14:paraId="0F16A2E2" w14:textId="38E577BA" w:rsidR="00565F12" w:rsidRDefault="00E31BE4">
          <w:pPr>
            <w:pStyle w:val="TOC1"/>
            <w:tabs>
              <w:tab w:val="right" w:leader="dot" w:pos="9016"/>
            </w:tabs>
            <w:rPr>
              <w:noProof/>
            </w:rPr>
          </w:pPr>
          <w:hyperlink w:anchor="_Toc235445663" w:history="1">
            <w:r w:rsidR="00565F12" w:rsidRPr="00397815">
              <w:rPr>
                <w:rStyle w:val="Hyperlink"/>
                <w:noProof/>
              </w:rPr>
              <w:t>Task 2: Epidemiological Analysis of Dementia in the London Borough of Newham</w:t>
            </w:r>
            <w:r w:rsidR="00565F12">
              <w:rPr>
                <w:noProof/>
                <w:webHidden/>
              </w:rPr>
              <w:tab/>
            </w:r>
            <w:r w:rsidR="00565F12">
              <w:rPr>
                <w:noProof/>
                <w:webHidden/>
              </w:rPr>
              <w:fldChar w:fldCharType="begin"/>
            </w:r>
            <w:r w:rsidR="00565F12">
              <w:rPr>
                <w:noProof/>
                <w:webHidden/>
              </w:rPr>
              <w:instrText xml:space="preserve"> PAGEREF _Toc235445663 \h </w:instrText>
            </w:r>
            <w:r w:rsidR="00565F12">
              <w:rPr>
                <w:noProof/>
                <w:webHidden/>
              </w:rPr>
            </w:r>
            <w:r w:rsidR="00565F12">
              <w:rPr>
                <w:noProof/>
                <w:webHidden/>
              </w:rPr>
              <w:fldChar w:fldCharType="separate"/>
            </w:r>
            <w:r w:rsidR="00565F12">
              <w:rPr>
                <w:noProof/>
                <w:webHidden/>
              </w:rPr>
              <w:t>6</w:t>
            </w:r>
            <w:r w:rsidR="00565F12">
              <w:rPr>
                <w:noProof/>
                <w:webHidden/>
              </w:rPr>
              <w:fldChar w:fldCharType="end"/>
            </w:r>
          </w:hyperlink>
        </w:p>
        <w:p w14:paraId="727361D5" w14:textId="61FBB678" w:rsidR="00565F12" w:rsidRDefault="00E31BE4">
          <w:pPr>
            <w:pStyle w:val="TOC2"/>
            <w:tabs>
              <w:tab w:val="right" w:leader="dot" w:pos="9016"/>
            </w:tabs>
            <w:rPr>
              <w:noProof/>
            </w:rPr>
          </w:pPr>
          <w:hyperlink w:anchor="_Toc235445664" w:history="1">
            <w:r w:rsidR="00565F12" w:rsidRPr="00397815">
              <w:rPr>
                <w:rStyle w:val="Hyperlink"/>
                <w:noProof/>
              </w:rPr>
              <w:t>Introduction</w:t>
            </w:r>
            <w:r w:rsidR="00565F12">
              <w:rPr>
                <w:noProof/>
                <w:webHidden/>
              </w:rPr>
              <w:tab/>
            </w:r>
            <w:r w:rsidR="00565F12">
              <w:rPr>
                <w:noProof/>
                <w:webHidden/>
              </w:rPr>
              <w:fldChar w:fldCharType="begin"/>
            </w:r>
            <w:r w:rsidR="00565F12">
              <w:rPr>
                <w:noProof/>
                <w:webHidden/>
              </w:rPr>
              <w:instrText xml:space="preserve"> PAGEREF _Toc235445664 \h </w:instrText>
            </w:r>
            <w:r w:rsidR="00565F12">
              <w:rPr>
                <w:noProof/>
                <w:webHidden/>
              </w:rPr>
            </w:r>
            <w:r w:rsidR="00565F12">
              <w:rPr>
                <w:noProof/>
                <w:webHidden/>
              </w:rPr>
              <w:fldChar w:fldCharType="separate"/>
            </w:r>
            <w:r w:rsidR="00565F12">
              <w:rPr>
                <w:noProof/>
                <w:webHidden/>
              </w:rPr>
              <w:t>6</w:t>
            </w:r>
            <w:r w:rsidR="00565F12">
              <w:rPr>
                <w:noProof/>
                <w:webHidden/>
              </w:rPr>
              <w:fldChar w:fldCharType="end"/>
            </w:r>
          </w:hyperlink>
        </w:p>
        <w:p w14:paraId="4F7D2F40" w14:textId="1BD9C25B" w:rsidR="00565F12" w:rsidRDefault="00E31BE4">
          <w:pPr>
            <w:pStyle w:val="TOC2"/>
            <w:tabs>
              <w:tab w:val="right" w:leader="dot" w:pos="9016"/>
            </w:tabs>
            <w:rPr>
              <w:noProof/>
            </w:rPr>
          </w:pPr>
          <w:hyperlink w:anchor="_Toc235445665" w:history="1">
            <w:r w:rsidR="00565F12" w:rsidRPr="00397815">
              <w:rPr>
                <w:rStyle w:val="Hyperlink"/>
                <w:noProof/>
              </w:rPr>
              <w:t>Public Health Measures: Prevention, Protection and Promotion</w:t>
            </w:r>
            <w:r w:rsidR="00565F12">
              <w:rPr>
                <w:noProof/>
                <w:webHidden/>
              </w:rPr>
              <w:tab/>
            </w:r>
            <w:r w:rsidR="00565F12">
              <w:rPr>
                <w:noProof/>
                <w:webHidden/>
              </w:rPr>
              <w:fldChar w:fldCharType="begin"/>
            </w:r>
            <w:r w:rsidR="00565F12">
              <w:rPr>
                <w:noProof/>
                <w:webHidden/>
              </w:rPr>
              <w:instrText xml:space="preserve"> PAGEREF _Toc235445665 \h </w:instrText>
            </w:r>
            <w:r w:rsidR="00565F12">
              <w:rPr>
                <w:noProof/>
                <w:webHidden/>
              </w:rPr>
            </w:r>
            <w:r w:rsidR="00565F12">
              <w:rPr>
                <w:noProof/>
                <w:webHidden/>
              </w:rPr>
              <w:fldChar w:fldCharType="separate"/>
            </w:r>
            <w:r w:rsidR="00565F12">
              <w:rPr>
                <w:noProof/>
                <w:webHidden/>
              </w:rPr>
              <w:t>6</w:t>
            </w:r>
            <w:r w:rsidR="00565F12">
              <w:rPr>
                <w:noProof/>
                <w:webHidden/>
              </w:rPr>
              <w:fldChar w:fldCharType="end"/>
            </w:r>
          </w:hyperlink>
        </w:p>
        <w:p w14:paraId="108A824B" w14:textId="3C4DED95" w:rsidR="00565F12" w:rsidRDefault="00E31BE4">
          <w:pPr>
            <w:pStyle w:val="TOC2"/>
            <w:tabs>
              <w:tab w:val="right" w:leader="dot" w:pos="9016"/>
            </w:tabs>
            <w:rPr>
              <w:noProof/>
            </w:rPr>
          </w:pPr>
          <w:hyperlink w:anchor="_Toc235445666" w:history="1">
            <w:r w:rsidR="00565F12" w:rsidRPr="00397815">
              <w:rPr>
                <w:rStyle w:val="Hyperlink"/>
                <w:noProof/>
              </w:rPr>
              <w:t>Key Determinants and Risk Factors</w:t>
            </w:r>
            <w:r w:rsidR="00565F12">
              <w:rPr>
                <w:noProof/>
                <w:webHidden/>
              </w:rPr>
              <w:tab/>
            </w:r>
            <w:r w:rsidR="00565F12">
              <w:rPr>
                <w:noProof/>
                <w:webHidden/>
              </w:rPr>
              <w:fldChar w:fldCharType="begin"/>
            </w:r>
            <w:r w:rsidR="00565F12">
              <w:rPr>
                <w:noProof/>
                <w:webHidden/>
              </w:rPr>
              <w:instrText xml:space="preserve"> PAGEREF _Toc235445666 \h </w:instrText>
            </w:r>
            <w:r w:rsidR="00565F12">
              <w:rPr>
                <w:noProof/>
                <w:webHidden/>
              </w:rPr>
            </w:r>
            <w:r w:rsidR="00565F12">
              <w:rPr>
                <w:noProof/>
                <w:webHidden/>
              </w:rPr>
              <w:fldChar w:fldCharType="separate"/>
            </w:r>
            <w:r w:rsidR="00565F12">
              <w:rPr>
                <w:noProof/>
                <w:webHidden/>
              </w:rPr>
              <w:t>6</w:t>
            </w:r>
            <w:r w:rsidR="00565F12">
              <w:rPr>
                <w:noProof/>
                <w:webHidden/>
              </w:rPr>
              <w:fldChar w:fldCharType="end"/>
            </w:r>
          </w:hyperlink>
        </w:p>
        <w:p w14:paraId="2CB53B22" w14:textId="60824FC9" w:rsidR="00565F12" w:rsidRDefault="00E31BE4">
          <w:pPr>
            <w:pStyle w:val="TOC2"/>
            <w:tabs>
              <w:tab w:val="right" w:leader="dot" w:pos="9016"/>
            </w:tabs>
            <w:rPr>
              <w:noProof/>
            </w:rPr>
          </w:pPr>
          <w:hyperlink w:anchor="_Toc235445667" w:history="1">
            <w:r w:rsidR="00565F12" w:rsidRPr="00397815">
              <w:rPr>
                <w:rStyle w:val="Hyperlink"/>
                <w:noProof/>
              </w:rPr>
              <w:t>Identifying Those Affected or at Risk in Newham</w:t>
            </w:r>
            <w:r w:rsidR="00565F12">
              <w:rPr>
                <w:noProof/>
                <w:webHidden/>
              </w:rPr>
              <w:tab/>
            </w:r>
            <w:r w:rsidR="00565F12">
              <w:rPr>
                <w:noProof/>
                <w:webHidden/>
              </w:rPr>
              <w:fldChar w:fldCharType="begin"/>
            </w:r>
            <w:r w:rsidR="00565F12">
              <w:rPr>
                <w:noProof/>
                <w:webHidden/>
              </w:rPr>
              <w:instrText xml:space="preserve"> PAGEREF _Toc235445667 \h </w:instrText>
            </w:r>
            <w:r w:rsidR="00565F12">
              <w:rPr>
                <w:noProof/>
                <w:webHidden/>
              </w:rPr>
            </w:r>
            <w:r w:rsidR="00565F12">
              <w:rPr>
                <w:noProof/>
                <w:webHidden/>
              </w:rPr>
              <w:fldChar w:fldCharType="separate"/>
            </w:r>
            <w:r w:rsidR="00565F12">
              <w:rPr>
                <w:noProof/>
                <w:webHidden/>
              </w:rPr>
              <w:t>7</w:t>
            </w:r>
            <w:r w:rsidR="00565F12">
              <w:rPr>
                <w:noProof/>
                <w:webHidden/>
              </w:rPr>
              <w:fldChar w:fldCharType="end"/>
            </w:r>
          </w:hyperlink>
        </w:p>
        <w:p w14:paraId="3FAA508F" w14:textId="498442D5" w:rsidR="00565F12" w:rsidRDefault="00E31BE4">
          <w:pPr>
            <w:pStyle w:val="TOC2"/>
            <w:tabs>
              <w:tab w:val="right" w:leader="dot" w:pos="9016"/>
            </w:tabs>
            <w:rPr>
              <w:noProof/>
            </w:rPr>
          </w:pPr>
          <w:hyperlink w:anchor="_Toc235445668" w:history="1">
            <w:r w:rsidR="00565F12" w:rsidRPr="00397815">
              <w:rPr>
                <w:rStyle w:val="Hyperlink"/>
                <w:noProof/>
              </w:rPr>
              <w:t>Monitoring and Surveillance Systems</w:t>
            </w:r>
            <w:r w:rsidR="00565F12">
              <w:rPr>
                <w:noProof/>
                <w:webHidden/>
              </w:rPr>
              <w:tab/>
            </w:r>
            <w:r w:rsidR="00565F12">
              <w:rPr>
                <w:noProof/>
                <w:webHidden/>
              </w:rPr>
              <w:fldChar w:fldCharType="begin"/>
            </w:r>
            <w:r w:rsidR="00565F12">
              <w:rPr>
                <w:noProof/>
                <w:webHidden/>
              </w:rPr>
              <w:instrText xml:space="preserve"> PAGEREF _Toc235445668 \h </w:instrText>
            </w:r>
            <w:r w:rsidR="00565F12">
              <w:rPr>
                <w:noProof/>
                <w:webHidden/>
              </w:rPr>
            </w:r>
            <w:r w:rsidR="00565F12">
              <w:rPr>
                <w:noProof/>
                <w:webHidden/>
              </w:rPr>
              <w:fldChar w:fldCharType="separate"/>
            </w:r>
            <w:r w:rsidR="00565F12">
              <w:rPr>
                <w:noProof/>
                <w:webHidden/>
              </w:rPr>
              <w:t>7</w:t>
            </w:r>
            <w:r w:rsidR="00565F12">
              <w:rPr>
                <w:noProof/>
                <w:webHidden/>
              </w:rPr>
              <w:fldChar w:fldCharType="end"/>
            </w:r>
          </w:hyperlink>
        </w:p>
        <w:p w14:paraId="03E14330" w14:textId="38FB091C" w:rsidR="00565F12" w:rsidRDefault="00E31BE4">
          <w:pPr>
            <w:pStyle w:val="TOC2"/>
            <w:tabs>
              <w:tab w:val="right" w:leader="dot" w:pos="9016"/>
            </w:tabs>
            <w:rPr>
              <w:noProof/>
            </w:rPr>
          </w:pPr>
          <w:hyperlink w:anchor="_Toc235445669" w:history="1">
            <w:r w:rsidR="00565F12" w:rsidRPr="00397815">
              <w:rPr>
                <w:rStyle w:val="Hyperlink"/>
                <w:noProof/>
              </w:rPr>
              <w:t>Public Health Impact: Short- and Long-Term Consequences</w:t>
            </w:r>
            <w:r w:rsidR="00565F12">
              <w:rPr>
                <w:noProof/>
                <w:webHidden/>
              </w:rPr>
              <w:tab/>
            </w:r>
            <w:r w:rsidR="00565F12">
              <w:rPr>
                <w:noProof/>
                <w:webHidden/>
              </w:rPr>
              <w:fldChar w:fldCharType="begin"/>
            </w:r>
            <w:r w:rsidR="00565F12">
              <w:rPr>
                <w:noProof/>
                <w:webHidden/>
              </w:rPr>
              <w:instrText xml:space="preserve"> PAGEREF _Toc235445669 \h </w:instrText>
            </w:r>
            <w:r w:rsidR="00565F12">
              <w:rPr>
                <w:noProof/>
                <w:webHidden/>
              </w:rPr>
            </w:r>
            <w:r w:rsidR="00565F12">
              <w:rPr>
                <w:noProof/>
                <w:webHidden/>
              </w:rPr>
              <w:fldChar w:fldCharType="separate"/>
            </w:r>
            <w:r w:rsidR="00565F12">
              <w:rPr>
                <w:noProof/>
                <w:webHidden/>
              </w:rPr>
              <w:t>8</w:t>
            </w:r>
            <w:r w:rsidR="00565F12">
              <w:rPr>
                <w:noProof/>
                <w:webHidden/>
              </w:rPr>
              <w:fldChar w:fldCharType="end"/>
            </w:r>
          </w:hyperlink>
        </w:p>
        <w:p w14:paraId="73DB359E" w14:textId="3F6FCCA9" w:rsidR="00565F12" w:rsidRDefault="00E31BE4">
          <w:pPr>
            <w:pStyle w:val="TOC2"/>
            <w:tabs>
              <w:tab w:val="right" w:leader="dot" w:pos="9016"/>
            </w:tabs>
            <w:rPr>
              <w:noProof/>
            </w:rPr>
          </w:pPr>
          <w:hyperlink w:anchor="_Toc235445670" w:history="1">
            <w:r w:rsidR="00565F12" w:rsidRPr="00397815">
              <w:rPr>
                <w:rStyle w:val="Hyperlink"/>
                <w:noProof/>
              </w:rPr>
              <w:t>Proposed Health Intervention Programme and Evaluation</w:t>
            </w:r>
            <w:r w:rsidR="00565F12">
              <w:rPr>
                <w:noProof/>
                <w:webHidden/>
              </w:rPr>
              <w:tab/>
            </w:r>
            <w:r w:rsidR="00565F12">
              <w:rPr>
                <w:noProof/>
                <w:webHidden/>
              </w:rPr>
              <w:fldChar w:fldCharType="begin"/>
            </w:r>
            <w:r w:rsidR="00565F12">
              <w:rPr>
                <w:noProof/>
                <w:webHidden/>
              </w:rPr>
              <w:instrText xml:space="preserve"> PAGEREF _Toc235445670 \h </w:instrText>
            </w:r>
            <w:r w:rsidR="00565F12">
              <w:rPr>
                <w:noProof/>
                <w:webHidden/>
              </w:rPr>
            </w:r>
            <w:r w:rsidR="00565F12">
              <w:rPr>
                <w:noProof/>
                <w:webHidden/>
              </w:rPr>
              <w:fldChar w:fldCharType="separate"/>
            </w:r>
            <w:r w:rsidR="00565F12">
              <w:rPr>
                <w:noProof/>
                <w:webHidden/>
              </w:rPr>
              <w:t>8</w:t>
            </w:r>
            <w:r w:rsidR="00565F12">
              <w:rPr>
                <w:noProof/>
                <w:webHidden/>
              </w:rPr>
              <w:fldChar w:fldCharType="end"/>
            </w:r>
          </w:hyperlink>
        </w:p>
        <w:p w14:paraId="3BA4DC8B" w14:textId="30EDFE7C" w:rsidR="00565F12" w:rsidRDefault="00E31BE4">
          <w:pPr>
            <w:pStyle w:val="TOC2"/>
            <w:tabs>
              <w:tab w:val="right" w:leader="dot" w:pos="9016"/>
            </w:tabs>
            <w:rPr>
              <w:noProof/>
            </w:rPr>
          </w:pPr>
          <w:hyperlink w:anchor="_Toc235445671" w:history="1">
            <w:r w:rsidR="00565F12" w:rsidRPr="00397815">
              <w:rPr>
                <w:rStyle w:val="Hyperlink"/>
                <w:noProof/>
              </w:rPr>
              <w:t>Strengths and Weaknesses of the Epidemiological Approach</w:t>
            </w:r>
            <w:r w:rsidR="00565F12">
              <w:rPr>
                <w:noProof/>
                <w:webHidden/>
              </w:rPr>
              <w:tab/>
            </w:r>
            <w:r w:rsidR="00565F12">
              <w:rPr>
                <w:noProof/>
                <w:webHidden/>
              </w:rPr>
              <w:fldChar w:fldCharType="begin"/>
            </w:r>
            <w:r w:rsidR="00565F12">
              <w:rPr>
                <w:noProof/>
                <w:webHidden/>
              </w:rPr>
              <w:instrText xml:space="preserve"> PAGEREF _Toc235445671 \h </w:instrText>
            </w:r>
            <w:r w:rsidR="00565F12">
              <w:rPr>
                <w:noProof/>
                <w:webHidden/>
              </w:rPr>
            </w:r>
            <w:r w:rsidR="00565F12">
              <w:rPr>
                <w:noProof/>
                <w:webHidden/>
              </w:rPr>
              <w:fldChar w:fldCharType="separate"/>
            </w:r>
            <w:r w:rsidR="00565F12">
              <w:rPr>
                <w:noProof/>
                <w:webHidden/>
              </w:rPr>
              <w:t>8</w:t>
            </w:r>
            <w:r w:rsidR="00565F12">
              <w:rPr>
                <w:noProof/>
                <w:webHidden/>
              </w:rPr>
              <w:fldChar w:fldCharType="end"/>
            </w:r>
          </w:hyperlink>
        </w:p>
        <w:p w14:paraId="3EAD9AEF" w14:textId="3FBDCC3E" w:rsidR="00565F12" w:rsidRDefault="00E31BE4">
          <w:pPr>
            <w:pStyle w:val="TOC2"/>
            <w:tabs>
              <w:tab w:val="right" w:leader="dot" w:pos="9016"/>
            </w:tabs>
            <w:rPr>
              <w:noProof/>
            </w:rPr>
          </w:pPr>
          <w:hyperlink w:anchor="_Toc235445672" w:history="1">
            <w:r w:rsidR="00565F12" w:rsidRPr="00397815">
              <w:rPr>
                <w:rStyle w:val="Hyperlink"/>
                <w:noProof/>
              </w:rPr>
              <w:t>Conclusion</w:t>
            </w:r>
            <w:r w:rsidR="00565F12">
              <w:rPr>
                <w:noProof/>
                <w:webHidden/>
              </w:rPr>
              <w:tab/>
            </w:r>
            <w:r w:rsidR="00565F12">
              <w:rPr>
                <w:noProof/>
                <w:webHidden/>
              </w:rPr>
              <w:fldChar w:fldCharType="begin"/>
            </w:r>
            <w:r w:rsidR="00565F12">
              <w:rPr>
                <w:noProof/>
                <w:webHidden/>
              </w:rPr>
              <w:instrText xml:space="preserve"> PAGEREF _Toc235445672 \h </w:instrText>
            </w:r>
            <w:r w:rsidR="00565F12">
              <w:rPr>
                <w:noProof/>
                <w:webHidden/>
              </w:rPr>
            </w:r>
            <w:r w:rsidR="00565F12">
              <w:rPr>
                <w:noProof/>
                <w:webHidden/>
              </w:rPr>
              <w:fldChar w:fldCharType="separate"/>
            </w:r>
            <w:r w:rsidR="00565F12">
              <w:rPr>
                <w:noProof/>
                <w:webHidden/>
              </w:rPr>
              <w:t>9</w:t>
            </w:r>
            <w:r w:rsidR="00565F12">
              <w:rPr>
                <w:noProof/>
                <w:webHidden/>
              </w:rPr>
              <w:fldChar w:fldCharType="end"/>
            </w:r>
          </w:hyperlink>
        </w:p>
        <w:p w14:paraId="251DA5E2" w14:textId="1B473FA6" w:rsidR="00565F12" w:rsidRDefault="00E31BE4">
          <w:pPr>
            <w:pStyle w:val="TOC1"/>
            <w:tabs>
              <w:tab w:val="right" w:leader="dot" w:pos="9016"/>
            </w:tabs>
            <w:rPr>
              <w:noProof/>
            </w:rPr>
          </w:pPr>
          <w:hyperlink w:anchor="_Toc235445673" w:history="1">
            <w:r w:rsidR="00565F12" w:rsidRPr="00397815">
              <w:rPr>
                <w:rStyle w:val="Hyperlink"/>
                <w:noProof/>
              </w:rPr>
              <w:t>References</w:t>
            </w:r>
            <w:r w:rsidR="00565F12">
              <w:rPr>
                <w:noProof/>
                <w:webHidden/>
              </w:rPr>
              <w:tab/>
            </w:r>
            <w:r w:rsidR="00565F12">
              <w:rPr>
                <w:noProof/>
                <w:webHidden/>
              </w:rPr>
              <w:fldChar w:fldCharType="begin"/>
            </w:r>
            <w:r w:rsidR="00565F12">
              <w:rPr>
                <w:noProof/>
                <w:webHidden/>
              </w:rPr>
              <w:instrText xml:space="preserve"> PAGEREF _Toc235445673 \h </w:instrText>
            </w:r>
            <w:r w:rsidR="00565F12">
              <w:rPr>
                <w:noProof/>
                <w:webHidden/>
              </w:rPr>
            </w:r>
            <w:r w:rsidR="00565F12">
              <w:rPr>
                <w:noProof/>
                <w:webHidden/>
              </w:rPr>
              <w:fldChar w:fldCharType="separate"/>
            </w:r>
            <w:r w:rsidR="00565F12">
              <w:rPr>
                <w:noProof/>
                <w:webHidden/>
              </w:rPr>
              <w:t>10</w:t>
            </w:r>
            <w:r w:rsidR="00565F12">
              <w:rPr>
                <w:noProof/>
                <w:webHidden/>
              </w:rPr>
              <w:fldChar w:fldCharType="end"/>
            </w:r>
          </w:hyperlink>
        </w:p>
        <w:p w14:paraId="2C9F93EB" w14:textId="1761895E" w:rsidR="00565F12" w:rsidRDefault="00565F12">
          <w:r>
            <w:rPr>
              <w:b/>
              <w:bCs/>
              <w:noProof/>
            </w:rPr>
            <w:fldChar w:fldCharType="end"/>
          </w:r>
        </w:p>
      </w:sdtContent>
    </w:sdt>
    <w:p w14:paraId="2108FEE6" w14:textId="77777777" w:rsidR="00796613" w:rsidRPr="007C2D92" w:rsidRDefault="003D3D7C">
      <w:pPr>
        <w:pStyle w:val="Heading1"/>
        <w:rPr>
          <w:rFonts w:ascii="Arial" w:hAnsi="Arial" w:cs="Arial"/>
        </w:rPr>
      </w:pPr>
      <w:bookmarkStart w:id="0" w:name="_Toc235445650"/>
      <w:r w:rsidRPr="007C2D92">
        <w:rPr>
          <w:rFonts w:ascii="Arial" w:hAnsi="Arial" w:cs="Arial"/>
        </w:rPr>
        <w:lastRenderedPageBreak/>
        <w:t>Task 1: Social Epidemiological Analysis</w:t>
      </w:r>
      <w:bookmarkEnd w:id="0"/>
    </w:p>
    <w:p w14:paraId="712770A7" w14:textId="77777777" w:rsidR="00796613" w:rsidRPr="007C2D92" w:rsidRDefault="003D3D7C">
      <w:pPr>
        <w:pStyle w:val="Heading2"/>
        <w:rPr>
          <w:rFonts w:ascii="Arial" w:hAnsi="Arial" w:cs="Arial"/>
        </w:rPr>
      </w:pPr>
      <w:bookmarkStart w:id="1" w:name="_Toc235445651"/>
      <w:r w:rsidRPr="007C2D92">
        <w:rPr>
          <w:rFonts w:ascii="Arial" w:hAnsi="Arial" w:cs="Arial"/>
        </w:rPr>
        <w:t>Title: Health Inequalities Faced by Older People Aged 65 and Over in the United Kingdom</w:t>
      </w:r>
      <w:bookmarkEnd w:id="1"/>
    </w:p>
    <w:p w14:paraId="1119B23A" w14:textId="77777777" w:rsidR="00796613" w:rsidRPr="007C2D92" w:rsidRDefault="003D3D7C">
      <w:pPr>
        <w:pStyle w:val="Heading2"/>
        <w:rPr>
          <w:rFonts w:ascii="Arial" w:hAnsi="Arial" w:cs="Arial"/>
        </w:rPr>
      </w:pPr>
      <w:bookmarkStart w:id="2" w:name="_Toc235445652"/>
      <w:r w:rsidRPr="007C2D92">
        <w:rPr>
          <w:rFonts w:ascii="Arial" w:hAnsi="Arial" w:cs="Arial"/>
        </w:rPr>
        <w:t>Introduction</w:t>
      </w:r>
      <w:bookmarkEnd w:id="2"/>
    </w:p>
    <w:p w14:paraId="4C775D97" w14:textId="16FCAE73" w:rsidR="00857BA4" w:rsidRPr="007C2D92" w:rsidRDefault="00857BA4" w:rsidP="00857BA4">
      <w:pPr>
        <w:rPr>
          <w:rFonts w:ascii="Arial" w:hAnsi="Arial" w:cs="Arial"/>
        </w:rPr>
      </w:pPr>
      <w:r w:rsidRPr="007C2D92">
        <w:rPr>
          <w:rFonts w:ascii="Arial" w:hAnsi="Arial" w:cs="Arial"/>
          <w:color w:val="0D0D0D" w:themeColor="text1" w:themeTint="F2"/>
        </w:rPr>
        <w:t>The older population aged 65 years and above is one of the increasing segments in the UK, and they experience health inequalities more than other younger age cohorts</w:t>
      </w:r>
      <w:r w:rsidR="00F51B1E" w:rsidRPr="007C2D92">
        <w:rPr>
          <w:rFonts w:ascii="Arial" w:hAnsi="Arial" w:cs="Arial"/>
          <w:color w:val="0D0D0D" w:themeColor="text1" w:themeTint="F2"/>
        </w:rPr>
        <w:t xml:space="preserve"> (Centre for Ageing Better, 2025)</w:t>
      </w:r>
      <w:r w:rsidRPr="007C2D92">
        <w:rPr>
          <w:rFonts w:ascii="Arial" w:hAnsi="Arial" w:cs="Arial"/>
          <w:color w:val="0D0D0D" w:themeColor="text1" w:themeTint="F2"/>
        </w:rPr>
        <w:t xml:space="preserve">. </w:t>
      </w:r>
      <w:r w:rsidRPr="007C2D92">
        <w:rPr>
          <w:rFonts w:ascii="Arial" w:hAnsi="Arial" w:cs="Arial"/>
        </w:rPr>
        <w:t xml:space="preserve">The concept of health inequality is understood as systemic, avoidable, and unjust variations in health status between different populations (King’s Fund, 2026). Older people have increased susceptibility due to social determinant influences throughout their life course which are socioeconomic status, living environment, and service access (The Health Foundation, 2026). Aging itself acts as a contributory determinant to health inequality along with poverty, ethnicity, and gender (Stopforth </w:t>
      </w:r>
      <w:r w:rsidR="00313A27" w:rsidRPr="007C2D92">
        <w:rPr>
          <w:rFonts w:ascii="Arial" w:hAnsi="Arial" w:cs="Arial"/>
          <w:i/>
          <w:iCs/>
        </w:rPr>
        <w:t>et al</w:t>
      </w:r>
      <w:r w:rsidRPr="007C2D92">
        <w:rPr>
          <w:rFonts w:ascii="Arial" w:hAnsi="Arial" w:cs="Arial"/>
        </w:rPr>
        <w:t>., 2021; Centre for Ageing Better, 2021). In the Dahlgren and Whitehead framework on determinants of health, individual behavio</w:t>
      </w:r>
      <w:r w:rsidR="00120648" w:rsidRPr="007C2D92">
        <w:rPr>
          <w:rFonts w:ascii="Arial" w:hAnsi="Arial" w:cs="Arial"/>
        </w:rPr>
        <w:t>u</w:t>
      </w:r>
      <w:r w:rsidRPr="007C2D92">
        <w:rPr>
          <w:rFonts w:ascii="Arial" w:hAnsi="Arial" w:cs="Arial"/>
        </w:rPr>
        <w:t>r determinants, social relations, and socioeconomic determinants influence such inequalities. This study seeks to examine the major disease burden and social problems affecting older adults in the UK, policies and response, and the role of supporting organizations.</w:t>
      </w:r>
    </w:p>
    <w:p w14:paraId="555DFF9D" w14:textId="77777777" w:rsidR="00796613" w:rsidRPr="007C2D92" w:rsidRDefault="003D3D7C">
      <w:pPr>
        <w:pStyle w:val="Heading2"/>
        <w:rPr>
          <w:rFonts w:ascii="Arial" w:hAnsi="Arial" w:cs="Arial"/>
        </w:rPr>
      </w:pPr>
      <w:bookmarkStart w:id="3" w:name="_Toc235445653"/>
      <w:r w:rsidRPr="007C2D92">
        <w:rPr>
          <w:rFonts w:ascii="Arial" w:hAnsi="Arial" w:cs="Arial"/>
        </w:rPr>
        <w:t>Contextual Background and Underlying Factors</w:t>
      </w:r>
      <w:bookmarkEnd w:id="3"/>
    </w:p>
    <w:p w14:paraId="12240347" w14:textId="77777777" w:rsidR="00796613" w:rsidRPr="007C2D92" w:rsidRDefault="003D3D7C">
      <w:pPr>
        <w:pStyle w:val="Heading3"/>
        <w:rPr>
          <w:rFonts w:ascii="Arial" w:hAnsi="Arial" w:cs="Arial"/>
        </w:rPr>
      </w:pPr>
      <w:bookmarkStart w:id="4" w:name="_Toc235445654"/>
      <w:r w:rsidRPr="007C2D92">
        <w:rPr>
          <w:rFonts w:ascii="Arial" w:hAnsi="Arial" w:cs="Arial"/>
        </w:rPr>
        <w:t>Higher Rates of Dementia</w:t>
      </w:r>
      <w:bookmarkEnd w:id="4"/>
    </w:p>
    <w:p w14:paraId="4F13B41D" w14:textId="59D4DFE3" w:rsidR="00857BA4" w:rsidRPr="007C2D92" w:rsidRDefault="00857BA4" w:rsidP="00857BA4">
      <w:pPr>
        <w:rPr>
          <w:rFonts w:ascii="Arial" w:hAnsi="Arial" w:cs="Arial"/>
        </w:rPr>
      </w:pPr>
      <w:r w:rsidRPr="007C2D92">
        <w:rPr>
          <w:rFonts w:ascii="Arial" w:hAnsi="Arial" w:cs="Arial"/>
          <w:color w:val="0D0D0D" w:themeColor="text1" w:themeTint="F2"/>
        </w:rPr>
        <w:t xml:space="preserve">Dementia is </w:t>
      </w:r>
      <w:r w:rsidR="009C0308" w:rsidRPr="007C2D92">
        <w:rPr>
          <w:rFonts w:ascii="Arial" w:hAnsi="Arial" w:cs="Arial"/>
          <w:color w:val="0D0D0D" w:themeColor="text1" w:themeTint="F2"/>
        </w:rPr>
        <w:t>also an</w:t>
      </w:r>
      <w:r w:rsidRPr="007C2D92">
        <w:rPr>
          <w:rFonts w:ascii="Arial" w:hAnsi="Arial" w:cs="Arial"/>
          <w:color w:val="0D0D0D" w:themeColor="text1" w:themeTint="F2"/>
        </w:rPr>
        <w:t xml:space="preserve"> important </w:t>
      </w:r>
      <w:r w:rsidRPr="007C2D92">
        <w:rPr>
          <w:rFonts w:ascii="Arial" w:hAnsi="Arial" w:cs="Arial"/>
        </w:rPr>
        <w:t xml:space="preserve">issue concerning health inequalities amongst older people. In 2024, about 982,000 people in the UK had been diagnosed with dementia, mostly above the age of 65, and it is estimated that this figure will increase to 1.4 million people by 2040 (Alzheimer's Society, 2026). There is some incomplete diagnosis and inequality by deprivation, ethnicity, and geography (Hodgson </w:t>
      </w:r>
      <w:r w:rsidR="00313A27" w:rsidRPr="007C2D92">
        <w:rPr>
          <w:rFonts w:ascii="Arial" w:hAnsi="Arial" w:cs="Arial"/>
          <w:i/>
          <w:iCs/>
        </w:rPr>
        <w:t>et al</w:t>
      </w:r>
      <w:r w:rsidRPr="007C2D92">
        <w:rPr>
          <w:rFonts w:ascii="Arial" w:hAnsi="Arial" w:cs="Arial"/>
        </w:rPr>
        <w:t xml:space="preserve">., 2024). Older people in deprived areas suffer from a greater number of cases and late diagnoses due to low health literacy, limited access to services and high vascular risk factors (Livingston </w:t>
      </w:r>
      <w:r w:rsidR="00313A27" w:rsidRPr="007C2D92">
        <w:rPr>
          <w:rFonts w:ascii="Arial" w:hAnsi="Arial" w:cs="Arial"/>
          <w:i/>
          <w:iCs/>
        </w:rPr>
        <w:t>et al</w:t>
      </w:r>
      <w:r w:rsidRPr="007C2D92">
        <w:rPr>
          <w:rFonts w:ascii="Arial" w:hAnsi="Arial" w:cs="Arial"/>
        </w:rPr>
        <w:t xml:space="preserve">., 2020; Livingston </w:t>
      </w:r>
      <w:r w:rsidR="00313A27" w:rsidRPr="007C2D92">
        <w:rPr>
          <w:rFonts w:ascii="Arial" w:hAnsi="Arial" w:cs="Arial"/>
          <w:i/>
          <w:iCs/>
        </w:rPr>
        <w:t>et al</w:t>
      </w:r>
      <w:r w:rsidRPr="007C2D92">
        <w:rPr>
          <w:rFonts w:ascii="Arial" w:hAnsi="Arial" w:cs="Arial"/>
        </w:rPr>
        <w:t>., 2024). These disparities can be reduced through earlier detection, risk-factor management and improved post-diagnostic support.</w:t>
      </w:r>
    </w:p>
    <w:p w14:paraId="7CE4A89F" w14:textId="77777777" w:rsidR="00796613" w:rsidRPr="00B0103C" w:rsidRDefault="003D3D7C">
      <w:pPr>
        <w:pStyle w:val="Heading3"/>
        <w:rPr>
          <w:rFonts w:ascii="Arial" w:hAnsi="Arial" w:cs="Arial"/>
        </w:rPr>
      </w:pPr>
      <w:bookmarkStart w:id="5" w:name="_Toc235445655"/>
      <w:r w:rsidRPr="00B0103C">
        <w:rPr>
          <w:rFonts w:ascii="Arial" w:hAnsi="Arial" w:cs="Arial"/>
        </w:rPr>
        <w:lastRenderedPageBreak/>
        <w:t>Higher Rates of Mental Illness</w:t>
      </w:r>
      <w:bookmarkEnd w:id="5"/>
    </w:p>
    <w:p w14:paraId="1D26490F" w14:textId="1A1B6870" w:rsidR="00857BA4" w:rsidRPr="00B0103C" w:rsidRDefault="00857BA4" w:rsidP="00857BA4">
      <w:pPr>
        <w:rPr>
          <w:rFonts w:ascii="Arial" w:hAnsi="Arial" w:cs="Arial"/>
        </w:rPr>
      </w:pPr>
      <w:r w:rsidRPr="00B0103C">
        <w:rPr>
          <w:rFonts w:ascii="Arial" w:hAnsi="Arial" w:cs="Arial"/>
        </w:rPr>
        <w:t xml:space="preserve">Mental health issues are fairly common but under-reported in older adults. The prevalence of depression amongst males and females above 65 is 22% and 28% respectively, which increases even more in the group above 85 and in those residing in nursing homes (Centre for Mental Health, 2024). Loneliness, grief, physical illnesses and social isolation contribute as significant factors. Depression is more prevalent amongst older adults belonging to socio-economically disadvantaged groups and some minorities due to factors such as stigmatization, lack of culturally competent services and diagnostic overshadowing (Centre for Ageing Better, 2021; Stopforth </w:t>
      </w:r>
      <w:r w:rsidR="00313A27" w:rsidRPr="00B0103C">
        <w:rPr>
          <w:rFonts w:ascii="Arial" w:hAnsi="Arial" w:cs="Arial"/>
          <w:i/>
          <w:iCs/>
        </w:rPr>
        <w:t>et al</w:t>
      </w:r>
      <w:r w:rsidRPr="00B0103C">
        <w:rPr>
          <w:rFonts w:ascii="Arial" w:hAnsi="Arial" w:cs="Arial"/>
        </w:rPr>
        <w:t>., 2021). Increasing access to psychotherapies and social prescription in primary care settings will help overcome these disparities.</w:t>
      </w:r>
    </w:p>
    <w:p w14:paraId="2443DD9F" w14:textId="77777777" w:rsidR="00796613" w:rsidRPr="00B0103C" w:rsidRDefault="003D3D7C">
      <w:pPr>
        <w:pStyle w:val="Heading3"/>
        <w:rPr>
          <w:rFonts w:ascii="Arial" w:hAnsi="Arial" w:cs="Arial"/>
        </w:rPr>
      </w:pPr>
      <w:bookmarkStart w:id="6" w:name="_Toc235445656"/>
      <w:r w:rsidRPr="00B0103C">
        <w:rPr>
          <w:rFonts w:ascii="Arial" w:hAnsi="Arial" w:cs="Arial"/>
        </w:rPr>
        <w:t>Higher Rates of Multimorbidity and Reduced Healthy Life Expectancy</w:t>
      </w:r>
      <w:bookmarkEnd w:id="6"/>
    </w:p>
    <w:p w14:paraId="30681BDD" w14:textId="04E12055" w:rsidR="00857BA4" w:rsidRPr="00B0103C" w:rsidRDefault="00857BA4" w:rsidP="00857BA4">
      <w:pPr>
        <w:rPr>
          <w:rFonts w:ascii="Arial" w:hAnsi="Arial" w:cs="Arial"/>
        </w:rPr>
      </w:pPr>
      <w:r w:rsidRPr="00B0103C">
        <w:rPr>
          <w:rFonts w:ascii="Arial" w:hAnsi="Arial" w:cs="Arial"/>
        </w:rPr>
        <w:t>The older adults residing in the poorest parts of England lead lives which are far less healthy. The disparity in healthy life expectancy at the age of 50 between the poorest and the wealthiest places is about 11 years, and disparities have been increasing in recent years (The Health Foundation, 2026; Office for National Statistics, 2024). The presence of multimorbidity (i.e. two or more chronic conditions) is significantly higher in the deprived populations and in older women (Age UK, 2025). These trends are indicative of lifelong experiences of poor housing, low income, lack of education, and poor access to preventive care. Primary care and secondary prevention can address such health inequalities.</w:t>
      </w:r>
    </w:p>
    <w:p w14:paraId="5F3A47C1" w14:textId="77777777" w:rsidR="00796613" w:rsidRPr="00B0103C" w:rsidRDefault="003D3D7C">
      <w:pPr>
        <w:pStyle w:val="Heading3"/>
        <w:rPr>
          <w:rFonts w:ascii="Arial" w:hAnsi="Arial" w:cs="Arial"/>
        </w:rPr>
      </w:pPr>
      <w:bookmarkStart w:id="7" w:name="_Toc235445657"/>
      <w:r w:rsidRPr="00B0103C">
        <w:rPr>
          <w:rFonts w:ascii="Arial" w:hAnsi="Arial" w:cs="Arial"/>
        </w:rPr>
        <w:t>Social Isolation and Loneliness</w:t>
      </w:r>
      <w:bookmarkEnd w:id="7"/>
    </w:p>
    <w:p w14:paraId="771E11B6" w14:textId="2DAD941F" w:rsidR="00857BA4" w:rsidRPr="00B0103C" w:rsidRDefault="00857BA4" w:rsidP="00857BA4">
      <w:pPr>
        <w:rPr>
          <w:rFonts w:ascii="Arial" w:hAnsi="Arial" w:cs="Arial"/>
        </w:rPr>
      </w:pPr>
      <w:r w:rsidRPr="00B0103C">
        <w:rPr>
          <w:rFonts w:ascii="Arial" w:hAnsi="Arial" w:cs="Arial"/>
        </w:rPr>
        <w:t>Isolation and loneliness are significant social problems faced by older adults, which are correlated with poor physical and psychological health. In 2023, there were 4.2 million adults aged 65+ who lived alone in England; the biggest relative rise was recorded among older men (Centre for Ageing Better, 2025). The loneliness factor increases the incidence of depression, cognitive impairment and reliance on emergency services (Centre for Mental Health, 2024). Among those who are particularly vulnerable are adults from low-income households, those with restricted mobility, and those who live in remote or disadvantaged urban areas.</w:t>
      </w:r>
    </w:p>
    <w:p w14:paraId="733B561E" w14:textId="77777777" w:rsidR="00796613" w:rsidRPr="00B0103C" w:rsidRDefault="003D3D7C">
      <w:pPr>
        <w:pStyle w:val="Heading3"/>
        <w:rPr>
          <w:rFonts w:ascii="Arial" w:hAnsi="Arial" w:cs="Arial"/>
        </w:rPr>
      </w:pPr>
      <w:bookmarkStart w:id="8" w:name="_Toc235445658"/>
      <w:r w:rsidRPr="00B0103C">
        <w:rPr>
          <w:rFonts w:ascii="Arial" w:hAnsi="Arial" w:cs="Arial"/>
        </w:rPr>
        <w:t>Poverty and Financial Insecurity</w:t>
      </w:r>
      <w:bookmarkEnd w:id="8"/>
    </w:p>
    <w:p w14:paraId="03380341" w14:textId="56E61BAE" w:rsidR="00D43B61" w:rsidRPr="00B0103C" w:rsidRDefault="00D43B61" w:rsidP="00D43B61">
      <w:pPr>
        <w:rPr>
          <w:rFonts w:ascii="Arial" w:hAnsi="Arial" w:cs="Arial"/>
        </w:rPr>
      </w:pPr>
      <w:r w:rsidRPr="00B0103C">
        <w:rPr>
          <w:rFonts w:ascii="Arial" w:hAnsi="Arial" w:cs="Arial"/>
        </w:rPr>
        <w:lastRenderedPageBreak/>
        <w:t>Poverty continues to be one of the major causes of inequalities in health among older adults. Around 1.9 million pensioners in the UK were living in poverty recently (Joseph Rowntree Foundation, 2025). People aged above 65 years who depend on the state pension, those who live by renting, and those with incomplete NI records are especially at risk. Economic difficulties prevent them from accessing proper heating, nutritious meals, and transportation, hence their poor health (Age UK, 2025; Northern Health Science Alliance, 2025). Some measures that need to be taken include increasing the adequacy of pensions and Pension Credit uptake.</w:t>
      </w:r>
    </w:p>
    <w:p w14:paraId="78E1FCA4" w14:textId="77777777" w:rsidR="00796613" w:rsidRPr="00B0103C" w:rsidRDefault="003D3D7C">
      <w:pPr>
        <w:pStyle w:val="Heading3"/>
        <w:rPr>
          <w:rFonts w:ascii="Arial" w:hAnsi="Arial" w:cs="Arial"/>
        </w:rPr>
      </w:pPr>
      <w:bookmarkStart w:id="9" w:name="_Toc235445659"/>
      <w:r w:rsidRPr="00B0103C">
        <w:rPr>
          <w:rFonts w:ascii="Arial" w:hAnsi="Arial" w:cs="Arial"/>
        </w:rPr>
        <w:t>Housing Issues and Unsuitable Living Conditions</w:t>
      </w:r>
      <w:bookmarkEnd w:id="9"/>
    </w:p>
    <w:p w14:paraId="6D774AFF" w14:textId="3DF7A7F1" w:rsidR="00D43B61" w:rsidRPr="00B0103C" w:rsidRDefault="00D43B61" w:rsidP="00D43B61">
      <w:pPr>
        <w:rPr>
          <w:rFonts w:ascii="Arial" w:hAnsi="Arial" w:cs="Arial"/>
        </w:rPr>
      </w:pPr>
      <w:r w:rsidRPr="00B0103C">
        <w:rPr>
          <w:rFonts w:ascii="Arial" w:hAnsi="Arial" w:cs="Arial"/>
        </w:rPr>
        <w:t>The substandard or inadequate living conditions have an adverse effect on the health inequities among elderly individuals. Elderly people live in cold, damp or poorly accessible houses, which put them at an increased risk of falling and developing lung diseases and social exclusion (Age UK, 2025; Centre for Ageing Better, 2025). The owners of such houses who have a low income may not be able to make any changes, whereas elderly people living in privately rented accommodations will experience insecurity and higher expenses. The standard of houses deteriorates with an increasing deprivation, thereby exacerbating the health inequities geographically.</w:t>
      </w:r>
    </w:p>
    <w:p w14:paraId="4EFBBA8A" w14:textId="77777777" w:rsidR="00796613" w:rsidRPr="00B0103C" w:rsidRDefault="003D3D7C">
      <w:pPr>
        <w:pStyle w:val="Heading2"/>
        <w:rPr>
          <w:rFonts w:ascii="Arial" w:hAnsi="Arial" w:cs="Arial"/>
        </w:rPr>
      </w:pPr>
      <w:bookmarkStart w:id="10" w:name="_Toc235445660"/>
      <w:r w:rsidRPr="00B0103C">
        <w:rPr>
          <w:rFonts w:ascii="Arial" w:hAnsi="Arial" w:cs="Arial"/>
        </w:rPr>
        <w:t>National Response to Reduce Health Inequalities in Older People</w:t>
      </w:r>
      <w:bookmarkEnd w:id="10"/>
    </w:p>
    <w:p w14:paraId="1B3E9D39" w14:textId="77777777" w:rsidR="00CD5D73" w:rsidRPr="00B0103C" w:rsidRDefault="00CD5D73" w:rsidP="00CD5D73">
      <w:pPr>
        <w:pStyle w:val="NormalWeb"/>
        <w:spacing w:line="360" w:lineRule="auto"/>
        <w:jc w:val="both"/>
        <w:rPr>
          <w:rFonts w:ascii="Arial" w:hAnsi="Arial" w:cs="Arial"/>
        </w:rPr>
      </w:pPr>
      <w:bookmarkStart w:id="11" w:name="_Toc235445661"/>
      <w:r w:rsidRPr="00B0103C">
        <w:rPr>
          <w:rFonts w:ascii="Arial" w:hAnsi="Arial" w:cs="Arial"/>
        </w:rPr>
        <w:t>Two relevant examples of national-level actions include:</w:t>
      </w:r>
    </w:p>
    <w:p w14:paraId="4C224C47" w14:textId="46A22CC1" w:rsidR="00CD5D73" w:rsidRPr="00B0103C" w:rsidRDefault="00CD5D73" w:rsidP="00CD5D73">
      <w:pPr>
        <w:pStyle w:val="NormalWeb"/>
        <w:spacing w:line="360" w:lineRule="auto"/>
        <w:jc w:val="both"/>
        <w:rPr>
          <w:rFonts w:ascii="Arial" w:hAnsi="Arial" w:cs="Arial"/>
        </w:rPr>
      </w:pPr>
      <w:r w:rsidRPr="00B0103C">
        <w:rPr>
          <w:rFonts w:ascii="Arial" w:hAnsi="Arial" w:cs="Arial"/>
        </w:rPr>
        <w:t>First, the UK Government’s commitment to healthy ageing and its NHS Long-Term Plan that emphasize early detection of dementia and development of social prescriptions (Age UK, 2025</w:t>
      </w:r>
      <w:r w:rsidRPr="00B0103C">
        <w:rPr>
          <w:rFonts w:ascii="Arial" w:hAnsi="Arial" w:cs="Arial"/>
          <w:color w:val="0D0D0D" w:themeColor="text1" w:themeTint="F2"/>
        </w:rPr>
        <w:t xml:space="preserve">). The government assists through early identification of dementia and referral of older adults to community resources via social prescribing. This is done to prevent admission into the hospitals and address social determinants of health disparities amongst older adults. </w:t>
      </w:r>
      <w:r w:rsidRPr="00B0103C">
        <w:rPr>
          <w:rFonts w:ascii="Arial" w:hAnsi="Arial" w:cs="Arial"/>
        </w:rPr>
        <w:t>Second, the establishment of age-friendly communities and activities by the Centre for Ageing Better in accordance with national policies (Centre for Ageing Better, 2025). Such measures acknowledge the necessity of dealing with inequalities on two levels – clinical services and wider determinants of health (King’s Fund, 2026). However, there are still no significant achievements in this matter, and much more efforts are needed to eliminate the differences in healthy-life expectancy.</w:t>
      </w:r>
    </w:p>
    <w:p w14:paraId="138949D0" w14:textId="77777777" w:rsidR="00796613" w:rsidRPr="00B0103C" w:rsidRDefault="003D3D7C">
      <w:pPr>
        <w:pStyle w:val="Heading2"/>
        <w:rPr>
          <w:rFonts w:ascii="Arial" w:hAnsi="Arial" w:cs="Arial"/>
        </w:rPr>
      </w:pPr>
      <w:r w:rsidRPr="00B0103C">
        <w:rPr>
          <w:rFonts w:ascii="Arial" w:hAnsi="Arial" w:cs="Arial"/>
        </w:rPr>
        <w:lastRenderedPageBreak/>
        <w:t>Organisations that Support Older People</w:t>
      </w:r>
      <w:bookmarkEnd w:id="11"/>
    </w:p>
    <w:p w14:paraId="2C8CBAD5" w14:textId="7DE87653" w:rsidR="00BA6C99" w:rsidRPr="00B0103C" w:rsidRDefault="00BA6C99" w:rsidP="00BA6C99">
      <w:pPr>
        <w:rPr>
          <w:rFonts w:ascii="Arial" w:hAnsi="Arial" w:cs="Arial"/>
        </w:rPr>
      </w:pPr>
      <w:r w:rsidRPr="00B0103C">
        <w:rPr>
          <w:rFonts w:ascii="Arial" w:hAnsi="Arial" w:cs="Arial"/>
        </w:rPr>
        <w:t xml:space="preserve">Age UK is the pre-eminent charity organization for elderly persons in the United Kingdom. In addition, the organization plays a broader role by conducting research, lobbying on policy, and providing direct services that help decrease health and social inequalities. Age UK has produced influential reports including its annual report titled The State of Health and Care of Older People, which brings out health and social inequalities and gives evidence-based suggestions to government and NHS (Age UK, 2025). </w:t>
      </w:r>
      <w:r w:rsidRPr="00B0103C">
        <w:rPr>
          <w:rFonts w:ascii="Arial" w:hAnsi="Arial" w:cs="Arial"/>
          <w:color w:val="0D0D0D" w:themeColor="text1" w:themeTint="F2"/>
        </w:rPr>
        <w:t xml:space="preserve">The NHS Long-Term Plan prioritises early dementia detection and social prescribing for older people. This reduces hospital admissions and tackles social factors that drive health inequalities (Age UK, 2025). </w:t>
      </w:r>
      <w:r w:rsidRPr="00B0103C">
        <w:rPr>
          <w:rFonts w:ascii="Arial" w:hAnsi="Arial" w:cs="Arial"/>
        </w:rPr>
        <w:t>Age UK has provided information and advice, befriending schemes, benefit check services, and campaigns to increase awareness among politicians and society about the issues of loneliness, poverty, and unmet care needs.</w:t>
      </w:r>
    </w:p>
    <w:p w14:paraId="25578A5A" w14:textId="77777777" w:rsidR="00796613" w:rsidRPr="00B0103C" w:rsidRDefault="003D3D7C">
      <w:pPr>
        <w:pStyle w:val="Heading2"/>
        <w:rPr>
          <w:rFonts w:ascii="Arial" w:hAnsi="Arial" w:cs="Arial"/>
        </w:rPr>
      </w:pPr>
      <w:bookmarkStart w:id="12" w:name="_Toc235445662"/>
      <w:r w:rsidRPr="00B0103C">
        <w:rPr>
          <w:rFonts w:ascii="Arial" w:hAnsi="Arial" w:cs="Arial"/>
        </w:rPr>
        <w:t>Conclusion</w:t>
      </w:r>
      <w:bookmarkEnd w:id="12"/>
    </w:p>
    <w:p w14:paraId="4059C7E3" w14:textId="53807CCF" w:rsidR="00796613" w:rsidRPr="00B0103C" w:rsidRDefault="00D43B61">
      <w:pPr>
        <w:rPr>
          <w:rFonts w:ascii="Arial" w:hAnsi="Arial" w:cs="Arial"/>
        </w:rPr>
      </w:pPr>
      <w:r w:rsidRPr="00B0103C">
        <w:rPr>
          <w:rFonts w:ascii="Arial" w:hAnsi="Arial" w:cs="Arial"/>
        </w:rPr>
        <w:t>The elderly population of 65 years or older in the UK faces great health inequalities in dementia, mental disorders, and multimorbidity due to social isolation, poverty, and inadequate housing. These inequalities arise from social determinants throughout life and are worse in disadvantaged areas. The government and initiatives of groups like Age UK offer crucial reactions to this problem, but there are still differences in life expectancy. Resolving such issues involves efforts in clinical medicine, social services, and other health determinants.</w:t>
      </w:r>
      <w:r w:rsidRPr="00B0103C">
        <w:rPr>
          <w:rFonts w:ascii="Arial" w:hAnsi="Arial" w:cs="Arial"/>
        </w:rPr>
        <w:br w:type="page"/>
      </w:r>
    </w:p>
    <w:p w14:paraId="4F563178" w14:textId="77777777" w:rsidR="00796613" w:rsidRPr="00B0103C" w:rsidRDefault="003D3D7C">
      <w:pPr>
        <w:pStyle w:val="Heading1"/>
        <w:rPr>
          <w:rFonts w:ascii="Arial" w:hAnsi="Arial" w:cs="Arial"/>
        </w:rPr>
      </w:pPr>
      <w:bookmarkStart w:id="13" w:name="_Toc235445663"/>
      <w:r w:rsidRPr="00B0103C">
        <w:rPr>
          <w:rFonts w:ascii="Arial" w:hAnsi="Arial" w:cs="Arial"/>
        </w:rPr>
        <w:lastRenderedPageBreak/>
        <w:t>Task 2: Epidemiological Analysis of Dementia in the London Borough of Newham</w:t>
      </w:r>
      <w:bookmarkEnd w:id="13"/>
    </w:p>
    <w:p w14:paraId="38B4B8E9" w14:textId="77777777" w:rsidR="00796613" w:rsidRPr="00B0103C" w:rsidRDefault="003D3D7C">
      <w:pPr>
        <w:pStyle w:val="Heading2"/>
        <w:rPr>
          <w:rFonts w:ascii="Arial" w:hAnsi="Arial" w:cs="Arial"/>
        </w:rPr>
      </w:pPr>
      <w:bookmarkStart w:id="14" w:name="_Toc235445664"/>
      <w:r w:rsidRPr="00B0103C">
        <w:rPr>
          <w:rFonts w:ascii="Arial" w:hAnsi="Arial" w:cs="Arial"/>
        </w:rPr>
        <w:t>Introduction</w:t>
      </w:r>
      <w:bookmarkEnd w:id="14"/>
    </w:p>
    <w:p w14:paraId="4A89E834" w14:textId="168794DD" w:rsidR="00910B8D" w:rsidRPr="00B0103C" w:rsidRDefault="00910B8D" w:rsidP="00910B8D">
      <w:pPr>
        <w:rPr>
          <w:rFonts w:ascii="Arial" w:hAnsi="Arial" w:cs="Arial"/>
        </w:rPr>
      </w:pPr>
      <w:r w:rsidRPr="00B0103C">
        <w:rPr>
          <w:rFonts w:ascii="Arial" w:hAnsi="Arial" w:cs="Arial"/>
        </w:rPr>
        <w:t>Dementia is a progressive disorder characterized by impairment in memory, cognition, behavio</w:t>
      </w:r>
      <w:r w:rsidR="00845090" w:rsidRPr="00B0103C">
        <w:rPr>
          <w:rFonts w:ascii="Arial" w:hAnsi="Arial" w:cs="Arial"/>
        </w:rPr>
        <w:t>u</w:t>
      </w:r>
      <w:r w:rsidRPr="00B0103C">
        <w:rPr>
          <w:rFonts w:ascii="Arial" w:hAnsi="Arial" w:cs="Arial"/>
        </w:rPr>
        <w:t>r, and performing daily tasks. It has many social, cultural, and health implications including loss of independence, heavy caregiving burden, high consumption of healthcare and social services, and increased mortality (World Health Organization, 2021; Alzheimer’s Disease International, 2026). Worldwide, over 55 million people suffer from dementia, the number being estimated to increase substantially in line with the aging population (World Health Organization, 2021). In the United Kingdom, about 982,000 individuals have been diagnosed with dementia in 2024, and their number is predicted to reach 1.4 million by 2040 (Alzheimer’s Society, 2026). Now, dementia is the leading cause of death in the UK (Alzheimer’s Research UK, 2025). The report analy</w:t>
      </w:r>
      <w:r w:rsidR="00120648" w:rsidRPr="00B0103C">
        <w:rPr>
          <w:rFonts w:ascii="Arial" w:hAnsi="Arial" w:cs="Arial"/>
        </w:rPr>
        <w:t>s</w:t>
      </w:r>
      <w:r w:rsidRPr="00B0103C">
        <w:rPr>
          <w:rFonts w:ascii="Arial" w:hAnsi="Arial" w:cs="Arial"/>
        </w:rPr>
        <w:t>es the epidemiological process of detection, diagnosis, and treatment of dementia in the London Borough of Newham, an ethnically heterogeneous area with the considerable share of the elderly population. In order to understand who is suffering from this disease, how it affects the population, and what can be done to improve the public health response, both national and local statistics will be analy</w:t>
      </w:r>
      <w:r w:rsidR="00120648" w:rsidRPr="00B0103C">
        <w:rPr>
          <w:rFonts w:ascii="Arial" w:hAnsi="Arial" w:cs="Arial"/>
        </w:rPr>
        <w:t>s</w:t>
      </w:r>
      <w:r w:rsidRPr="00B0103C">
        <w:rPr>
          <w:rFonts w:ascii="Arial" w:hAnsi="Arial" w:cs="Arial"/>
        </w:rPr>
        <w:t>ed.</w:t>
      </w:r>
    </w:p>
    <w:p w14:paraId="4DE92039" w14:textId="77777777" w:rsidR="00796613" w:rsidRPr="00B0103C" w:rsidRDefault="003D3D7C">
      <w:pPr>
        <w:pStyle w:val="Heading2"/>
        <w:rPr>
          <w:rFonts w:ascii="Arial" w:hAnsi="Arial" w:cs="Arial"/>
        </w:rPr>
      </w:pPr>
      <w:bookmarkStart w:id="15" w:name="_Toc235445665"/>
      <w:r w:rsidRPr="00B0103C">
        <w:rPr>
          <w:rFonts w:ascii="Arial" w:hAnsi="Arial" w:cs="Arial"/>
        </w:rPr>
        <w:t>Public Health Measures: Prevention, Protection and Promotion</w:t>
      </w:r>
      <w:bookmarkEnd w:id="15"/>
    </w:p>
    <w:p w14:paraId="05B65C49" w14:textId="21986713" w:rsidR="00910B8D" w:rsidRPr="00B0103C" w:rsidRDefault="00910B8D" w:rsidP="00910B8D">
      <w:pPr>
        <w:rPr>
          <w:rFonts w:ascii="Arial" w:hAnsi="Arial" w:cs="Arial"/>
        </w:rPr>
      </w:pPr>
      <w:r w:rsidRPr="00B0103C">
        <w:rPr>
          <w:rFonts w:ascii="Arial" w:hAnsi="Arial" w:cs="Arial"/>
        </w:rPr>
        <w:t xml:space="preserve">The activities related to public health concerning dementia in Newham and nationally are guided by the three Ps approach. The prevention approach includes activities aimed at minimizing the modifiable risk factors throughout the entire lifespan. These include hypertension, hearing loss, smoking, physical inactivity, obesity, diabetes, depression, social isolation, air pollution, and low education (Livingston </w:t>
      </w:r>
      <w:r w:rsidR="00313A27" w:rsidRPr="00B0103C">
        <w:rPr>
          <w:rFonts w:ascii="Arial" w:hAnsi="Arial" w:cs="Arial"/>
          <w:i/>
          <w:iCs/>
        </w:rPr>
        <w:t>et al</w:t>
      </w:r>
      <w:r w:rsidRPr="00B0103C">
        <w:rPr>
          <w:rFonts w:ascii="Arial" w:hAnsi="Arial" w:cs="Arial"/>
        </w:rPr>
        <w:t xml:space="preserve">., 2020; Livingston </w:t>
      </w:r>
      <w:r w:rsidR="00313A27" w:rsidRPr="00B0103C">
        <w:rPr>
          <w:rFonts w:ascii="Arial" w:hAnsi="Arial" w:cs="Arial"/>
          <w:i/>
          <w:iCs/>
        </w:rPr>
        <w:t>et al</w:t>
      </w:r>
      <w:r w:rsidRPr="00B0103C">
        <w:rPr>
          <w:rFonts w:ascii="Arial" w:hAnsi="Arial" w:cs="Arial"/>
        </w:rPr>
        <w:t xml:space="preserve">., 2024). The protection approach includes protecting the persons who have been diagnosed with dementia through diagnosis, post-diagnosis services, carer training, and care environments that are safe for the patients. The promotion approach includes the emphasis on aging well and creation of dementia-friendly communities as well as conducting campaigns to minimize stigma (Walsh </w:t>
      </w:r>
      <w:r w:rsidR="00313A27" w:rsidRPr="00B0103C">
        <w:rPr>
          <w:rFonts w:ascii="Arial" w:hAnsi="Arial" w:cs="Arial"/>
          <w:i/>
          <w:iCs/>
        </w:rPr>
        <w:t>et al</w:t>
      </w:r>
      <w:r w:rsidRPr="00B0103C">
        <w:rPr>
          <w:rFonts w:ascii="Arial" w:hAnsi="Arial" w:cs="Arial"/>
        </w:rPr>
        <w:t xml:space="preserve">., 2025; OECD, 2026). The activities of local authorities and ICBs regarding the three Ps are implemented </w:t>
      </w:r>
      <w:r w:rsidRPr="00B0103C">
        <w:rPr>
          <w:rFonts w:ascii="Arial" w:hAnsi="Arial" w:cs="Arial"/>
        </w:rPr>
        <w:lastRenderedPageBreak/>
        <w:t>through joint strategic needs assessments, incentivizing diagnoses in general practice, and community programs.</w:t>
      </w:r>
    </w:p>
    <w:p w14:paraId="4B03F704" w14:textId="77777777" w:rsidR="00796613" w:rsidRPr="00B0103C" w:rsidRDefault="003D3D7C">
      <w:pPr>
        <w:pStyle w:val="Heading2"/>
        <w:rPr>
          <w:rFonts w:ascii="Arial" w:hAnsi="Arial" w:cs="Arial"/>
        </w:rPr>
      </w:pPr>
      <w:bookmarkStart w:id="16" w:name="_Toc235445666"/>
      <w:r w:rsidRPr="00B0103C">
        <w:rPr>
          <w:rFonts w:ascii="Arial" w:hAnsi="Arial" w:cs="Arial"/>
        </w:rPr>
        <w:t>Key Determinants and Risk Factors</w:t>
      </w:r>
      <w:bookmarkEnd w:id="16"/>
    </w:p>
    <w:p w14:paraId="27EE939F" w14:textId="16378565" w:rsidR="00910B8D" w:rsidRPr="00B0103C" w:rsidRDefault="00910B8D" w:rsidP="00910B8D">
      <w:pPr>
        <w:rPr>
          <w:rFonts w:ascii="Arial" w:hAnsi="Arial" w:cs="Arial"/>
          <w:b/>
          <w:bCs/>
        </w:rPr>
      </w:pPr>
      <w:bookmarkStart w:id="17" w:name="_Toc235445667"/>
      <w:r w:rsidRPr="00B0103C">
        <w:rPr>
          <w:rFonts w:ascii="Arial" w:hAnsi="Arial" w:cs="Arial"/>
        </w:rPr>
        <w:t xml:space="preserve">According to the Lancet Commission Reports of 2020 and 2024, there are 12-14 risk factors which together contribute significantly to the prevalence of dementia (Livingston </w:t>
      </w:r>
      <w:r w:rsidR="00313A27" w:rsidRPr="00B0103C">
        <w:rPr>
          <w:rFonts w:ascii="Arial" w:hAnsi="Arial" w:cs="Arial"/>
          <w:i/>
          <w:iCs/>
        </w:rPr>
        <w:t>et al</w:t>
      </w:r>
      <w:r w:rsidRPr="00B0103C">
        <w:rPr>
          <w:rFonts w:ascii="Arial" w:hAnsi="Arial" w:cs="Arial"/>
        </w:rPr>
        <w:t xml:space="preserve">., 2020; Livingston </w:t>
      </w:r>
      <w:r w:rsidR="00313A27" w:rsidRPr="00B0103C">
        <w:rPr>
          <w:rFonts w:ascii="Arial" w:hAnsi="Arial" w:cs="Arial"/>
          <w:i/>
          <w:iCs/>
        </w:rPr>
        <w:t>et al</w:t>
      </w:r>
      <w:r w:rsidRPr="00B0103C">
        <w:rPr>
          <w:rFonts w:ascii="Arial" w:hAnsi="Arial" w:cs="Arial"/>
        </w:rPr>
        <w:t xml:space="preserve">., 2024). These risk factors are lower levels of education at young age, hearing impairment, hypertension, smoking, obesity, depression, physical inactivity, diabetes, excess consumption of alcohol, brain injury, air pollution and social isolation; recently, uncorrected vision loss and high levels of LDL cholesterol have also been included. In Newham, increased prevalence of conditions like hypertension, diabetes and obesity in certain ethnic minorities, alongside poverty and socio-economic disadvantage, increases the population risk of dementia (Hodgson </w:t>
      </w:r>
      <w:r w:rsidR="00313A27" w:rsidRPr="00B0103C">
        <w:rPr>
          <w:rFonts w:ascii="Arial" w:hAnsi="Arial" w:cs="Arial"/>
          <w:i/>
          <w:iCs/>
        </w:rPr>
        <w:t>et al</w:t>
      </w:r>
      <w:r w:rsidRPr="00B0103C">
        <w:rPr>
          <w:rFonts w:ascii="Arial" w:hAnsi="Arial" w:cs="Arial"/>
        </w:rPr>
        <w:t xml:space="preserve">., 2024; Giebel </w:t>
      </w:r>
      <w:r w:rsidR="00313A27" w:rsidRPr="00B0103C">
        <w:rPr>
          <w:rFonts w:ascii="Arial" w:hAnsi="Arial" w:cs="Arial"/>
          <w:i/>
          <w:iCs/>
        </w:rPr>
        <w:t>et al</w:t>
      </w:r>
      <w:r w:rsidRPr="00B0103C">
        <w:rPr>
          <w:rFonts w:ascii="Arial" w:hAnsi="Arial" w:cs="Arial"/>
        </w:rPr>
        <w:t xml:space="preserve">., 2025). While age and genetics are non-modifiable risks, the preventable nature of the condition makes a public health target out of it (Mukadam </w:t>
      </w:r>
      <w:r w:rsidR="00313A27" w:rsidRPr="00B0103C">
        <w:rPr>
          <w:rFonts w:ascii="Arial" w:hAnsi="Arial" w:cs="Arial"/>
          <w:i/>
          <w:iCs/>
        </w:rPr>
        <w:t>et al</w:t>
      </w:r>
      <w:r w:rsidRPr="00B0103C">
        <w:rPr>
          <w:rFonts w:ascii="Arial" w:hAnsi="Arial" w:cs="Arial"/>
        </w:rPr>
        <w:t>., 2024).</w:t>
      </w:r>
    </w:p>
    <w:p w14:paraId="0D6D436D" w14:textId="019ABA6D" w:rsidR="00796613" w:rsidRPr="00B0103C" w:rsidRDefault="003D3D7C">
      <w:pPr>
        <w:pStyle w:val="Heading2"/>
        <w:rPr>
          <w:rFonts w:ascii="Arial" w:hAnsi="Arial" w:cs="Arial"/>
        </w:rPr>
      </w:pPr>
      <w:r w:rsidRPr="00B0103C">
        <w:rPr>
          <w:rFonts w:ascii="Arial" w:hAnsi="Arial" w:cs="Arial"/>
        </w:rPr>
        <w:t>Identifying Those Affected or at Risk in Newham</w:t>
      </w:r>
      <w:bookmarkEnd w:id="17"/>
    </w:p>
    <w:p w14:paraId="53972B41" w14:textId="64868716" w:rsidR="00910B8D" w:rsidRPr="00B0103C" w:rsidRDefault="00910B8D" w:rsidP="00910B8D">
      <w:pPr>
        <w:rPr>
          <w:rFonts w:ascii="Arial" w:hAnsi="Arial" w:cs="Arial"/>
        </w:rPr>
      </w:pPr>
      <w:r w:rsidRPr="00B0103C">
        <w:rPr>
          <w:rFonts w:ascii="Arial" w:hAnsi="Arial" w:cs="Arial"/>
        </w:rPr>
        <w:t xml:space="preserve">The health needs assessment in Newham will require the use of national estimates of prevalence rates along with the local demographics and primary care statistics. The prevalence rate of the diagnosis of dementia for individuals aged 65 and above was at about 66% early in 2026; therefore, there is still an undiagnosed population of patients (NHS England Digital, 2026). There is a lower level of diagnosis rates and late diagnosis in those who reside in more deprived areas as well as ethnic minorities (Hodgson </w:t>
      </w:r>
      <w:r w:rsidR="00313A27" w:rsidRPr="00B0103C">
        <w:rPr>
          <w:rFonts w:ascii="Arial" w:hAnsi="Arial" w:cs="Arial"/>
          <w:i/>
          <w:iCs/>
        </w:rPr>
        <w:t>et al</w:t>
      </w:r>
      <w:r w:rsidRPr="00B0103C">
        <w:rPr>
          <w:rFonts w:ascii="Arial" w:hAnsi="Arial" w:cs="Arial"/>
        </w:rPr>
        <w:t xml:space="preserve">., 2024; Giebel </w:t>
      </w:r>
      <w:r w:rsidR="00313A27" w:rsidRPr="00B0103C">
        <w:rPr>
          <w:rFonts w:ascii="Arial" w:hAnsi="Arial" w:cs="Arial"/>
          <w:i/>
          <w:iCs/>
        </w:rPr>
        <w:t>et al</w:t>
      </w:r>
      <w:r w:rsidRPr="00B0103C">
        <w:rPr>
          <w:rFonts w:ascii="Arial" w:hAnsi="Arial" w:cs="Arial"/>
        </w:rPr>
        <w:t xml:space="preserve">., 2025). The literature on epidemiology has identified the variations in prevalence rates when measured through different sources of data (Penfold </w:t>
      </w:r>
      <w:r w:rsidR="00313A27" w:rsidRPr="00B0103C">
        <w:rPr>
          <w:rFonts w:ascii="Arial" w:hAnsi="Arial" w:cs="Arial"/>
          <w:i/>
          <w:iCs/>
        </w:rPr>
        <w:t>et al</w:t>
      </w:r>
      <w:r w:rsidRPr="00B0103C">
        <w:rPr>
          <w:rFonts w:ascii="Arial" w:hAnsi="Arial" w:cs="Arial"/>
        </w:rPr>
        <w:t xml:space="preserve">., 2026). It is safe to say that in Newham the </w:t>
      </w:r>
      <w:proofErr w:type="gramStart"/>
      <w:r w:rsidRPr="00B0103C">
        <w:rPr>
          <w:rFonts w:ascii="Arial" w:hAnsi="Arial" w:cs="Arial"/>
        </w:rPr>
        <w:t>fast aging</w:t>
      </w:r>
      <w:proofErr w:type="gramEnd"/>
      <w:r w:rsidRPr="00B0103C">
        <w:rPr>
          <w:rFonts w:ascii="Arial" w:hAnsi="Arial" w:cs="Arial"/>
        </w:rPr>
        <w:t xml:space="preserve"> populations along with the deprivation and diversity imply higher demand for case-finding and culturally sensitive aftercare.</w:t>
      </w:r>
    </w:p>
    <w:p w14:paraId="7729BF73" w14:textId="77777777" w:rsidR="00796613" w:rsidRPr="00B0103C" w:rsidRDefault="003D3D7C">
      <w:pPr>
        <w:pStyle w:val="Heading2"/>
        <w:rPr>
          <w:rFonts w:ascii="Arial" w:hAnsi="Arial" w:cs="Arial"/>
        </w:rPr>
      </w:pPr>
      <w:bookmarkStart w:id="18" w:name="_Toc235445668"/>
      <w:r w:rsidRPr="00B0103C">
        <w:rPr>
          <w:rFonts w:ascii="Arial" w:hAnsi="Arial" w:cs="Arial"/>
        </w:rPr>
        <w:t>Monitoring and Surveillance Systems</w:t>
      </w:r>
      <w:bookmarkEnd w:id="18"/>
    </w:p>
    <w:p w14:paraId="062F4CE3" w14:textId="518D821D" w:rsidR="00910B8D" w:rsidRPr="00B0103C" w:rsidRDefault="00910B8D" w:rsidP="00910B8D">
      <w:pPr>
        <w:rPr>
          <w:rFonts w:ascii="Arial" w:hAnsi="Arial" w:cs="Arial"/>
          <w:b/>
          <w:bCs/>
        </w:rPr>
      </w:pPr>
      <w:bookmarkStart w:id="19" w:name="_Toc235445669"/>
      <w:r w:rsidRPr="00B0103C">
        <w:rPr>
          <w:rFonts w:ascii="Arial" w:hAnsi="Arial" w:cs="Arial"/>
        </w:rPr>
        <w:t xml:space="preserve">Surveillance of dementia in England is achieved mainly through the Primary Care Dementia Data, which captures dementia diagnoses and rates of diagnosis among general practices and Integrated Care Boards (NHS England Digital, 2026). Other data </w:t>
      </w:r>
      <w:r w:rsidRPr="00B0103C">
        <w:rPr>
          <w:rFonts w:ascii="Arial" w:hAnsi="Arial" w:cs="Arial"/>
        </w:rPr>
        <w:lastRenderedPageBreak/>
        <w:t xml:space="preserve">sources used include Hospital Episode Statistics, mortality information, and adult social care records from local authorities. Such systems facilitate the monitoring of incidence patterns, diagnostic gaps and inequalities based on age, sex, deprivation and ethnicity. Problems associated with such surveillance methods include inadequate data capture, variations in diagnostic procedures and under-reporting of undiagnosed patients (Penfold </w:t>
      </w:r>
      <w:r w:rsidR="00313A27" w:rsidRPr="00B0103C">
        <w:rPr>
          <w:rFonts w:ascii="Arial" w:hAnsi="Arial" w:cs="Arial"/>
          <w:i/>
          <w:iCs/>
        </w:rPr>
        <w:t>et al</w:t>
      </w:r>
      <w:r w:rsidRPr="00B0103C">
        <w:rPr>
          <w:rFonts w:ascii="Arial" w:hAnsi="Arial" w:cs="Arial"/>
        </w:rPr>
        <w:t>., 2026). Improving data linkage and quality of ethnicity data coding will make the surveillance useful for Newham.</w:t>
      </w:r>
    </w:p>
    <w:p w14:paraId="5349E57C" w14:textId="6099C534" w:rsidR="00796613" w:rsidRPr="00B0103C" w:rsidRDefault="003D3D7C">
      <w:pPr>
        <w:pStyle w:val="Heading2"/>
        <w:rPr>
          <w:rFonts w:ascii="Arial" w:hAnsi="Arial" w:cs="Arial"/>
        </w:rPr>
      </w:pPr>
      <w:r w:rsidRPr="00B0103C">
        <w:rPr>
          <w:rFonts w:ascii="Arial" w:hAnsi="Arial" w:cs="Arial"/>
        </w:rPr>
        <w:t>Public Health Impact: Short- and Long-Term Consequences</w:t>
      </w:r>
      <w:bookmarkEnd w:id="19"/>
    </w:p>
    <w:p w14:paraId="6235B68F" w14:textId="0311BDB2" w:rsidR="00910B8D" w:rsidRPr="00B0103C" w:rsidRDefault="00910B8D" w:rsidP="00910B8D">
      <w:pPr>
        <w:rPr>
          <w:rFonts w:ascii="Arial" w:hAnsi="Arial" w:cs="Arial"/>
        </w:rPr>
      </w:pPr>
      <w:r w:rsidRPr="00B0103C">
        <w:rPr>
          <w:rFonts w:ascii="Arial" w:hAnsi="Arial" w:cs="Arial"/>
        </w:rPr>
        <w:t xml:space="preserve">Short-term consequences include increased emergency attendance at hospitals, admissions into the hospital, and strain on carers while long-term effects include increasing demands on social care, nursing home care, and palliative care, with significant cost implications that are expected to rise steeply by 2040 (Office of Health Economics, 2023; Evans </w:t>
      </w:r>
      <w:r w:rsidR="00313A27" w:rsidRPr="00B0103C">
        <w:rPr>
          <w:rFonts w:ascii="Arial" w:hAnsi="Arial" w:cs="Arial"/>
          <w:i/>
          <w:iCs/>
        </w:rPr>
        <w:t>et al</w:t>
      </w:r>
      <w:r w:rsidRPr="00B0103C">
        <w:rPr>
          <w:rFonts w:ascii="Arial" w:hAnsi="Arial" w:cs="Arial"/>
        </w:rPr>
        <w:t xml:space="preserve">., 2026). The responsibility of informal care rests heavily on families, especially those who are not financially well-off. With an area like Newham, these effects are further exaggerated by the inequalities in housing, incomes, and access to services, which result in early institutionalization and low quality of life for both patients and caregivers (Hodgson </w:t>
      </w:r>
      <w:r w:rsidR="00313A27" w:rsidRPr="00B0103C">
        <w:rPr>
          <w:rFonts w:ascii="Arial" w:hAnsi="Arial" w:cs="Arial"/>
          <w:i/>
          <w:iCs/>
        </w:rPr>
        <w:t>et al</w:t>
      </w:r>
      <w:r w:rsidRPr="00B0103C">
        <w:rPr>
          <w:rFonts w:ascii="Arial" w:hAnsi="Arial" w:cs="Arial"/>
        </w:rPr>
        <w:t>., 2024).</w:t>
      </w:r>
    </w:p>
    <w:p w14:paraId="6D8DBE70" w14:textId="77777777" w:rsidR="00796613" w:rsidRPr="00B0103C" w:rsidRDefault="003D3D7C">
      <w:pPr>
        <w:pStyle w:val="Heading2"/>
        <w:rPr>
          <w:rFonts w:ascii="Arial" w:hAnsi="Arial" w:cs="Arial"/>
        </w:rPr>
      </w:pPr>
      <w:bookmarkStart w:id="20" w:name="_Toc235445670"/>
      <w:r w:rsidRPr="00B0103C">
        <w:rPr>
          <w:rFonts w:ascii="Arial" w:hAnsi="Arial" w:cs="Arial"/>
        </w:rPr>
        <w:t>Proposed Health Intervention Programme and Evaluation</w:t>
      </w:r>
      <w:bookmarkEnd w:id="20"/>
    </w:p>
    <w:p w14:paraId="71CFB796" w14:textId="3FBAA26C" w:rsidR="00796613" w:rsidRPr="00B0103C" w:rsidRDefault="004C2795" w:rsidP="00DD5435">
      <w:pPr>
        <w:pStyle w:val="NormalWeb"/>
        <w:spacing w:line="360" w:lineRule="auto"/>
        <w:jc w:val="both"/>
        <w:rPr>
          <w:rFonts w:ascii="Arial" w:hAnsi="Arial" w:cs="Arial"/>
          <w:color w:val="FF0000"/>
        </w:rPr>
      </w:pPr>
      <w:r w:rsidRPr="00B0103C">
        <w:rPr>
          <w:rFonts w:ascii="Arial" w:hAnsi="Arial" w:cs="Arial"/>
        </w:rPr>
        <w:t xml:space="preserve">A suitable multi-modal approach to tackling dementia in Newham includes primary prevention through community-based programs that will target mid-life risk factors like hypertension, hearing impairment, and physical inactivity, as well as secondary prevention through improved case-finding in general practice through validated tools and culturally appropriate pathways, and tertiary approaches through education, training for caregivers, and dementia-friendly communities. </w:t>
      </w:r>
      <w:r w:rsidR="00DD5435" w:rsidRPr="00B0103C">
        <w:rPr>
          <w:rFonts w:ascii="Arial" w:hAnsi="Arial" w:cs="Arial"/>
          <w:color w:val="0D0D0D" w:themeColor="text1" w:themeTint="F2"/>
        </w:rPr>
        <w:t xml:space="preserve">Theory of behaviour change and the Technology Acceptance Model help to understand how elderly people develop healthy habits and use technology-based support systems, providing for culturally relevant intervention solutions in Newham (Davis, 1989; Michie et al., 2011). </w:t>
      </w:r>
      <w:r w:rsidRPr="00B0103C">
        <w:rPr>
          <w:rFonts w:ascii="Arial" w:hAnsi="Arial" w:cs="Arial"/>
        </w:rPr>
        <w:t xml:space="preserve">The evaluation of the process will entail a combination of quantitative methods (measuring the number of diagnoses made, the number of emergency admissions, and the experience of caregivers) as well as qualitative data through feedback from the service users and caregivers. Process evaluation will focus on reach, fidelity, and </w:t>
      </w:r>
      <w:r w:rsidRPr="00B0103C">
        <w:rPr>
          <w:rFonts w:ascii="Arial" w:hAnsi="Arial" w:cs="Arial"/>
        </w:rPr>
        <w:lastRenderedPageBreak/>
        <w:t xml:space="preserve">equality of access among different ethnic and socioeconomic groups (Livingston </w:t>
      </w:r>
      <w:r w:rsidR="00313A27" w:rsidRPr="00B0103C">
        <w:rPr>
          <w:rFonts w:ascii="Arial" w:hAnsi="Arial" w:cs="Arial"/>
          <w:i/>
          <w:iCs/>
        </w:rPr>
        <w:t>et al</w:t>
      </w:r>
      <w:r w:rsidRPr="00B0103C">
        <w:rPr>
          <w:rFonts w:ascii="Arial" w:hAnsi="Arial" w:cs="Arial"/>
        </w:rPr>
        <w:t xml:space="preserve">., 2024; Walsh </w:t>
      </w:r>
      <w:r w:rsidR="00313A27" w:rsidRPr="00B0103C">
        <w:rPr>
          <w:rFonts w:ascii="Arial" w:hAnsi="Arial" w:cs="Arial"/>
          <w:i/>
          <w:iCs/>
        </w:rPr>
        <w:t>et al</w:t>
      </w:r>
      <w:r w:rsidRPr="00B0103C">
        <w:rPr>
          <w:rFonts w:ascii="Arial" w:hAnsi="Arial" w:cs="Arial"/>
        </w:rPr>
        <w:t>., 2025).</w:t>
      </w:r>
    </w:p>
    <w:p w14:paraId="48C2DAB8" w14:textId="77777777" w:rsidR="00796613" w:rsidRPr="00B0103C" w:rsidRDefault="003D3D7C">
      <w:pPr>
        <w:pStyle w:val="Heading2"/>
        <w:rPr>
          <w:rFonts w:ascii="Arial" w:hAnsi="Arial" w:cs="Arial"/>
        </w:rPr>
      </w:pPr>
      <w:bookmarkStart w:id="21" w:name="_Toc235445671"/>
      <w:r w:rsidRPr="00B0103C">
        <w:rPr>
          <w:rFonts w:ascii="Arial" w:hAnsi="Arial" w:cs="Arial"/>
        </w:rPr>
        <w:t>Strengths and Weaknesses of the Epidemiological Approach</w:t>
      </w:r>
      <w:bookmarkEnd w:id="21"/>
    </w:p>
    <w:p w14:paraId="2C822680" w14:textId="0D274E5A" w:rsidR="004C2795" w:rsidRPr="00B0103C" w:rsidRDefault="004C2795" w:rsidP="004C2795">
      <w:pPr>
        <w:rPr>
          <w:rFonts w:ascii="Arial" w:hAnsi="Arial" w:cs="Arial"/>
        </w:rPr>
      </w:pPr>
      <w:r w:rsidRPr="00B0103C">
        <w:rPr>
          <w:rFonts w:ascii="Arial" w:hAnsi="Arial" w:cs="Arial"/>
        </w:rPr>
        <w:t xml:space="preserve">The use of the epidemiological approach to deal with dementia in Newham has a lot of positive points connected with good quality of the national surveillance systems such as the Primary Care Dementia Data collection that allows tracking diagnosis rates and trends (NHS England Digital, 2026). It is further strengthened by solid international reviews like the Lancet Commissions in 2020 and 2024 that find out modifiable risk factors and interventions throughout the life course (Livingston </w:t>
      </w:r>
      <w:r w:rsidR="00313A27" w:rsidRPr="00B0103C">
        <w:rPr>
          <w:rFonts w:ascii="Arial" w:hAnsi="Arial" w:cs="Arial"/>
          <w:i/>
          <w:iCs/>
        </w:rPr>
        <w:t>et al</w:t>
      </w:r>
      <w:r w:rsidRPr="00B0103C">
        <w:rPr>
          <w:rFonts w:ascii="Arial" w:hAnsi="Arial" w:cs="Arial"/>
        </w:rPr>
        <w:t xml:space="preserve">., 2020; Livingston </w:t>
      </w:r>
      <w:r w:rsidR="00313A27" w:rsidRPr="00B0103C">
        <w:rPr>
          <w:rFonts w:ascii="Arial" w:hAnsi="Arial" w:cs="Arial"/>
          <w:i/>
          <w:iCs/>
        </w:rPr>
        <w:t>et al</w:t>
      </w:r>
      <w:r w:rsidRPr="00B0103C">
        <w:rPr>
          <w:rFonts w:ascii="Arial" w:hAnsi="Arial" w:cs="Arial"/>
        </w:rPr>
        <w:t xml:space="preserve">., 2024). Local demographic and deprivation data help define priority groups and support the principle of proportionate universalism when population-wide actions and specific interventions to particular communities go together (Hodgson </w:t>
      </w:r>
      <w:r w:rsidR="00313A27" w:rsidRPr="00B0103C">
        <w:rPr>
          <w:rFonts w:ascii="Arial" w:hAnsi="Arial" w:cs="Arial"/>
          <w:i/>
          <w:iCs/>
        </w:rPr>
        <w:t>et al</w:t>
      </w:r>
      <w:r w:rsidRPr="00B0103C">
        <w:rPr>
          <w:rFonts w:ascii="Arial" w:hAnsi="Arial" w:cs="Arial"/>
        </w:rPr>
        <w:t xml:space="preserve">., 2024; Giebel </w:t>
      </w:r>
      <w:r w:rsidR="00313A27" w:rsidRPr="00B0103C">
        <w:rPr>
          <w:rFonts w:ascii="Arial" w:hAnsi="Arial" w:cs="Arial"/>
          <w:i/>
          <w:iCs/>
        </w:rPr>
        <w:t>et al</w:t>
      </w:r>
      <w:r w:rsidRPr="00B0103C">
        <w:rPr>
          <w:rFonts w:ascii="Arial" w:hAnsi="Arial" w:cs="Arial"/>
        </w:rPr>
        <w:t>., 2025).</w:t>
      </w:r>
    </w:p>
    <w:p w14:paraId="26F4B8CA" w14:textId="2A73F5B2" w:rsidR="004C2795" w:rsidRPr="00B0103C" w:rsidRDefault="004C2795" w:rsidP="004C2795">
      <w:pPr>
        <w:rPr>
          <w:rFonts w:ascii="Arial" w:hAnsi="Arial" w:cs="Arial"/>
        </w:rPr>
      </w:pPr>
      <w:r w:rsidRPr="00B0103C">
        <w:rPr>
          <w:rFonts w:ascii="Arial" w:hAnsi="Arial" w:cs="Arial"/>
        </w:rPr>
        <w:t xml:space="preserve">However, some drawbacks should also be mentioned. Firstly, there is still a lack of diagnosis data as only 66 per cent of the population aged 65 and over were diagnosed with dementia (NHS England Digital, 2026). Prevalence rates vary depending on the source of the data and cannot always be compared (Penfold </w:t>
      </w:r>
      <w:r w:rsidR="00313A27" w:rsidRPr="00B0103C">
        <w:rPr>
          <w:rFonts w:ascii="Arial" w:hAnsi="Arial" w:cs="Arial"/>
          <w:i/>
          <w:iCs/>
        </w:rPr>
        <w:t>et al</w:t>
      </w:r>
      <w:r w:rsidRPr="00B0103C">
        <w:rPr>
          <w:rFonts w:ascii="Arial" w:hAnsi="Arial" w:cs="Arial"/>
        </w:rPr>
        <w:t xml:space="preserve">., 2026). Area-based analysis may be ecological and do not account for risks and access variations of individuals (Giebel </w:t>
      </w:r>
      <w:r w:rsidR="00313A27" w:rsidRPr="00B0103C">
        <w:rPr>
          <w:rFonts w:ascii="Arial" w:hAnsi="Arial" w:cs="Arial"/>
          <w:i/>
          <w:iCs/>
        </w:rPr>
        <w:t>et al</w:t>
      </w:r>
      <w:r w:rsidRPr="00B0103C">
        <w:rPr>
          <w:rFonts w:ascii="Arial" w:hAnsi="Arial" w:cs="Arial"/>
        </w:rPr>
        <w:t xml:space="preserve">., 2025). Lastly, predictions about prevalence rates and costs in the future are associated with uncertainty since they are based on assumptions about demographic changes and intervention coverage (Office of Health Economics, 2023; Evans </w:t>
      </w:r>
      <w:r w:rsidR="00313A27" w:rsidRPr="00B0103C">
        <w:rPr>
          <w:rFonts w:ascii="Arial" w:hAnsi="Arial" w:cs="Arial"/>
          <w:i/>
          <w:iCs/>
        </w:rPr>
        <w:t>et al</w:t>
      </w:r>
      <w:r w:rsidRPr="00B0103C">
        <w:rPr>
          <w:rFonts w:ascii="Arial" w:hAnsi="Arial" w:cs="Arial"/>
        </w:rPr>
        <w:t>., 2026). Still, it gives an opportunity to plan, implement and evaluate public health initiatives in Newham.</w:t>
      </w:r>
    </w:p>
    <w:p w14:paraId="1D17D6DE" w14:textId="77777777" w:rsidR="00796613" w:rsidRPr="00B0103C" w:rsidRDefault="003D3D7C">
      <w:pPr>
        <w:pStyle w:val="Heading2"/>
        <w:rPr>
          <w:rFonts w:ascii="Arial" w:hAnsi="Arial" w:cs="Arial"/>
        </w:rPr>
      </w:pPr>
      <w:bookmarkStart w:id="22" w:name="_Toc235445672"/>
      <w:r w:rsidRPr="00B0103C">
        <w:rPr>
          <w:rFonts w:ascii="Arial" w:hAnsi="Arial" w:cs="Arial"/>
        </w:rPr>
        <w:t>Conclusion</w:t>
      </w:r>
      <w:bookmarkEnd w:id="22"/>
    </w:p>
    <w:p w14:paraId="0DD55025" w14:textId="20BB6900" w:rsidR="004C2795" w:rsidRPr="00B0103C" w:rsidRDefault="004C2795" w:rsidP="004C2795">
      <w:pPr>
        <w:rPr>
          <w:rFonts w:ascii="Arial" w:hAnsi="Arial" w:cs="Arial"/>
        </w:rPr>
      </w:pPr>
      <w:r w:rsidRPr="00B0103C">
        <w:rPr>
          <w:rFonts w:ascii="Arial" w:hAnsi="Arial" w:cs="Arial"/>
        </w:rPr>
        <w:t>As per the above discussion, it can be concluded that Dementia is a huge and ever-growing public health issue in the London Borough of Newham, which is determined by population aging, high rates of socio-economic deprivation, and ethnic diversity in the borough. In such a way, clear health disparities exist in terms of vulnerability to the disease, opportunities for early diagnosis and effective management of the problem.</w:t>
      </w:r>
    </w:p>
    <w:p w14:paraId="68BCB61F" w14:textId="1CE33058" w:rsidR="00796613" w:rsidRDefault="004C2795" w:rsidP="004C2795">
      <w:r w:rsidRPr="00B0103C">
        <w:rPr>
          <w:rFonts w:ascii="Arial" w:hAnsi="Arial" w:cs="Arial"/>
        </w:rPr>
        <w:t xml:space="preserve">Any efforts to address the challenge should be implemented within the framework of three main dimensions of public health, including prevention, protection, and </w:t>
      </w:r>
      <w:r w:rsidRPr="00B0103C">
        <w:rPr>
          <w:rFonts w:ascii="Arial" w:hAnsi="Arial" w:cs="Arial"/>
        </w:rPr>
        <w:lastRenderedPageBreak/>
        <w:t>promotion. It is very important to improve local health monitoring systems in order to identify undiagnosed cases of dementia. At the same time, intervention programs should be equitable because they will target specific vulnerable groups. Based on the results of national health research and local health needs assessment, public health professionals will have an opportunity to design and implement evidence-based programs aimed at reducing the overall prevalence of dementia and health disparities related to the problem among older people of Newham.</w:t>
      </w:r>
      <w:r>
        <w:br w:type="page"/>
      </w:r>
    </w:p>
    <w:p w14:paraId="2AA3B7A1" w14:textId="77777777" w:rsidR="00796613" w:rsidRDefault="003D3D7C">
      <w:pPr>
        <w:pStyle w:val="Heading1"/>
      </w:pPr>
      <w:bookmarkStart w:id="23" w:name="_Toc235445673"/>
      <w:r>
        <w:lastRenderedPageBreak/>
        <w:t>References</w:t>
      </w:r>
      <w:bookmarkEnd w:id="23"/>
    </w:p>
    <w:p w14:paraId="50A2B8F0" w14:textId="77777777" w:rsidR="004C2795" w:rsidRPr="00126843" w:rsidRDefault="004C2795" w:rsidP="004C2795">
      <w:pPr>
        <w:rPr>
          <w:b/>
          <w:bCs/>
        </w:rPr>
      </w:pPr>
      <w:r w:rsidRPr="00126843">
        <w:rPr>
          <w:b/>
          <w:bCs/>
        </w:rPr>
        <w:t xml:space="preserve">Task 1 references </w:t>
      </w:r>
    </w:p>
    <w:p w14:paraId="76B09CF6" w14:textId="77777777" w:rsidR="004C2795" w:rsidRPr="00126843" w:rsidRDefault="004C2795" w:rsidP="004C2795">
      <w:r w:rsidRPr="00126843">
        <w:t xml:space="preserve">Age UK (2025) </w:t>
      </w:r>
      <w:r w:rsidRPr="00126843">
        <w:rPr>
          <w:i/>
          <w:iCs/>
        </w:rPr>
        <w:t>State of Health and Care of Older People in England 2025 – Summary and Key Findings</w:t>
      </w:r>
      <w:r w:rsidRPr="00126843">
        <w:t xml:space="preserve">. London: Age UK. Available at: </w:t>
      </w:r>
      <w:hyperlink r:id="rId9" w:tgtFrame="_blank" w:history="1">
        <w:r w:rsidRPr="00126843">
          <w:rPr>
            <w:rStyle w:val="Hyperlink"/>
            <w:lang w:bidi="ar-SA"/>
          </w:rPr>
          <w:t>https://www.ageuk.org.uk/discover/2025/september/state-of-health-and-care-of-older-people-in-england-2025/</w:t>
        </w:r>
      </w:hyperlink>
      <w:r w:rsidRPr="00126843">
        <w:t xml:space="preserve"> (Accessed on: 20 July 2026). </w:t>
      </w:r>
    </w:p>
    <w:p w14:paraId="70827B7B" w14:textId="77777777" w:rsidR="004C2795" w:rsidRPr="00126843" w:rsidRDefault="004C2795" w:rsidP="004C2795">
      <w:r w:rsidRPr="00126843">
        <w:t xml:space="preserve">Age UK (2025) </w:t>
      </w:r>
      <w:r w:rsidRPr="00126843">
        <w:rPr>
          <w:i/>
          <w:iCs/>
        </w:rPr>
        <w:t>The State of Health and Care of Older People in England 2025</w:t>
      </w:r>
      <w:r w:rsidRPr="00126843">
        <w:t xml:space="preserve">. London: Age UK. Available at: </w:t>
      </w:r>
      <w:hyperlink r:id="rId10" w:tgtFrame="_blank" w:history="1">
        <w:r w:rsidRPr="00126843">
          <w:rPr>
            <w:rStyle w:val="Hyperlink"/>
            <w:lang w:bidi="ar-SA"/>
          </w:rPr>
          <w:t>https://www.ageuk.org.uk/siteassets/documents/reports-and-publications/reports-and-briefings/health--wellbeing/state-of-health-and-care/state-of-health-care-of-older-people-in-england-2025.pdf</w:t>
        </w:r>
      </w:hyperlink>
      <w:r w:rsidRPr="00126843">
        <w:t xml:space="preserve"> (Accessed on: 20 July 2026). </w:t>
      </w:r>
    </w:p>
    <w:p w14:paraId="58C81019" w14:textId="77777777" w:rsidR="004C2795" w:rsidRPr="00126843" w:rsidRDefault="004C2795" w:rsidP="004C2795">
      <w:r w:rsidRPr="00126843">
        <w:t xml:space="preserve">Centre for Ageing Better (2021) </w:t>
      </w:r>
      <w:r w:rsidRPr="00126843">
        <w:rPr>
          <w:i/>
          <w:iCs/>
        </w:rPr>
        <w:t>Ethnic Health Inequalities in Later Life</w:t>
      </w:r>
      <w:r w:rsidRPr="00126843">
        <w:t xml:space="preserve">. London: Centre for Ageing Better. Available at: </w:t>
      </w:r>
      <w:hyperlink r:id="rId11" w:tgtFrame="_blank" w:history="1">
        <w:r w:rsidRPr="00126843">
          <w:rPr>
            <w:rStyle w:val="Hyperlink"/>
            <w:lang w:bidi="ar-SA"/>
          </w:rPr>
          <w:t>https://ageing-better.org.uk/sites/default/files/2021-11/health-inequalities-in-later-life.pdf</w:t>
        </w:r>
      </w:hyperlink>
      <w:r w:rsidRPr="00126843">
        <w:t xml:space="preserve"> (Accessed on: 20 July 2026). </w:t>
      </w:r>
    </w:p>
    <w:p w14:paraId="0E1E7703" w14:textId="77777777" w:rsidR="004C2795" w:rsidRPr="00126843" w:rsidRDefault="004C2795" w:rsidP="004C2795">
      <w:r w:rsidRPr="00126843">
        <w:t xml:space="preserve">Centre for Ageing Better (2025) </w:t>
      </w:r>
      <w:r w:rsidRPr="00126843">
        <w:rPr>
          <w:i/>
          <w:iCs/>
        </w:rPr>
        <w:t>Our Ageing Population | The State of Ageing 2025</w:t>
      </w:r>
      <w:r w:rsidRPr="00126843">
        <w:t xml:space="preserve">. London: Centre for Ageing Better. Available at: </w:t>
      </w:r>
      <w:hyperlink r:id="rId12" w:tgtFrame="_blank" w:history="1">
        <w:r w:rsidRPr="00126843">
          <w:rPr>
            <w:rStyle w:val="Hyperlink"/>
            <w:lang w:bidi="ar-SA"/>
          </w:rPr>
          <w:t>https://ageing-better.org.uk/our-ageing-population-state-ageing-2025</w:t>
        </w:r>
      </w:hyperlink>
      <w:r w:rsidRPr="00126843">
        <w:t xml:space="preserve"> (Accessed on: 20 July 2026).</w:t>
      </w:r>
    </w:p>
    <w:p w14:paraId="41C85F18" w14:textId="77777777" w:rsidR="004C2795" w:rsidRPr="00126843" w:rsidRDefault="004C2795" w:rsidP="004C2795">
      <w:r w:rsidRPr="00126843">
        <w:t xml:space="preserve">Centre for Ageing Better (2025) </w:t>
      </w:r>
      <w:r w:rsidRPr="00126843">
        <w:rPr>
          <w:i/>
          <w:iCs/>
        </w:rPr>
        <w:t>The State of Ageing 2025</w:t>
      </w:r>
      <w:r w:rsidRPr="00126843">
        <w:t xml:space="preserve">. London: Centre for Ageing Better. Available at: </w:t>
      </w:r>
      <w:hyperlink r:id="rId13" w:tgtFrame="_blank" w:history="1">
        <w:r w:rsidRPr="00126843">
          <w:rPr>
            <w:rStyle w:val="Hyperlink"/>
            <w:lang w:bidi="ar-SA"/>
          </w:rPr>
          <w:t>https://ageing-better.org.uk/state-ageing-2025</w:t>
        </w:r>
      </w:hyperlink>
      <w:r w:rsidRPr="00126843">
        <w:t xml:space="preserve"> (Accessed on: 20 July 2026). </w:t>
      </w:r>
    </w:p>
    <w:p w14:paraId="3EF4ED9E" w14:textId="062D1C27" w:rsidR="004C2795" w:rsidRPr="00126843" w:rsidRDefault="004C2795" w:rsidP="004C2795">
      <w:r w:rsidRPr="00126843">
        <w:t xml:space="preserve">Centre for Mental Health (2024) </w:t>
      </w:r>
      <w:r w:rsidRPr="00126843">
        <w:rPr>
          <w:i/>
          <w:iCs/>
        </w:rPr>
        <w:t>Mental Health in Later Life: Understanding Needs, Policies and Services in England</w:t>
      </w:r>
      <w:r w:rsidRPr="00126843">
        <w:t xml:space="preserve">. London: Centre for Mental Health (commissioned by Age UK). Available at: </w:t>
      </w:r>
      <w:hyperlink r:id="rId14" w:history="1">
        <w:r w:rsidR="00120648" w:rsidRPr="0024088F">
          <w:rPr>
            <w:rStyle w:val="Hyperlink"/>
            <w:lang w:bidi="ar-SA"/>
          </w:rPr>
          <w:t>https://www.centreformentalhealth.org.uk/wp-content/uploads/2024/03/CentreforMH_MentalHealthInLaterLife-1.pdf</w:t>
        </w:r>
      </w:hyperlink>
      <w:r w:rsidRPr="00126843">
        <w:t xml:space="preserve"> (Accessed on: 20 July 2026). </w:t>
      </w:r>
    </w:p>
    <w:p w14:paraId="554C8E54" w14:textId="77777777" w:rsidR="004C2795" w:rsidRPr="00126843" w:rsidRDefault="004C2795" w:rsidP="004C2795">
      <w:r w:rsidRPr="00126843">
        <w:t xml:space="preserve">Hodgson, S., Hayes, H., Cubi-Molla, P. and Garau, M. (2024) </w:t>
      </w:r>
      <w:r w:rsidRPr="00126843">
        <w:rPr>
          <w:i/>
          <w:iCs/>
        </w:rPr>
        <w:t>Inequalities in Dementia: Unveiling the Evidence and Forging a Path Towards Greater Understanding</w:t>
      </w:r>
      <w:r w:rsidRPr="00126843">
        <w:t xml:space="preserve">. London: Office of Health Economics (commissioned by Alzheimer’s Society). Available at: </w:t>
      </w:r>
      <w:hyperlink r:id="rId15" w:tgtFrame="_blank" w:history="1">
        <w:r w:rsidRPr="00126843">
          <w:rPr>
            <w:rStyle w:val="Hyperlink"/>
            <w:lang w:bidi="ar-SA"/>
          </w:rPr>
          <w:t>https://www.ohe.org/wp-content/uploads/2024/06/Inequalities-in-Dementia-OHE-AS-Report-v8.pdf</w:t>
        </w:r>
      </w:hyperlink>
      <w:r w:rsidRPr="00126843">
        <w:t xml:space="preserve"> (Accessed on: 20 July 2026). </w:t>
      </w:r>
    </w:p>
    <w:p w14:paraId="74FD14BD" w14:textId="77777777" w:rsidR="004C2795" w:rsidRPr="00126843" w:rsidRDefault="004C2795" w:rsidP="004C2795">
      <w:r w:rsidRPr="00126843">
        <w:t xml:space="preserve">Joseph Rowntree Foundation (2025) </w:t>
      </w:r>
      <w:r w:rsidRPr="00126843">
        <w:rPr>
          <w:i/>
          <w:iCs/>
        </w:rPr>
        <w:t>UK Poverty 2025: The Essential Guide to Understanding Poverty in the UK</w:t>
      </w:r>
      <w:r w:rsidRPr="00126843">
        <w:t xml:space="preserve">. York: Joseph Rowntree Foundation. Available at: </w:t>
      </w:r>
      <w:hyperlink r:id="rId16" w:tgtFrame="_blank" w:history="1">
        <w:r w:rsidRPr="00126843">
          <w:rPr>
            <w:rStyle w:val="Hyperlink"/>
            <w:lang w:bidi="ar-SA"/>
          </w:rPr>
          <w:t>https://www.jrf.org.uk/uk-poverty-2025-the-essential-guide-to-understanding-poverty-in-the-uk</w:t>
        </w:r>
      </w:hyperlink>
      <w:r w:rsidRPr="00126843">
        <w:t xml:space="preserve"> (Accessed on: 20 July 2026). </w:t>
      </w:r>
    </w:p>
    <w:p w14:paraId="2C1189E7" w14:textId="77777777" w:rsidR="004C2795" w:rsidRPr="00126843" w:rsidRDefault="004C2795" w:rsidP="004C2795">
      <w:r w:rsidRPr="00126843">
        <w:t xml:space="preserve">King’s Fund (2026) </w:t>
      </w:r>
      <w:r w:rsidRPr="00126843">
        <w:rPr>
          <w:i/>
          <w:iCs/>
        </w:rPr>
        <w:t>Health Inequalities in a Nutshell</w:t>
      </w:r>
      <w:r w:rsidRPr="00126843">
        <w:t xml:space="preserve">. London: The King’s Fund. Available at: </w:t>
      </w:r>
      <w:hyperlink r:id="rId17" w:tgtFrame="_blank" w:history="1">
        <w:r w:rsidRPr="00126843">
          <w:rPr>
            <w:rStyle w:val="Hyperlink"/>
            <w:lang w:bidi="ar-SA"/>
          </w:rPr>
          <w:t>https://www.kingsfund.org.uk/insight-and-analysis/data-and-charts/health-inequalities-nutshell</w:t>
        </w:r>
      </w:hyperlink>
      <w:r w:rsidRPr="00126843">
        <w:t xml:space="preserve"> (Accessed on: 20 July 2026). </w:t>
      </w:r>
    </w:p>
    <w:p w14:paraId="37E4247B" w14:textId="77777777" w:rsidR="004C2795" w:rsidRPr="00126843" w:rsidRDefault="004C2795" w:rsidP="004C2795">
      <w:r w:rsidRPr="00126843">
        <w:t xml:space="preserve">Northern Health Science Alliance (2025) </w:t>
      </w:r>
      <w:r w:rsidRPr="00126843">
        <w:rPr>
          <w:i/>
          <w:iCs/>
        </w:rPr>
        <w:t>Ageing in the North</w:t>
      </w:r>
      <w:r w:rsidRPr="00126843">
        <w:t xml:space="preserve">. Newcastle: Northern Health Science Alliance. Available at: </w:t>
      </w:r>
      <w:hyperlink r:id="rId18" w:tgtFrame="_blank" w:history="1">
        <w:r w:rsidRPr="00126843">
          <w:rPr>
            <w:rStyle w:val="Hyperlink"/>
            <w:lang w:bidi="ar-SA"/>
          </w:rPr>
          <w:t>https://www.thenhsa.co.uk/app/uploads/2025/06/AGEING-IN-THE-NORTH-REPORT-EM.pdf</w:t>
        </w:r>
      </w:hyperlink>
      <w:r w:rsidRPr="00126843">
        <w:t xml:space="preserve"> (Accessed on: 20 July 2026). </w:t>
      </w:r>
    </w:p>
    <w:p w14:paraId="46585A0D" w14:textId="77777777" w:rsidR="004C2795" w:rsidRPr="00126843" w:rsidRDefault="004C2795" w:rsidP="004C2795">
      <w:r w:rsidRPr="00126843">
        <w:t xml:space="preserve">Office for National Statistics (2024) </w:t>
      </w:r>
      <w:r w:rsidRPr="00126843">
        <w:rPr>
          <w:i/>
          <w:iCs/>
        </w:rPr>
        <w:t>Health State Life Expectancies by National Area Deprivation, England and Wales: Between 2013 to 2015 and 2022 to 2024</w:t>
      </w:r>
      <w:r w:rsidRPr="00126843">
        <w:t xml:space="preserve">. Newport: ONS. Available at: </w:t>
      </w:r>
      <w:hyperlink r:id="rId19" w:tgtFrame="_blank" w:history="1">
        <w:r w:rsidRPr="00126843">
          <w:rPr>
            <w:rStyle w:val="Hyperlink"/>
            <w:lang w:bidi="ar-SA"/>
          </w:rPr>
          <w:t>https://www.ons.gov.uk/peoplepopulationandcommunity/healthandsocialcare/healthinequalities</w:t>
        </w:r>
      </w:hyperlink>
      <w:r w:rsidRPr="00126843">
        <w:t xml:space="preserve"> (Accessed on: 20 July 2026). </w:t>
      </w:r>
    </w:p>
    <w:p w14:paraId="4683769F" w14:textId="77777777" w:rsidR="004C2795" w:rsidRPr="00126843" w:rsidRDefault="004C2795" w:rsidP="004C2795">
      <w:r w:rsidRPr="00126843">
        <w:t xml:space="preserve">Stopforth, S., Kapadia, D., </w:t>
      </w:r>
      <w:proofErr w:type="spellStart"/>
      <w:r w:rsidRPr="00126843">
        <w:t>Nazroo</w:t>
      </w:r>
      <w:proofErr w:type="spellEnd"/>
      <w:r w:rsidRPr="00126843">
        <w:t xml:space="preserve">, J. and </w:t>
      </w:r>
      <w:proofErr w:type="spellStart"/>
      <w:r w:rsidRPr="00126843">
        <w:t>Bécares</w:t>
      </w:r>
      <w:proofErr w:type="spellEnd"/>
      <w:r w:rsidRPr="00126843">
        <w:t xml:space="preserve">, L. (2021) ‘Ethnic inequalities in health in later life, 1993–2017: the persistence of health disadvantage over more than two decades’, </w:t>
      </w:r>
      <w:r w:rsidRPr="00126843">
        <w:rPr>
          <w:i/>
          <w:iCs/>
        </w:rPr>
        <w:t>Ageing &amp; Society</w:t>
      </w:r>
      <w:r w:rsidRPr="00126843">
        <w:t xml:space="preserve">, 43(8), pp. 1954–1982. Available at: </w:t>
      </w:r>
      <w:hyperlink r:id="rId20" w:tgtFrame="_blank" w:history="1">
        <w:r w:rsidRPr="00126843">
          <w:rPr>
            <w:rStyle w:val="Hyperlink"/>
            <w:lang w:bidi="ar-SA"/>
          </w:rPr>
          <w:t>https://doi.org/10.1017/S0144686X2100146X</w:t>
        </w:r>
      </w:hyperlink>
      <w:r w:rsidRPr="00126843">
        <w:t xml:space="preserve"> (Accessed on: 20 July 2026). </w:t>
      </w:r>
    </w:p>
    <w:p w14:paraId="3C6A79B2" w14:textId="77777777" w:rsidR="004C2795" w:rsidRPr="00126843" w:rsidRDefault="004C2795" w:rsidP="004C2795">
      <w:r w:rsidRPr="00126843">
        <w:t xml:space="preserve">The Health Foundation (2026) </w:t>
      </w:r>
      <w:r w:rsidRPr="00126843">
        <w:rPr>
          <w:i/>
          <w:iCs/>
        </w:rPr>
        <w:t>Healthy Life Expectancy Trends in the UK: A Watershed Moment</w:t>
      </w:r>
      <w:r w:rsidRPr="00126843">
        <w:t xml:space="preserve">. London: The Health Foundation. Available at: </w:t>
      </w:r>
      <w:hyperlink r:id="rId21" w:tgtFrame="_blank" w:history="1">
        <w:r w:rsidRPr="00126843">
          <w:rPr>
            <w:rStyle w:val="Hyperlink"/>
            <w:lang w:bidi="ar-SA"/>
          </w:rPr>
          <w:t>https://www.health.org.uk/reports-and-analysis/analysis/healthy-life-expectancy-trends-in-the-uk-a-watershed-moment</w:t>
        </w:r>
      </w:hyperlink>
      <w:r w:rsidRPr="00126843">
        <w:t xml:space="preserve"> (Accessed on: 20 July 2026). </w:t>
      </w:r>
    </w:p>
    <w:p w14:paraId="0A711CEF" w14:textId="77777777" w:rsidR="004C2795" w:rsidRPr="00126843" w:rsidRDefault="004C2795" w:rsidP="004C2795">
      <w:pPr>
        <w:rPr>
          <w:b/>
          <w:bCs/>
        </w:rPr>
      </w:pPr>
      <w:r w:rsidRPr="00126843">
        <w:rPr>
          <w:b/>
          <w:bCs/>
        </w:rPr>
        <w:t xml:space="preserve">Task 2 references </w:t>
      </w:r>
    </w:p>
    <w:p w14:paraId="53E4F352" w14:textId="77777777" w:rsidR="00DD5435" w:rsidRPr="00126843" w:rsidRDefault="00DD5435" w:rsidP="004C2795">
      <w:r w:rsidRPr="00126843">
        <w:t xml:space="preserve">Alzheimer’s Disease International (2026) </w:t>
      </w:r>
      <w:r w:rsidRPr="00126843">
        <w:rPr>
          <w:i/>
          <w:iCs/>
        </w:rPr>
        <w:t>Dementia Statistics</w:t>
      </w:r>
      <w:r w:rsidRPr="00126843">
        <w:t xml:space="preserve">. London: ADI. Available at: </w:t>
      </w:r>
      <w:hyperlink r:id="rId22" w:tgtFrame="_blank" w:history="1">
        <w:r w:rsidRPr="00126843">
          <w:rPr>
            <w:rStyle w:val="Hyperlink"/>
            <w:lang w:bidi="ar-SA"/>
          </w:rPr>
          <w:t>https://www.alzint.org/about/dementia-facts-figures/dementia-statistics/</w:t>
        </w:r>
      </w:hyperlink>
      <w:r w:rsidRPr="00126843">
        <w:t xml:space="preserve"> (Accessed on: 20 July 2026). </w:t>
      </w:r>
    </w:p>
    <w:p w14:paraId="1157859B" w14:textId="77777777" w:rsidR="00DD5435" w:rsidRPr="00126843" w:rsidRDefault="00DD5435" w:rsidP="004C2795">
      <w:r w:rsidRPr="00126843">
        <w:t xml:space="preserve">Alzheimer’s Research UK (2025) ‘Dementia is still UK’s biggest killer – where do we go from here?’. Available at: </w:t>
      </w:r>
      <w:hyperlink r:id="rId23" w:tgtFrame="_blank" w:history="1">
        <w:r w:rsidRPr="00126843">
          <w:rPr>
            <w:rStyle w:val="Hyperlink"/>
            <w:lang w:bidi="ar-SA"/>
          </w:rPr>
          <w:t>https://www.alzheimersresearchuk.org/news/dementia-is-still-uks-biggest-killer-where-do-we-go-from-here/</w:t>
        </w:r>
      </w:hyperlink>
      <w:r w:rsidRPr="00126843">
        <w:t xml:space="preserve"> (Accessed on: 20 July 2026). </w:t>
      </w:r>
    </w:p>
    <w:p w14:paraId="65AD459A" w14:textId="77777777" w:rsidR="00DD5435" w:rsidRPr="00126843" w:rsidRDefault="00DD5435" w:rsidP="004C2795">
      <w:r w:rsidRPr="00126843">
        <w:t xml:space="preserve">Alzheimer’s Society (2026) </w:t>
      </w:r>
      <w:r w:rsidRPr="00126843">
        <w:rPr>
          <w:i/>
          <w:iCs/>
        </w:rPr>
        <w:t>Dementia Statistics Hub – Prevalence and Incidence</w:t>
      </w:r>
      <w:r w:rsidRPr="00126843">
        <w:t xml:space="preserve">. London: Alzheimer’s Society. Available at: </w:t>
      </w:r>
      <w:hyperlink r:id="rId24" w:tgtFrame="_blank" w:history="1">
        <w:r w:rsidRPr="00126843">
          <w:rPr>
            <w:rStyle w:val="Hyperlink"/>
            <w:lang w:bidi="ar-SA"/>
          </w:rPr>
          <w:t>https://dementiastatistics.org/about-dementia/prevalence-and-incidence/</w:t>
        </w:r>
      </w:hyperlink>
      <w:r w:rsidRPr="00126843">
        <w:t xml:space="preserve"> (Accessed on: 20 July 2026). </w:t>
      </w:r>
    </w:p>
    <w:p w14:paraId="43540AEC" w14:textId="77777777" w:rsidR="00DD5435" w:rsidRPr="00126843" w:rsidRDefault="00DD5435" w:rsidP="004C2795">
      <w:r w:rsidRPr="00126843">
        <w:lastRenderedPageBreak/>
        <w:t xml:space="preserve">Alzheimer’s Society (2026) </w:t>
      </w:r>
      <w:r w:rsidRPr="00126843">
        <w:rPr>
          <w:i/>
          <w:iCs/>
        </w:rPr>
        <w:t>Facts for the Media about Dementia</w:t>
      </w:r>
      <w:r w:rsidRPr="00126843">
        <w:t xml:space="preserve">. London: Alzheimer’s Society. Available at: </w:t>
      </w:r>
      <w:hyperlink r:id="rId25" w:tgtFrame="_blank" w:history="1">
        <w:r w:rsidRPr="00126843">
          <w:rPr>
            <w:rStyle w:val="Hyperlink"/>
            <w:lang w:bidi="ar-SA"/>
          </w:rPr>
          <w:t>https://www.alzheimers.org.uk/what-we-do/news-and-media/facts-media</w:t>
        </w:r>
      </w:hyperlink>
      <w:r w:rsidRPr="00126843">
        <w:t xml:space="preserve"> (Accessed on: 20 July 2026). </w:t>
      </w:r>
    </w:p>
    <w:p w14:paraId="0A33E1BF" w14:textId="77777777" w:rsidR="00DD5435" w:rsidRPr="00120648" w:rsidRDefault="00DD5435" w:rsidP="00DD5435">
      <w:pPr>
        <w:rPr>
          <w:color w:val="0D0D0D" w:themeColor="text1" w:themeTint="F2"/>
        </w:rPr>
      </w:pPr>
      <w:r w:rsidRPr="00120648">
        <w:rPr>
          <w:color w:val="0D0D0D" w:themeColor="text1" w:themeTint="F2"/>
        </w:rPr>
        <w:t xml:space="preserve">Davis, F.D. (1989) ‘Perceived usefulness, perceived ease of use, and user acceptance of information technology’, </w:t>
      </w:r>
      <w:r w:rsidRPr="00120648">
        <w:rPr>
          <w:i/>
          <w:iCs/>
          <w:color w:val="0D0D0D" w:themeColor="text1" w:themeTint="F2"/>
        </w:rPr>
        <w:t>MIS Quarterly</w:t>
      </w:r>
      <w:r w:rsidRPr="00120648">
        <w:rPr>
          <w:color w:val="0D0D0D" w:themeColor="text1" w:themeTint="F2"/>
        </w:rPr>
        <w:t>, 13(3), pp. 319–340.</w:t>
      </w:r>
    </w:p>
    <w:p w14:paraId="0367FFFB" w14:textId="77777777" w:rsidR="00DD5435" w:rsidRPr="00126843" w:rsidRDefault="00DD5435" w:rsidP="004C2795">
      <w:r w:rsidRPr="00126843">
        <w:t xml:space="preserve">Department of Health and Social Care / related policy reviews (referenced in OECD, 2026) </w:t>
      </w:r>
      <w:r w:rsidRPr="00126843">
        <w:rPr>
          <w:i/>
          <w:iCs/>
        </w:rPr>
        <w:t>Policies for People with Dementia across OECD Countries</w:t>
      </w:r>
      <w:r w:rsidRPr="00126843">
        <w:t xml:space="preserve">. Paris: OECD. Available at: </w:t>
      </w:r>
      <w:hyperlink r:id="rId26" w:tgtFrame="_blank" w:history="1">
        <w:r w:rsidRPr="00126843">
          <w:rPr>
            <w:rStyle w:val="Hyperlink"/>
            <w:lang w:bidi="ar-SA"/>
          </w:rPr>
          <w:t>https://www.oecd.org/content/dam/oecd/en/publications/reports/2026/01/policies-for-people-with-dementia-across-oecd-countries_5d13347a/e41e6eaa-en.pdf</w:t>
        </w:r>
      </w:hyperlink>
      <w:r w:rsidRPr="00126843">
        <w:t xml:space="preserve"> (Accessed on: 20 July 2026). </w:t>
      </w:r>
    </w:p>
    <w:p w14:paraId="47D3FE60" w14:textId="77777777" w:rsidR="00DD5435" w:rsidRPr="00126843" w:rsidRDefault="00DD5435" w:rsidP="004C2795">
      <w:r w:rsidRPr="00126843">
        <w:t xml:space="preserve">Evans, M., Ritchie, C., </w:t>
      </w:r>
      <w:proofErr w:type="spellStart"/>
      <w:r w:rsidRPr="00126843">
        <w:t>Trepel</w:t>
      </w:r>
      <w:proofErr w:type="spellEnd"/>
      <w:r w:rsidRPr="00126843">
        <w:t>, D., Hahn‐Pedersen, J.H., Kettle, J., Chan, M.S., Bray, B.D., Clark, A., Ivkovic, M., Wichmann, C.A. and Edwards, S., 2026. Estimating the Future Health and Social Care Costs of Alzheimer's Disease Dementia in the UK: Impact of Disease Modifying Therapy Efficacy, Uptake, and Care Model–A Scenario Modelling Study. </w:t>
      </w:r>
      <w:r w:rsidRPr="00126843">
        <w:rPr>
          <w:i/>
          <w:iCs/>
        </w:rPr>
        <w:t>International Journal of Geriatric Psychiatry</w:t>
      </w:r>
      <w:r w:rsidRPr="00126843">
        <w:t>, </w:t>
      </w:r>
      <w:r w:rsidRPr="00126843">
        <w:rPr>
          <w:i/>
          <w:iCs/>
        </w:rPr>
        <w:t>41</w:t>
      </w:r>
      <w:r w:rsidRPr="00126843">
        <w:t xml:space="preserve">(2), p.e70185. Available at: </w:t>
      </w:r>
      <w:hyperlink r:id="rId27" w:tgtFrame="_blank" w:history="1">
        <w:r w:rsidRPr="00126843">
          <w:rPr>
            <w:rStyle w:val="Hyperlink"/>
            <w:lang w:bidi="ar-SA"/>
          </w:rPr>
          <w:t>https://pmc.ncbi.nlm.nih.gov/articles/PMC12907742/</w:t>
        </w:r>
      </w:hyperlink>
      <w:r w:rsidRPr="00126843">
        <w:t xml:space="preserve"> (Accessed on: 20 July 2026). </w:t>
      </w:r>
    </w:p>
    <w:p w14:paraId="2AD27993" w14:textId="77777777" w:rsidR="00DD5435" w:rsidRPr="00126843" w:rsidRDefault="00DD5435" w:rsidP="004C2795">
      <w:r w:rsidRPr="00126843">
        <w:t>Giebel, C., Readman, M.R., Godfrey, A., Gray, A., Carton, J. and Polden, M., 2025. Geographical inequalities in dementia diagnosis and care: A systematic review. </w:t>
      </w:r>
      <w:r w:rsidRPr="00126843">
        <w:rPr>
          <w:i/>
          <w:iCs/>
        </w:rPr>
        <w:t>International psychogeriatrics</w:t>
      </w:r>
      <w:r w:rsidRPr="00126843">
        <w:t>, </w:t>
      </w:r>
      <w:r w:rsidRPr="00126843">
        <w:rPr>
          <w:i/>
          <w:iCs/>
        </w:rPr>
        <w:t>37</w:t>
      </w:r>
      <w:r w:rsidRPr="00126843">
        <w:t xml:space="preserve">(3), p.100051. Available at: </w:t>
      </w:r>
      <w:hyperlink r:id="rId28" w:tgtFrame="_blank" w:history="1">
        <w:r w:rsidRPr="00126843">
          <w:rPr>
            <w:rStyle w:val="Hyperlink"/>
            <w:lang w:bidi="ar-SA"/>
          </w:rPr>
          <w:t>https://www.intpsychogeriatrics.org/article/S1041-6102(25)00289-3/fulltext</w:t>
        </w:r>
      </w:hyperlink>
      <w:r w:rsidRPr="00126843">
        <w:t xml:space="preserve"> (Accessed on: 20 July 2026). </w:t>
      </w:r>
    </w:p>
    <w:p w14:paraId="678EC7EE" w14:textId="77777777" w:rsidR="00DD5435" w:rsidRPr="00126843" w:rsidRDefault="00DD5435" w:rsidP="004C2795">
      <w:r w:rsidRPr="00126843">
        <w:t xml:space="preserve">Hodgson, S., Hayes, H., Cubi-Molla, P. and Garau, M. (2024) </w:t>
      </w:r>
      <w:r w:rsidRPr="00126843">
        <w:rPr>
          <w:i/>
          <w:iCs/>
        </w:rPr>
        <w:t>Inequalities in Dementia: Unveiling the Evidence and Forging a Path Towards Greater Understanding</w:t>
      </w:r>
      <w:r w:rsidRPr="00126843">
        <w:t xml:space="preserve">. London: Office of Health Economics (commissioned by Alzheimer’s Society). Available at: </w:t>
      </w:r>
      <w:hyperlink r:id="rId29" w:tgtFrame="_blank" w:history="1">
        <w:r w:rsidRPr="00126843">
          <w:rPr>
            <w:rStyle w:val="Hyperlink"/>
            <w:lang w:bidi="ar-SA"/>
          </w:rPr>
          <w:t>https://www.ohe.org/wp-content/uploads/2024/06/Inequalities-in-Dementia-OHE-AS-Report-v8.pdf</w:t>
        </w:r>
      </w:hyperlink>
      <w:r w:rsidRPr="00126843">
        <w:t xml:space="preserve"> (Accessed on: 20 July 2026). </w:t>
      </w:r>
    </w:p>
    <w:p w14:paraId="6B98D2E5" w14:textId="77777777" w:rsidR="00DD5435" w:rsidRPr="00126843" w:rsidRDefault="00DD5435" w:rsidP="004C2795">
      <w:r w:rsidRPr="00126843">
        <w:t xml:space="preserve">Livingston, G., Huntley, J., Liu, K.Y., </w:t>
      </w:r>
      <w:proofErr w:type="spellStart"/>
      <w:r w:rsidRPr="00126843">
        <w:t>Costafreda</w:t>
      </w:r>
      <w:proofErr w:type="spellEnd"/>
      <w:r w:rsidRPr="00126843">
        <w:t xml:space="preserve">, S.G., </w:t>
      </w:r>
      <w:proofErr w:type="spellStart"/>
      <w:r w:rsidRPr="00126843">
        <w:t>Selbæk</w:t>
      </w:r>
      <w:proofErr w:type="spellEnd"/>
      <w:r w:rsidRPr="00126843">
        <w:t xml:space="preserve">, G., Alladi, S., Ames, D., Banerjee, S., Burns, A., </w:t>
      </w:r>
      <w:proofErr w:type="spellStart"/>
      <w:r w:rsidRPr="00126843">
        <w:t>Brayne</w:t>
      </w:r>
      <w:proofErr w:type="spellEnd"/>
      <w:r w:rsidRPr="00126843">
        <w:t>, C., Fox, N.C., Ferri, C.P., Gitlin, L.N., Howard, R., Kales, H.C., Kivimäki, M., Larson, E.B., Nakasujja, N., Rockwood, K., Samus, Q., Shirai, K., Singh-</w:t>
      </w:r>
      <w:proofErr w:type="spellStart"/>
      <w:r w:rsidRPr="00126843">
        <w:t>Manoux</w:t>
      </w:r>
      <w:proofErr w:type="spellEnd"/>
      <w:r w:rsidRPr="00126843">
        <w:t xml:space="preserve">, A., Schneider, L.S., Walsh, S., Yao, Y., </w:t>
      </w:r>
      <w:proofErr w:type="spellStart"/>
      <w:r w:rsidRPr="00126843">
        <w:t>Sommerlad</w:t>
      </w:r>
      <w:proofErr w:type="spellEnd"/>
      <w:r w:rsidRPr="00126843">
        <w:t xml:space="preserve">, A. and Mukadam, N. (2024) ‘Dementia prevention, intervention, and care: 2024 report of the Lancet standing Commission’, </w:t>
      </w:r>
      <w:r w:rsidRPr="00126843">
        <w:rPr>
          <w:i/>
          <w:iCs/>
        </w:rPr>
        <w:lastRenderedPageBreak/>
        <w:t>The Lancet</w:t>
      </w:r>
      <w:r w:rsidRPr="00126843">
        <w:t xml:space="preserve">. Available at: </w:t>
      </w:r>
      <w:hyperlink r:id="rId30" w:tgtFrame="_blank" w:history="1">
        <w:r w:rsidRPr="00126843">
          <w:rPr>
            <w:rStyle w:val="Hyperlink"/>
            <w:lang w:bidi="ar-SA"/>
          </w:rPr>
          <w:t>https://doi.org/10.1016/S0140-6736(24)01296-0</w:t>
        </w:r>
      </w:hyperlink>
      <w:r w:rsidRPr="00126843">
        <w:t xml:space="preserve"> (Accessed on: 20 July 2026). </w:t>
      </w:r>
    </w:p>
    <w:p w14:paraId="60DF886F" w14:textId="77777777" w:rsidR="00DD5435" w:rsidRPr="00126843" w:rsidRDefault="00DD5435" w:rsidP="004C2795">
      <w:r w:rsidRPr="00126843">
        <w:t xml:space="preserve">Livingston, G., Huntley, J., </w:t>
      </w:r>
      <w:proofErr w:type="spellStart"/>
      <w:r w:rsidRPr="00126843">
        <w:t>Sommerlad</w:t>
      </w:r>
      <w:proofErr w:type="spellEnd"/>
      <w:r w:rsidRPr="00126843">
        <w:t xml:space="preserve">, A., Ames, D., Ballard, C., Banerjee, S., </w:t>
      </w:r>
      <w:proofErr w:type="spellStart"/>
      <w:r w:rsidRPr="00126843">
        <w:t>Brayne</w:t>
      </w:r>
      <w:proofErr w:type="spellEnd"/>
      <w:r w:rsidRPr="00126843">
        <w:t xml:space="preserve">, C., Burns, A., Cohen-Mansfield, J., Cooper, C., </w:t>
      </w:r>
      <w:proofErr w:type="spellStart"/>
      <w:r w:rsidRPr="00126843">
        <w:t>Costafreda</w:t>
      </w:r>
      <w:proofErr w:type="spellEnd"/>
      <w:r w:rsidRPr="00126843">
        <w:t xml:space="preserve">, S.G., Dias, A., Fox, N., Gitlin, L.N., Howard, R., Kales, H.C., Kivimäki, M., Larson, E.B., Ogunniyi, A., Orgeta, V., Ritchie, K., Rockwood, K., Sampson, E.L., Samus, Q., Schneider, L.S., </w:t>
      </w:r>
      <w:proofErr w:type="spellStart"/>
      <w:r w:rsidRPr="00126843">
        <w:t>Selbæk</w:t>
      </w:r>
      <w:proofErr w:type="spellEnd"/>
      <w:r w:rsidRPr="00126843">
        <w:t xml:space="preserve">, G., Teri, L. and Mukadam, N. (2020) ‘Dementia prevention, intervention, and care: 2020 report of the Lancet Commission’, </w:t>
      </w:r>
      <w:r w:rsidRPr="00126843">
        <w:rPr>
          <w:i/>
          <w:iCs/>
        </w:rPr>
        <w:t>The Lancet</w:t>
      </w:r>
      <w:r w:rsidRPr="00126843">
        <w:t xml:space="preserve">, 396(10248), pp. 413–446. Available at: </w:t>
      </w:r>
      <w:hyperlink r:id="rId31" w:tgtFrame="_blank" w:history="1">
        <w:r w:rsidRPr="00126843">
          <w:rPr>
            <w:rStyle w:val="Hyperlink"/>
            <w:lang w:bidi="ar-SA"/>
          </w:rPr>
          <w:t>https://doi.org/10.1016/S0140-6736(20)30367-6</w:t>
        </w:r>
      </w:hyperlink>
      <w:r w:rsidRPr="00126843">
        <w:t xml:space="preserve"> (Accessed on: 20 July 2026). </w:t>
      </w:r>
    </w:p>
    <w:p w14:paraId="7A82043B" w14:textId="77777777" w:rsidR="00DD5435" w:rsidRPr="00120648" w:rsidRDefault="00DD5435" w:rsidP="00DD5435">
      <w:pPr>
        <w:rPr>
          <w:color w:val="0D0D0D" w:themeColor="text1" w:themeTint="F2"/>
        </w:rPr>
      </w:pPr>
      <w:r w:rsidRPr="00120648">
        <w:rPr>
          <w:color w:val="0D0D0D" w:themeColor="text1" w:themeTint="F2"/>
        </w:rPr>
        <w:t xml:space="preserve">Michie, S., van Stralen, M.M. and West, R. (2011) ‘The behaviour change wheel: A new method for characterising and designing behaviour change interventions’, </w:t>
      </w:r>
      <w:r w:rsidRPr="00120648">
        <w:rPr>
          <w:i/>
          <w:iCs/>
          <w:color w:val="0D0D0D" w:themeColor="text1" w:themeTint="F2"/>
        </w:rPr>
        <w:t>Implementation Science</w:t>
      </w:r>
      <w:r w:rsidRPr="00120648">
        <w:rPr>
          <w:color w:val="0D0D0D" w:themeColor="text1" w:themeTint="F2"/>
        </w:rPr>
        <w:t xml:space="preserve">, 6(1), p. 42. Available at: </w:t>
      </w:r>
      <w:hyperlink r:id="rId32" w:tgtFrame="_blank" w:history="1">
        <w:r w:rsidRPr="00120648">
          <w:rPr>
            <w:rStyle w:val="Hyperlink"/>
            <w:color w:val="0D0D0D" w:themeColor="text1" w:themeTint="F2"/>
          </w:rPr>
          <w:t>https://doi.org/10.1186/1748-5908-6-42</w:t>
        </w:r>
      </w:hyperlink>
      <w:r w:rsidRPr="00120648">
        <w:rPr>
          <w:color w:val="0D0D0D" w:themeColor="text1" w:themeTint="F2"/>
        </w:rPr>
        <w:t xml:space="preserve"> (Accessed on: 20 July 2026).</w:t>
      </w:r>
    </w:p>
    <w:p w14:paraId="68E93993" w14:textId="77777777" w:rsidR="00DD5435" w:rsidRPr="00126843" w:rsidRDefault="00DD5435" w:rsidP="004C2795">
      <w:r w:rsidRPr="00126843">
        <w:t xml:space="preserve">Mukadam, N., Wolters, F.J., Walsh, S., Wallace, L., </w:t>
      </w:r>
      <w:proofErr w:type="spellStart"/>
      <w:r w:rsidRPr="00126843">
        <w:t>Brayne</w:t>
      </w:r>
      <w:proofErr w:type="spellEnd"/>
      <w:r w:rsidRPr="00126843">
        <w:t xml:space="preserve">, C., Matthews, F.E., Sacuiu, S., Skoog, I., Seshadri, S., Beiser, A., Ghosh, S. and Livingston, G. (2024) ‘Changes in prevalence and incidence of dementia and risk factors for dementia: an analysis from cohort studies’, </w:t>
      </w:r>
      <w:r w:rsidRPr="00126843">
        <w:rPr>
          <w:i/>
          <w:iCs/>
        </w:rPr>
        <w:t>The Lancet Public Health</w:t>
      </w:r>
      <w:r w:rsidRPr="00126843">
        <w:t xml:space="preserve">, 9(7), pp. e443–e460. Available at: </w:t>
      </w:r>
      <w:hyperlink r:id="rId33" w:tgtFrame="_blank" w:history="1">
        <w:r w:rsidRPr="00126843">
          <w:rPr>
            <w:rStyle w:val="Hyperlink"/>
            <w:lang w:bidi="ar-SA"/>
          </w:rPr>
          <w:t>https://doi.org/10.1016/S2468-2667(24)00120-8</w:t>
        </w:r>
      </w:hyperlink>
      <w:r w:rsidRPr="00126843">
        <w:t xml:space="preserve"> (Accessed on: 20 July 2026). </w:t>
      </w:r>
    </w:p>
    <w:p w14:paraId="5652BD34" w14:textId="77777777" w:rsidR="00DD5435" w:rsidRPr="00126843" w:rsidRDefault="00DD5435" w:rsidP="004C2795">
      <w:r w:rsidRPr="00126843">
        <w:t xml:space="preserve">NHS England Digital (2026) </w:t>
      </w:r>
      <w:r w:rsidRPr="00126843">
        <w:rPr>
          <w:i/>
          <w:iCs/>
        </w:rPr>
        <w:t>Primary Care Dementia Data</w:t>
      </w:r>
      <w:r w:rsidRPr="00126843">
        <w:t xml:space="preserve"> (multiple releases 2024–2026). Leeds: NHS England. Available at: </w:t>
      </w:r>
      <w:hyperlink r:id="rId34" w:tgtFrame="_blank" w:history="1">
        <w:r w:rsidRPr="00126843">
          <w:rPr>
            <w:rStyle w:val="Hyperlink"/>
            <w:lang w:bidi="ar-SA"/>
          </w:rPr>
          <w:t>https://digital.nhs.uk/data-and-information/publications/statistical/primary-care-dementia-data</w:t>
        </w:r>
      </w:hyperlink>
      <w:r w:rsidRPr="00126843">
        <w:t xml:space="preserve"> (Accessed on: 20 July 2026).</w:t>
      </w:r>
    </w:p>
    <w:p w14:paraId="3F3156F2" w14:textId="77777777" w:rsidR="00DD5435" w:rsidRPr="00126843" w:rsidRDefault="00DD5435" w:rsidP="004C2795">
      <w:r w:rsidRPr="00126843">
        <w:t xml:space="preserve">NHS England Digital (2026) </w:t>
      </w:r>
      <w:r w:rsidRPr="00126843">
        <w:rPr>
          <w:i/>
          <w:iCs/>
        </w:rPr>
        <w:t>Primary Care Dementia Data, January 2026</w:t>
      </w:r>
      <w:r w:rsidRPr="00126843">
        <w:t xml:space="preserve">. Leeds: NHS England. Available at: </w:t>
      </w:r>
      <w:hyperlink r:id="rId35" w:tgtFrame="_blank" w:history="1">
        <w:r w:rsidRPr="00126843">
          <w:rPr>
            <w:rStyle w:val="Hyperlink"/>
            <w:lang w:bidi="ar-SA"/>
          </w:rPr>
          <w:t>https://digital.nhs.uk/data-and-information/publications/statistical/primary-care-dementia-data/january-2026</w:t>
        </w:r>
      </w:hyperlink>
      <w:r w:rsidRPr="00126843">
        <w:t xml:space="preserve"> (Accessed on: 20 July 2026). </w:t>
      </w:r>
    </w:p>
    <w:p w14:paraId="62E160B2" w14:textId="77777777" w:rsidR="00DD5435" w:rsidRPr="00126843" w:rsidRDefault="00DD5435" w:rsidP="004C2795">
      <w:r w:rsidRPr="00126843">
        <w:t xml:space="preserve">Office of Health Economics (2023) </w:t>
      </w:r>
      <w:r w:rsidRPr="00126843">
        <w:rPr>
          <w:i/>
          <w:iCs/>
        </w:rPr>
        <w:t>Estimating the Potential Future Health and Social Care Costs of Dementia in the UK</w:t>
      </w:r>
      <w:r w:rsidRPr="00126843">
        <w:t xml:space="preserve">. London: OHE. Available at: </w:t>
      </w:r>
      <w:hyperlink r:id="rId36" w:tgtFrame="_blank" w:history="1">
        <w:r w:rsidRPr="00126843">
          <w:rPr>
            <w:rStyle w:val="Hyperlink"/>
            <w:lang w:bidi="ar-SA"/>
          </w:rPr>
          <w:t>https://www.ohe.org/wp-content/uploads/2023/07/OHE-Report-Estimating-the-Potential-Future.pdf</w:t>
        </w:r>
      </w:hyperlink>
      <w:r w:rsidRPr="00126843">
        <w:t xml:space="preserve"> (Accessed on: 20 July 2026). </w:t>
      </w:r>
    </w:p>
    <w:p w14:paraId="7B47843F" w14:textId="77777777" w:rsidR="00DD5435" w:rsidRPr="00126843" w:rsidRDefault="00DD5435" w:rsidP="004C2795">
      <w:r w:rsidRPr="00126843">
        <w:t xml:space="preserve">Penfold, R.S., Wilkinson, T., Stirland, L.E., MacRae, C., Russ, T.C., </w:t>
      </w:r>
      <w:proofErr w:type="spellStart"/>
      <w:r w:rsidRPr="00126843">
        <w:t>Shenkin</w:t>
      </w:r>
      <w:proofErr w:type="spellEnd"/>
      <w:r w:rsidRPr="00126843">
        <w:t xml:space="preserve">, S.D., Vardy, E., Anand, A., Guthrie, B., Sampson, E.L. and MacLullich, A.M., 2026. Prevalence and outcomes of recorded dementia vary by data source: a population cohort study of 133 407 older </w:t>
      </w:r>
      <w:r w:rsidRPr="00126843">
        <w:lastRenderedPageBreak/>
        <w:t>adults. </w:t>
      </w:r>
      <w:r w:rsidRPr="00126843">
        <w:rPr>
          <w:i/>
          <w:iCs/>
        </w:rPr>
        <w:t>Age and ageing</w:t>
      </w:r>
      <w:r w:rsidRPr="00126843">
        <w:t>, </w:t>
      </w:r>
      <w:r w:rsidRPr="00126843">
        <w:rPr>
          <w:i/>
          <w:iCs/>
        </w:rPr>
        <w:t>55</w:t>
      </w:r>
      <w:r w:rsidRPr="00126843">
        <w:t xml:space="preserve">(2), </w:t>
      </w:r>
      <w:proofErr w:type="gramStart"/>
      <w:r w:rsidRPr="00126843">
        <w:t>p.afag</w:t>
      </w:r>
      <w:proofErr w:type="gramEnd"/>
      <w:r w:rsidRPr="00126843">
        <w:t xml:space="preserve">038. Available at: </w:t>
      </w:r>
      <w:hyperlink r:id="rId37" w:tgtFrame="_blank" w:history="1">
        <w:r w:rsidRPr="00126843">
          <w:rPr>
            <w:rStyle w:val="Hyperlink"/>
            <w:lang w:bidi="ar-SA"/>
          </w:rPr>
          <w:t>https://academic.oup.com/ageing/article/55/2/afag038/8496176</w:t>
        </w:r>
      </w:hyperlink>
      <w:r w:rsidRPr="00126843">
        <w:t xml:space="preserve"> (Accessed on: 20 July 2026). </w:t>
      </w:r>
    </w:p>
    <w:p w14:paraId="01A96132" w14:textId="77777777" w:rsidR="00DD5435" w:rsidRPr="00126843" w:rsidRDefault="00DD5435" w:rsidP="004C2795">
      <w:r w:rsidRPr="00126843">
        <w:t xml:space="preserve">Walsh, S., </w:t>
      </w:r>
      <w:r w:rsidRPr="00313A27">
        <w:t>et al.</w:t>
      </w:r>
      <w:r w:rsidRPr="00126843">
        <w:t xml:space="preserve"> (2025) ‘Scoping review of dementia primary prevention policies in local authorities in England’, </w:t>
      </w:r>
      <w:r w:rsidRPr="00126843">
        <w:rPr>
          <w:i/>
          <w:iCs/>
        </w:rPr>
        <w:t>BMC Public Health</w:t>
      </w:r>
      <w:r w:rsidRPr="00126843">
        <w:t xml:space="preserve"> (PMC). Available at: </w:t>
      </w:r>
      <w:hyperlink r:id="rId38" w:tgtFrame="_blank" w:history="1">
        <w:r w:rsidRPr="00126843">
          <w:rPr>
            <w:rStyle w:val="Hyperlink"/>
            <w:lang w:bidi="ar-SA"/>
          </w:rPr>
          <w:t>https://pmc.ncbi.nlm.nih.gov/articles/PMC12198788/</w:t>
        </w:r>
      </w:hyperlink>
      <w:r w:rsidRPr="00126843">
        <w:t xml:space="preserve"> (Accessed on: 20 July 2026). </w:t>
      </w:r>
    </w:p>
    <w:p w14:paraId="5A027BD3" w14:textId="77777777" w:rsidR="00DD5435" w:rsidRPr="00126843" w:rsidRDefault="00DD5435" w:rsidP="004C2795">
      <w:r w:rsidRPr="00126843">
        <w:t xml:space="preserve">World Health Organization (2021) </w:t>
      </w:r>
      <w:r w:rsidRPr="00126843">
        <w:rPr>
          <w:i/>
          <w:iCs/>
        </w:rPr>
        <w:t>Global Status Report on the Public Health Response to Dementia</w:t>
      </w:r>
      <w:r w:rsidRPr="00126843">
        <w:t xml:space="preserve">. Geneva: WHO. Available at: </w:t>
      </w:r>
      <w:hyperlink r:id="rId39" w:tgtFrame="_blank" w:history="1">
        <w:r w:rsidRPr="00126843">
          <w:rPr>
            <w:rStyle w:val="Hyperlink"/>
            <w:lang w:bidi="ar-SA"/>
          </w:rPr>
          <w:t>https://www.who.int/publications/i/item/9789240033245</w:t>
        </w:r>
      </w:hyperlink>
      <w:r w:rsidRPr="00126843">
        <w:t xml:space="preserve"> (Accessed on: 20 July 2026). </w:t>
      </w:r>
    </w:p>
    <w:p w14:paraId="4570D184" w14:textId="77777777" w:rsidR="004C2795" w:rsidRPr="004C2795" w:rsidRDefault="004C2795" w:rsidP="004C2795"/>
    <w:sectPr w:rsidR="004C2795" w:rsidRPr="004C2795">
      <w:footerReference w:type="default" r:id="rId4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A4AA0" w14:textId="77777777" w:rsidR="00E31BE4" w:rsidRDefault="00E31BE4">
      <w:pPr>
        <w:spacing w:after="0" w:line="240" w:lineRule="auto"/>
      </w:pPr>
      <w:r>
        <w:separator/>
      </w:r>
    </w:p>
  </w:endnote>
  <w:endnote w:type="continuationSeparator" w:id="0">
    <w:p w14:paraId="116F3808" w14:textId="77777777" w:rsidR="00E31BE4" w:rsidRDefault="00E31B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5FE5C" w14:textId="77777777" w:rsidR="00796613" w:rsidRDefault="003D3D7C">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565F12">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BB750" w14:textId="77777777" w:rsidR="00E31BE4" w:rsidRDefault="00E31BE4">
      <w:pPr>
        <w:spacing w:after="0" w:line="240" w:lineRule="auto"/>
      </w:pPr>
      <w:r>
        <w:separator/>
      </w:r>
    </w:p>
  </w:footnote>
  <w:footnote w:type="continuationSeparator" w:id="0">
    <w:p w14:paraId="3D5B1CCB" w14:textId="77777777" w:rsidR="00E31BE4" w:rsidRDefault="00E31B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8775F"/>
    <w:multiLevelType w:val="hybridMultilevel"/>
    <w:tmpl w:val="A50E9D26"/>
    <w:lvl w:ilvl="0" w:tplc="585C5112">
      <w:start w:val="1"/>
      <w:numFmt w:val="bullet"/>
      <w:lvlText w:val="●"/>
      <w:lvlJc w:val="left"/>
      <w:pPr>
        <w:ind w:left="720" w:hanging="360"/>
      </w:pPr>
    </w:lvl>
    <w:lvl w:ilvl="1" w:tplc="A984DF26">
      <w:start w:val="1"/>
      <w:numFmt w:val="bullet"/>
      <w:lvlText w:val="○"/>
      <w:lvlJc w:val="left"/>
      <w:pPr>
        <w:ind w:left="1440" w:hanging="360"/>
      </w:pPr>
    </w:lvl>
    <w:lvl w:ilvl="2" w:tplc="571E73FA">
      <w:start w:val="1"/>
      <w:numFmt w:val="bullet"/>
      <w:lvlText w:val="■"/>
      <w:lvlJc w:val="left"/>
      <w:pPr>
        <w:ind w:left="2160" w:hanging="360"/>
      </w:pPr>
    </w:lvl>
    <w:lvl w:ilvl="3" w:tplc="A72A6606">
      <w:start w:val="1"/>
      <w:numFmt w:val="bullet"/>
      <w:lvlText w:val="●"/>
      <w:lvlJc w:val="left"/>
      <w:pPr>
        <w:ind w:left="2880" w:hanging="360"/>
      </w:pPr>
    </w:lvl>
    <w:lvl w:ilvl="4" w:tplc="5B2C387E">
      <w:start w:val="1"/>
      <w:numFmt w:val="bullet"/>
      <w:lvlText w:val="○"/>
      <w:lvlJc w:val="left"/>
      <w:pPr>
        <w:ind w:left="3600" w:hanging="360"/>
      </w:pPr>
    </w:lvl>
    <w:lvl w:ilvl="5" w:tplc="C8504C90">
      <w:start w:val="1"/>
      <w:numFmt w:val="bullet"/>
      <w:lvlText w:val="■"/>
      <w:lvlJc w:val="left"/>
      <w:pPr>
        <w:ind w:left="4320" w:hanging="360"/>
      </w:pPr>
    </w:lvl>
    <w:lvl w:ilvl="6" w:tplc="86A01CD8">
      <w:start w:val="1"/>
      <w:numFmt w:val="bullet"/>
      <w:lvlText w:val="●"/>
      <w:lvlJc w:val="left"/>
      <w:pPr>
        <w:ind w:left="5040" w:hanging="360"/>
      </w:pPr>
    </w:lvl>
    <w:lvl w:ilvl="7" w:tplc="D79E8420">
      <w:start w:val="1"/>
      <w:numFmt w:val="bullet"/>
      <w:lvlText w:val="●"/>
      <w:lvlJc w:val="left"/>
      <w:pPr>
        <w:ind w:left="5760" w:hanging="360"/>
      </w:pPr>
    </w:lvl>
    <w:lvl w:ilvl="8" w:tplc="45F2BBB4">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6613"/>
    <w:rsid w:val="00120648"/>
    <w:rsid w:val="00164A5A"/>
    <w:rsid w:val="00170235"/>
    <w:rsid w:val="00313A27"/>
    <w:rsid w:val="00370AAC"/>
    <w:rsid w:val="003D3D7C"/>
    <w:rsid w:val="004B7921"/>
    <w:rsid w:val="004C2795"/>
    <w:rsid w:val="00537D02"/>
    <w:rsid w:val="00565F12"/>
    <w:rsid w:val="006448BA"/>
    <w:rsid w:val="006844AC"/>
    <w:rsid w:val="006D6AAE"/>
    <w:rsid w:val="00796613"/>
    <w:rsid w:val="007C2D92"/>
    <w:rsid w:val="00845090"/>
    <w:rsid w:val="00857BA4"/>
    <w:rsid w:val="00910B8D"/>
    <w:rsid w:val="009C0308"/>
    <w:rsid w:val="00AF0054"/>
    <w:rsid w:val="00B0103C"/>
    <w:rsid w:val="00BA6C99"/>
    <w:rsid w:val="00C11B66"/>
    <w:rsid w:val="00CD5D73"/>
    <w:rsid w:val="00D43B61"/>
    <w:rsid w:val="00DB36B8"/>
    <w:rsid w:val="00DD5435"/>
    <w:rsid w:val="00DF2CB0"/>
    <w:rsid w:val="00E10D2B"/>
    <w:rsid w:val="00E31BE4"/>
    <w:rsid w:val="00F51B1E"/>
    <w:rsid w:val="00F81C11"/>
    <w:rsid w:val="00FA68A6"/>
    <w:rsid w:val="00FD36C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0EA13"/>
  <w15:docId w15:val="{E33F3BB9-CC5B-49A6-BE1F-71ECEA5CB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0" w:line="360" w:lineRule="auto"/>
      <w:jc w:val="both"/>
    </w:pPr>
  </w:style>
  <w:style w:type="paragraph" w:styleId="Heading1">
    <w:name w:val="heading 1"/>
    <w:basedOn w:val="Normal"/>
    <w:next w:val="Normal"/>
    <w:uiPriority w:val="9"/>
    <w:qFormat/>
    <w:pPr>
      <w:spacing w:before="240"/>
      <w:outlineLvl w:val="0"/>
    </w:pPr>
    <w:rPr>
      <w:b/>
      <w:bCs/>
      <w:sz w:val="28"/>
      <w:szCs w:val="28"/>
    </w:rPr>
  </w:style>
  <w:style w:type="paragraph" w:styleId="Heading2">
    <w:name w:val="heading 2"/>
    <w:basedOn w:val="Normal"/>
    <w:next w:val="Normal"/>
    <w:uiPriority w:val="9"/>
    <w:unhideWhenUsed/>
    <w:qFormat/>
    <w:pPr>
      <w:spacing w:before="200" w:after="100"/>
      <w:outlineLvl w:val="1"/>
    </w:pPr>
    <w:rPr>
      <w:b/>
      <w:bCs/>
      <w:sz w:val="26"/>
      <w:szCs w:val="26"/>
    </w:rPr>
  </w:style>
  <w:style w:type="paragraph" w:styleId="Heading3">
    <w:name w:val="heading 3"/>
    <w:basedOn w:val="Normal"/>
    <w:next w:val="Normal"/>
    <w:uiPriority w:val="9"/>
    <w:unhideWhenUsed/>
    <w:qFormat/>
    <w:pPr>
      <w:spacing w:before="160" w:after="80"/>
      <w:outlineLvl w:val="2"/>
    </w:pPr>
    <w:rPr>
      <w:b/>
      <w:bCs/>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Pr>
      <w:sz w:val="56"/>
      <w:szCs w:val="56"/>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565F12"/>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565F12"/>
    <w:rPr>
      <w:szCs w:val="30"/>
    </w:rPr>
  </w:style>
  <w:style w:type="paragraph" w:styleId="Footer">
    <w:name w:val="footer"/>
    <w:basedOn w:val="Normal"/>
    <w:link w:val="FooterChar"/>
    <w:uiPriority w:val="99"/>
    <w:unhideWhenUsed/>
    <w:rsid w:val="00565F12"/>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565F12"/>
    <w:rPr>
      <w:szCs w:val="30"/>
    </w:rPr>
  </w:style>
  <w:style w:type="paragraph" w:styleId="TOCHeading">
    <w:name w:val="TOC Heading"/>
    <w:basedOn w:val="Heading1"/>
    <w:next w:val="Normal"/>
    <w:uiPriority w:val="39"/>
    <w:unhideWhenUsed/>
    <w:qFormat/>
    <w:rsid w:val="00565F12"/>
    <w:pPr>
      <w:keepNext/>
      <w:keepLines/>
      <w:spacing w:after="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565F12"/>
    <w:pPr>
      <w:spacing w:after="100"/>
    </w:pPr>
    <w:rPr>
      <w:szCs w:val="30"/>
    </w:rPr>
  </w:style>
  <w:style w:type="paragraph" w:styleId="TOC2">
    <w:name w:val="toc 2"/>
    <w:basedOn w:val="Normal"/>
    <w:next w:val="Normal"/>
    <w:autoRedefine/>
    <w:uiPriority w:val="39"/>
    <w:unhideWhenUsed/>
    <w:rsid w:val="00565F12"/>
    <w:pPr>
      <w:spacing w:after="100"/>
      <w:ind w:left="240"/>
    </w:pPr>
    <w:rPr>
      <w:szCs w:val="30"/>
    </w:rPr>
  </w:style>
  <w:style w:type="paragraph" w:styleId="TOC3">
    <w:name w:val="toc 3"/>
    <w:basedOn w:val="Normal"/>
    <w:next w:val="Normal"/>
    <w:autoRedefine/>
    <w:uiPriority w:val="39"/>
    <w:unhideWhenUsed/>
    <w:rsid w:val="00565F12"/>
    <w:pPr>
      <w:spacing w:after="100"/>
      <w:ind w:left="480"/>
    </w:pPr>
    <w:rPr>
      <w:szCs w:val="30"/>
    </w:rPr>
  </w:style>
  <w:style w:type="paragraph" w:styleId="NormalWeb">
    <w:name w:val="Normal (Web)"/>
    <w:basedOn w:val="Normal"/>
    <w:uiPriority w:val="99"/>
    <w:unhideWhenUsed/>
    <w:rsid w:val="00CD5D73"/>
    <w:pPr>
      <w:spacing w:before="100" w:beforeAutospacing="1" w:after="100" w:afterAutospacing="1" w:line="240" w:lineRule="auto"/>
      <w:jc w:val="left"/>
    </w:pPr>
  </w:style>
  <w:style w:type="character" w:styleId="UnresolvedMention">
    <w:name w:val="Unresolved Mention"/>
    <w:basedOn w:val="DefaultParagraphFont"/>
    <w:uiPriority w:val="99"/>
    <w:semiHidden/>
    <w:unhideWhenUsed/>
    <w:rsid w:val="00DD54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geing-better.org.uk/state-ageing-2025" TargetMode="External"/><Relationship Id="rId18" Type="http://schemas.openxmlformats.org/officeDocument/2006/relationships/hyperlink" Target="https://www.thenhsa.co.uk/app/uploads/2025/06/AGEING-IN-THE-NORTH-REPORT-EM.pdf" TargetMode="External"/><Relationship Id="rId26" Type="http://schemas.openxmlformats.org/officeDocument/2006/relationships/hyperlink" Target="https://www.oecd.org/content/dam/oecd/en/publications/reports/2026/01/policies-for-people-with-dementia-across-oecd-countries_5d13347a/e41e6eaa-en.pdf" TargetMode="External"/><Relationship Id="rId39" Type="http://schemas.openxmlformats.org/officeDocument/2006/relationships/hyperlink" Target="https://www.who.int/publications/i/item/9789240033245" TargetMode="External"/><Relationship Id="rId3" Type="http://schemas.openxmlformats.org/officeDocument/2006/relationships/styles" Target="styles.xml"/><Relationship Id="rId21" Type="http://schemas.openxmlformats.org/officeDocument/2006/relationships/hyperlink" Target="https://www.health.org.uk/reports-and-analysis/analysis/healthy-life-expectancy-trends-in-the-uk-a-watershed-moment" TargetMode="External"/><Relationship Id="rId34" Type="http://schemas.openxmlformats.org/officeDocument/2006/relationships/hyperlink" Target="https://digital.nhs.uk/data-and-information/publications/statistical/primary-care-dementia-data"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geing-better.org.uk/our-ageing-population-state-ageing-2025" TargetMode="External"/><Relationship Id="rId17" Type="http://schemas.openxmlformats.org/officeDocument/2006/relationships/hyperlink" Target="https://www.kingsfund.org.uk/insight-and-analysis/data-and-charts/health-inequalities-nutshell" TargetMode="External"/><Relationship Id="rId25" Type="http://schemas.openxmlformats.org/officeDocument/2006/relationships/hyperlink" Target="https://www.alzheimers.org.uk/what-we-do/news-and-media/facts-media" TargetMode="External"/><Relationship Id="rId33" Type="http://schemas.openxmlformats.org/officeDocument/2006/relationships/hyperlink" Target="https://doi.org/10.1016/S2468-2667(24)00120-8" TargetMode="External"/><Relationship Id="rId38" Type="http://schemas.openxmlformats.org/officeDocument/2006/relationships/hyperlink" Target="https://pmc.ncbi.nlm.nih.gov/articles/PMC12198788/" TargetMode="External"/><Relationship Id="rId2" Type="http://schemas.openxmlformats.org/officeDocument/2006/relationships/numbering" Target="numbering.xml"/><Relationship Id="rId16" Type="http://schemas.openxmlformats.org/officeDocument/2006/relationships/hyperlink" Target="https://www.jrf.org.uk/uk-poverty-2025-the-essential-guide-to-understanding-poverty-in-the-uk" TargetMode="External"/><Relationship Id="rId20" Type="http://schemas.openxmlformats.org/officeDocument/2006/relationships/hyperlink" Target="https://doi.org/10.1017/S0144686X2100146X" TargetMode="External"/><Relationship Id="rId29" Type="http://schemas.openxmlformats.org/officeDocument/2006/relationships/hyperlink" Target="https://www.ohe.org/wp-content/uploads/2024/06/Inequalities-in-Dementia-OHE-AS-Report-v8.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eing-better.org.uk/sites/default/files/2021-11/health-inequalities-in-later-life.pdf" TargetMode="External"/><Relationship Id="rId24" Type="http://schemas.openxmlformats.org/officeDocument/2006/relationships/hyperlink" Target="https://dementiastatistics.org/about-dementia/prevalence-and-incidence/" TargetMode="External"/><Relationship Id="rId32" Type="http://schemas.openxmlformats.org/officeDocument/2006/relationships/hyperlink" Target="https://doi.org/10.1186/1748-5908-6-42" TargetMode="External"/><Relationship Id="rId37" Type="http://schemas.openxmlformats.org/officeDocument/2006/relationships/hyperlink" Target="https://academic.oup.com/ageing/article/55/2/afag038/8496176"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ohe.org/wp-content/uploads/2024/06/Inequalities-in-Dementia-OHE-AS-Report-v8.pdf" TargetMode="External"/><Relationship Id="rId23" Type="http://schemas.openxmlformats.org/officeDocument/2006/relationships/hyperlink" Target="https://www.alzheimersresearchuk.org/news/dementia-is-still-uks-biggest-killer-where-do-we-go-from-here/" TargetMode="External"/><Relationship Id="rId28" Type="http://schemas.openxmlformats.org/officeDocument/2006/relationships/hyperlink" Target="https://www.intpsychogeriatrics.org/article/S1041-6102(25)00289-3/fulltext" TargetMode="External"/><Relationship Id="rId36" Type="http://schemas.openxmlformats.org/officeDocument/2006/relationships/hyperlink" Target="https://www.ohe.org/wp-content/uploads/2023/07/OHE-Report-Estimating-the-Potential-Future.pdf" TargetMode="External"/><Relationship Id="rId10" Type="http://schemas.openxmlformats.org/officeDocument/2006/relationships/hyperlink" Target="https://www.ageuk.org.uk/siteassets/documents/reports-and-publications/reports-and-briefings/health--wellbeing/state-of-health-and-care/state-of-health-care-of-older-people-in-england-2025.pdf" TargetMode="External"/><Relationship Id="rId19" Type="http://schemas.openxmlformats.org/officeDocument/2006/relationships/hyperlink" Target="https://www.ons.gov.uk/peoplepopulationandcommunity/healthandsocialcare/healthinequalities" TargetMode="External"/><Relationship Id="rId31" Type="http://schemas.openxmlformats.org/officeDocument/2006/relationships/hyperlink" Target="https://doi.org/10.1016/S0140-6736(20)30367-6" TargetMode="External"/><Relationship Id="rId4" Type="http://schemas.openxmlformats.org/officeDocument/2006/relationships/settings" Target="settings.xml"/><Relationship Id="rId9" Type="http://schemas.openxmlformats.org/officeDocument/2006/relationships/hyperlink" Target="https://www.ageuk.org.uk/discover/2025/september/state-of-health-and-care-of-older-people-in-england-2025/" TargetMode="External"/><Relationship Id="rId14" Type="http://schemas.openxmlformats.org/officeDocument/2006/relationships/hyperlink" Target="https://www.centreformentalhealth.org.uk/wp-content/uploads/2024/03/CentreforMH_MentalHealthInLaterLife-1.pdf" TargetMode="External"/><Relationship Id="rId22" Type="http://schemas.openxmlformats.org/officeDocument/2006/relationships/hyperlink" Target="https://www.alzint.org/about/dementia-facts-figures/dementia-statistics/" TargetMode="External"/><Relationship Id="rId27" Type="http://schemas.openxmlformats.org/officeDocument/2006/relationships/hyperlink" Target="https://pmc.ncbi.nlm.nih.gov/articles/PMC12907742/" TargetMode="External"/><Relationship Id="rId30" Type="http://schemas.openxmlformats.org/officeDocument/2006/relationships/hyperlink" Target="https://doi.org/10.1016/S0140-6736(24)01296-0" TargetMode="External"/><Relationship Id="rId35" Type="http://schemas.openxmlformats.org/officeDocument/2006/relationships/hyperlink" Target="https://digital.nhs.uk/data-and-information/publications/statistical/primary-care-dementia-data/january-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A120C-800F-486C-9539-A124E54AFC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16</Pages>
  <Words>5162</Words>
  <Characters>29430</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geedhruv19@gmail.com</cp:lastModifiedBy>
  <cp:revision>11</cp:revision>
  <dcterms:created xsi:type="dcterms:W3CDTF">2026-07-22T08:14:00Z</dcterms:created>
  <dcterms:modified xsi:type="dcterms:W3CDTF">2026-07-22T08:55:00Z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2ae2fcb2-8125-446f-bf0b-0a3651272f8c</vt:lpwstr>
  </property>
</Properties>
</file>