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CEACB" w14:textId="34C1418D" w:rsidR="00207CCF" w:rsidRDefault="00207CCF" w:rsidP="00207CCF">
      <w:pPr>
        <w:pStyle w:val="ListParagraph"/>
        <w:numPr>
          <w:ilvl w:val="0"/>
          <w:numId w:val="1"/>
        </w:numPr>
      </w:pPr>
      <w:r>
        <w:t>(AC1.1):</w:t>
      </w:r>
    </w:p>
    <w:p w14:paraId="36846645" w14:textId="764AE8AF" w:rsidR="00DF3C15" w:rsidRDefault="00AC6789" w:rsidP="00DF3C15">
      <w:pPr>
        <w:ind w:left="360"/>
      </w:pPr>
      <w:r>
        <w:t xml:space="preserve">Employment regulation may sometimes feel like an administrative burden, but it plays a vital role in shaping a fair, </w:t>
      </w:r>
      <w:r w:rsidR="00E84618">
        <w:t>safe, and consistent working environment. It also protects both employees and the organisation from legal and repu</w:t>
      </w:r>
      <w:r w:rsidR="00D12A4F">
        <w:t>tational risk</w:t>
      </w:r>
      <w:r w:rsidR="00322266">
        <w:t xml:space="preserve"> (</w:t>
      </w:r>
      <w:r w:rsidR="00321407">
        <w:t xml:space="preserve">Collins et al.,2019). </w:t>
      </w:r>
      <w:r w:rsidR="00DF3C15">
        <w:t xml:space="preserve">These laws serve not </w:t>
      </w:r>
      <w:r w:rsidR="00910C73">
        <w:t>only to</w:t>
      </w:r>
      <w:r w:rsidR="007645F9">
        <w:t xml:space="preserve"> enforce minimum standards, but also to promot</w:t>
      </w:r>
      <w:r w:rsidR="002C59D9">
        <w:t>e good practice that can improve employee morale and organisational performance over time (</w:t>
      </w:r>
      <w:r w:rsidR="00910C73">
        <w:t>Lewis and Sargeant,2020)</w:t>
      </w:r>
      <w:r w:rsidR="00D65E5A">
        <w:t xml:space="preserve">. </w:t>
      </w:r>
      <w:r w:rsidR="00D65E5A" w:rsidRPr="00D65E5A">
        <w:rPr>
          <w:rFonts w:ascii="Cambria" w:eastAsia="Cambria" w:hAnsi="Cambria" w:cs="Arial"/>
          <w:color w:val="FF0000"/>
        </w:rPr>
        <w:t>However, it is important to critically assess both the benefits and limitations of these regulations, particularly in high-pressure sectors like the NHS where balancing compliance and operational efficiency is a constant challenge.</w:t>
      </w:r>
      <w:r w:rsidR="00516D61">
        <w:rPr>
          <w:rFonts w:ascii="Cambria" w:eastAsia="Cambria" w:hAnsi="Cambria" w:cs="Arial"/>
          <w:color w:val="FF0000"/>
        </w:rPr>
        <w:t xml:space="preserve"> </w:t>
      </w:r>
    </w:p>
    <w:p w14:paraId="477AE056" w14:textId="099A6D9E" w:rsidR="00FC25D9" w:rsidRDefault="00D12A4F" w:rsidP="00FC25D9">
      <w:pPr>
        <w:ind w:left="360"/>
      </w:pPr>
      <w:r>
        <w:t>The Primary purpose of employment regulation is to create a balanced employment relationship that safeguards worker rights while allowing employers to manage their workforce effectively (</w:t>
      </w:r>
      <w:r w:rsidR="00FC25D9">
        <w:t xml:space="preserve">Taylor and Emir,2022). The key aims include: </w:t>
      </w:r>
    </w:p>
    <w:p w14:paraId="405D5584" w14:textId="1740E11A" w:rsidR="00FC25D9" w:rsidRDefault="00FC25D9" w:rsidP="00FC25D9">
      <w:pPr>
        <w:ind w:left="360"/>
      </w:pPr>
      <w:r>
        <w:t xml:space="preserve">1. </w:t>
      </w:r>
      <w:r w:rsidR="00E50724">
        <w:t xml:space="preserve">protecting employee rights – Legislation such as the Employment Right Act 1996, </w:t>
      </w:r>
      <w:r w:rsidR="00CA7405">
        <w:t>Health and Safety at Work Act 1974, and Equality Act 2010 protect workers from unfair dismissal, unsafe practices, and discrimination (Gov.uk,2024</w:t>
      </w:r>
      <w:r w:rsidR="00852984">
        <w:t>a</w:t>
      </w:r>
      <w:r w:rsidR="00CA7405">
        <w:t>).</w:t>
      </w:r>
      <w:r w:rsidR="005B25ED">
        <w:t xml:space="preserve"> </w:t>
      </w:r>
      <w:r w:rsidR="005B25ED" w:rsidRPr="005B25ED">
        <w:rPr>
          <w:rFonts w:ascii="Cambria" w:eastAsia="Cambria" w:hAnsi="Cambria" w:cs="Arial"/>
          <w:color w:val="FF0000"/>
        </w:rPr>
        <w:t>In a healthcare setting, this ensures that staff can raise safety concerns without fear of retaliation</w:t>
      </w:r>
      <w:r w:rsidR="005B25ED">
        <w:rPr>
          <w:rFonts w:ascii="Cambria" w:eastAsia="Cambria" w:hAnsi="Cambria" w:cs="Arial"/>
          <w:color w:val="FF0000"/>
        </w:rPr>
        <w:t xml:space="preserve">, </w:t>
      </w:r>
      <w:r w:rsidR="005B25ED" w:rsidRPr="005B25ED">
        <w:rPr>
          <w:rFonts w:ascii="Cambria" w:eastAsia="Cambria" w:hAnsi="Cambria" w:cs="Arial"/>
          <w:color w:val="FF0000"/>
        </w:rPr>
        <w:t>critical in a patient-facing environment.</w:t>
      </w:r>
    </w:p>
    <w:p w14:paraId="408E21CE" w14:textId="2B89468B" w:rsidR="00CA7405" w:rsidRPr="008E1F9B" w:rsidRDefault="00CA7405" w:rsidP="00FC25D9">
      <w:pPr>
        <w:ind w:left="360"/>
        <w:rPr>
          <w:color w:val="EE0000"/>
        </w:rPr>
      </w:pPr>
      <w:r>
        <w:t xml:space="preserve">2. </w:t>
      </w:r>
      <w:r w:rsidR="00E3290C">
        <w:t>providing legal clarity – regulation ensures there are clear, enforceable standards for terms and condition, notice periods, wages, and working time (</w:t>
      </w:r>
      <w:r w:rsidR="007F6A41">
        <w:t xml:space="preserve">Lewis and Sargeant,2020). This reduces ambiguity and conflict. </w:t>
      </w:r>
      <w:r w:rsidR="00FC751F" w:rsidRPr="008E1F9B">
        <w:rPr>
          <w:color w:val="EE0000"/>
        </w:rPr>
        <w:t>However,</w:t>
      </w:r>
      <w:r w:rsidR="006E0C41" w:rsidRPr="008E1F9B">
        <w:rPr>
          <w:color w:val="EE0000"/>
        </w:rPr>
        <w:t xml:space="preserve"> critics argue that overly rigid regulations may restrict operational flexibility, especially during emergencies or staff shortages, which are common in NHS Trusts</w:t>
      </w:r>
      <w:r w:rsidR="00E83261">
        <w:rPr>
          <w:color w:val="EE0000"/>
        </w:rPr>
        <w:t>(</w:t>
      </w:r>
      <w:r w:rsidR="00E83261" w:rsidRPr="00E83261">
        <w:rPr>
          <w:color w:val="EE0000"/>
        </w:rPr>
        <w:t>NHS England Workforce, Training and Education</w:t>
      </w:r>
      <w:r w:rsidR="00E83261">
        <w:rPr>
          <w:color w:val="EE0000"/>
        </w:rPr>
        <w:t xml:space="preserve">,2024). </w:t>
      </w:r>
    </w:p>
    <w:p w14:paraId="1DFF79C0" w14:textId="3754F156" w:rsidR="007F6A41" w:rsidRDefault="007F6A41" w:rsidP="00FC25D9">
      <w:pPr>
        <w:ind w:left="360"/>
      </w:pPr>
      <w:r>
        <w:t xml:space="preserve">3. </w:t>
      </w:r>
      <w:r w:rsidR="000A4C5F">
        <w:t>Promoting equality and fairness – Employment law prohibits unfair treatment and encourages diversity by requesting equal treatment in recruitment, pay, and progression (EHRC,2023</w:t>
      </w:r>
      <w:r w:rsidR="00852984">
        <w:t>a</w:t>
      </w:r>
      <w:r w:rsidR="000A4C5F">
        <w:t xml:space="preserve">). </w:t>
      </w:r>
      <w:r w:rsidR="00A13E2B" w:rsidRPr="00A13E2B">
        <w:rPr>
          <w:rFonts w:ascii="Cambria" w:eastAsia="Cambria" w:hAnsi="Cambria" w:cs="Arial"/>
          <w:color w:val="FF0000"/>
        </w:rPr>
        <w:t>This can help address historic inequalities in the NHS, such as underrepresentation of ethnic minorities in leadership roles. Yet, applying these principles consistently across a large Trust can be administratively complex and resource-intensive.</w:t>
      </w:r>
      <w:r w:rsidR="00A13E2B">
        <w:rPr>
          <w:rFonts w:ascii="Cambria" w:eastAsia="Cambria" w:hAnsi="Cambria" w:cs="Arial"/>
          <w:color w:val="FF0000"/>
        </w:rPr>
        <w:t xml:space="preserve"> </w:t>
      </w:r>
    </w:p>
    <w:p w14:paraId="4702A918" w14:textId="2F7E85DD" w:rsidR="000A4C5F" w:rsidRDefault="000A4C5F" w:rsidP="00FC25D9">
      <w:pPr>
        <w:ind w:left="360"/>
      </w:pPr>
      <w:r>
        <w:t xml:space="preserve">4. supporting ethical practice </w:t>
      </w:r>
      <w:bookmarkStart w:id="0" w:name="_Hlk199709668"/>
      <w:r w:rsidR="005C6D2B">
        <w:t>–</w:t>
      </w:r>
      <w:bookmarkEnd w:id="0"/>
      <w:r>
        <w:t xml:space="preserve"> </w:t>
      </w:r>
      <w:r w:rsidR="005C6D2B">
        <w:t>laws such as whistleblowing protection and anti-</w:t>
      </w:r>
      <w:r w:rsidR="001232D4">
        <w:t>harassment</w:t>
      </w:r>
      <w:r w:rsidR="005C6D2B">
        <w:t xml:space="preserve"> policies promote a culture of transparency and accountability, aligning with the Trust values (CIPD,2023</w:t>
      </w:r>
      <w:r w:rsidR="00DB6635">
        <w:t>b</w:t>
      </w:r>
      <w:r w:rsidR="005C6D2B">
        <w:t xml:space="preserve">). </w:t>
      </w:r>
      <w:r w:rsidR="003E6C97" w:rsidRPr="003E6C97">
        <w:rPr>
          <w:rFonts w:ascii="Cambria" w:eastAsia="Cambria" w:hAnsi="Cambria" w:cs="Arial"/>
          <w:color w:val="FF0000"/>
        </w:rPr>
        <w:t xml:space="preserve">Real-life NHS cases, such as the Francis Report into </w:t>
      </w:r>
      <w:r w:rsidR="00DD33D9">
        <w:rPr>
          <w:rFonts w:ascii="Cambria" w:eastAsia="Cambria" w:hAnsi="Cambria" w:cs="Arial"/>
          <w:color w:val="FF0000"/>
        </w:rPr>
        <w:t xml:space="preserve">the </w:t>
      </w:r>
      <w:r w:rsidR="003E6C97" w:rsidRPr="003E6C97">
        <w:rPr>
          <w:rFonts w:ascii="Cambria" w:eastAsia="Cambria" w:hAnsi="Cambria" w:cs="Arial"/>
          <w:color w:val="FF0000"/>
        </w:rPr>
        <w:t>Mid Staffordshire</w:t>
      </w:r>
      <w:r w:rsidR="00DD33D9">
        <w:rPr>
          <w:rFonts w:ascii="Cambria" w:eastAsia="Cambria" w:hAnsi="Cambria" w:cs="Arial"/>
          <w:color w:val="FF0000"/>
        </w:rPr>
        <w:t xml:space="preserve"> Trust</w:t>
      </w:r>
      <w:r w:rsidR="003E6C97" w:rsidRPr="003E6C97">
        <w:rPr>
          <w:rFonts w:ascii="Cambria" w:eastAsia="Cambria" w:hAnsi="Cambria" w:cs="Arial"/>
          <w:color w:val="FF0000"/>
        </w:rPr>
        <w:t xml:space="preserve">, highlight the critical need for </w:t>
      </w:r>
      <w:r w:rsidR="007A45F2">
        <w:rPr>
          <w:rFonts w:ascii="Cambria" w:eastAsia="Cambria" w:hAnsi="Cambria" w:cs="Arial"/>
          <w:color w:val="FF0000"/>
        </w:rPr>
        <w:t>robust legal and procedural frameworks that empower staff to speakup, since</w:t>
      </w:r>
      <w:r w:rsidR="005A738A">
        <w:rPr>
          <w:rFonts w:ascii="Cambria" w:eastAsia="Cambria" w:hAnsi="Cambria" w:cs="Arial"/>
          <w:color w:val="FF0000"/>
        </w:rPr>
        <w:t xml:space="preserve"> staff concerns were repeatedly ignored or dismissed, illustrating how weak systems contribute to harmful organisational culture(</w:t>
      </w:r>
      <w:r w:rsidR="00A54AB3">
        <w:rPr>
          <w:rFonts w:ascii="Cambria" w:eastAsia="Cambria" w:hAnsi="Cambria" w:cs="Arial"/>
          <w:color w:val="FF0000"/>
        </w:rPr>
        <w:t xml:space="preserve">Francis Inquiry,2013). </w:t>
      </w:r>
    </w:p>
    <w:p w14:paraId="6DB3714E" w14:textId="645E796A" w:rsidR="00135440" w:rsidRPr="00135440" w:rsidRDefault="001232D4" w:rsidP="00135440">
      <w:pPr>
        <w:rPr>
          <w:rFonts w:ascii="Cambria" w:eastAsia="MS Mincho" w:hAnsi="Cambria" w:cs="Arial"/>
          <w:kern w:val="0"/>
          <w:lang w:val="en-US"/>
          <w14:ligatures w14:val="none"/>
        </w:rPr>
      </w:pPr>
      <w:r>
        <w:t>5. Minimising legal and financial risk</w:t>
      </w:r>
      <w:r w:rsidR="00BA0BBA" w:rsidRPr="00BA0BBA">
        <w:t>–</w:t>
      </w:r>
      <w:r>
        <w:t>on</w:t>
      </w:r>
      <w:r w:rsidR="00BA0BBA">
        <w:t xml:space="preserve"> </w:t>
      </w:r>
      <w:r>
        <w:t xml:space="preserve">compliance can result in employment tribunal claims, fines, reputational damage, or even criminal liability. Regulation provides a framework for avoiding these outcomes. </w:t>
      </w:r>
      <w:r w:rsidR="00135440" w:rsidRPr="00135440">
        <w:rPr>
          <w:rFonts w:ascii="Cambria" w:eastAsia="MS Mincho" w:hAnsi="Cambria" w:cs="Arial"/>
          <w:color w:val="FF0000"/>
          <w:kern w:val="0"/>
          <w:lang w:val="en-US"/>
          <w14:ligatures w14:val="none"/>
        </w:rPr>
        <w:t>However, the cost of maintaining full compliance</w:t>
      </w:r>
      <w:r w:rsidR="00804AF2">
        <w:rPr>
          <w:rFonts w:ascii="Cambria" w:eastAsia="MS Mincho" w:hAnsi="Cambria" w:cs="Arial"/>
          <w:color w:val="FF0000"/>
          <w:kern w:val="0"/>
          <w:lang w:val="en-US"/>
          <w14:ligatures w14:val="none"/>
        </w:rPr>
        <w:t xml:space="preserve">, </w:t>
      </w:r>
      <w:r w:rsidR="00135440" w:rsidRPr="00135440">
        <w:rPr>
          <w:rFonts w:ascii="Cambria" w:eastAsia="MS Mincho" w:hAnsi="Cambria" w:cs="Arial"/>
          <w:color w:val="FF0000"/>
          <w:kern w:val="0"/>
          <w:lang w:val="en-US"/>
          <w14:ligatures w14:val="none"/>
        </w:rPr>
        <w:t>especially in areas like GDPR or working time regulations</w:t>
      </w:r>
      <w:r w:rsidR="00804AF2">
        <w:rPr>
          <w:rFonts w:ascii="Cambria" w:eastAsia="MS Mincho" w:hAnsi="Cambria" w:cs="Arial"/>
          <w:color w:val="FF0000"/>
          <w:kern w:val="0"/>
          <w:lang w:val="en-US"/>
          <w14:ligatures w14:val="none"/>
        </w:rPr>
        <w:t xml:space="preserve"> </w:t>
      </w:r>
      <w:r w:rsidR="00135440" w:rsidRPr="00135440">
        <w:rPr>
          <w:rFonts w:ascii="Cambria" w:eastAsia="MS Mincho" w:hAnsi="Cambria" w:cs="Arial"/>
          <w:color w:val="FF0000"/>
          <w:kern w:val="0"/>
          <w:lang w:val="en-US"/>
          <w14:ligatures w14:val="none"/>
        </w:rPr>
        <w:t xml:space="preserve">can place </w:t>
      </w:r>
      <w:r w:rsidR="0030639B">
        <w:rPr>
          <w:rFonts w:ascii="Cambria" w:eastAsia="MS Mincho" w:hAnsi="Cambria" w:cs="Arial"/>
          <w:color w:val="FF0000"/>
          <w:kern w:val="0"/>
          <w:lang w:val="en-US"/>
          <w14:ligatures w14:val="none"/>
        </w:rPr>
        <w:t>significant strain on already stretched HR teams. This includes the need for ongoing training, system audits, detailed record-keep</w:t>
      </w:r>
      <w:r w:rsidR="00382BDD">
        <w:rPr>
          <w:rFonts w:ascii="Cambria" w:eastAsia="MS Mincho" w:hAnsi="Cambria" w:cs="Arial"/>
          <w:color w:val="FF0000"/>
          <w:kern w:val="0"/>
          <w:lang w:val="en-US"/>
          <w14:ligatures w14:val="none"/>
        </w:rPr>
        <w:t>ing, and constant monitoring to avoid breaches, all of which can divert resources from strategic initiatives or employee engagement efforts</w:t>
      </w:r>
      <w:r w:rsidR="00A96A13">
        <w:rPr>
          <w:rFonts w:ascii="Cambria" w:eastAsia="MS Mincho" w:hAnsi="Cambria" w:cs="Arial"/>
          <w:color w:val="FF0000"/>
          <w:kern w:val="0"/>
          <w:lang w:val="en-US"/>
          <w14:ligatures w14:val="none"/>
        </w:rPr>
        <w:t>(</w:t>
      </w:r>
      <w:r w:rsidR="00383D0F">
        <w:rPr>
          <w:rFonts w:ascii="Cambria" w:eastAsia="MS Mincho" w:hAnsi="Cambria" w:cs="Arial"/>
          <w:color w:val="FF0000"/>
          <w:kern w:val="0"/>
          <w:lang w:val="en-US"/>
          <w14:ligatures w14:val="none"/>
        </w:rPr>
        <w:t xml:space="preserve">GDPR Advisor,2024). </w:t>
      </w:r>
    </w:p>
    <w:p w14:paraId="5DA5CAA3" w14:textId="07EB82AE" w:rsidR="005C6D2B" w:rsidRDefault="00135440" w:rsidP="00FC25D9">
      <w:pPr>
        <w:ind w:left="360"/>
      </w:pPr>
      <w:r>
        <w:t xml:space="preserve"> </w:t>
      </w:r>
    </w:p>
    <w:p w14:paraId="7A633641" w14:textId="60DB67F8" w:rsidR="00D97427" w:rsidRDefault="006F6709" w:rsidP="00D97427">
      <w:pPr>
        <w:rPr>
          <w:rFonts w:ascii="Cambria" w:eastAsia="MS Mincho" w:hAnsi="Cambria" w:cs="Arial"/>
          <w:color w:val="FF0000"/>
          <w:kern w:val="0"/>
          <w:lang w:val="en-US"/>
          <w14:ligatures w14:val="none"/>
        </w:rPr>
      </w:pPr>
      <w:r>
        <w:lastRenderedPageBreak/>
        <w:t xml:space="preserve">Although it may seem that time spent on regulatory matters limits innovation or people-focused initiatives, legal compliance is foundational. It provides the structure and credibility necessary to introduce more progressive employment practices. For instance, fair dismissal processes support trust and reduce turnover, while legally compliant flexible working policies can boost morale and retention. </w:t>
      </w:r>
      <w:r w:rsidR="00D97427" w:rsidRPr="00D97427">
        <w:rPr>
          <w:rFonts w:ascii="Cambria" w:eastAsia="MS Mincho" w:hAnsi="Cambria" w:cs="Arial"/>
          <w:color w:val="FF0000"/>
          <w:kern w:val="0"/>
          <w:lang w:val="en-US"/>
          <w14:ligatures w14:val="none"/>
        </w:rPr>
        <w:t xml:space="preserve">Therefore, instead of viewing regulation </w:t>
      </w:r>
      <w:r w:rsidR="00D63431" w:rsidRPr="00D97427">
        <w:rPr>
          <w:rFonts w:ascii="Cambria" w:eastAsia="MS Mincho" w:hAnsi="Cambria" w:cs="Arial"/>
          <w:color w:val="FF0000"/>
          <w:kern w:val="0"/>
          <w:lang w:val="en-US"/>
          <w14:ligatures w14:val="none"/>
        </w:rPr>
        <w:t xml:space="preserve">management, </w:t>
      </w:r>
      <w:r w:rsidR="00D97427" w:rsidRPr="00D97427">
        <w:rPr>
          <w:rFonts w:ascii="Cambria" w:eastAsia="MS Mincho" w:hAnsi="Cambria" w:cs="Arial"/>
          <w:color w:val="FF0000"/>
          <w:kern w:val="0"/>
          <w:lang w:val="en-US"/>
          <w14:ligatures w14:val="none"/>
        </w:rPr>
        <w:t>nce, it should be seen as a baseline that enables better people management</w:t>
      </w:r>
      <w:r w:rsidR="007C4BA7">
        <w:rPr>
          <w:rFonts w:ascii="Cambria" w:eastAsia="MS Mincho" w:hAnsi="Cambria" w:cs="Arial"/>
          <w:color w:val="FF0000"/>
          <w:kern w:val="0"/>
          <w:lang w:val="en-US"/>
          <w14:ligatures w14:val="none"/>
        </w:rPr>
        <w:t xml:space="preserve">, </w:t>
      </w:r>
      <w:r w:rsidR="00D97427" w:rsidRPr="00D97427">
        <w:rPr>
          <w:rFonts w:ascii="Cambria" w:eastAsia="MS Mincho" w:hAnsi="Cambria" w:cs="Arial"/>
          <w:color w:val="FF0000"/>
          <w:kern w:val="0"/>
          <w:lang w:val="en-US"/>
          <w14:ligatures w14:val="none"/>
        </w:rPr>
        <w:t>particularly in complex, high-risk environments like the NHS.</w:t>
      </w:r>
      <w:r w:rsidR="00D97427">
        <w:rPr>
          <w:rFonts w:ascii="Cambria" w:eastAsia="MS Mincho" w:hAnsi="Cambria" w:cs="Arial"/>
          <w:color w:val="FF0000"/>
          <w:kern w:val="0"/>
          <w:lang w:val="en-US"/>
          <w14:ligatures w14:val="none"/>
        </w:rPr>
        <w:t xml:space="preserve"> </w:t>
      </w:r>
    </w:p>
    <w:p w14:paraId="22CE9DDE" w14:textId="21776F6F" w:rsidR="00E46B91" w:rsidRPr="00E46B91" w:rsidRDefault="00E46B91" w:rsidP="00E46B91">
      <w:pPr>
        <w:spacing w:after="200" w:line="276" w:lineRule="auto"/>
        <w:rPr>
          <w:rFonts w:ascii="Cambria" w:eastAsia="MS Mincho" w:hAnsi="Cambria" w:cs="Arial"/>
          <w:kern w:val="0"/>
          <w:lang w:val="en-US"/>
          <w14:ligatures w14:val="none"/>
        </w:rPr>
      </w:pPr>
      <w:r w:rsidRPr="00E46B91">
        <w:rPr>
          <w:rFonts w:ascii="Cambria" w:eastAsia="MS Mincho" w:hAnsi="Cambria" w:cs="Arial"/>
          <w:color w:val="FF0000"/>
          <w:kern w:val="0"/>
          <w:lang w:val="en-US"/>
          <w14:ligatures w14:val="none"/>
        </w:rPr>
        <w:t>In conclusion, employment regulation plays a crucial role in supporting both ethical and operational excellence, especially in public sector organizations. However, its effectiveness depends on how well it is integrated into the organization’s culture and processes. A balanced approach</w:t>
      </w:r>
      <w:r w:rsidR="007C4BA7">
        <w:rPr>
          <w:rFonts w:ascii="Cambria" w:eastAsia="MS Mincho" w:hAnsi="Cambria" w:cs="Arial"/>
          <w:color w:val="FF0000"/>
          <w:kern w:val="0"/>
          <w:lang w:val="en-US"/>
          <w14:ligatures w14:val="none"/>
        </w:rPr>
        <w:t xml:space="preserve">, </w:t>
      </w:r>
      <w:r w:rsidRPr="00E46B91">
        <w:rPr>
          <w:rFonts w:ascii="Cambria" w:eastAsia="MS Mincho" w:hAnsi="Cambria" w:cs="Arial"/>
          <w:color w:val="FF0000"/>
          <w:kern w:val="0"/>
          <w:lang w:val="en-US"/>
          <w14:ligatures w14:val="none"/>
        </w:rPr>
        <w:t>where compliance supports rather than competes with strategic people initiatives</w:t>
      </w:r>
      <w:r w:rsidR="007C4BA7">
        <w:rPr>
          <w:rFonts w:ascii="Cambria" w:eastAsia="MS Mincho" w:hAnsi="Cambria" w:cs="Arial"/>
          <w:color w:val="FF0000"/>
          <w:kern w:val="0"/>
          <w:lang w:val="en-US"/>
          <w14:ligatures w14:val="none"/>
        </w:rPr>
        <w:t xml:space="preserve">, </w:t>
      </w:r>
      <w:r w:rsidRPr="00E46B91">
        <w:rPr>
          <w:rFonts w:ascii="Cambria" w:eastAsia="MS Mincho" w:hAnsi="Cambria" w:cs="Arial"/>
          <w:color w:val="FF0000"/>
          <w:kern w:val="0"/>
          <w:lang w:val="en-US"/>
          <w14:ligatures w14:val="none"/>
        </w:rPr>
        <w:t>is key to achieving both legal and employee engagement goals.</w:t>
      </w:r>
    </w:p>
    <w:p w14:paraId="397A2D20" w14:textId="77777777" w:rsidR="00E46B91" w:rsidRPr="00D97427" w:rsidRDefault="00E46B91" w:rsidP="00D97427">
      <w:pPr>
        <w:rPr>
          <w:rFonts w:ascii="Cambria" w:eastAsia="MS Mincho" w:hAnsi="Cambria" w:cs="Arial"/>
          <w:kern w:val="0"/>
          <w:lang w:val="en-US"/>
          <w14:ligatures w14:val="none"/>
        </w:rPr>
      </w:pPr>
    </w:p>
    <w:p w14:paraId="339A7B9B" w14:textId="4B25658E" w:rsidR="001232D4" w:rsidRDefault="001232D4" w:rsidP="00FC25D9">
      <w:pPr>
        <w:ind w:left="360"/>
      </w:pPr>
    </w:p>
    <w:p w14:paraId="0EB01EAE" w14:textId="77777777" w:rsidR="00B35536" w:rsidRDefault="00B35536" w:rsidP="00FC25D9">
      <w:pPr>
        <w:ind w:left="360"/>
      </w:pPr>
    </w:p>
    <w:p w14:paraId="09871FFC" w14:textId="08CFCCE7" w:rsidR="00CA7F08" w:rsidRDefault="00B30DFB" w:rsidP="00B30DFB">
      <w:pPr>
        <w:pStyle w:val="ListParagraph"/>
        <w:numPr>
          <w:ilvl w:val="0"/>
          <w:numId w:val="1"/>
        </w:numPr>
      </w:pPr>
      <w:r>
        <w:t>(AC1.2):</w:t>
      </w:r>
    </w:p>
    <w:p w14:paraId="368621DD" w14:textId="4AC68CE8" w:rsidR="00277C7E" w:rsidRDefault="0087127D" w:rsidP="00B30DFB">
      <w:r>
        <w:t xml:space="preserve">Following the UK’s departure from the EU, there has been significant change in how European Court of Justice (ECJ) decisions apply to UK employment law. However, pre-Brexit ECJ judgments still carry legal weight under current regulations. </w:t>
      </w:r>
    </w:p>
    <w:p w14:paraId="4C2E87A4" w14:textId="7D605AB0" w:rsidR="0087127D" w:rsidRDefault="00AF090E" w:rsidP="00B30DFB">
      <w:r>
        <w:t xml:space="preserve">Under the European Union (Withdrawal) Act 2018, ECJ case law made before 31 December 2020 (the end of the transition period) has been retained and continues to bind lower </w:t>
      </w:r>
      <w:r w:rsidR="00A018B7">
        <w:t xml:space="preserve">UK </w:t>
      </w:r>
      <w:r w:rsidR="00042EF2">
        <w:t>courts</w:t>
      </w:r>
      <w:r w:rsidR="00A018B7">
        <w:t xml:space="preserve"> and tribunals, unless and until overturned by higher courts or Parliament (Gov.uk,2024</w:t>
      </w:r>
      <w:r w:rsidR="00852984">
        <w:t>e</w:t>
      </w:r>
      <w:r w:rsidR="00A018B7">
        <w:t xml:space="preserve">). </w:t>
      </w:r>
    </w:p>
    <w:p w14:paraId="333A55C4" w14:textId="06BAA1A8" w:rsidR="00A018B7" w:rsidRDefault="002C683E" w:rsidP="002C683E">
      <w:pPr>
        <w:pStyle w:val="ListParagraph"/>
        <w:numPr>
          <w:ilvl w:val="0"/>
          <w:numId w:val="10"/>
        </w:numPr>
      </w:pPr>
      <w:r>
        <w:t xml:space="preserve">The Supreme Court and, in some circumstances, the Court of Appeal have the authority to depart from retained EU case law where they consider it </w:t>
      </w:r>
      <w:r w:rsidR="00CC3DE3">
        <w:t xml:space="preserve">appropriate (Lewis and Sargeant,2020). </w:t>
      </w:r>
    </w:p>
    <w:p w14:paraId="470C7B76" w14:textId="4DB40111" w:rsidR="00CC3DE3" w:rsidRDefault="00BC5596" w:rsidP="002C683E">
      <w:pPr>
        <w:pStyle w:val="ListParagraph"/>
        <w:numPr>
          <w:ilvl w:val="0"/>
          <w:numId w:val="10"/>
        </w:numPr>
      </w:pPr>
      <w:r>
        <w:t xml:space="preserve">ECJ decisions made after </w:t>
      </w:r>
      <w:r w:rsidR="00042EF2">
        <w:t xml:space="preserve">Brexit are not binding but may still considered persuasive in cases involving similar principles, particularly where UK law has not yet diverged (Taylor and Emir,2022). </w:t>
      </w:r>
    </w:p>
    <w:p w14:paraId="372814EE" w14:textId="77777777" w:rsidR="00B5228D" w:rsidRDefault="00B5228D" w:rsidP="00042EF2">
      <w:pPr>
        <w:ind w:left="360"/>
      </w:pPr>
      <w:r>
        <w:t>This framework ensures continuity and legal certainty, especially in areas like working time, discrimination, and equal pay, many of which were heavily shaped by ECJ rulings.</w:t>
      </w:r>
    </w:p>
    <w:p w14:paraId="0CEDE1E4" w14:textId="77777777" w:rsidR="00B5228D" w:rsidRDefault="00B5228D" w:rsidP="00042EF2">
      <w:pPr>
        <w:ind w:left="360"/>
      </w:pPr>
      <w:r>
        <w:t xml:space="preserve">Example: Holiday pay and Sick leave: </w:t>
      </w:r>
    </w:p>
    <w:p w14:paraId="5FAFF88E" w14:textId="6578E028" w:rsidR="00042EF2" w:rsidRDefault="00B5228D" w:rsidP="00042EF2">
      <w:pPr>
        <w:ind w:left="360"/>
      </w:pPr>
      <w:r>
        <w:t xml:space="preserve">A notable example is Stringer v HMRC </w:t>
      </w:r>
      <w:r w:rsidR="006E749A">
        <w:t>[</w:t>
      </w:r>
      <w:r>
        <w:t>2009</w:t>
      </w:r>
      <w:r w:rsidR="006E749A">
        <w:t>]</w:t>
      </w:r>
      <w:r>
        <w:t xml:space="preserve">, where the ECJ ruled that workers continue to accrue statutory holiday during periods of sick leave. </w:t>
      </w:r>
      <w:r w:rsidR="00335B7B">
        <w:t xml:space="preserve">This principle influenced key UK cases such as NHS Leeds v Larner </w:t>
      </w:r>
      <w:r w:rsidR="006E749A">
        <w:t>[2012</w:t>
      </w:r>
      <w:r w:rsidR="00A37558">
        <w:t>] and</w:t>
      </w:r>
      <w:r w:rsidR="006E749A">
        <w:t xml:space="preserve"> became an integral part of domestic law. </w:t>
      </w:r>
      <w:r w:rsidR="00FC1C03">
        <w:t xml:space="preserve">It has had a direct impact on how employers </w:t>
      </w:r>
      <w:r w:rsidR="00484D9E">
        <w:t xml:space="preserve">in the UK calculate and manage holiday entitlement, particularly in the public sector. </w:t>
      </w:r>
    </w:p>
    <w:p w14:paraId="30B5832D" w14:textId="305CC3ED" w:rsidR="00762F7C" w:rsidRDefault="00762F7C" w:rsidP="00042EF2">
      <w:pPr>
        <w:ind w:left="360"/>
      </w:pPr>
      <w:r>
        <w:t xml:space="preserve">This case illustrates how ECJ rulings have influenced domestic employment rights and continue to guide decisions where the underlaying legislation has not been amended post-Brexit. Employers must still follow this precedent unless overridden by new UK law or case law at the highest levels. </w:t>
      </w:r>
    </w:p>
    <w:p w14:paraId="23E2C39A" w14:textId="0B21E006" w:rsidR="00DB7185" w:rsidRDefault="00DB7185" w:rsidP="00042EF2">
      <w:pPr>
        <w:ind w:left="360"/>
      </w:pPr>
      <w:r>
        <w:lastRenderedPageBreak/>
        <w:t xml:space="preserve">Practical impact: </w:t>
      </w:r>
    </w:p>
    <w:p w14:paraId="54A8897C" w14:textId="23507608" w:rsidR="00DB7185" w:rsidRDefault="00DB7185" w:rsidP="00042EF2">
      <w:pPr>
        <w:ind w:left="360"/>
      </w:pPr>
      <w:r>
        <w:t>In HR practice, we must continue to apply retained EU law, including established ECJ interpretations, especially where no UK law has overridden them. This is particularly relevant in areas such as</w:t>
      </w:r>
      <w:r w:rsidR="00DA0682">
        <w:t xml:space="preserve"> working time regulations, equality and discrimination, and TUPE protections</w:t>
      </w:r>
      <w:r w:rsidR="00762F7C">
        <w:t xml:space="preserve"> and Holiday pay calculations. </w:t>
      </w:r>
    </w:p>
    <w:p w14:paraId="2CE6DAA2" w14:textId="4D90449D" w:rsidR="00762F7C" w:rsidRDefault="00762F7C" w:rsidP="00042EF2">
      <w:pPr>
        <w:ind w:left="360"/>
      </w:pPr>
      <w:r>
        <w:t xml:space="preserve">Failing to consider relevant ECJ rulings could lead to inconsistencies, increased legal risk, or tribunal challenges. Until UK courts or Parliament change the legal position, these precedents remain highly influential and should be reflected on policy and advice. </w:t>
      </w:r>
    </w:p>
    <w:p w14:paraId="73BE8C06" w14:textId="77777777" w:rsidR="00DD4001" w:rsidRDefault="00DD4001" w:rsidP="00B30DFB"/>
    <w:p w14:paraId="7F7AEFD5" w14:textId="6075E2B5" w:rsidR="00DD4001" w:rsidRDefault="00DD4001" w:rsidP="00DD4001">
      <w:pPr>
        <w:pStyle w:val="ListParagraph"/>
        <w:numPr>
          <w:ilvl w:val="0"/>
          <w:numId w:val="1"/>
        </w:numPr>
      </w:pPr>
      <w:r>
        <w:t>(AC</w:t>
      </w:r>
      <w:r w:rsidR="00456118">
        <w:t>2</w:t>
      </w:r>
      <w:r>
        <w:t>.</w:t>
      </w:r>
      <w:r w:rsidR="00456118">
        <w:t>1</w:t>
      </w:r>
      <w:r>
        <w:t>):</w:t>
      </w:r>
    </w:p>
    <w:p w14:paraId="4AFF5846" w14:textId="58477DFF" w:rsidR="00D809E3" w:rsidRDefault="00A85742" w:rsidP="00152482">
      <w:pPr>
        <w:ind w:left="360"/>
      </w:pPr>
      <w:r>
        <w:t xml:space="preserve">Under the Equality Act 2010, employers must not discriminate against job applicant on the basis of protected characteristics, including sex. However, in limited </w:t>
      </w:r>
      <w:r w:rsidR="002854F0">
        <w:t>and specific</w:t>
      </w:r>
      <w:r w:rsidR="00203080">
        <w:t xml:space="preserve"> </w:t>
      </w:r>
      <w:r>
        <w:t xml:space="preserve">cases, it is lawful to require a job to be </w:t>
      </w:r>
      <w:r w:rsidR="00F53FB3">
        <w:t>performed</w:t>
      </w:r>
      <w:r>
        <w:t xml:space="preserve"> by someone of a particular gender if an occupational requirement (OR) can be clearly justified</w:t>
      </w:r>
      <w:r w:rsidR="00F53FB3">
        <w:t xml:space="preserve">. </w:t>
      </w:r>
      <w:r w:rsidR="00203080">
        <w:t xml:space="preserve">This ensures flexibility in applying equality law where the nature of the work makes such a requirement truly necessary. </w:t>
      </w:r>
    </w:p>
    <w:p w14:paraId="65428AA6" w14:textId="67B73A51" w:rsidR="00401042" w:rsidRDefault="00401042" w:rsidP="00152482">
      <w:pPr>
        <w:ind w:left="360"/>
      </w:pPr>
      <w:r>
        <w:t xml:space="preserve">Legal framework: </w:t>
      </w:r>
    </w:p>
    <w:p w14:paraId="263BD4C9" w14:textId="521FC9D9" w:rsidR="00401042" w:rsidRDefault="00401042" w:rsidP="00152482">
      <w:pPr>
        <w:ind w:left="360"/>
      </w:pPr>
      <w:r>
        <w:t xml:space="preserve">An OR is a legal exception under schedule </w:t>
      </w:r>
      <w:r w:rsidR="00203080">
        <w:t>9</w:t>
      </w:r>
      <w:r>
        <w:t>, paragraph 1 of the Equality Act 2010. It permits an employer to specify that a job must be carried out by a man or a woman only when the char</w:t>
      </w:r>
      <w:r w:rsidR="00E26ECB">
        <w:t xml:space="preserve">acteristic is essential to the nature of the job, </w:t>
      </w:r>
      <w:r w:rsidR="001F2B5F">
        <w:t>and the requirement is a proportionate means of achieving a legitimate aim (EHRC,2023</w:t>
      </w:r>
      <w:r w:rsidR="00852984">
        <w:t>a</w:t>
      </w:r>
      <w:r w:rsidR="001F2B5F">
        <w:t xml:space="preserve">). </w:t>
      </w:r>
      <w:r w:rsidR="00203080">
        <w:t>this is a high threshold and should be approached with caution to avoid potential claims of discrimination.</w:t>
      </w:r>
    </w:p>
    <w:p w14:paraId="2F37EDA9" w14:textId="35D18B9C" w:rsidR="00B115F0" w:rsidRDefault="00B115F0" w:rsidP="00152482">
      <w:pPr>
        <w:ind w:left="360"/>
      </w:pPr>
      <w:r>
        <w:t xml:space="preserve">This exception is narrowly applied and must not be based on assumptions, stereotypes, or customer preferences alone. (Taylor and Emir,2022). </w:t>
      </w:r>
      <w:r w:rsidR="00203080">
        <w:t>For example, a general believe that women are ‘’more empathetic’’ or that men are ‘’</w:t>
      </w:r>
      <w:r w:rsidR="006655DE">
        <w:t xml:space="preserve">physically stronger’’ is not sufficient justification. </w:t>
      </w:r>
    </w:p>
    <w:p w14:paraId="5AF418E5" w14:textId="61131143" w:rsidR="00B115F0" w:rsidRDefault="00492C6A" w:rsidP="00152482">
      <w:pPr>
        <w:ind w:left="360"/>
      </w:pPr>
      <w:r>
        <w:t xml:space="preserve">When it may be lawful: </w:t>
      </w:r>
    </w:p>
    <w:p w14:paraId="20BE2077" w14:textId="5A5CE276" w:rsidR="00CB33D9" w:rsidRDefault="00CB33D9" w:rsidP="00152482">
      <w:pPr>
        <w:ind w:left="360"/>
      </w:pPr>
      <w:r>
        <w:t xml:space="preserve">Examples of legitimate occupational requirements include: </w:t>
      </w:r>
    </w:p>
    <w:p w14:paraId="209E7DBF" w14:textId="3C13A7B1" w:rsidR="00CB33D9" w:rsidRDefault="00CB33D9" w:rsidP="00CB33D9">
      <w:pPr>
        <w:pStyle w:val="ListParagraph"/>
        <w:numPr>
          <w:ilvl w:val="0"/>
          <w:numId w:val="10"/>
        </w:numPr>
      </w:pPr>
      <w:r>
        <w:t>A female support worker for women’s domestic violence refuge, where the clients would be distressed by male s</w:t>
      </w:r>
      <w:r w:rsidR="007B054C">
        <w:t xml:space="preserve">taff due to past trauma (croft v Royal Mail Group plc [2003]). </w:t>
      </w:r>
    </w:p>
    <w:p w14:paraId="172857F4" w14:textId="5D08602D" w:rsidR="007B054C" w:rsidRDefault="007B054C" w:rsidP="00CB33D9">
      <w:pPr>
        <w:pStyle w:val="ListParagraph"/>
        <w:numPr>
          <w:ilvl w:val="0"/>
          <w:numId w:val="10"/>
        </w:numPr>
      </w:pPr>
      <w:r>
        <w:t>A male actor playing a male character in a dramatic production</w:t>
      </w:r>
    </w:p>
    <w:p w14:paraId="369CBF6F" w14:textId="241383FB" w:rsidR="007B054C" w:rsidRDefault="007B054C" w:rsidP="00CB33D9">
      <w:pPr>
        <w:pStyle w:val="ListParagraph"/>
        <w:numPr>
          <w:ilvl w:val="0"/>
          <w:numId w:val="10"/>
        </w:numPr>
      </w:pPr>
      <w:r>
        <w:t xml:space="preserve">A female health worker providing intimate care to female patients where privacy, dignity, or religious/cultural reasons justify it. </w:t>
      </w:r>
    </w:p>
    <w:p w14:paraId="6EB774A6" w14:textId="6465FCA0" w:rsidR="007B054C" w:rsidRDefault="007B054C" w:rsidP="007B054C">
      <w:pPr>
        <w:ind w:left="360"/>
      </w:pPr>
      <w:r>
        <w:t xml:space="preserve">In such cases the requirement must be genuinely necessary, not simply convenient or based on personal preferences. </w:t>
      </w:r>
    </w:p>
    <w:p w14:paraId="174D3B7E" w14:textId="623B4C97" w:rsidR="007B054C" w:rsidRDefault="007B054C" w:rsidP="007B054C">
      <w:pPr>
        <w:ind w:left="360"/>
      </w:pPr>
      <w:r>
        <w:t xml:space="preserve">When it is not lawful: </w:t>
      </w:r>
      <w:r>
        <w:br/>
        <w:t xml:space="preserve">it is not lawful to: </w:t>
      </w:r>
    </w:p>
    <w:p w14:paraId="58D4052F" w14:textId="2ADBEA22" w:rsidR="007B054C" w:rsidRDefault="007B054C" w:rsidP="007B054C">
      <w:pPr>
        <w:pStyle w:val="ListParagraph"/>
        <w:numPr>
          <w:ilvl w:val="0"/>
          <w:numId w:val="2"/>
        </w:numPr>
      </w:pPr>
      <w:r>
        <w:t xml:space="preserve">Specify a gender because ‘’ the team is mostly female’’ or ‘’clients are more comfortable with women’’ </w:t>
      </w:r>
    </w:p>
    <w:p w14:paraId="3114A2F1" w14:textId="11791855" w:rsidR="007B054C" w:rsidRDefault="007B054C" w:rsidP="007B054C">
      <w:pPr>
        <w:pStyle w:val="ListParagraph"/>
        <w:numPr>
          <w:ilvl w:val="0"/>
          <w:numId w:val="2"/>
        </w:numPr>
      </w:pPr>
      <w:r>
        <w:t xml:space="preserve">Assume that one gender is better suited for a role </w:t>
      </w:r>
      <w:r w:rsidR="00585B59">
        <w:t xml:space="preserve">(e.g., ‘’men are stronger’’ or ‘’women are more caring’’), these are </w:t>
      </w:r>
      <w:r w:rsidR="00D76199">
        <w:t>discriminatory</w:t>
      </w:r>
      <w:r w:rsidR="00585B59">
        <w:t xml:space="preserve"> generalisation (ACAS</w:t>
      </w:r>
      <w:r w:rsidR="00D76199">
        <w:t xml:space="preserve">,2023). </w:t>
      </w:r>
    </w:p>
    <w:p w14:paraId="03FB3136" w14:textId="0F9D0DBE" w:rsidR="00D76199" w:rsidRDefault="00D76199" w:rsidP="007B054C">
      <w:pPr>
        <w:pStyle w:val="ListParagraph"/>
        <w:numPr>
          <w:ilvl w:val="0"/>
          <w:numId w:val="2"/>
        </w:numPr>
      </w:pPr>
      <w:r>
        <w:lastRenderedPageBreak/>
        <w:t xml:space="preserve">Use an OR to avoid potential disruption or to appease colleagues’ preferences. </w:t>
      </w:r>
    </w:p>
    <w:p w14:paraId="35138094" w14:textId="60A44E35" w:rsidR="00FE07B3" w:rsidRDefault="00414CCD" w:rsidP="00D76199">
      <w:pPr>
        <w:ind w:left="360"/>
      </w:pPr>
      <w:r>
        <w:t xml:space="preserve">Best </w:t>
      </w:r>
      <w:r w:rsidR="00FE07B3">
        <w:t xml:space="preserve">practice: </w:t>
      </w:r>
    </w:p>
    <w:p w14:paraId="7BC74DEF" w14:textId="4FCEFD05" w:rsidR="000F6153" w:rsidRDefault="00414CCD" w:rsidP="003C44DA">
      <w:pPr>
        <w:ind w:left="360"/>
      </w:pPr>
      <w:r>
        <w:t>if considering applying an occupational requirement</w:t>
      </w:r>
      <w:r w:rsidR="00FE07B3">
        <w:t>, it is essential to document the justification thoroughly, refer to relevant case law and legi</w:t>
      </w:r>
      <w:r w:rsidR="000F6153">
        <w:t xml:space="preserve">slative exemptions, and consider whether there is any less discriminatory alternative (e.g., offering additional training or modifying work patterns). </w:t>
      </w:r>
    </w:p>
    <w:p w14:paraId="34B7CF10" w14:textId="3320CE99" w:rsidR="003C44DA" w:rsidRDefault="003C44DA" w:rsidP="003C44DA">
      <w:pPr>
        <w:ind w:left="360"/>
      </w:pPr>
      <w:r>
        <w:t xml:space="preserve">You should also review whether the requirement is still appropriate over time, especially if the context or service changes. </w:t>
      </w:r>
    </w:p>
    <w:p w14:paraId="43BADA97" w14:textId="77777777" w:rsidR="00D76199" w:rsidRDefault="00D76199" w:rsidP="00D76199"/>
    <w:p w14:paraId="60C69197" w14:textId="77777777" w:rsidR="00D76199" w:rsidRDefault="00D76199" w:rsidP="00D76199"/>
    <w:p w14:paraId="0A111A8E" w14:textId="6FAF8898" w:rsidR="00A01393" w:rsidRDefault="00A01393" w:rsidP="00A01393">
      <w:pPr>
        <w:pStyle w:val="ListParagraph"/>
        <w:numPr>
          <w:ilvl w:val="0"/>
          <w:numId w:val="2"/>
        </w:numPr>
      </w:pPr>
      <w:r>
        <w:t>(AC2.2):</w:t>
      </w:r>
    </w:p>
    <w:p w14:paraId="721C6549" w14:textId="1D7CCE82" w:rsidR="0007374A" w:rsidRDefault="0007374A" w:rsidP="0007374A">
      <w:r>
        <w:t xml:space="preserve">Under the Equality Act 2010, all employees are entitled to equal pay for equal work, regardless of gender. This includes </w:t>
      </w:r>
      <w:r w:rsidR="005D2387">
        <w:t xml:space="preserve">not just basic </w:t>
      </w:r>
      <w:r>
        <w:t xml:space="preserve">pay, </w:t>
      </w:r>
      <w:r w:rsidR="00B35F76">
        <w:t xml:space="preserve">but also </w:t>
      </w:r>
      <w:r>
        <w:t>bonuses,</w:t>
      </w:r>
      <w:r w:rsidR="00B35F76">
        <w:t xml:space="preserve"> overtime, pension contributions,</w:t>
      </w:r>
      <w:r>
        <w:t xml:space="preserve"> and other terms and conditions. The law defines ‘’ equal work’’ in three ways: life work, work rated as equivalent, and work of equal value (Equality Act, s.65). </w:t>
      </w:r>
    </w:p>
    <w:p w14:paraId="46668420" w14:textId="77777777" w:rsidR="0007374A" w:rsidRDefault="0007374A" w:rsidP="0007374A">
      <w:r>
        <w:t xml:space="preserve">Upgrading two male HCAs from grade A to grade B, when the majority of comparable HCAs (80% of whom are women) remain on grade A, raises potential equal pay and indirect sex discrimination concerns. Unless there is objective justification for the pay difference, this action could result in claims under the Equality Act for unlawful unequal pay (ACAS,2022a). </w:t>
      </w:r>
    </w:p>
    <w:p w14:paraId="65E79AF6" w14:textId="77777777" w:rsidR="0007374A" w:rsidRDefault="0007374A" w:rsidP="0007374A">
      <w:r>
        <w:t xml:space="preserve">To approve such a move legally, it must be demonstrated that: </w:t>
      </w:r>
    </w:p>
    <w:p w14:paraId="0130B952" w14:textId="77777777" w:rsidR="0007374A" w:rsidRDefault="0007374A" w:rsidP="0007374A">
      <w:pPr>
        <w:pStyle w:val="ListParagraph"/>
        <w:numPr>
          <w:ilvl w:val="0"/>
          <w:numId w:val="4"/>
        </w:numPr>
      </w:pPr>
      <w:r>
        <w:t xml:space="preserve">The upgraded roles are materially different in duties and responsibilities compared to other HCAs. </w:t>
      </w:r>
    </w:p>
    <w:p w14:paraId="45422C1F" w14:textId="77777777" w:rsidR="0007374A" w:rsidRDefault="0007374A" w:rsidP="0007374A">
      <w:pPr>
        <w:pStyle w:val="ListParagraph"/>
        <w:numPr>
          <w:ilvl w:val="0"/>
          <w:numId w:val="4"/>
        </w:numPr>
      </w:pPr>
      <w:r>
        <w:t xml:space="preserve">There is a clear business case or objective justification for why these two roles are graded higher. </w:t>
      </w:r>
    </w:p>
    <w:p w14:paraId="16A376FC" w14:textId="77777777" w:rsidR="0007374A" w:rsidRDefault="0007374A" w:rsidP="0007374A">
      <w:pPr>
        <w:pStyle w:val="ListParagraph"/>
        <w:numPr>
          <w:ilvl w:val="0"/>
          <w:numId w:val="4"/>
        </w:numPr>
      </w:pPr>
      <w:r>
        <w:t xml:space="preserve">The grading decision is based on a transparent and non-discriminatory job evaluation or regarding process, applied consistently (EHRC,2020). </w:t>
      </w:r>
    </w:p>
    <w:p w14:paraId="181858B2" w14:textId="77777777" w:rsidR="0007374A" w:rsidRDefault="0007374A" w:rsidP="0007374A">
      <w:pPr>
        <w:ind w:left="360"/>
      </w:pPr>
      <w:r>
        <w:t xml:space="preserve">Funding availability (e.g. surplus research money) cannot alone justify unequal pay if the roles are the same (Rubery et al,2005). Furthermore, making changes that benefit only male staff in a female-dominated role without a robust, non-gendered rationale may amount to indirect discrimination, unless a proportionate means of achieving a legitimate aim can be shown (Hepple,2014). </w:t>
      </w:r>
    </w:p>
    <w:p w14:paraId="790F7283" w14:textId="77777777" w:rsidR="0007374A" w:rsidRDefault="0007374A" w:rsidP="0007374A">
      <w:pPr>
        <w:ind w:left="360"/>
      </w:pPr>
      <w:r>
        <w:t xml:space="preserve">So I advise you to: </w:t>
      </w:r>
    </w:p>
    <w:p w14:paraId="60A9013A" w14:textId="77777777" w:rsidR="0007374A" w:rsidRDefault="0007374A" w:rsidP="0007374A">
      <w:pPr>
        <w:pStyle w:val="ListParagraph"/>
        <w:numPr>
          <w:ilvl w:val="0"/>
          <w:numId w:val="3"/>
        </w:numPr>
      </w:pPr>
      <w:r>
        <w:t xml:space="preserve">Submit a request through the formal job evaluation process (e.g., Agenda for change review). </w:t>
      </w:r>
    </w:p>
    <w:p w14:paraId="4EA0EECD" w14:textId="77777777" w:rsidR="0007374A" w:rsidRDefault="0007374A" w:rsidP="0007374A">
      <w:pPr>
        <w:pStyle w:val="ListParagraph"/>
        <w:numPr>
          <w:ilvl w:val="0"/>
          <w:numId w:val="3"/>
        </w:numPr>
      </w:pPr>
      <w:r>
        <w:t xml:space="preserve">Avoid implementing any pay changes until the roles have been properly assessed and a non-discriminatory rationale established. </w:t>
      </w:r>
    </w:p>
    <w:p w14:paraId="0EF61B6C" w14:textId="77777777" w:rsidR="0007374A" w:rsidRDefault="0007374A" w:rsidP="0007374A">
      <w:pPr>
        <w:pStyle w:val="ListParagraph"/>
        <w:numPr>
          <w:ilvl w:val="0"/>
          <w:numId w:val="3"/>
        </w:numPr>
      </w:pPr>
      <w:r>
        <w:t xml:space="preserve">Be prepared to offer the same opportunity to other HCAs in similar roles, regardless of gender. </w:t>
      </w:r>
    </w:p>
    <w:p w14:paraId="1286B5C2" w14:textId="1EC95C8A" w:rsidR="0007374A" w:rsidRDefault="0007374A" w:rsidP="0007374A">
      <w:pPr>
        <w:ind w:left="360"/>
      </w:pPr>
      <w:r>
        <w:lastRenderedPageBreak/>
        <w:t xml:space="preserve">In summary, upgrading only two male staff in a predominantly female role group without proper justification </w:t>
      </w:r>
      <w:r w:rsidR="009C14B0">
        <w:t xml:space="preserve">may </w:t>
      </w:r>
      <w:r w:rsidR="00B63CC0">
        <w:t xml:space="preserve">not only </w:t>
      </w:r>
      <w:r>
        <w:t>risk</w:t>
      </w:r>
      <w:r w:rsidR="00B63CC0">
        <w:t>s</w:t>
      </w:r>
      <w:r w:rsidR="009C14B0">
        <w:t xml:space="preserve"> </w:t>
      </w:r>
      <w:r>
        <w:t xml:space="preserve">breaching equal pay </w:t>
      </w:r>
      <w:r w:rsidR="00213410">
        <w:t xml:space="preserve">legislation, but also damage the Trust’s wider commitment to equity, transparency, and employee trust. </w:t>
      </w:r>
    </w:p>
    <w:p w14:paraId="54F79DCE" w14:textId="77777777" w:rsidR="0007374A" w:rsidRDefault="0007374A" w:rsidP="0007374A">
      <w:pPr>
        <w:ind w:left="360"/>
      </w:pPr>
    </w:p>
    <w:p w14:paraId="31CE51CB" w14:textId="3C0190B3" w:rsidR="00843A52" w:rsidRDefault="00843A52" w:rsidP="0005123F">
      <w:pPr>
        <w:pStyle w:val="ListParagraph"/>
        <w:numPr>
          <w:ilvl w:val="0"/>
          <w:numId w:val="2"/>
        </w:numPr>
      </w:pPr>
      <w:r>
        <w:t>(AC3.1):</w:t>
      </w:r>
    </w:p>
    <w:p w14:paraId="15B740BD" w14:textId="527A494B" w:rsidR="00843A52" w:rsidRDefault="00843A52" w:rsidP="00843A52">
      <w:r>
        <w:t xml:space="preserve">To establish a valid claim for constructive dismissal, the employee must prove that the employer fundamentally breached their contract, causing them to resign (Employment rights Act 1996). A unilateral change to working hours without the employee’s consent may constitute such a breach, particularly if it significantly impacts the employee’s work-life balance, financial situation, or established contractual expectations (Cabrelli,2020). </w:t>
      </w:r>
    </w:p>
    <w:p w14:paraId="2DD6D86A" w14:textId="4743FF73" w:rsidR="00843A52" w:rsidRDefault="00346A10" w:rsidP="00843A52">
      <w:r>
        <w:t>According to (Cabrelli,2020), f</w:t>
      </w:r>
      <w:r w:rsidR="00843A52">
        <w:t xml:space="preserve">or a constructive dismissal claim to succeed, the following </w:t>
      </w:r>
      <w:r w:rsidR="00155B54">
        <w:t>criteria</w:t>
      </w:r>
      <w:r w:rsidR="00843A52">
        <w:t xml:space="preserve"> need to be met: </w:t>
      </w:r>
    </w:p>
    <w:p w14:paraId="5C3F6A62" w14:textId="2EDA65B0" w:rsidR="00843A52" w:rsidRDefault="00843A52" w:rsidP="00843A52">
      <w:pPr>
        <w:pStyle w:val="ListParagraph"/>
        <w:numPr>
          <w:ilvl w:val="0"/>
          <w:numId w:val="6"/>
        </w:numPr>
      </w:pPr>
      <w:r>
        <w:t>There wa</w:t>
      </w:r>
      <w:r w:rsidR="00155B54">
        <w:t>s</w:t>
      </w:r>
      <w:r>
        <w:t xml:space="preserve"> a </w:t>
      </w:r>
      <w:r w:rsidR="00155B54">
        <w:t>repudiatory</w:t>
      </w:r>
      <w:r>
        <w:t xml:space="preserve"> breach of contract by the employer. </w:t>
      </w:r>
    </w:p>
    <w:p w14:paraId="46078ED7" w14:textId="291A34F3" w:rsidR="00843A52" w:rsidRDefault="00843A52" w:rsidP="00843A52">
      <w:pPr>
        <w:pStyle w:val="ListParagraph"/>
        <w:numPr>
          <w:ilvl w:val="0"/>
          <w:numId w:val="6"/>
        </w:numPr>
      </w:pPr>
      <w:r>
        <w:t>The breach was significant, not minor.</w:t>
      </w:r>
    </w:p>
    <w:p w14:paraId="3387B548" w14:textId="0517A3E0" w:rsidR="00843A52" w:rsidRDefault="00843A52" w:rsidP="00843A52">
      <w:pPr>
        <w:pStyle w:val="ListParagraph"/>
        <w:numPr>
          <w:ilvl w:val="0"/>
          <w:numId w:val="6"/>
        </w:numPr>
      </w:pPr>
      <w:r>
        <w:t xml:space="preserve">The employee resigned in response to that breach and did so promptly. </w:t>
      </w:r>
    </w:p>
    <w:p w14:paraId="6665099C" w14:textId="56CC3C21" w:rsidR="00843A52" w:rsidRDefault="00843A52" w:rsidP="00843A52">
      <w:pPr>
        <w:pStyle w:val="ListParagraph"/>
        <w:numPr>
          <w:ilvl w:val="0"/>
          <w:numId w:val="6"/>
        </w:numPr>
      </w:pPr>
      <w:r>
        <w:t>The resignation was not delayed in a way that could be seen as acceptance of the new terms (known as ‘’affi</w:t>
      </w:r>
      <w:r w:rsidR="00D003BB">
        <w:t>rmation’’).</w:t>
      </w:r>
    </w:p>
    <w:p w14:paraId="4A690F49" w14:textId="3EEAB044" w:rsidR="00D003BB" w:rsidRDefault="00D003BB" w:rsidP="00D003BB">
      <w:pPr>
        <w:ind w:left="360"/>
      </w:pPr>
      <w:r>
        <w:t xml:space="preserve">In the context of working hours, if the employer imposed new shifts or extended hours without proper consultation or agreement, particularly in a way that deviates from contractual terms, it could be constitute a breach of the implied term of mutual trust and confidence (Lewis and Sargeant,2020). If the radiographer resigned directly in response to this change, this could indeed form the basis of constructive dismissal claim. </w:t>
      </w:r>
    </w:p>
    <w:p w14:paraId="557BC2CC" w14:textId="3BCC293F" w:rsidR="00D003BB" w:rsidRDefault="00D003BB" w:rsidP="00D003BB">
      <w:pPr>
        <w:ind w:left="360"/>
      </w:pPr>
      <w:r>
        <w:t xml:space="preserve">Time limits for claiming: </w:t>
      </w:r>
    </w:p>
    <w:p w14:paraId="05E5C336" w14:textId="293F98BB" w:rsidR="00D003BB" w:rsidRDefault="00D003BB" w:rsidP="00D003BB">
      <w:pPr>
        <w:ind w:left="360"/>
      </w:pPr>
      <w:r>
        <w:t xml:space="preserve">A former employee must bring a constructive dismissal claim to the employment tribunal within three months, less one day, from effective date of termination (Employment Tribunals Act 1996, s.111(2)). However, this timeframe can be paused or ‘’tolled’’ during the mandatory </w:t>
      </w:r>
      <w:r w:rsidR="00B50D9C">
        <w:t xml:space="preserve">ACAS </w:t>
      </w:r>
      <w:r>
        <w:t xml:space="preserve">early conciliation process, which the claimant must initiate before submitting a claim. </w:t>
      </w:r>
    </w:p>
    <w:p w14:paraId="539A060B" w14:textId="5A4AE95C" w:rsidR="00D003BB" w:rsidRDefault="00D003BB" w:rsidP="00D003BB">
      <w:pPr>
        <w:ind w:left="360"/>
      </w:pPr>
      <w:r>
        <w:t>If the claim is made out of time, it is likely to be rejected unless the tribunal considers it just and equitable to extend the deadline, which is rare in unfair dismissal claims unless exceptional circumstances apply (Taylor,2021).</w:t>
      </w:r>
    </w:p>
    <w:p w14:paraId="7616129B" w14:textId="2DAF0F8B" w:rsidR="00D003BB" w:rsidRDefault="00576FAA" w:rsidP="00D003BB">
      <w:pPr>
        <w:ind w:left="360"/>
      </w:pPr>
      <w:r>
        <w:t xml:space="preserve"> I</w:t>
      </w:r>
      <w:r w:rsidR="00D003BB">
        <w:t xml:space="preserve">n summary: </w:t>
      </w:r>
    </w:p>
    <w:p w14:paraId="65C1AE1B" w14:textId="37920C8C" w:rsidR="00D003BB" w:rsidRDefault="00D003BB" w:rsidP="00D003BB">
      <w:pPr>
        <w:pStyle w:val="ListParagraph"/>
        <w:numPr>
          <w:ilvl w:val="0"/>
          <w:numId w:val="3"/>
        </w:numPr>
      </w:pPr>
      <w:r>
        <w:t xml:space="preserve">A unilateral and substantial change to working hours can be grounds for constructive dismissal. </w:t>
      </w:r>
    </w:p>
    <w:p w14:paraId="6545CB21" w14:textId="1312448E" w:rsidR="00D003BB" w:rsidRDefault="00D003BB" w:rsidP="00D003BB">
      <w:pPr>
        <w:pStyle w:val="ListParagraph"/>
        <w:numPr>
          <w:ilvl w:val="0"/>
          <w:numId w:val="3"/>
        </w:numPr>
      </w:pPr>
      <w:r>
        <w:t xml:space="preserve">The employment must show they resigned in direct response to a breach. </w:t>
      </w:r>
    </w:p>
    <w:p w14:paraId="332F0ABE" w14:textId="32118370" w:rsidR="00D003BB" w:rsidRDefault="00D003BB" w:rsidP="00D003BB">
      <w:pPr>
        <w:pStyle w:val="ListParagraph"/>
        <w:numPr>
          <w:ilvl w:val="0"/>
          <w:numId w:val="3"/>
        </w:numPr>
      </w:pPr>
      <w:r>
        <w:t xml:space="preserve">Claims must be made within three months less one day from termination, </w:t>
      </w:r>
      <w:r w:rsidR="00EF3FA9">
        <w:t xml:space="preserve">with mandatory early conciliation beforehand. </w:t>
      </w:r>
    </w:p>
    <w:p w14:paraId="59532B4D" w14:textId="77777777" w:rsidR="00EF3FA9" w:rsidRDefault="00EF3FA9" w:rsidP="00EF3FA9">
      <w:pPr>
        <w:ind w:left="360"/>
      </w:pPr>
    </w:p>
    <w:p w14:paraId="5E0105FA" w14:textId="405284A9" w:rsidR="00EF3FA9" w:rsidRDefault="00EF3FA9" w:rsidP="0005123F">
      <w:pPr>
        <w:pStyle w:val="ListParagraph"/>
        <w:numPr>
          <w:ilvl w:val="0"/>
          <w:numId w:val="2"/>
        </w:numPr>
      </w:pPr>
      <w:r>
        <w:t>(AC3.2):</w:t>
      </w:r>
    </w:p>
    <w:p w14:paraId="2109084E" w14:textId="30DE71EE" w:rsidR="00EF3FA9" w:rsidRDefault="00EF3FA9" w:rsidP="00EF3FA9">
      <w:pPr>
        <w:ind w:left="360"/>
      </w:pPr>
      <w:r>
        <w:lastRenderedPageBreak/>
        <w:t xml:space="preserve">Thanks for your message regarding the planned restructure, while I understand the urgency to move things forward, it’s important to be mindful of the legal obligations involved in redundancy processes to avoid potential claims for unfair dismissal or discrimination. </w:t>
      </w:r>
    </w:p>
    <w:p w14:paraId="13282DE5" w14:textId="2F793427" w:rsidR="00EF3FA9" w:rsidRDefault="00EF3FA9" w:rsidP="00EF3FA9">
      <w:pPr>
        <w:ind w:left="360"/>
      </w:pPr>
      <w:r>
        <w:t xml:space="preserve">Under the Employment Rights Act 1996, redundancy is a fair reason for dismissal if it meets criteria, such as reduced need for employees to carry out particular work (s.139). however, dismissals must still follow a fair and lawful process. </w:t>
      </w:r>
    </w:p>
    <w:p w14:paraId="40BE4259" w14:textId="276CD9B2" w:rsidR="00EF3FA9" w:rsidRDefault="00EF3FA9" w:rsidP="00EF3FA9">
      <w:pPr>
        <w:ind w:left="360"/>
      </w:pPr>
      <w:r>
        <w:t xml:space="preserve">Since 50 posts are being removed, this triggers the duty to collectively consult under the Trade Union and Labour </w:t>
      </w:r>
      <w:r w:rsidR="00DE0DBE">
        <w:t xml:space="preserve">relations (consolidation) Act 1992. Where 20 or more </w:t>
      </w:r>
      <w:r w:rsidR="00155B54">
        <w:t>redundancies</w:t>
      </w:r>
      <w:r w:rsidR="00DE0DBE">
        <w:t xml:space="preserve"> are proposed within 90 days, consultation with trade union or elected representatives must last at least 30 days before the first dismissal (TULRCA 1992, S.188). </w:t>
      </w:r>
    </w:p>
    <w:p w14:paraId="4111BEB6" w14:textId="6B7A71D1" w:rsidR="00DE0DBE" w:rsidRDefault="00DE0DBE" w:rsidP="00EF3FA9">
      <w:pPr>
        <w:ind w:left="360"/>
      </w:pPr>
      <w:r>
        <w:t xml:space="preserve">Failure to do this could result in protective award of up to 90 days’ pay per employee (IDS,2023). </w:t>
      </w:r>
    </w:p>
    <w:p w14:paraId="2537EEB3" w14:textId="1E41C701" w:rsidR="00DE0DBE" w:rsidRDefault="00DE0DBE" w:rsidP="00EF3FA9">
      <w:pPr>
        <w:ind w:left="360"/>
      </w:pPr>
      <w:r>
        <w:t>In addition, to collective consultation, individual consultation with all affected employees is legally required. Skipping consultation or trying to select individuals based solely on perceived poor performance without objective, verifiable criteria, would likely be deemed unfair and potentially discriminatory (ACAS,2022</w:t>
      </w:r>
      <w:r w:rsidR="007544CE">
        <w:t>b</w:t>
      </w:r>
      <w:r>
        <w:t xml:space="preserve">). </w:t>
      </w:r>
    </w:p>
    <w:p w14:paraId="33DF7826" w14:textId="6ADFD62E" w:rsidR="005F6553" w:rsidRPr="005F6553" w:rsidRDefault="00DE0DBE" w:rsidP="005F6553">
      <w:pPr>
        <w:ind w:left="360"/>
        <w:rPr>
          <w:color w:val="EE0000"/>
        </w:rPr>
      </w:pPr>
      <w:r>
        <w:t xml:space="preserve">Selection must be based on transparent and </w:t>
      </w:r>
      <w:r w:rsidR="006D0B90">
        <w:t>measurable</w:t>
      </w:r>
      <w:r>
        <w:t xml:space="preserve"> criteria such as documented performance metrics, skills, attendance, disciplinary record, applied consistently and fairly (Taylor and Emir,2022). </w:t>
      </w:r>
      <w:r w:rsidRPr="0043666A">
        <w:rPr>
          <w:strike/>
        </w:rPr>
        <w:t>Targeting individuals based on subjective judgment or personal opinion would risk legal challenge.</w:t>
      </w:r>
      <w:r>
        <w:t xml:space="preserve"> </w:t>
      </w:r>
      <w:r w:rsidR="00776920">
        <w:rPr>
          <w:color w:val="EE0000"/>
        </w:rPr>
        <w:t>A more recent case, Norman v Lidl Great Britain Ltd (</w:t>
      </w:r>
      <w:r w:rsidR="004411B9">
        <w:rPr>
          <w:color w:val="EE0000"/>
        </w:rPr>
        <w:t xml:space="preserve">HM </w:t>
      </w:r>
      <w:r w:rsidR="007A60AB">
        <w:rPr>
          <w:color w:val="EE0000"/>
        </w:rPr>
        <w:t>Courts&amp;Tribunals service,2025</w:t>
      </w:r>
      <w:r w:rsidR="009E4240">
        <w:rPr>
          <w:color w:val="EE0000"/>
        </w:rPr>
        <w:t xml:space="preserve">), highlights the legal risks of using seemingly </w:t>
      </w:r>
      <w:r w:rsidR="001B5C35">
        <w:rPr>
          <w:color w:val="EE0000"/>
        </w:rPr>
        <w:t xml:space="preserve">neutral selection criteria that nevertheless </w:t>
      </w:r>
      <w:r w:rsidR="00C3219B">
        <w:rPr>
          <w:color w:val="EE0000"/>
        </w:rPr>
        <w:t>disadvantages</w:t>
      </w:r>
      <w:r w:rsidR="001B5C35">
        <w:rPr>
          <w:color w:val="EE0000"/>
        </w:rPr>
        <w:t xml:space="preserve"> protected groups. </w:t>
      </w:r>
      <w:r w:rsidR="006F2E63">
        <w:rPr>
          <w:color w:val="EE0000"/>
        </w:rPr>
        <w:t>In this case</w:t>
      </w:r>
      <w:r w:rsidR="007D2426">
        <w:rPr>
          <w:color w:val="EE0000"/>
        </w:rPr>
        <w:t>, a senior employee in his 60s was scored lower on a ‘knowledge’ criter</w:t>
      </w:r>
      <w:r w:rsidR="003C583E">
        <w:rPr>
          <w:color w:val="EE0000"/>
        </w:rPr>
        <w:t xml:space="preserve">ion because he lacked a degree resulting in an indirect age discrimination ruling and a compensation </w:t>
      </w:r>
      <w:r w:rsidR="00A741CC">
        <w:rPr>
          <w:color w:val="EE0000"/>
        </w:rPr>
        <w:t>award exceeding £50,000. The tribunal emphas</w:t>
      </w:r>
      <w:r w:rsidR="00A77A6D">
        <w:rPr>
          <w:color w:val="EE0000"/>
        </w:rPr>
        <w:t xml:space="preserve">ised that </w:t>
      </w:r>
      <w:r w:rsidR="00815AA2">
        <w:rPr>
          <w:color w:val="EE0000"/>
        </w:rPr>
        <w:t>criteria</w:t>
      </w:r>
      <w:r w:rsidR="00A77A6D">
        <w:rPr>
          <w:color w:val="EE0000"/>
        </w:rPr>
        <w:t xml:space="preserve"> must be not only objective and </w:t>
      </w:r>
      <w:r w:rsidR="00815AA2">
        <w:rPr>
          <w:color w:val="EE0000"/>
        </w:rPr>
        <w:t>measurable</w:t>
      </w:r>
      <w:r w:rsidR="00A77A6D">
        <w:rPr>
          <w:color w:val="EE0000"/>
        </w:rPr>
        <w:t xml:space="preserve"> but also justified and applied consistently across all staff (</w:t>
      </w:r>
      <w:r w:rsidR="00F41D0C">
        <w:rPr>
          <w:color w:val="EE0000"/>
        </w:rPr>
        <w:t>HM Courts&amp;Tribunals service,2025</w:t>
      </w:r>
      <w:r w:rsidR="00115359">
        <w:rPr>
          <w:color w:val="EE0000"/>
        </w:rPr>
        <w:t>)</w:t>
      </w:r>
      <w:r w:rsidR="00B77BCD">
        <w:rPr>
          <w:color w:val="EE0000"/>
        </w:rPr>
        <w:t xml:space="preserve">. This real-world example demonstrates why rigid, untested selection criteria can both restrict </w:t>
      </w:r>
      <w:r w:rsidR="003C7F17">
        <w:rPr>
          <w:color w:val="EE0000"/>
        </w:rPr>
        <w:t>operational flexibility and expose the organisation to legal and financial risk</w:t>
      </w:r>
      <w:r w:rsidR="00981371">
        <w:rPr>
          <w:color w:val="EE0000"/>
        </w:rPr>
        <w:t xml:space="preserve">. </w:t>
      </w:r>
    </w:p>
    <w:p w14:paraId="702F5F81" w14:textId="75D32625" w:rsidR="00DE0DBE" w:rsidRPr="00981371" w:rsidRDefault="00DE0DBE" w:rsidP="00DE0DBE">
      <w:pPr>
        <w:ind w:left="360"/>
        <w:rPr>
          <w:color w:val="EE0000"/>
        </w:rPr>
      </w:pPr>
      <w:r>
        <w:t xml:space="preserve">Theres also a legal obligation to explore suitable alternative roles for affected staff before confirming redundancies, this is a key part of procedural fairness (Lewis and sargeant,2020). </w:t>
      </w:r>
      <w:r w:rsidR="00981371">
        <w:rPr>
          <w:color w:val="EE0000"/>
        </w:rPr>
        <w:t xml:space="preserve">Failure to consider alternative employment can also render a dismissal procedurally </w:t>
      </w:r>
      <w:r w:rsidR="00A468A5">
        <w:rPr>
          <w:color w:val="EE0000"/>
        </w:rPr>
        <w:t xml:space="preserve">unfair, as reinforced in the case of </w:t>
      </w:r>
      <w:r w:rsidR="00287E22">
        <w:rPr>
          <w:color w:val="EE0000"/>
        </w:rPr>
        <w:t xml:space="preserve">Hendy Group Ltd v Kennedy </w:t>
      </w:r>
      <w:r w:rsidR="00A4117B">
        <w:rPr>
          <w:color w:val="EE0000"/>
        </w:rPr>
        <w:t>[2024]</w:t>
      </w:r>
      <w:r w:rsidR="001C3D16">
        <w:rPr>
          <w:color w:val="EE0000"/>
        </w:rPr>
        <w:t>(</w:t>
      </w:r>
      <w:r w:rsidR="0092669B" w:rsidRPr="0092669B">
        <w:rPr>
          <w:color w:val="EE0000"/>
        </w:rPr>
        <w:t xml:space="preserve"> </w:t>
      </w:r>
      <w:r w:rsidR="0092669B">
        <w:rPr>
          <w:color w:val="EE0000"/>
        </w:rPr>
        <w:t>HM Courts&amp;Tribunals service,2025</w:t>
      </w:r>
      <w:r w:rsidR="0092669B">
        <w:rPr>
          <w:color w:val="EE0000"/>
        </w:rPr>
        <w:t>a).</w:t>
      </w:r>
    </w:p>
    <w:p w14:paraId="7E34D34E" w14:textId="1B83D832" w:rsidR="00DE0DBE" w:rsidRPr="00E14B5F" w:rsidRDefault="00DE0DBE" w:rsidP="00DE0DBE">
      <w:pPr>
        <w:ind w:left="360"/>
        <w:rPr>
          <w:color w:val="EE0000"/>
        </w:rPr>
      </w:pPr>
      <w:r>
        <w:t xml:space="preserve">Finally, those made redundant who meet eligibility requirements must receive a </w:t>
      </w:r>
      <w:r w:rsidR="006D0B90">
        <w:t>statutory</w:t>
      </w:r>
      <w:r>
        <w:t xml:space="preserve"> redundancy payment, </w:t>
      </w:r>
      <w:r w:rsidR="006D0B90">
        <w:t xml:space="preserve">in addition to any contractual entitlements. </w:t>
      </w:r>
      <w:r w:rsidR="00E14B5F">
        <w:t xml:space="preserve"> </w:t>
      </w:r>
      <w:r w:rsidR="00E14B5F">
        <w:rPr>
          <w:color w:val="EE0000"/>
        </w:rPr>
        <w:t xml:space="preserve">It’s also worth noting that failure to follow due process can lead not only to tribunal claims and financial </w:t>
      </w:r>
      <w:r w:rsidR="00E8328C">
        <w:rPr>
          <w:color w:val="EE0000"/>
        </w:rPr>
        <w:t xml:space="preserve">penalties, but also reputational dagame and a breakdown of trust between management and staff, especially in large public sector organisations like the NHS. </w:t>
      </w:r>
    </w:p>
    <w:p w14:paraId="548A6BAC" w14:textId="2922E6DE" w:rsidR="00EF3FA9" w:rsidRDefault="006D0B90" w:rsidP="0005123F">
      <w:pPr>
        <w:ind w:left="360"/>
      </w:pPr>
      <w:r>
        <w:t xml:space="preserve">To move forward lawfully, I recommend beginning formal consultation as soon as possible and ensuring the selection process is fair, well-documented, and non-discriminatory. </w:t>
      </w:r>
    </w:p>
    <w:p w14:paraId="7D554B68" w14:textId="77777777" w:rsidR="0005123F" w:rsidRDefault="0005123F" w:rsidP="002D5018"/>
    <w:p w14:paraId="07969E78" w14:textId="09005A56" w:rsidR="0005123F" w:rsidRDefault="0005123F" w:rsidP="0005123F">
      <w:pPr>
        <w:pStyle w:val="ListParagraph"/>
        <w:numPr>
          <w:ilvl w:val="0"/>
          <w:numId w:val="2"/>
        </w:numPr>
      </w:pPr>
      <w:r>
        <w:lastRenderedPageBreak/>
        <w:t>(AC3.3)</w:t>
      </w:r>
    </w:p>
    <w:p w14:paraId="3ADD9C18" w14:textId="23855190" w:rsidR="0005123F" w:rsidRDefault="0005123F" w:rsidP="0005123F">
      <w:pPr>
        <w:ind w:left="360"/>
      </w:pPr>
      <w:r>
        <w:t>If the proposed merger of pharmacy operations proceeds, it is likely to trigger the transfer of undertakings (Protection of Employment) regulations 2006 (TUPE), as amended. TUPE protects employees when business or service provision transfers from one organisation to another, ensuring that key employment rights are preserved (Gov.uk,2023).</w:t>
      </w:r>
    </w:p>
    <w:p w14:paraId="4CC7D95F" w14:textId="7AE34B1E" w:rsidR="0005123F" w:rsidRDefault="0005123F" w:rsidP="0005123F">
      <w:pPr>
        <w:ind w:left="360"/>
      </w:pPr>
      <w:r>
        <w:t xml:space="preserve">When TUPE applies: </w:t>
      </w:r>
    </w:p>
    <w:p w14:paraId="46A2652F" w14:textId="5A83B2FA" w:rsidR="0005123F" w:rsidRDefault="0005123F" w:rsidP="0005123F">
      <w:pPr>
        <w:ind w:left="360"/>
      </w:pPr>
      <w:r>
        <w:t>Tupe will apply if the merger involves either a business transfer or a service provision change. In this case, the merging of pharmacy services, including staff functions, would likely qualify as a business transfer under TUPE (Reg 3(1)(a)).</w:t>
      </w:r>
    </w:p>
    <w:p w14:paraId="0F2F0AC9" w14:textId="43E60364" w:rsidR="0005123F" w:rsidRDefault="00D32D3F" w:rsidP="0005123F">
      <w:pPr>
        <w:ind w:left="360"/>
      </w:pPr>
      <w:r>
        <w:t>Key Employee Rights Under TUPE:</w:t>
      </w:r>
    </w:p>
    <w:p w14:paraId="735BB570" w14:textId="4B4C7A2A" w:rsidR="00D32D3F" w:rsidRDefault="00D32D3F" w:rsidP="00D32D3F">
      <w:pPr>
        <w:pStyle w:val="ListParagraph"/>
        <w:numPr>
          <w:ilvl w:val="0"/>
          <w:numId w:val="7"/>
        </w:numPr>
      </w:pPr>
      <w:r>
        <w:t xml:space="preserve">Automatic transfer of employment: employees assigned to the transferring part of the organisation (i.e the pharmacy team in the neighbouring Trust) will automatically become employees of our Trust on the transfer date. Their terms and conditions of employment remain unchanged (TUPE reg4), including salary, holiday entitlement, and continuity of service </w:t>
      </w:r>
      <w:r w:rsidR="00852984">
        <w:t>(</w:t>
      </w:r>
      <w:r>
        <w:t>Lewis and Sargeant,2020).</w:t>
      </w:r>
    </w:p>
    <w:p w14:paraId="599ADC21" w14:textId="77777777" w:rsidR="00D32D3F" w:rsidRDefault="00D32D3F" w:rsidP="00D32D3F">
      <w:pPr>
        <w:pStyle w:val="ListParagraph"/>
      </w:pPr>
    </w:p>
    <w:p w14:paraId="798F921D" w14:textId="0A7EFA7B" w:rsidR="00D32D3F" w:rsidRDefault="00D32D3F" w:rsidP="00D32D3F">
      <w:pPr>
        <w:pStyle w:val="ListParagraph"/>
        <w:numPr>
          <w:ilvl w:val="0"/>
          <w:numId w:val="7"/>
        </w:numPr>
      </w:pPr>
      <w:r>
        <w:t xml:space="preserve">Protection from dismissal: </w:t>
      </w:r>
    </w:p>
    <w:p w14:paraId="185C076E" w14:textId="1DDACAD5" w:rsidR="00D32D3F" w:rsidRDefault="00D32D3F" w:rsidP="00D32D3F">
      <w:pPr>
        <w:ind w:left="720"/>
      </w:pPr>
      <w:r>
        <w:t xml:space="preserve">Any dismissal connected to the transfer is automatically unfair unless the employer can show it was for an economic, technical or organisational (ETO) reason involving workforce changes (Reg7). For example, redundancy may be permissible if the new combined structure requires fewer roles, but this must follow a fair process (Taylor and Emir,2022). </w:t>
      </w:r>
    </w:p>
    <w:p w14:paraId="497F2F2F" w14:textId="399283C0" w:rsidR="00D32D3F" w:rsidRDefault="00D32D3F" w:rsidP="00D32D3F">
      <w:pPr>
        <w:pStyle w:val="ListParagraph"/>
        <w:numPr>
          <w:ilvl w:val="0"/>
          <w:numId w:val="7"/>
        </w:numPr>
      </w:pPr>
      <w:r>
        <w:t>Right to inform and consultation:</w:t>
      </w:r>
    </w:p>
    <w:p w14:paraId="406E699E" w14:textId="6760FD46" w:rsidR="00D32D3F" w:rsidRDefault="00D32D3F" w:rsidP="00D32D3F">
      <w:pPr>
        <w:ind w:left="720"/>
      </w:pPr>
      <w:r>
        <w:t>Both Trusts must inform and where appropriate, consult with affected employees via appropriate representatives. Failure to consult could lead to a protective award of up to 13 weeks’ pay per employee (TUPE reg 13: ACAS,2</w:t>
      </w:r>
      <w:r w:rsidR="007544CE">
        <w:t>022b</w:t>
      </w:r>
      <w:r>
        <w:t xml:space="preserve">). </w:t>
      </w:r>
    </w:p>
    <w:p w14:paraId="5CF79028" w14:textId="77B97B61" w:rsidR="00D32D3F" w:rsidRDefault="00D32D3F" w:rsidP="00D32D3F">
      <w:pPr>
        <w:pStyle w:val="ListParagraph"/>
        <w:numPr>
          <w:ilvl w:val="0"/>
          <w:numId w:val="7"/>
        </w:numPr>
      </w:pPr>
      <w:r>
        <w:t>Restriction on changing terms:</w:t>
      </w:r>
    </w:p>
    <w:p w14:paraId="40DC4DAD" w14:textId="10CDB866" w:rsidR="00D32D3F" w:rsidRDefault="00D32D3F" w:rsidP="00D32D3F">
      <w:pPr>
        <w:ind w:left="360"/>
      </w:pPr>
      <w:r>
        <w:t>Post-transfer, terms and conditions cannot be changed simply because of the transfer, even with employee consent. Changes are only lawful if for an ETO reason or if they improve the employee’s contract (Cabrelli,2020). Attempts to harmonise contracts post-</w:t>
      </w:r>
      <w:r w:rsidR="00074E5F">
        <w:t>transfer</w:t>
      </w:r>
      <w:r>
        <w:t xml:space="preserve"> are generally not valid under TUPE unless there is a legitimate reason unrelated to the transfer.</w:t>
      </w:r>
    </w:p>
    <w:p w14:paraId="579F84C2" w14:textId="75BF45B7" w:rsidR="00D32D3F" w:rsidRDefault="00D32D3F" w:rsidP="00D32D3F">
      <w:pPr>
        <w:pStyle w:val="ListParagraph"/>
        <w:numPr>
          <w:ilvl w:val="0"/>
          <w:numId w:val="7"/>
        </w:numPr>
      </w:pPr>
      <w:r>
        <w:t xml:space="preserve">Employee Objection: </w:t>
      </w:r>
    </w:p>
    <w:p w14:paraId="1B3EE84B" w14:textId="50255913" w:rsidR="00D32D3F" w:rsidRDefault="00D32D3F" w:rsidP="00D32D3F">
      <w:pPr>
        <w:ind w:left="360"/>
      </w:pPr>
      <w:r>
        <w:t xml:space="preserve">Employees have the right to object to the transfer. However, this would mean their contract ends on the transfer date and they would not be entitled to redundancy or unfair dismissal claims (TUPE Reg 4 (7)). </w:t>
      </w:r>
    </w:p>
    <w:p w14:paraId="29EC65BC" w14:textId="0E9DCD81" w:rsidR="00D32D3F" w:rsidRDefault="00D32D3F" w:rsidP="00D32D3F">
      <w:pPr>
        <w:ind w:left="360"/>
      </w:pPr>
      <w:r>
        <w:t xml:space="preserve">It’s crucial that any </w:t>
      </w:r>
      <w:r w:rsidR="001131D0">
        <w:t xml:space="preserve">transfer planning considers these rights early and involves clear communication with staff and their representatives. </w:t>
      </w:r>
    </w:p>
    <w:p w14:paraId="076206D3" w14:textId="77777777" w:rsidR="00432693" w:rsidRDefault="00432693" w:rsidP="00D32D3F">
      <w:pPr>
        <w:ind w:left="360"/>
      </w:pPr>
    </w:p>
    <w:p w14:paraId="55710E76" w14:textId="77777777" w:rsidR="00B04E1A" w:rsidRDefault="00B04E1A" w:rsidP="00D32D3F">
      <w:pPr>
        <w:ind w:left="360"/>
      </w:pPr>
    </w:p>
    <w:p w14:paraId="0088A964" w14:textId="466D39DF" w:rsidR="00B04E1A" w:rsidRDefault="00880D2E" w:rsidP="00B04E1A">
      <w:pPr>
        <w:pStyle w:val="ListParagraph"/>
        <w:numPr>
          <w:ilvl w:val="0"/>
          <w:numId w:val="2"/>
        </w:numPr>
      </w:pPr>
      <w:r>
        <w:lastRenderedPageBreak/>
        <w:t>(AC4.1):</w:t>
      </w:r>
    </w:p>
    <w:p w14:paraId="4D4744C0" w14:textId="1C8C91FE" w:rsidR="00880D2E" w:rsidRDefault="00871D9E" w:rsidP="00880D2E">
      <w:pPr>
        <w:ind w:left="360"/>
      </w:pPr>
      <w:r>
        <w:t xml:space="preserve">For </w:t>
      </w:r>
      <w:r w:rsidR="00C022A0">
        <w:t xml:space="preserve">nurse bank staff employed on a casual, zero-hour basis, recent changes to holiday pay law from </w:t>
      </w:r>
      <w:r w:rsidR="006C1F59">
        <w:t xml:space="preserve">1 April 2024 have significant implications, particularly for how entitlement is accrued and paid. </w:t>
      </w:r>
    </w:p>
    <w:p w14:paraId="7E15A554" w14:textId="2197C8AE" w:rsidR="006C1F59" w:rsidRDefault="00D14B45" w:rsidP="00880D2E">
      <w:pPr>
        <w:ind w:left="360"/>
      </w:pPr>
      <w:r>
        <w:t>Under the amended working time regulations 1998 (as revised by the 2023 reforms), bank workers who fall under</w:t>
      </w:r>
      <w:r w:rsidR="00FC3D6B">
        <w:t xml:space="preserve"> the category of irregular-hours or part year workers now </w:t>
      </w:r>
      <w:r w:rsidR="007544CE">
        <w:t>accrue</w:t>
      </w:r>
      <w:r w:rsidR="00FC3D6B">
        <w:t xml:space="preserve"> holiday at a pro-rata rate of 12.07</w:t>
      </w:r>
      <w:r w:rsidR="00B20B42">
        <w:t>%</w:t>
      </w:r>
      <w:r w:rsidR="00005A0D">
        <w:t xml:space="preserve"> of hours worked during each pay period (ACAS,2024</w:t>
      </w:r>
      <w:r w:rsidR="00155B54">
        <w:t>d</w:t>
      </w:r>
      <w:r w:rsidR="00005A0D">
        <w:t xml:space="preserve">). This change reverses the earlier effect of </w:t>
      </w:r>
      <w:r w:rsidR="00B52C21">
        <w:t xml:space="preserve">Brazel v Harpur Trust (2022), where part-year staff were entitled to the full 5.6 weeks of stator leave regardless of hours worked (UKSC,2022). </w:t>
      </w:r>
    </w:p>
    <w:p w14:paraId="7922CF6D" w14:textId="09C0218D" w:rsidR="00B52C21" w:rsidRDefault="00AA7BE1" w:rsidP="00880D2E">
      <w:pPr>
        <w:ind w:left="360"/>
      </w:pPr>
      <w:r>
        <w:t xml:space="preserve">Nurse bank staff, who </w:t>
      </w:r>
      <w:r w:rsidR="00B93A49">
        <w:t>work shifts on an as-needed basis without fixed hours, are class</w:t>
      </w:r>
      <w:r w:rsidR="003C644B">
        <w:t>ified as irregular-hour workers. Therefore, their holiday entitlement should be calculated using the 12.07</w:t>
      </w:r>
      <w:r w:rsidR="00444549">
        <w:t xml:space="preserve">% accrual method, which equates to 5.6 weeks of leave across </w:t>
      </w:r>
      <w:r w:rsidR="00D6474F">
        <w:t>a full year (Gov.uk,2024</w:t>
      </w:r>
      <w:r w:rsidR="00852984">
        <w:t>f</w:t>
      </w:r>
      <w:r w:rsidR="00D6474F">
        <w:t xml:space="preserve">). For example, if a bank nurse works 100 hours in a month, they would </w:t>
      </w:r>
      <w:r w:rsidR="00AF337C">
        <w:t>accrue</w:t>
      </w:r>
      <w:r w:rsidR="00D6474F">
        <w:t xml:space="preserve"> 12.07 hours of paid leave. </w:t>
      </w:r>
    </w:p>
    <w:p w14:paraId="68719083" w14:textId="5F81C8DA" w:rsidR="00D6474F" w:rsidRDefault="00D6474F" w:rsidP="00880D2E">
      <w:pPr>
        <w:ind w:left="360"/>
      </w:pPr>
      <w:r>
        <w:t>Employers now also have the option of using rolled-up holiday pay, where holiday pay is paid alongside regular wages rather than during time off. This is lawful under the 2024 change</w:t>
      </w:r>
      <w:r w:rsidR="00F17D9F">
        <w:t xml:space="preserve">s only for irregular-hours and par-year workers, and it must: </w:t>
      </w:r>
    </w:p>
    <w:p w14:paraId="4658C79A" w14:textId="6A4621BB" w:rsidR="00F17D9F" w:rsidRDefault="00F17D9F" w:rsidP="00F17D9F">
      <w:pPr>
        <w:pStyle w:val="ListParagraph"/>
        <w:numPr>
          <w:ilvl w:val="0"/>
          <w:numId w:val="3"/>
        </w:numPr>
      </w:pPr>
      <w:r>
        <w:t>Be calculated at the correct rate (minimum 12.07</w:t>
      </w:r>
      <w:r w:rsidR="00343B68">
        <w:t>%)</w:t>
      </w:r>
    </w:p>
    <w:p w14:paraId="6178FEDE" w14:textId="5F2EF741" w:rsidR="00343B68" w:rsidRDefault="00343B68" w:rsidP="00F17D9F">
      <w:pPr>
        <w:pStyle w:val="ListParagraph"/>
        <w:numPr>
          <w:ilvl w:val="0"/>
          <w:numId w:val="3"/>
        </w:numPr>
      </w:pPr>
      <w:r>
        <w:t>Be clearly itemised on the worker’s payslip</w:t>
      </w:r>
    </w:p>
    <w:p w14:paraId="014517CB" w14:textId="08FEDEBD" w:rsidR="00343B68" w:rsidRDefault="00343B68" w:rsidP="00F17D9F">
      <w:pPr>
        <w:pStyle w:val="ListParagraph"/>
        <w:numPr>
          <w:ilvl w:val="0"/>
          <w:numId w:val="3"/>
        </w:numPr>
      </w:pPr>
      <w:r>
        <w:t xml:space="preserve">Not discourage the worker from actually taking their </w:t>
      </w:r>
      <w:r w:rsidR="00AF337C">
        <w:t>statutory</w:t>
      </w:r>
      <w:r>
        <w:t xml:space="preserve"> leave (ACAS,2024</w:t>
      </w:r>
      <w:r w:rsidR="00B50D9C">
        <w:t>b</w:t>
      </w:r>
      <w:r w:rsidR="00A615E5">
        <w:t>;BEIS,2024)</w:t>
      </w:r>
    </w:p>
    <w:p w14:paraId="267A3A03" w14:textId="463ED6CB" w:rsidR="00A615E5" w:rsidRDefault="00A615E5" w:rsidP="00A615E5">
      <w:pPr>
        <w:ind w:left="360"/>
      </w:pPr>
      <w:r>
        <w:t xml:space="preserve">If the Trust prefers not to use rolled-up pay, holiday should instead be </w:t>
      </w:r>
      <w:r w:rsidR="00AF337C">
        <w:t>accrued</w:t>
      </w:r>
      <w:r>
        <w:t xml:space="preserve"> and paid when leave is taken. In these cases, holiday pay must be calculated using the 52-week average earnings method, excluding any weeks in which no work was </w:t>
      </w:r>
      <w:r w:rsidR="00AF337C">
        <w:t>performed</w:t>
      </w:r>
      <w:r>
        <w:t xml:space="preserve"> (Employment Right</w:t>
      </w:r>
      <w:r w:rsidR="005B2E39">
        <w:t xml:space="preserve"> Act 1996, s.224; ACAS,2024</w:t>
      </w:r>
      <w:r w:rsidR="00476EDB">
        <w:t>b</w:t>
      </w:r>
      <w:r w:rsidR="005B2E39">
        <w:t>). This ensures pay reflects the individual’s normal earnings, including regular enhancements such as night or weekend rates (Lock v British Gas Trading LTD</w:t>
      </w:r>
      <w:r w:rsidR="00AF337C">
        <w:t xml:space="preserve"> [2014]).</w:t>
      </w:r>
    </w:p>
    <w:p w14:paraId="5D195865" w14:textId="5C5EF7B3" w:rsidR="00AF337C" w:rsidRDefault="00AF337C" w:rsidP="00A615E5">
      <w:pPr>
        <w:ind w:left="360"/>
      </w:pPr>
      <w:r>
        <w:t xml:space="preserve">If bank staff receive more than the </w:t>
      </w:r>
      <w:r w:rsidR="00DB6635">
        <w:t>statutory</w:t>
      </w:r>
      <w:r>
        <w:t xml:space="preserve"> </w:t>
      </w:r>
      <w:r w:rsidR="00DA457E">
        <w:t>5.6 weeks’ leave (e.g. under Agenda for change)</w:t>
      </w:r>
      <w:r w:rsidR="007E6C80">
        <w:t xml:space="preserve">, the accrual rate must be adjusted upwards </w:t>
      </w:r>
      <w:r w:rsidR="002976DC">
        <w:t>accordingly (e.g., 6.6 weeks would be approximately 14</w:t>
      </w:r>
      <w:r w:rsidR="00E22B35">
        <w:t>.3% (CIPD,2024</w:t>
      </w:r>
      <w:r w:rsidR="00DB6635">
        <w:t>d</w:t>
      </w:r>
      <w:r w:rsidR="00E22B35">
        <w:t xml:space="preserve">). </w:t>
      </w:r>
    </w:p>
    <w:p w14:paraId="69D9A240" w14:textId="111D82D5" w:rsidR="00E22B35" w:rsidRDefault="00E22B35" w:rsidP="00A615E5">
      <w:pPr>
        <w:ind w:left="360"/>
      </w:pPr>
      <w:r>
        <w:t xml:space="preserve">To remain compliant, it is vital that the Trust: </w:t>
      </w:r>
    </w:p>
    <w:p w14:paraId="3A353D65" w14:textId="3E6649DA" w:rsidR="00693A8B" w:rsidRDefault="00693A8B" w:rsidP="00693A8B">
      <w:pPr>
        <w:pStyle w:val="ListParagraph"/>
        <w:numPr>
          <w:ilvl w:val="0"/>
          <w:numId w:val="3"/>
        </w:numPr>
      </w:pPr>
      <w:r>
        <w:t xml:space="preserve">Applies the 12.07% accrual method </w:t>
      </w:r>
      <w:r w:rsidR="00FF68FC">
        <w:t>from the first holiday years starting on or after 1 April 2024</w:t>
      </w:r>
    </w:p>
    <w:p w14:paraId="334DC6AE" w14:textId="270DDC5F" w:rsidR="00FF68FC" w:rsidRDefault="00FF68FC" w:rsidP="00693A8B">
      <w:pPr>
        <w:pStyle w:val="ListParagraph"/>
        <w:numPr>
          <w:ilvl w:val="0"/>
          <w:numId w:val="3"/>
        </w:numPr>
      </w:pPr>
      <w:r>
        <w:t xml:space="preserve">Clearly communicates the chosen method </w:t>
      </w:r>
      <w:r w:rsidR="00C041DC">
        <w:t>(rolled-up vs accrued)</w:t>
      </w:r>
    </w:p>
    <w:p w14:paraId="7DE59D84" w14:textId="3CF447E5" w:rsidR="00C041DC" w:rsidRDefault="00C041DC" w:rsidP="00693A8B">
      <w:pPr>
        <w:pStyle w:val="ListParagraph"/>
        <w:numPr>
          <w:ilvl w:val="0"/>
          <w:numId w:val="3"/>
        </w:numPr>
      </w:pPr>
      <w:r>
        <w:t xml:space="preserve">Includes all regular pay elements in the holiday pay calculation </w:t>
      </w:r>
    </w:p>
    <w:p w14:paraId="28EEC0E6" w14:textId="54B73FDB" w:rsidR="00C041DC" w:rsidRDefault="00C041DC" w:rsidP="00693A8B">
      <w:pPr>
        <w:pStyle w:val="ListParagraph"/>
        <w:numPr>
          <w:ilvl w:val="0"/>
          <w:numId w:val="3"/>
        </w:numPr>
      </w:pPr>
      <w:r>
        <w:t xml:space="preserve">Encourages </w:t>
      </w:r>
      <w:r w:rsidR="003472A1">
        <w:t>and monitors actual holiday uptake</w:t>
      </w:r>
    </w:p>
    <w:p w14:paraId="109E1A83" w14:textId="77777777" w:rsidR="003472A1" w:rsidRDefault="003472A1" w:rsidP="003472A1">
      <w:pPr>
        <w:pStyle w:val="ListParagraph"/>
      </w:pPr>
    </w:p>
    <w:p w14:paraId="749F9D3E" w14:textId="77777777" w:rsidR="00432693" w:rsidRDefault="00432693" w:rsidP="003472A1">
      <w:pPr>
        <w:pStyle w:val="ListParagraph"/>
      </w:pPr>
    </w:p>
    <w:p w14:paraId="4B7BE3B3" w14:textId="77777777" w:rsidR="00432693" w:rsidRDefault="00432693" w:rsidP="003472A1">
      <w:pPr>
        <w:pStyle w:val="ListParagraph"/>
      </w:pPr>
    </w:p>
    <w:p w14:paraId="71D10647" w14:textId="77777777" w:rsidR="00432693" w:rsidRDefault="00432693" w:rsidP="003472A1">
      <w:pPr>
        <w:pStyle w:val="ListParagraph"/>
      </w:pPr>
    </w:p>
    <w:p w14:paraId="1BEEC7C0" w14:textId="77777777" w:rsidR="00432693" w:rsidRDefault="00432693" w:rsidP="003472A1">
      <w:pPr>
        <w:pStyle w:val="ListParagraph"/>
      </w:pPr>
    </w:p>
    <w:p w14:paraId="53F45A8C" w14:textId="77777777" w:rsidR="00432693" w:rsidRDefault="00432693" w:rsidP="003472A1">
      <w:pPr>
        <w:pStyle w:val="ListParagraph"/>
      </w:pPr>
    </w:p>
    <w:p w14:paraId="4EC0B7E0" w14:textId="77777777" w:rsidR="0005123F" w:rsidRDefault="0005123F" w:rsidP="0005123F"/>
    <w:p w14:paraId="78FA54C1" w14:textId="443AE14D" w:rsidR="00843A52" w:rsidRDefault="00CA207C" w:rsidP="00CA207C">
      <w:pPr>
        <w:pStyle w:val="ListParagraph"/>
        <w:numPr>
          <w:ilvl w:val="0"/>
          <w:numId w:val="2"/>
        </w:numPr>
      </w:pPr>
      <w:r>
        <w:t>(AC4.2)</w:t>
      </w:r>
    </w:p>
    <w:p w14:paraId="016AFAE8" w14:textId="7C80CDFE" w:rsidR="00BE3785" w:rsidRDefault="00BE3785" w:rsidP="00BE3785">
      <w:pPr>
        <w:ind w:left="360"/>
      </w:pPr>
      <w:r>
        <w:t xml:space="preserve">There are key </w:t>
      </w:r>
      <w:r w:rsidR="000D189D">
        <w:t xml:space="preserve">differences between maternity leave and shared parental leave (SPL), </w:t>
      </w:r>
      <w:r w:rsidR="00D00F6E">
        <w:t>both in terms of structure and flexibility</w:t>
      </w:r>
      <w:r w:rsidR="001C52E8">
        <w:t xml:space="preserve">. Understanding how they work can help you decide </w:t>
      </w:r>
      <w:r w:rsidR="00951783">
        <w:t xml:space="preserve">which option best suits you and your partner’s needs. </w:t>
      </w:r>
    </w:p>
    <w:p w14:paraId="59C59ED3" w14:textId="0118CE6B" w:rsidR="00951783" w:rsidRDefault="00951783" w:rsidP="00BE3785">
      <w:pPr>
        <w:ind w:left="360"/>
      </w:pPr>
      <w:r>
        <w:t xml:space="preserve">Maternity leave: </w:t>
      </w:r>
    </w:p>
    <w:p w14:paraId="161DAC4A" w14:textId="3378B7CB" w:rsidR="00951783" w:rsidRDefault="00951783" w:rsidP="00BE3785">
      <w:pPr>
        <w:ind w:left="360"/>
      </w:pPr>
      <w:r>
        <w:t xml:space="preserve">Under the </w:t>
      </w:r>
      <w:r w:rsidR="00EB4FC0">
        <w:t xml:space="preserve">Employment Right Act 1996 and Maternity and Parental Leave Regulations 1999, eligible employees are entitled to: </w:t>
      </w:r>
    </w:p>
    <w:p w14:paraId="73D19C24" w14:textId="0843AEA5" w:rsidR="00EB4FC0" w:rsidRDefault="00070DD7" w:rsidP="00070DD7">
      <w:pPr>
        <w:pStyle w:val="ListParagraph"/>
        <w:numPr>
          <w:ilvl w:val="0"/>
          <w:numId w:val="3"/>
        </w:numPr>
      </w:pPr>
      <w:r>
        <w:t>52 weeks of maternity leave, made up of</w:t>
      </w:r>
      <w:r w:rsidR="007005F8">
        <w:t xml:space="preserve"> 26 weeks of Ordinary maternity leave (OML) and 26 weeks of additional maternity leave (AML) (</w:t>
      </w:r>
      <w:r w:rsidR="00131CE7">
        <w:t>Gov.uk,2024</w:t>
      </w:r>
      <w:r w:rsidR="00476EDB">
        <w:t>c</w:t>
      </w:r>
      <w:r w:rsidR="00131CE7">
        <w:t xml:space="preserve">). </w:t>
      </w:r>
    </w:p>
    <w:p w14:paraId="1D344039" w14:textId="44F53622" w:rsidR="00131CE7" w:rsidRDefault="00131CE7" w:rsidP="00070DD7">
      <w:pPr>
        <w:pStyle w:val="ListParagraph"/>
        <w:numPr>
          <w:ilvl w:val="0"/>
          <w:numId w:val="3"/>
        </w:numPr>
      </w:pPr>
      <w:r>
        <w:t>The first two weeks after child</w:t>
      </w:r>
      <w:r w:rsidR="00A7708D">
        <w:t xml:space="preserve">birth are compulsory leave and cannot be shared or shortened. </w:t>
      </w:r>
    </w:p>
    <w:p w14:paraId="111E62A8" w14:textId="5FF30475" w:rsidR="00A7708D" w:rsidRDefault="00A7708D" w:rsidP="00070DD7">
      <w:pPr>
        <w:pStyle w:val="ListParagraph"/>
        <w:numPr>
          <w:ilvl w:val="0"/>
          <w:numId w:val="3"/>
        </w:numPr>
      </w:pPr>
      <w:r>
        <w:t xml:space="preserve">Statutory Maternity Pay (SMP), if eligible, is paid for up to 39 weeks: </w:t>
      </w:r>
      <w:r w:rsidR="002D0570">
        <w:t xml:space="preserve">90% of average weekly earnings for the first 6 weeks, followed by a flat </w:t>
      </w:r>
      <w:r w:rsidR="00884B8F">
        <w:t>statutory</w:t>
      </w:r>
      <w:r w:rsidR="002D0570">
        <w:t xml:space="preserve"> rate (currently </w:t>
      </w:r>
      <w:r w:rsidR="00884B8F">
        <w:t>3184.03/week or 90% of average earnings if lower) for the remaining 33 weeks (ACAS,2024</w:t>
      </w:r>
      <w:r w:rsidR="00B50D9C">
        <w:t>c</w:t>
      </w:r>
      <w:r w:rsidR="00884B8F">
        <w:t>)</w:t>
      </w:r>
    </w:p>
    <w:p w14:paraId="418D1F14" w14:textId="19F386A1" w:rsidR="00647E4D" w:rsidRDefault="00647E4D" w:rsidP="00647E4D">
      <w:pPr>
        <w:ind w:left="360"/>
      </w:pPr>
      <w:r>
        <w:t xml:space="preserve">Maternity leave is exclusive to the birthing parent and offers job protection, continuity of </w:t>
      </w:r>
      <w:r w:rsidR="00CC7965">
        <w:t>benefits,</w:t>
      </w:r>
      <w:r>
        <w:t xml:space="preserve"> and a clear entitlement structure.</w:t>
      </w:r>
      <w:r w:rsidR="00CC7965">
        <w:t xml:space="preserve"> It can be taken even if the partner is not eligible for SPL. </w:t>
      </w:r>
    </w:p>
    <w:p w14:paraId="28F77BAD" w14:textId="3E5F75DB" w:rsidR="00843A52" w:rsidRDefault="00894E80" w:rsidP="00845B75">
      <w:pPr>
        <w:ind w:left="360"/>
      </w:pPr>
      <w:r>
        <w:t xml:space="preserve">Shared Parental Leave (SPL) </w:t>
      </w:r>
    </w:p>
    <w:p w14:paraId="7FF31084" w14:textId="3601EF4F" w:rsidR="00894E80" w:rsidRDefault="00894E80" w:rsidP="00845B75">
      <w:pPr>
        <w:ind w:left="360"/>
      </w:pPr>
      <w:r>
        <w:t xml:space="preserve">SPL was introduced by the children and families act 2014 to offer more flexibility in how parental leave is shared. It allows </w:t>
      </w:r>
      <w:r w:rsidR="007B1D11">
        <w:t xml:space="preserve">eligible parents to share up to 50 weeks of leaves and up to 37 weeks of Shared Parental Pay (ShPP) if the </w:t>
      </w:r>
      <w:r w:rsidR="006F439F">
        <w:t>mother curtails her maternity leave early (Gov.uk,2024</w:t>
      </w:r>
      <w:r w:rsidR="00476EDB">
        <w:t>c</w:t>
      </w:r>
      <w:r w:rsidR="006F439F">
        <w:t xml:space="preserve">). </w:t>
      </w:r>
    </w:p>
    <w:p w14:paraId="1D28C3D2" w14:textId="60C83874" w:rsidR="006F439F" w:rsidRDefault="006F439F" w:rsidP="00845B75">
      <w:pPr>
        <w:ind w:left="360"/>
      </w:pPr>
      <w:r>
        <w:t xml:space="preserve">Key features of SPL are: </w:t>
      </w:r>
    </w:p>
    <w:p w14:paraId="08EBF0D1" w14:textId="137648C7" w:rsidR="00A7440B" w:rsidRDefault="00A7440B" w:rsidP="00A7440B">
      <w:pPr>
        <w:pStyle w:val="ListParagraph"/>
        <w:numPr>
          <w:ilvl w:val="0"/>
          <w:numId w:val="3"/>
        </w:numPr>
      </w:pPr>
      <w:r>
        <w:t xml:space="preserve">It can be taken by either parent (or both simultaneously) </w:t>
      </w:r>
      <w:r w:rsidR="00092CE8">
        <w:t xml:space="preserve">in blocks, rather than as one continued period. </w:t>
      </w:r>
    </w:p>
    <w:p w14:paraId="1B083FC3" w14:textId="0FE0ADCD" w:rsidR="00092CE8" w:rsidRDefault="00092CE8" w:rsidP="00A7440B">
      <w:pPr>
        <w:pStyle w:val="ListParagraph"/>
        <w:numPr>
          <w:ilvl w:val="0"/>
          <w:numId w:val="3"/>
        </w:numPr>
      </w:pPr>
      <w:r>
        <w:t xml:space="preserve">Leave can be taken intermittently (e.g. one month on, one month off), offering flexibility for family arrangements </w:t>
      </w:r>
      <w:r w:rsidR="0003131A">
        <w:t>(CIPD,2023</w:t>
      </w:r>
      <w:r w:rsidR="00DB6635">
        <w:t>c</w:t>
      </w:r>
      <w:r w:rsidR="0003131A">
        <w:t>).</w:t>
      </w:r>
    </w:p>
    <w:p w14:paraId="7ED31C46" w14:textId="413C8B98" w:rsidR="0003131A" w:rsidRDefault="0003131A" w:rsidP="00A7440B">
      <w:pPr>
        <w:pStyle w:val="ListParagraph"/>
        <w:numPr>
          <w:ilvl w:val="0"/>
          <w:numId w:val="3"/>
        </w:numPr>
      </w:pPr>
      <w:r>
        <w:t xml:space="preserve">SPL requires both partners to meet certain eligibility criteria, including employment and earnings tests. </w:t>
      </w:r>
    </w:p>
    <w:p w14:paraId="6198AAE9" w14:textId="1591BE07" w:rsidR="0003131A" w:rsidRDefault="005B344B" w:rsidP="00A7440B">
      <w:pPr>
        <w:pStyle w:val="ListParagraph"/>
        <w:numPr>
          <w:ilvl w:val="0"/>
          <w:numId w:val="3"/>
        </w:numPr>
      </w:pPr>
      <w:r>
        <w:t>ShPP is paid at the same flat rate as SMP after week 6 (£184.03</w:t>
      </w:r>
      <w:r w:rsidR="003A6DF9">
        <w:t xml:space="preserve">/week in 2025), but only for up to 37 weeks and only if the mother gives up part of her entitlement. </w:t>
      </w:r>
    </w:p>
    <w:p w14:paraId="7C33F438" w14:textId="6C2A691C" w:rsidR="00FB3E83" w:rsidRDefault="00FB3E83" w:rsidP="00FB3E83">
      <w:pPr>
        <w:ind w:left="360"/>
      </w:pPr>
      <w:r>
        <w:t xml:space="preserve">Considerations: </w:t>
      </w:r>
    </w:p>
    <w:p w14:paraId="0CC0E74A" w14:textId="402044BF" w:rsidR="00FB3E83" w:rsidRDefault="00FB3E83" w:rsidP="00FB3E83">
      <w:pPr>
        <w:ind w:left="360"/>
      </w:pPr>
      <w:r>
        <w:t xml:space="preserve">If you want maximum time off with your child and financial stability, maternity leave may offer more security, especially in the early months. However, if you and your partner want to share caregiving responsibilities mor flexibly, SPL may be more suitable especially if your partner is eligible and wants to take significant time off. </w:t>
      </w:r>
    </w:p>
    <w:p w14:paraId="767DACEF" w14:textId="77777777" w:rsidR="00432693" w:rsidRDefault="00432693" w:rsidP="00FB3E83">
      <w:pPr>
        <w:ind w:left="360"/>
      </w:pPr>
    </w:p>
    <w:p w14:paraId="5D4A3061" w14:textId="77777777" w:rsidR="00432693" w:rsidRDefault="00432693" w:rsidP="00FB3E83">
      <w:pPr>
        <w:ind w:left="360"/>
      </w:pPr>
    </w:p>
    <w:p w14:paraId="5972D74A" w14:textId="77777777" w:rsidR="00432693" w:rsidRDefault="00432693" w:rsidP="00FB3E83">
      <w:pPr>
        <w:ind w:left="360"/>
      </w:pPr>
    </w:p>
    <w:p w14:paraId="5C0781B4" w14:textId="77777777" w:rsidR="000A56EB" w:rsidRDefault="000A56EB" w:rsidP="00FB3E83">
      <w:pPr>
        <w:ind w:left="360"/>
      </w:pPr>
    </w:p>
    <w:p w14:paraId="6EE38360" w14:textId="07999A4F" w:rsidR="000A56EB" w:rsidRDefault="000A56EB" w:rsidP="000A56EB">
      <w:pPr>
        <w:pStyle w:val="ListParagraph"/>
        <w:numPr>
          <w:ilvl w:val="0"/>
          <w:numId w:val="2"/>
        </w:numPr>
      </w:pPr>
      <w:r>
        <w:t>(AC</w:t>
      </w:r>
      <w:r w:rsidR="00DE66B0">
        <w:t>4.3):</w:t>
      </w:r>
    </w:p>
    <w:p w14:paraId="5BF959B1" w14:textId="1B8DCCCA" w:rsidR="00DE66B0" w:rsidRDefault="001E30F6" w:rsidP="00DE66B0">
      <w:pPr>
        <w:ind w:left="360"/>
      </w:pPr>
      <w:r>
        <w:t>Employees in the UK have a statutory right to request flexible working under the Employment Rights Act 1996, as amended by the employment relations (flexible working ) Act 2023, which came into effect in April 2024 (Gov.uk,2024</w:t>
      </w:r>
      <w:r w:rsidR="00852984">
        <w:t>f</w:t>
      </w:r>
      <w:r>
        <w:t>)</w:t>
      </w:r>
      <w:r w:rsidR="00385FBD">
        <w:t xml:space="preserve">. </w:t>
      </w:r>
    </w:p>
    <w:p w14:paraId="5DF39BCA" w14:textId="4BA2D7AE" w:rsidR="00843A52" w:rsidRDefault="00385FBD" w:rsidP="00385FBD">
      <w:pPr>
        <w:ind w:left="360"/>
      </w:pPr>
      <w:r>
        <w:t xml:space="preserve">Key legal entitlements: </w:t>
      </w:r>
    </w:p>
    <w:p w14:paraId="4D625D2C" w14:textId="77777777" w:rsidR="0011181B" w:rsidRDefault="00385FBD" w:rsidP="00385FBD">
      <w:pPr>
        <w:ind w:left="360"/>
      </w:pPr>
      <w:r>
        <w:t xml:space="preserve">As of the 2024 reforms, employees now </w:t>
      </w:r>
      <w:r w:rsidR="0011181B">
        <w:t xml:space="preserve">: </w:t>
      </w:r>
    </w:p>
    <w:p w14:paraId="58385FD8" w14:textId="55B66FBF" w:rsidR="00385FBD" w:rsidRDefault="00385FBD" w:rsidP="0011181B">
      <w:pPr>
        <w:pStyle w:val="ListParagraph"/>
        <w:numPr>
          <w:ilvl w:val="0"/>
          <w:numId w:val="3"/>
        </w:numPr>
      </w:pPr>
      <w:r>
        <w:t xml:space="preserve">can make flexible working request from day one of employment (removing the previous 26-week service requirement). </w:t>
      </w:r>
    </w:p>
    <w:p w14:paraId="2480FCF0" w14:textId="5F6D7510" w:rsidR="0011181B" w:rsidRDefault="0011181B" w:rsidP="0011181B">
      <w:pPr>
        <w:pStyle w:val="ListParagraph"/>
        <w:numPr>
          <w:ilvl w:val="0"/>
          <w:numId w:val="3"/>
        </w:numPr>
      </w:pPr>
      <w:r>
        <w:t xml:space="preserve">May makeup to two </w:t>
      </w:r>
      <w:r w:rsidR="00403503">
        <w:t xml:space="preserve">statutory flexible working request per year. </w:t>
      </w:r>
    </w:p>
    <w:p w14:paraId="3ABA7413" w14:textId="000CB755" w:rsidR="00403503" w:rsidRDefault="00403503" w:rsidP="0011181B">
      <w:pPr>
        <w:pStyle w:val="ListParagraph"/>
        <w:numPr>
          <w:ilvl w:val="0"/>
          <w:numId w:val="3"/>
        </w:numPr>
      </w:pPr>
      <w:r>
        <w:t>Are not required to explain the effects of the request on the business, that responsibility now falls to the employer (ACAS,2024a).</w:t>
      </w:r>
    </w:p>
    <w:p w14:paraId="2ACCA09E" w14:textId="77777777" w:rsidR="004C138A" w:rsidRDefault="004C138A" w:rsidP="00403503">
      <w:pPr>
        <w:ind w:left="360"/>
      </w:pPr>
      <w:r>
        <w:t xml:space="preserve">Employers must: </w:t>
      </w:r>
    </w:p>
    <w:p w14:paraId="7E2399C8" w14:textId="79B85365" w:rsidR="00403503" w:rsidRDefault="004C138A" w:rsidP="004C138A">
      <w:pPr>
        <w:pStyle w:val="ListParagraph"/>
        <w:numPr>
          <w:ilvl w:val="0"/>
          <w:numId w:val="3"/>
        </w:numPr>
      </w:pPr>
      <w:r>
        <w:t xml:space="preserve">consult with the employee before refusing a request. </w:t>
      </w:r>
    </w:p>
    <w:p w14:paraId="76425DED" w14:textId="198069CF" w:rsidR="000272D2" w:rsidRDefault="000272D2" w:rsidP="004C138A">
      <w:pPr>
        <w:pStyle w:val="ListParagraph"/>
        <w:numPr>
          <w:ilvl w:val="0"/>
          <w:numId w:val="3"/>
        </w:numPr>
      </w:pPr>
      <w:r>
        <w:t xml:space="preserve">Provide a decision within two months (shortened from the previous three-moth period). </w:t>
      </w:r>
    </w:p>
    <w:p w14:paraId="223FC10E" w14:textId="5A6022AC" w:rsidR="000272D2" w:rsidRDefault="000272D2" w:rsidP="004C138A">
      <w:pPr>
        <w:pStyle w:val="ListParagraph"/>
        <w:numPr>
          <w:ilvl w:val="0"/>
          <w:numId w:val="3"/>
        </w:numPr>
      </w:pPr>
      <w:r>
        <w:t xml:space="preserve">Reject the request only for one </w:t>
      </w:r>
      <w:r w:rsidR="00E90C70">
        <w:t xml:space="preserve">or more of eight </w:t>
      </w:r>
      <w:r w:rsidR="00432693">
        <w:t>statutory</w:t>
      </w:r>
      <w:r w:rsidR="00E90C70">
        <w:t xml:space="preserve"> business reasons, including detrimental impact on performance, quality, or service delivery (Employment Rights Act 1996</w:t>
      </w:r>
      <w:r w:rsidR="00885622">
        <w:t>).</w:t>
      </w:r>
    </w:p>
    <w:p w14:paraId="1AE2CCA1" w14:textId="5CDE0466" w:rsidR="00885622" w:rsidRDefault="00885622" w:rsidP="00885622">
      <w:pPr>
        <w:ind w:left="360"/>
      </w:pPr>
      <w:r>
        <w:t xml:space="preserve">Application to this case: </w:t>
      </w:r>
    </w:p>
    <w:p w14:paraId="720331FD" w14:textId="15CA11D4" w:rsidR="00885622" w:rsidRDefault="00885622" w:rsidP="00885622">
      <w:pPr>
        <w:ind w:left="360"/>
      </w:pPr>
      <w:r>
        <w:t xml:space="preserve">The administrative officer has submitted a formal request, which triggers the duty to fairly </w:t>
      </w:r>
      <w:r w:rsidR="00F73E23">
        <w:t>consider it. The concern that approving this request might set a precedent for others is not, in itself, a valid legal reason for refusal. Each request must be assessed individually and objectively (CIPD,2023</w:t>
      </w:r>
      <w:r w:rsidR="00DB6635">
        <w:t>b</w:t>
      </w:r>
      <w:r w:rsidR="00F73E23">
        <w:t xml:space="preserve">). </w:t>
      </w:r>
    </w:p>
    <w:p w14:paraId="753B7233" w14:textId="444C010E" w:rsidR="00F73E23" w:rsidRDefault="00F73E23" w:rsidP="00885622">
      <w:pPr>
        <w:ind w:left="360"/>
      </w:pPr>
      <w:r>
        <w:t xml:space="preserve">However, the request can be refused if it can be evidenced that the allowing remote working would: </w:t>
      </w:r>
    </w:p>
    <w:p w14:paraId="225E8F7F" w14:textId="60B61059" w:rsidR="00F73E23" w:rsidRDefault="00F73E23" w:rsidP="00F73E23">
      <w:pPr>
        <w:pStyle w:val="ListParagraph"/>
        <w:numPr>
          <w:ilvl w:val="0"/>
          <w:numId w:val="8"/>
        </w:numPr>
      </w:pPr>
      <w:r>
        <w:t xml:space="preserve">Have a </w:t>
      </w:r>
      <w:r w:rsidR="00DB6635">
        <w:t>detrimental</w:t>
      </w:r>
      <w:r>
        <w:t xml:space="preserve"> impact on quality or performance </w:t>
      </w:r>
    </w:p>
    <w:p w14:paraId="238105B8" w14:textId="1D623175" w:rsidR="00F73E23" w:rsidRDefault="00F73E23" w:rsidP="00F73E23">
      <w:pPr>
        <w:pStyle w:val="ListParagraph"/>
        <w:numPr>
          <w:ilvl w:val="0"/>
          <w:numId w:val="8"/>
        </w:numPr>
      </w:pPr>
      <w:r>
        <w:t>Create insufficient supervision or coordination</w:t>
      </w:r>
      <w:r w:rsidR="00727FED">
        <w:t>, or</w:t>
      </w:r>
    </w:p>
    <w:p w14:paraId="6C842C7B" w14:textId="62651009" w:rsidR="00F73E23" w:rsidRDefault="00727FED" w:rsidP="00F73E23">
      <w:pPr>
        <w:pStyle w:val="ListParagraph"/>
        <w:numPr>
          <w:ilvl w:val="0"/>
          <w:numId w:val="8"/>
        </w:numPr>
      </w:pPr>
      <w:r>
        <w:t>Reduce the ability to meet service demand during key times (ACAS,2024b).</w:t>
      </w:r>
    </w:p>
    <w:p w14:paraId="58DB5302" w14:textId="296CE7BB" w:rsidR="00727FED" w:rsidRDefault="00727FED" w:rsidP="00727FED">
      <w:pPr>
        <w:ind w:left="360"/>
      </w:pPr>
      <w:r>
        <w:t>If the team operates in a way that requires high on-site collaboration or direct service support, these may be valid reasons. But a blanket refu</w:t>
      </w:r>
      <w:r w:rsidR="00926444">
        <w:t xml:space="preserve">sal without engagement could lead to a claim of failure to properly consider a statutory request. </w:t>
      </w:r>
    </w:p>
    <w:p w14:paraId="4FDC4318" w14:textId="06F743A1" w:rsidR="00926444" w:rsidRDefault="00926444" w:rsidP="00727FED">
      <w:pPr>
        <w:ind w:left="360"/>
      </w:pPr>
      <w:r>
        <w:t>Best practice is to</w:t>
      </w:r>
      <w:r w:rsidR="00AF4641">
        <w:t xml:space="preserve"> hold meeting with the employee to explore the request and any alternatives for example</w:t>
      </w:r>
      <w:r w:rsidR="00505A54">
        <w:t>, two days remote instead of three. Additionally, consider a trial period to assess impact</w:t>
      </w:r>
      <w:r w:rsidR="00515AF8">
        <w:t xml:space="preserve">, and document all discussions and reasoning thoroughly in line with the statutory procedure. </w:t>
      </w:r>
    </w:p>
    <w:p w14:paraId="2696C9A5" w14:textId="4FEFBCF2" w:rsidR="00843A52" w:rsidRDefault="00515AF8" w:rsidP="00845B75">
      <w:pPr>
        <w:ind w:left="360"/>
      </w:pPr>
      <w:r>
        <w:t xml:space="preserve">Employers </w:t>
      </w:r>
      <w:r w:rsidR="00785E0A">
        <w:t xml:space="preserve">also have a broader duty under the Equality Act 2010 to avoid indirect discrimination. For instance, rejecting remote work without good reason may </w:t>
      </w:r>
      <w:r w:rsidR="00030E88">
        <w:t>disadvantage</w:t>
      </w:r>
      <w:r w:rsidR="00785E0A">
        <w:t xml:space="preserve"> </w:t>
      </w:r>
      <w:r w:rsidR="00785E0A">
        <w:lastRenderedPageBreak/>
        <w:t xml:space="preserve">women, </w:t>
      </w:r>
      <w:r w:rsidR="00030E88">
        <w:t xml:space="preserve">carers, or disables employees if they need to work from home is linked to protected characteristics </w:t>
      </w:r>
      <w:r w:rsidR="00520B14">
        <w:t>(EHRC,2023</w:t>
      </w:r>
      <w:r w:rsidR="00DB6635">
        <w:t>b</w:t>
      </w:r>
      <w:r w:rsidR="00520B14">
        <w:t>).</w:t>
      </w:r>
    </w:p>
    <w:p w14:paraId="483D3C5B" w14:textId="334509F1" w:rsidR="00520B14" w:rsidRDefault="00520B14" w:rsidP="00845B75">
      <w:pPr>
        <w:ind w:left="360"/>
      </w:pPr>
      <w:r>
        <w:t xml:space="preserve">In summary, while the request can be confused for valid operational reasons, it must be handled fairly, consistently, and transparently, with evidence to support the decision. </w:t>
      </w:r>
    </w:p>
    <w:p w14:paraId="2FE73FD2" w14:textId="77777777" w:rsidR="00520B14" w:rsidRDefault="00520B14" w:rsidP="00845B75">
      <w:pPr>
        <w:ind w:left="360"/>
      </w:pPr>
    </w:p>
    <w:p w14:paraId="1C899A96" w14:textId="77777777" w:rsidR="00843A52" w:rsidRDefault="00843A52" w:rsidP="00845B75">
      <w:pPr>
        <w:ind w:left="360"/>
      </w:pPr>
    </w:p>
    <w:p w14:paraId="1882464F" w14:textId="77777777" w:rsidR="00843A52" w:rsidRDefault="00843A52" w:rsidP="00845B75">
      <w:pPr>
        <w:ind w:left="360"/>
      </w:pPr>
    </w:p>
    <w:p w14:paraId="135D1043" w14:textId="77777777" w:rsidR="00557208" w:rsidRDefault="00557208" w:rsidP="00845B75">
      <w:pPr>
        <w:ind w:left="360"/>
      </w:pPr>
    </w:p>
    <w:p w14:paraId="2EA2D6F7" w14:textId="77777777" w:rsidR="00557208" w:rsidRDefault="00557208" w:rsidP="00845B75">
      <w:pPr>
        <w:ind w:left="360"/>
      </w:pPr>
    </w:p>
    <w:p w14:paraId="6159538E" w14:textId="77777777" w:rsidR="00557208" w:rsidRDefault="00557208" w:rsidP="00845B75">
      <w:pPr>
        <w:ind w:left="360"/>
      </w:pPr>
    </w:p>
    <w:p w14:paraId="5A7E1978" w14:textId="77777777" w:rsidR="00557208" w:rsidRDefault="00557208" w:rsidP="00845B75">
      <w:pPr>
        <w:ind w:left="360"/>
      </w:pPr>
    </w:p>
    <w:p w14:paraId="57202214" w14:textId="77777777" w:rsidR="00557208" w:rsidRDefault="00557208" w:rsidP="00845B75">
      <w:pPr>
        <w:ind w:left="360"/>
      </w:pPr>
    </w:p>
    <w:p w14:paraId="4BECC6FE" w14:textId="77777777" w:rsidR="00557208" w:rsidRDefault="00557208" w:rsidP="00845B75">
      <w:pPr>
        <w:ind w:left="360"/>
      </w:pPr>
    </w:p>
    <w:p w14:paraId="333BC15C" w14:textId="77777777" w:rsidR="00557208" w:rsidRDefault="00557208" w:rsidP="00845B75">
      <w:pPr>
        <w:ind w:left="360"/>
      </w:pPr>
    </w:p>
    <w:p w14:paraId="3CA8AFAB" w14:textId="77777777" w:rsidR="00557208" w:rsidRDefault="00557208" w:rsidP="00845B75">
      <w:pPr>
        <w:ind w:left="360"/>
      </w:pPr>
    </w:p>
    <w:p w14:paraId="6A97B616" w14:textId="77777777" w:rsidR="00557208" w:rsidRDefault="00557208" w:rsidP="00845B75">
      <w:pPr>
        <w:ind w:left="360"/>
      </w:pPr>
    </w:p>
    <w:p w14:paraId="55626D41" w14:textId="77777777" w:rsidR="00557208" w:rsidRDefault="00557208" w:rsidP="00845B75">
      <w:pPr>
        <w:ind w:left="360"/>
      </w:pPr>
    </w:p>
    <w:p w14:paraId="531EF397" w14:textId="77777777" w:rsidR="00557208" w:rsidRDefault="00557208" w:rsidP="00845B75">
      <w:pPr>
        <w:ind w:left="360"/>
      </w:pPr>
    </w:p>
    <w:p w14:paraId="25649521" w14:textId="77777777" w:rsidR="00557208" w:rsidRDefault="00557208" w:rsidP="00845B75">
      <w:pPr>
        <w:ind w:left="360"/>
      </w:pPr>
    </w:p>
    <w:p w14:paraId="5CC81DCF" w14:textId="77777777" w:rsidR="00557208" w:rsidRDefault="00557208" w:rsidP="00845B75">
      <w:pPr>
        <w:ind w:left="360"/>
      </w:pPr>
    </w:p>
    <w:p w14:paraId="37ED8A4E" w14:textId="77777777" w:rsidR="00557208" w:rsidRDefault="00557208" w:rsidP="00845B75">
      <w:pPr>
        <w:ind w:left="360"/>
      </w:pPr>
    </w:p>
    <w:p w14:paraId="53256B51" w14:textId="77777777" w:rsidR="00557208" w:rsidRDefault="00557208" w:rsidP="00845B75">
      <w:pPr>
        <w:ind w:left="360"/>
      </w:pPr>
    </w:p>
    <w:p w14:paraId="6601EF68" w14:textId="77777777" w:rsidR="00557208" w:rsidRDefault="00557208" w:rsidP="00845B75">
      <w:pPr>
        <w:ind w:left="360"/>
      </w:pPr>
    </w:p>
    <w:p w14:paraId="07CA274F" w14:textId="77777777" w:rsidR="00557208" w:rsidRDefault="00557208" w:rsidP="00845B75">
      <w:pPr>
        <w:ind w:left="360"/>
      </w:pPr>
    </w:p>
    <w:p w14:paraId="0F19B8B6" w14:textId="77777777" w:rsidR="00557208" w:rsidRDefault="00557208" w:rsidP="00845B75">
      <w:pPr>
        <w:ind w:left="360"/>
      </w:pPr>
    </w:p>
    <w:p w14:paraId="067D9358" w14:textId="77777777" w:rsidR="00557208" w:rsidRDefault="00557208" w:rsidP="00845B75">
      <w:pPr>
        <w:ind w:left="360"/>
      </w:pPr>
    </w:p>
    <w:p w14:paraId="47427E7B" w14:textId="77777777" w:rsidR="00557208" w:rsidRDefault="00557208" w:rsidP="00845B75">
      <w:pPr>
        <w:ind w:left="360"/>
      </w:pPr>
    </w:p>
    <w:p w14:paraId="27717075" w14:textId="77777777" w:rsidR="00557208" w:rsidRDefault="00557208" w:rsidP="00845B75">
      <w:pPr>
        <w:ind w:left="360"/>
      </w:pPr>
    </w:p>
    <w:p w14:paraId="1BA592F5" w14:textId="77777777" w:rsidR="00F3318A" w:rsidRDefault="00F3318A" w:rsidP="00845B75">
      <w:pPr>
        <w:ind w:left="360"/>
      </w:pPr>
    </w:p>
    <w:p w14:paraId="30F48BBA" w14:textId="77777777" w:rsidR="00F3318A" w:rsidRDefault="00F3318A" w:rsidP="00845B75">
      <w:pPr>
        <w:ind w:left="360"/>
      </w:pPr>
    </w:p>
    <w:p w14:paraId="34A1BE72" w14:textId="77777777" w:rsidR="00F3318A" w:rsidRDefault="00F3318A" w:rsidP="00845B75">
      <w:pPr>
        <w:ind w:left="360"/>
      </w:pPr>
    </w:p>
    <w:p w14:paraId="63EE3935" w14:textId="77777777" w:rsidR="00F3318A" w:rsidRDefault="00F3318A" w:rsidP="00845B75">
      <w:pPr>
        <w:ind w:left="360"/>
      </w:pPr>
    </w:p>
    <w:p w14:paraId="3F53924B" w14:textId="77777777" w:rsidR="00843A52" w:rsidRDefault="00843A52" w:rsidP="00845B75">
      <w:pPr>
        <w:ind w:left="360"/>
      </w:pPr>
    </w:p>
    <w:p w14:paraId="5F4BDE8B" w14:textId="77777777" w:rsidR="00843A52" w:rsidRDefault="00843A52" w:rsidP="00845B75">
      <w:pPr>
        <w:ind w:left="360"/>
      </w:pPr>
    </w:p>
    <w:p w14:paraId="30900891" w14:textId="20A57BB1" w:rsidR="00843A52" w:rsidRDefault="00843A52" w:rsidP="00557208">
      <w:pPr>
        <w:ind w:left="360"/>
      </w:pPr>
      <w:r>
        <w:tab/>
        <w:t>References</w:t>
      </w:r>
    </w:p>
    <w:p w14:paraId="7CB1F67A" w14:textId="77777777" w:rsidR="00322266" w:rsidRDefault="00322266" w:rsidP="00557208">
      <w:pPr>
        <w:ind w:left="360"/>
      </w:pPr>
    </w:p>
    <w:p w14:paraId="7296CBEC" w14:textId="77777777" w:rsidR="005D3D78" w:rsidRDefault="005D3D78" w:rsidP="00557208">
      <w:pPr>
        <w:pStyle w:val="ListParagraph"/>
        <w:numPr>
          <w:ilvl w:val="0"/>
          <w:numId w:val="5"/>
        </w:numPr>
      </w:pPr>
      <w:r>
        <w:t>ACAS (2021) TUPE - employee rights when a business changes owner. Available at: https://www.acas.org.uk/tupe</w:t>
      </w:r>
    </w:p>
    <w:p w14:paraId="1E1A087C" w14:textId="77777777" w:rsidR="005D3D78" w:rsidRDefault="005D3D78" w:rsidP="00557208">
      <w:pPr>
        <w:pStyle w:val="ListParagraph"/>
        <w:numPr>
          <w:ilvl w:val="0"/>
          <w:numId w:val="5"/>
        </w:numPr>
      </w:pPr>
      <w:r>
        <w:t>ACAS (2022a) Equal pay: advice for employers and workers. Available at: https://www.acas.org.uk/equal-pay</w:t>
      </w:r>
    </w:p>
    <w:p w14:paraId="67C43850" w14:textId="77777777" w:rsidR="005D3D78" w:rsidRDefault="005D3D78" w:rsidP="00557208">
      <w:pPr>
        <w:pStyle w:val="ListParagraph"/>
        <w:numPr>
          <w:ilvl w:val="0"/>
          <w:numId w:val="5"/>
        </w:numPr>
      </w:pPr>
      <w:r>
        <w:t>ACAS (2022b) Redundancy: an employer’s guide. Available at: https://www.acas.org.uk/redundancy</w:t>
      </w:r>
    </w:p>
    <w:p w14:paraId="6DB148E6" w14:textId="77777777" w:rsidR="005D3D78" w:rsidRDefault="005D3D78" w:rsidP="00AE7C66">
      <w:pPr>
        <w:pStyle w:val="ListParagraph"/>
        <w:numPr>
          <w:ilvl w:val="0"/>
          <w:numId w:val="5"/>
        </w:numPr>
      </w:pPr>
      <w:r>
        <w:t>ACAS (2023) Recruitment and selection: avoiding discrimination. Available at: https://www.acas.org.uk</w:t>
      </w:r>
    </w:p>
    <w:p w14:paraId="454698B7" w14:textId="77777777" w:rsidR="005D3D78" w:rsidRDefault="005D3D78" w:rsidP="00557208">
      <w:pPr>
        <w:pStyle w:val="ListParagraph"/>
        <w:numPr>
          <w:ilvl w:val="0"/>
          <w:numId w:val="5"/>
        </w:numPr>
      </w:pPr>
      <w:r>
        <w:t>ACAS (2024a) The right to request flexible working. Available at: https://www.acas.org.uk/flexible-working</w:t>
      </w:r>
    </w:p>
    <w:p w14:paraId="405D7361" w14:textId="77777777" w:rsidR="005D3D78" w:rsidRDefault="005D3D78" w:rsidP="00557208">
      <w:pPr>
        <w:pStyle w:val="ListParagraph"/>
        <w:numPr>
          <w:ilvl w:val="0"/>
          <w:numId w:val="5"/>
        </w:numPr>
      </w:pPr>
      <w:r>
        <w:t>ACAS (2024b) Handling flexible working requests fairly. Available at: https://www.acas.org.uk</w:t>
      </w:r>
    </w:p>
    <w:p w14:paraId="5C203457" w14:textId="77777777" w:rsidR="005D3D78" w:rsidRDefault="005D3D78" w:rsidP="00557208">
      <w:pPr>
        <w:pStyle w:val="ListParagraph"/>
        <w:numPr>
          <w:ilvl w:val="0"/>
          <w:numId w:val="5"/>
        </w:numPr>
      </w:pPr>
      <w:r>
        <w:t>ACAS (2024c) Maternity leave and pay. Available at: https://www.acas.org.uk/maternity-leave</w:t>
      </w:r>
    </w:p>
    <w:p w14:paraId="5A84E138" w14:textId="77777777" w:rsidR="005D3D78" w:rsidRDefault="005D3D78" w:rsidP="00557208">
      <w:pPr>
        <w:pStyle w:val="ListParagraph"/>
        <w:numPr>
          <w:ilvl w:val="0"/>
          <w:numId w:val="5"/>
        </w:numPr>
      </w:pPr>
      <w:r>
        <w:t>ACAS (2024d) Holiday pay and entitlement for irregular hours and part-year workers. Available at: https://www.acas.org.uk</w:t>
      </w:r>
    </w:p>
    <w:p w14:paraId="36C10599" w14:textId="77777777" w:rsidR="005D3D78" w:rsidRDefault="005D3D78" w:rsidP="00557208">
      <w:pPr>
        <w:pStyle w:val="ListParagraph"/>
        <w:numPr>
          <w:ilvl w:val="0"/>
          <w:numId w:val="5"/>
        </w:numPr>
      </w:pPr>
      <w:r>
        <w:t>BEIS (2024) Holiday entitlement reforms: guidance for employers. Department for Business and Trade.</w:t>
      </w:r>
    </w:p>
    <w:p w14:paraId="260099C6" w14:textId="77777777" w:rsidR="005D3D78" w:rsidRDefault="005D3D78" w:rsidP="00557208">
      <w:pPr>
        <w:pStyle w:val="ListParagraph"/>
        <w:numPr>
          <w:ilvl w:val="0"/>
          <w:numId w:val="5"/>
        </w:numPr>
      </w:pPr>
      <w:r>
        <w:t>Cabrelli, D. (2020) Employment Law in Context. 3rd ed. Oxford: Oxford University Press.</w:t>
      </w:r>
    </w:p>
    <w:p w14:paraId="0017F695" w14:textId="77777777" w:rsidR="005D3D78" w:rsidRDefault="005D3D78" w:rsidP="00557208">
      <w:pPr>
        <w:pStyle w:val="ListParagraph"/>
        <w:numPr>
          <w:ilvl w:val="0"/>
          <w:numId w:val="5"/>
        </w:numPr>
      </w:pPr>
      <w:r>
        <w:t>Children and Families Act 2014, c.6.</w:t>
      </w:r>
    </w:p>
    <w:p w14:paraId="325B67B4" w14:textId="77777777" w:rsidR="005D3D78" w:rsidRDefault="005D3D78" w:rsidP="00557208">
      <w:pPr>
        <w:pStyle w:val="ListParagraph"/>
        <w:numPr>
          <w:ilvl w:val="0"/>
          <w:numId w:val="5"/>
        </w:numPr>
      </w:pPr>
      <w:r>
        <w:t>CIPD (2023a) Flexible working: legal and practical guidance. Available at: https://www.cipd.org</w:t>
      </w:r>
    </w:p>
    <w:p w14:paraId="77A6395C" w14:textId="77777777" w:rsidR="005D3D78" w:rsidRDefault="005D3D78" w:rsidP="00B35536">
      <w:pPr>
        <w:pStyle w:val="ListParagraph"/>
        <w:numPr>
          <w:ilvl w:val="0"/>
          <w:numId w:val="5"/>
        </w:numPr>
      </w:pPr>
      <w:r>
        <w:t>CIPD (2023b) Ethical practice and the people profession. Available at: https://www.cipd.org</w:t>
      </w:r>
    </w:p>
    <w:p w14:paraId="3EF36526" w14:textId="77777777" w:rsidR="005D3D78" w:rsidRDefault="005D3D78" w:rsidP="00557208">
      <w:pPr>
        <w:pStyle w:val="ListParagraph"/>
        <w:numPr>
          <w:ilvl w:val="0"/>
          <w:numId w:val="5"/>
        </w:numPr>
      </w:pPr>
      <w:r>
        <w:t>CIPD (2023c) Shared Parental Leave. Available at: https://www.cipd.org</w:t>
      </w:r>
    </w:p>
    <w:p w14:paraId="1A7C3DD8" w14:textId="77777777" w:rsidR="005D3D78" w:rsidRDefault="005D3D78" w:rsidP="00557208">
      <w:pPr>
        <w:pStyle w:val="ListParagraph"/>
        <w:numPr>
          <w:ilvl w:val="0"/>
          <w:numId w:val="5"/>
        </w:numPr>
      </w:pPr>
      <w:r>
        <w:t>CIPD (2024d) Holiday Pay: Understanding the 2024 changes. Available at: https://www.cipd.org</w:t>
      </w:r>
    </w:p>
    <w:p w14:paraId="2B5D558C" w14:textId="77777777" w:rsidR="005D3D78" w:rsidRDefault="005D3D78" w:rsidP="00557208">
      <w:pPr>
        <w:pStyle w:val="ListParagraph"/>
        <w:numPr>
          <w:ilvl w:val="0"/>
          <w:numId w:val="5"/>
        </w:numPr>
      </w:pPr>
      <w:r w:rsidRPr="00322266">
        <w:t>Collins, H., Ewing, K. D. and McColgan, A. (2019) Labour Law. 2nd ed. Cambridge: Cambridge University Press.</w:t>
      </w:r>
    </w:p>
    <w:p w14:paraId="36A799AD" w14:textId="77777777" w:rsidR="005D3D78" w:rsidRDefault="005D3D78" w:rsidP="00AE7C66">
      <w:pPr>
        <w:pStyle w:val="ListParagraph"/>
        <w:numPr>
          <w:ilvl w:val="0"/>
          <w:numId w:val="5"/>
        </w:numPr>
      </w:pPr>
      <w:r>
        <w:t>Croft v Royal Mail Group plc [2003] EWCA Civ 1045.</w:t>
      </w:r>
    </w:p>
    <w:p w14:paraId="56BF5611" w14:textId="77777777" w:rsidR="005D3D78" w:rsidRDefault="005D3D78" w:rsidP="00557208">
      <w:pPr>
        <w:pStyle w:val="ListParagraph"/>
        <w:numPr>
          <w:ilvl w:val="0"/>
          <w:numId w:val="5"/>
        </w:numPr>
      </w:pPr>
      <w:r>
        <w:t>EHRC (2020) Code of Practice on Equal Pay. Equality and Human Rights Commission.</w:t>
      </w:r>
    </w:p>
    <w:p w14:paraId="0555AA50" w14:textId="77777777" w:rsidR="005D3D78" w:rsidRDefault="005D3D78" w:rsidP="00432693">
      <w:pPr>
        <w:pStyle w:val="ListParagraph"/>
        <w:numPr>
          <w:ilvl w:val="0"/>
          <w:numId w:val="5"/>
        </w:numPr>
      </w:pPr>
      <w:r>
        <w:t>EHRC (2023a) Employment rights and protection. Equality and Human Rights Commission.</w:t>
      </w:r>
    </w:p>
    <w:p w14:paraId="42737443" w14:textId="77777777" w:rsidR="005D3D78" w:rsidRDefault="005D3D78" w:rsidP="00557208">
      <w:pPr>
        <w:pStyle w:val="ListParagraph"/>
        <w:numPr>
          <w:ilvl w:val="0"/>
          <w:numId w:val="5"/>
        </w:numPr>
      </w:pPr>
      <w:r>
        <w:t>EHRC (2023b) Equality and flexible working. Equality and Human Rights Commission.</w:t>
      </w:r>
    </w:p>
    <w:p w14:paraId="624006D4" w14:textId="77777777" w:rsidR="005D3D78" w:rsidRDefault="005D3D78" w:rsidP="00557208">
      <w:pPr>
        <w:pStyle w:val="ListParagraph"/>
        <w:numPr>
          <w:ilvl w:val="0"/>
          <w:numId w:val="5"/>
        </w:numPr>
      </w:pPr>
      <w:r>
        <w:t>Employment Relations (Flexible Working) Act 2023, c.20.</w:t>
      </w:r>
    </w:p>
    <w:p w14:paraId="4D52E0B6" w14:textId="77777777" w:rsidR="005D3D78" w:rsidRDefault="005D3D78" w:rsidP="00557208">
      <w:pPr>
        <w:pStyle w:val="ListParagraph"/>
        <w:numPr>
          <w:ilvl w:val="0"/>
          <w:numId w:val="5"/>
        </w:numPr>
      </w:pPr>
      <w:r>
        <w:t>Employment Rights Act 1996.</w:t>
      </w:r>
    </w:p>
    <w:p w14:paraId="7F837CF5" w14:textId="77777777" w:rsidR="005D3D78" w:rsidRDefault="005D3D78" w:rsidP="00557208">
      <w:pPr>
        <w:pStyle w:val="ListParagraph"/>
        <w:numPr>
          <w:ilvl w:val="0"/>
          <w:numId w:val="5"/>
        </w:numPr>
      </w:pPr>
      <w:r>
        <w:t>Employment Tribunals Act 1996, c.17.</w:t>
      </w:r>
    </w:p>
    <w:p w14:paraId="725DB0D9" w14:textId="77777777" w:rsidR="005D3D78" w:rsidRDefault="005D3D78" w:rsidP="00557208">
      <w:pPr>
        <w:pStyle w:val="ListParagraph"/>
        <w:numPr>
          <w:ilvl w:val="0"/>
          <w:numId w:val="5"/>
        </w:numPr>
      </w:pPr>
      <w:r>
        <w:t>Equality Act 2010</w:t>
      </w:r>
    </w:p>
    <w:p w14:paraId="0F5659C4" w14:textId="77777777" w:rsidR="005D3D78" w:rsidRDefault="005D3D78" w:rsidP="004D68EF">
      <w:pPr>
        <w:pStyle w:val="ListParagraph"/>
        <w:numPr>
          <w:ilvl w:val="0"/>
          <w:numId w:val="5"/>
        </w:numPr>
      </w:pPr>
      <w:r>
        <w:t>European Union (Withdrawal) Act 2018, c.16.</w:t>
      </w:r>
    </w:p>
    <w:p w14:paraId="7EBE5B16" w14:textId="77777777" w:rsidR="005D3D78" w:rsidRDefault="005D3D78" w:rsidP="00557208">
      <w:pPr>
        <w:pStyle w:val="ListParagraph"/>
        <w:numPr>
          <w:ilvl w:val="0"/>
          <w:numId w:val="5"/>
        </w:numPr>
      </w:pPr>
      <w:r>
        <w:lastRenderedPageBreak/>
        <w:t>Gov.uk (2023) Business transfers, takeovers and TUPE. Available at: https://www.gov.uk/transfers-takeovers</w:t>
      </w:r>
    </w:p>
    <w:p w14:paraId="67B9659C" w14:textId="77777777" w:rsidR="005D3D78" w:rsidRDefault="005D3D78" w:rsidP="00B35536">
      <w:pPr>
        <w:pStyle w:val="ListParagraph"/>
        <w:numPr>
          <w:ilvl w:val="0"/>
          <w:numId w:val="5"/>
        </w:numPr>
      </w:pPr>
      <w:r>
        <w:t>Gov.uk (2024a) Employment law overview. Available at: https://www.gov.uk</w:t>
      </w:r>
    </w:p>
    <w:p w14:paraId="4E7BED02" w14:textId="77777777" w:rsidR="005D3D78" w:rsidRDefault="005D3D78" w:rsidP="00557208">
      <w:pPr>
        <w:pStyle w:val="ListParagraph"/>
        <w:numPr>
          <w:ilvl w:val="0"/>
          <w:numId w:val="5"/>
        </w:numPr>
      </w:pPr>
      <w:r>
        <w:t>Gov.uk (2024b) Changes to holiday pay for irregular and part-year workers. Available at: https://www.gov.uk</w:t>
      </w:r>
    </w:p>
    <w:p w14:paraId="03404FAE" w14:textId="77777777" w:rsidR="005D3D78" w:rsidRDefault="005D3D78" w:rsidP="00557208">
      <w:pPr>
        <w:pStyle w:val="ListParagraph"/>
        <w:numPr>
          <w:ilvl w:val="0"/>
          <w:numId w:val="5"/>
        </w:numPr>
      </w:pPr>
      <w:r>
        <w:t>Gov.uk (2024c) Shared Parental Leave and Pay: Overview. Available at: https://www.gov.uk/shared-parental-leave-and-pay</w:t>
      </w:r>
    </w:p>
    <w:p w14:paraId="553D738B" w14:textId="77777777" w:rsidR="005D3D78" w:rsidRDefault="005D3D78" w:rsidP="004D68EF">
      <w:pPr>
        <w:pStyle w:val="ListParagraph"/>
        <w:numPr>
          <w:ilvl w:val="0"/>
          <w:numId w:val="5"/>
        </w:numPr>
      </w:pPr>
      <w:r>
        <w:t>Gov.uk (2024e) Retained EU case law and employment law guidance. Available at: https://www.gov.uk</w:t>
      </w:r>
    </w:p>
    <w:p w14:paraId="31867138" w14:textId="77777777" w:rsidR="005D3D78" w:rsidRDefault="005D3D78" w:rsidP="00557208">
      <w:pPr>
        <w:pStyle w:val="ListParagraph"/>
        <w:numPr>
          <w:ilvl w:val="0"/>
          <w:numId w:val="5"/>
        </w:numPr>
      </w:pPr>
      <w:r>
        <w:t xml:space="preserve">Gov.uk (2024f) Flexible working changes from April 2024. Available at: </w:t>
      </w:r>
      <w:hyperlink r:id="rId6" w:history="1">
        <w:r w:rsidRPr="00530E1F">
          <w:rPr>
            <w:rStyle w:val="Hyperlink"/>
          </w:rPr>
          <w:t>https://www.gov.uk/flexible-working</w:t>
        </w:r>
      </w:hyperlink>
    </w:p>
    <w:p w14:paraId="0DB23409" w14:textId="77777777" w:rsidR="005D3D78" w:rsidRDefault="005D3D78" w:rsidP="00557208">
      <w:pPr>
        <w:pStyle w:val="ListParagraph"/>
        <w:numPr>
          <w:ilvl w:val="0"/>
          <w:numId w:val="5"/>
        </w:numPr>
      </w:pPr>
      <w:r>
        <w:t>Hepple, B. (2014) Equality: The Legal Framework. 2nd ed. Oxford: Hart Publishing.</w:t>
      </w:r>
    </w:p>
    <w:p w14:paraId="0882E3B6" w14:textId="77777777" w:rsidR="005D3D78" w:rsidRDefault="005D3D78" w:rsidP="00557208">
      <w:pPr>
        <w:pStyle w:val="ListParagraph"/>
        <w:numPr>
          <w:ilvl w:val="0"/>
          <w:numId w:val="5"/>
        </w:numPr>
      </w:pPr>
      <w:r>
        <w:t>IDS (2023) Employment Law Handbook. London: Incomes Data Services.</w:t>
      </w:r>
    </w:p>
    <w:p w14:paraId="20667790" w14:textId="77777777" w:rsidR="005D3D78" w:rsidRDefault="005D3D78" w:rsidP="00557208">
      <w:pPr>
        <w:pStyle w:val="ListParagraph"/>
        <w:numPr>
          <w:ilvl w:val="0"/>
          <w:numId w:val="5"/>
        </w:numPr>
      </w:pPr>
      <w:r>
        <w:t>Lewis, D. and Sargeant, M. (2020) Employment Law: The Essentials. 14th ed. London: CIPD/Kogan Page.</w:t>
      </w:r>
    </w:p>
    <w:p w14:paraId="16059CDE" w14:textId="77777777" w:rsidR="005D3D78" w:rsidRDefault="005D3D78" w:rsidP="00557208">
      <w:pPr>
        <w:pStyle w:val="ListParagraph"/>
        <w:numPr>
          <w:ilvl w:val="0"/>
          <w:numId w:val="5"/>
        </w:numPr>
      </w:pPr>
      <w:r>
        <w:t>Lock v British Gas Trading Ltd [2014] CJEU C-539/12.</w:t>
      </w:r>
    </w:p>
    <w:p w14:paraId="705FA40C" w14:textId="77777777" w:rsidR="005D3D78" w:rsidRDefault="005D3D78" w:rsidP="00557208">
      <w:pPr>
        <w:pStyle w:val="ListParagraph"/>
        <w:numPr>
          <w:ilvl w:val="0"/>
          <w:numId w:val="5"/>
        </w:numPr>
      </w:pPr>
      <w:r>
        <w:t>Maternity and Parental Leave etc Regulations 1999, SI 1999/3312.</w:t>
      </w:r>
    </w:p>
    <w:p w14:paraId="2025516E" w14:textId="77777777" w:rsidR="005D3D78" w:rsidRDefault="005D3D78" w:rsidP="004D68EF">
      <w:pPr>
        <w:pStyle w:val="ListParagraph"/>
        <w:numPr>
          <w:ilvl w:val="0"/>
          <w:numId w:val="5"/>
        </w:numPr>
      </w:pPr>
      <w:r>
        <w:t>NHS Leeds v Larner [2012] EWCA Civ 1034.</w:t>
      </w:r>
    </w:p>
    <w:p w14:paraId="52B1A02F" w14:textId="77777777" w:rsidR="005D3D78" w:rsidRDefault="005D3D78" w:rsidP="00557208">
      <w:pPr>
        <w:pStyle w:val="ListParagraph"/>
        <w:numPr>
          <w:ilvl w:val="0"/>
          <w:numId w:val="5"/>
        </w:numPr>
      </w:pPr>
      <w:r>
        <w:t>Rubery, J., Grimshaw, D. and Figueiredo, H. (2005) ‘How to close the gender pay gap in Europe: towards the gender mainstreaming of pay policy’, Industrial Relations Journal, 36(3), pp. 184–203.</w:t>
      </w:r>
    </w:p>
    <w:p w14:paraId="035AFFE6" w14:textId="77777777" w:rsidR="005D3D78" w:rsidRDefault="005D3D78" w:rsidP="004D68EF">
      <w:pPr>
        <w:pStyle w:val="ListParagraph"/>
        <w:numPr>
          <w:ilvl w:val="0"/>
          <w:numId w:val="5"/>
        </w:numPr>
      </w:pPr>
      <w:r>
        <w:t>Stringer v HMRC [2009] IRLR 214 (ECJ).</w:t>
      </w:r>
    </w:p>
    <w:p w14:paraId="5517BF58" w14:textId="77777777" w:rsidR="005D3D78" w:rsidRDefault="005D3D78" w:rsidP="00557208">
      <w:pPr>
        <w:pStyle w:val="ListParagraph"/>
        <w:numPr>
          <w:ilvl w:val="0"/>
          <w:numId w:val="5"/>
        </w:numPr>
      </w:pPr>
      <w:r>
        <w:t>Taylor, S. (2021) Resourcing and Talent Management. 8th ed. London: CIPD.</w:t>
      </w:r>
    </w:p>
    <w:p w14:paraId="0B1473EE" w14:textId="77777777" w:rsidR="005D3D78" w:rsidRDefault="005D3D78" w:rsidP="00557208">
      <w:pPr>
        <w:pStyle w:val="ListParagraph"/>
        <w:numPr>
          <w:ilvl w:val="0"/>
          <w:numId w:val="5"/>
        </w:numPr>
      </w:pPr>
      <w:r>
        <w:t>Taylor, S. and Emir, A. (2022) Employment Law. 20th ed. Oxford: Oxford University Press.</w:t>
      </w:r>
    </w:p>
    <w:p w14:paraId="2AB02696" w14:textId="77777777" w:rsidR="005D3D78" w:rsidRDefault="005D3D78" w:rsidP="00557208">
      <w:pPr>
        <w:pStyle w:val="ListParagraph"/>
        <w:numPr>
          <w:ilvl w:val="0"/>
          <w:numId w:val="5"/>
        </w:numPr>
      </w:pPr>
      <w:r>
        <w:t>TULRCA 1992, c.52.</w:t>
      </w:r>
    </w:p>
    <w:p w14:paraId="42C51A04" w14:textId="77777777" w:rsidR="005D3D78" w:rsidRDefault="005D3D78" w:rsidP="00557208">
      <w:pPr>
        <w:pStyle w:val="ListParagraph"/>
        <w:numPr>
          <w:ilvl w:val="0"/>
          <w:numId w:val="5"/>
        </w:numPr>
      </w:pPr>
      <w:r>
        <w:t>TUPE Regulations 2006, SI 2006/246.</w:t>
      </w:r>
    </w:p>
    <w:p w14:paraId="1E83D6E9" w14:textId="77777777" w:rsidR="005D3D78" w:rsidRDefault="005D3D78" w:rsidP="00557208">
      <w:pPr>
        <w:pStyle w:val="ListParagraph"/>
        <w:numPr>
          <w:ilvl w:val="0"/>
          <w:numId w:val="5"/>
        </w:numPr>
      </w:pPr>
      <w:r>
        <w:t>UK Supreme Court (2022) Brazel v The Harpur Trust [2022] UKSC 21.</w:t>
      </w:r>
    </w:p>
    <w:p w14:paraId="5BAEDB68" w14:textId="152B9524" w:rsidR="00B44967" w:rsidRDefault="00B44967" w:rsidP="00557208">
      <w:pPr>
        <w:pStyle w:val="ListParagraph"/>
        <w:numPr>
          <w:ilvl w:val="0"/>
          <w:numId w:val="5"/>
        </w:numPr>
        <w:rPr>
          <w:color w:val="EE0000"/>
        </w:rPr>
      </w:pPr>
      <w:r w:rsidRPr="00B44967">
        <w:rPr>
          <w:color w:val="EE0000"/>
        </w:rPr>
        <w:t>NHS England Workforce, Training and Education (2024) State of Shock: the Role of Workforce Planning in Responding to Shocks in Health Workforce Planning [YouTube video]. Available at: https://www.youtube.com/watch?v=bhTULtiQbyY [Accessed 5 August 2025].</w:t>
      </w:r>
    </w:p>
    <w:p w14:paraId="4FBCD682" w14:textId="11A00EAD" w:rsidR="00EF3FA9" w:rsidRPr="00BF1D40" w:rsidRDefault="002303DF" w:rsidP="00D26142">
      <w:pPr>
        <w:pStyle w:val="ListParagraph"/>
        <w:numPr>
          <w:ilvl w:val="0"/>
          <w:numId w:val="5"/>
        </w:numPr>
        <w:ind w:left="720"/>
      </w:pPr>
      <w:r w:rsidRPr="00BF1D40">
        <w:rPr>
          <w:color w:val="EE0000"/>
        </w:rPr>
        <w:t>Francis, R. (2013) Report of the Mid Staffordshire NHS Foundation Trust Public Inquiry. London: The Stationery Office. Available at: https://assets.publishing.service.gov.uk/media/5a7ba0faed915d13110607c8/0947.pdf [Accessed 5 August 2025].</w:t>
      </w:r>
      <w:r w:rsidRPr="00BF1D40">
        <w:rPr>
          <w:color w:val="EE0000"/>
        </w:rPr>
        <w:t xml:space="preserve"> </w:t>
      </w:r>
    </w:p>
    <w:p w14:paraId="258C4F37" w14:textId="2CAC193A" w:rsidR="00BF1D40" w:rsidRDefault="00BF1D40" w:rsidP="00BF1D40">
      <w:pPr>
        <w:pStyle w:val="ListParagraph"/>
        <w:numPr>
          <w:ilvl w:val="0"/>
          <w:numId w:val="5"/>
        </w:numPr>
        <w:ind w:left="720"/>
        <w:rPr>
          <w:color w:val="EE0000"/>
        </w:rPr>
      </w:pPr>
      <w:r w:rsidRPr="00BF1D40">
        <w:rPr>
          <w:color w:val="EE0000"/>
        </w:rPr>
        <w:t xml:space="preserve">GDPR Advisor (2024) </w:t>
      </w:r>
      <w:r w:rsidRPr="00BF1D40">
        <w:rPr>
          <w:i/>
          <w:iCs/>
          <w:color w:val="EE0000"/>
        </w:rPr>
        <w:t>How Much Does GDPR Compliance Cost?</w:t>
      </w:r>
      <w:r w:rsidRPr="00BF1D40">
        <w:rPr>
          <w:color w:val="EE0000"/>
        </w:rPr>
        <w:t>. GDPRAdvisor.co.uk. Available at: https://www.gdpradvisor.co.uk/how-much-does-gdpr-compliance-cost [Accessed 5 August 2025].</w:t>
      </w:r>
    </w:p>
    <w:p w14:paraId="50A2339F" w14:textId="0B1F5FFA" w:rsidR="007A60AB" w:rsidRDefault="007A60AB" w:rsidP="00BF1D40">
      <w:pPr>
        <w:pStyle w:val="ListParagraph"/>
        <w:numPr>
          <w:ilvl w:val="0"/>
          <w:numId w:val="5"/>
        </w:numPr>
        <w:ind w:left="720"/>
        <w:rPr>
          <w:color w:val="EE0000"/>
        </w:rPr>
      </w:pPr>
      <w:r w:rsidRPr="007A60AB">
        <w:rPr>
          <w:color w:val="EE0000"/>
        </w:rPr>
        <w:t>HM Courts &amp; Tribunals Service (2025) Mr</w:t>
      </w:r>
      <w:r w:rsidRPr="007A60AB">
        <w:rPr>
          <w:rFonts w:ascii="Arial" w:hAnsi="Arial" w:cs="Arial"/>
          <w:color w:val="EE0000"/>
        </w:rPr>
        <w:t> </w:t>
      </w:r>
      <w:r w:rsidRPr="007A60AB">
        <w:rPr>
          <w:color w:val="EE0000"/>
        </w:rPr>
        <w:t>W</w:t>
      </w:r>
      <w:r w:rsidRPr="007A60AB">
        <w:rPr>
          <w:rFonts w:ascii="Arial" w:hAnsi="Arial" w:cs="Arial"/>
          <w:color w:val="EE0000"/>
        </w:rPr>
        <w:t> </w:t>
      </w:r>
      <w:r w:rsidRPr="007A60AB">
        <w:rPr>
          <w:color w:val="EE0000"/>
        </w:rPr>
        <w:t>Norman</w:t>
      </w:r>
      <w:r w:rsidRPr="007A60AB">
        <w:rPr>
          <w:rFonts w:ascii="Arial" w:hAnsi="Arial" w:cs="Arial"/>
          <w:color w:val="EE0000"/>
        </w:rPr>
        <w:t> </w:t>
      </w:r>
      <w:r w:rsidRPr="007A60AB">
        <w:rPr>
          <w:color w:val="EE0000"/>
        </w:rPr>
        <w:t>v</w:t>
      </w:r>
      <w:r w:rsidRPr="007A60AB">
        <w:rPr>
          <w:rFonts w:ascii="Arial" w:hAnsi="Arial" w:cs="Arial"/>
          <w:color w:val="EE0000"/>
        </w:rPr>
        <w:t> </w:t>
      </w:r>
      <w:r w:rsidRPr="007A60AB">
        <w:rPr>
          <w:color w:val="EE0000"/>
        </w:rPr>
        <w:t>Lidl Great Britain Ltd (1804509/2023): Employment Tribunal decision. Decision date</w:t>
      </w:r>
      <w:r w:rsidRPr="007A60AB">
        <w:rPr>
          <w:rFonts w:ascii="Arial" w:hAnsi="Arial" w:cs="Arial"/>
          <w:color w:val="EE0000"/>
        </w:rPr>
        <w:t> </w:t>
      </w:r>
      <w:r w:rsidRPr="007A60AB">
        <w:rPr>
          <w:color w:val="EE0000"/>
        </w:rPr>
        <w:t>12 July 2024, updated 12 May 2025. GOV.UK. Available at: https://www.gov.uk/employment-tribunal-decisions/mr-w-norman-great-britain-ltd-1804509-slash-2023 [Accessed 5 August 2025].</w:t>
      </w:r>
    </w:p>
    <w:p w14:paraId="5D4C3AF2" w14:textId="21A4492D" w:rsidR="0092669B" w:rsidRPr="00BF1D40" w:rsidRDefault="0092669B" w:rsidP="00BF1D40">
      <w:pPr>
        <w:pStyle w:val="ListParagraph"/>
        <w:numPr>
          <w:ilvl w:val="0"/>
          <w:numId w:val="5"/>
        </w:numPr>
        <w:ind w:left="720"/>
        <w:rPr>
          <w:color w:val="EE0000"/>
        </w:rPr>
      </w:pPr>
      <w:r w:rsidRPr="0092669B">
        <w:rPr>
          <w:color w:val="EE0000"/>
        </w:rPr>
        <w:t>HM Courts &amp; Tribunals Service (2025</w:t>
      </w:r>
      <w:r>
        <w:rPr>
          <w:color w:val="EE0000"/>
        </w:rPr>
        <w:t>a</w:t>
      </w:r>
      <w:r w:rsidRPr="0092669B">
        <w:rPr>
          <w:color w:val="EE0000"/>
        </w:rPr>
        <w:t>) ‘Hendy Group Ltd v Daniel Kennedy [2024] EAT 106: Employment Appeal Tribunal decision’. GOV.UK. Available at: https://www.gov.uk/employment-appeal-tribunal-decisions/hendy-group-ltd-v-daniel-kennedy-2024-eat-106 [Accessed 5 August 2025</w:t>
      </w:r>
    </w:p>
    <w:sectPr w:rsidR="0092669B" w:rsidRPr="00BF1D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407FC"/>
    <w:multiLevelType w:val="hybridMultilevel"/>
    <w:tmpl w:val="C34A7888"/>
    <w:lvl w:ilvl="0" w:tplc="03B8177E">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8C7723"/>
    <w:multiLevelType w:val="hybridMultilevel"/>
    <w:tmpl w:val="DABAA7C6"/>
    <w:lvl w:ilvl="0" w:tplc="E04A2892">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224DFB"/>
    <w:multiLevelType w:val="hybridMultilevel"/>
    <w:tmpl w:val="1EEA43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DA58C9"/>
    <w:multiLevelType w:val="hybridMultilevel"/>
    <w:tmpl w:val="500C63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967A48"/>
    <w:multiLevelType w:val="hybridMultilevel"/>
    <w:tmpl w:val="8668CF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350CA3"/>
    <w:multiLevelType w:val="hybridMultilevel"/>
    <w:tmpl w:val="01D0F1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483C6B"/>
    <w:multiLevelType w:val="hybridMultilevel"/>
    <w:tmpl w:val="C9D8E9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61D5CC1"/>
    <w:multiLevelType w:val="hybridMultilevel"/>
    <w:tmpl w:val="29CA902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AFA7F34"/>
    <w:multiLevelType w:val="hybridMultilevel"/>
    <w:tmpl w:val="D50813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D430FE"/>
    <w:multiLevelType w:val="hybridMultilevel"/>
    <w:tmpl w:val="981E35B2"/>
    <w:lvl w:ilvl="0" w:tplc="E2C892AE">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7494741">
    <w:abstractNumId w:val="8"/>
  </w:num>
  <w:num w:numId="2" w16cid:durableId="1036388065">
    <w:abstractNumId w:val="2"/>
  </w:num>
  <w:num w:numId="3" w16cid:durableId="1974360963">
    <w:abstractNumId w:val="0"/>
  </w:num>
  <w:num w:numId="4" w16cid:durableId="22246419">
    <w:abstractNumId w:val="4"/>
  </w:num>
  <w:num w:numId="5" w16cid:durableId="1997762782">
    <w:abstractNumId w:val="7"/>
  </w:num>
  <w:num w:numId="6" w16cid:durableId="2079135448">
    <w:abstractNumId w:val="5"/>
  </w:num>
  <w:num w:numId="7" w16cid:durableId="1360665887">
    <w:abstractNumId w:val="6"/>
  </w:num>
  <w:num w:numId="8" w16cid:durableId="2074112071">
    <w:abstractNumId w:val="3"/>
  </w:num>
  <w:num w:numId="9" w16cid:durableId="1586722509">
    <w:abstractNumId w:val="1"/>
  </w:num>
  <w:num w:numId="10" w16cid:durableId="13329526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874"/>
    <w:rsid w:val="00005A0D"/>
    <w:rsid w:val="000272D2"/>
    <w:rsid w:val="00030E88"/>
    <w:rsid w:val="0003131A"/>
    <w:rsid w:val="00042EF2"/>
    <w:rsid w:val="0005123F"/>
    <w:rsid w:val="00070DD7"/>
    <w:rsid w:val="0007374A"/>
    <w:rsid w:val="00074E5F"/>
    <w:rsid w:val="00075F78"/>
    <w:rsid w:val="00085E7F"/>
    <w:rsid w:val="00092CE8"/>
    <w:rsid w:val="0009396D"/>
    <w:rsid w:val="000A4C5F"/>
    <w:rsid w:val="000A56EB"/>
    <w:rsid w:val="000D189D"/>
    <w:rsid w:val="000F6153"/>
    <w:rsid w:val="000F6B71"/>
    <w:rsid w:val="0011181B"/>
    <w:rsid w:val="001131D0"/>
    <w:rsid w:val="00115359"/>
    <w:rsid w:val="001232D4"/>
    <w:rsid w:val="00123CAF"/>
    <w:rsid w:val="001266A5"/>
    <w:rsid w:val="00131CE7"/>
    <w:rsid w:val="00135440"/>
    <w:rsid w:val="00152482"/>
    <w:rsid w:val="00155B54"/>
    <w:rsid w:val="00163D30"/>
    <w:rsid w:val="001B5C35"/>
    <w:rsid w:val="001C3D16"/>
    <w:rsid w:val="001C52E8"/>
    <w:rsid w:val="001C7D19"/>
    <w:rsid w:val="001D3794"/>
    <w:rsid w:val="001D5D22"/>
    <w:rsid w:val="001E30F6"/>
    <w:rsid w:val="001F1AF3"/>
    <w:rsid w:val="001F2B5F"/>
    <w:rsid w:val="001F2B61"/>
    <w:rsid w:val="00203080"/>
    <w:rsid w:val="00207CCF"/>
    <w:rsid w:val="00213410"/>
    <w:rsid w:val="002303DF"/>
    <w:rsid w:val="00251D60"/>
    <w:rsid w:val="0026076F"/>
    <w:rsid w:val="00277C7E"/>
    <w:rsid w:val="002854F0"/>
    <w:rsid w:val="00287E22"/>
    <w:rsid w:val="0029581B"/>
    <w:rsid w:val="002976DC"/>
    <w:rsid w:val="002C4204"/>
    <w:rsid w:val="002C59D9"/>
    <w:rsid w:val="002C683E"/>
    <w:rsid w:val="002D0570"/>
    <w:rsid w:val="002D5018"/>
    <w:rsid w:val="0030639B"/>
    <w:rsid w:val="00321407"/>
    <w:rsid w:val="00322266"/>
    <w:rsid w:val="003347B2"/>
    <w:rsid w:val="00335B7B"/>
    <w:rsid w:val="00343957"/>
    <w:rsid w:val="00343B68"/>
    <w:rsid w:val="00346A10"/>
    <w:rsid w:val="003472A1"/>
    <w:rsid w:val="00352886"/>
    <w:rsid w:val="00366BE6"/>
    <w:rsid w:val="00367165"/>
    <w:rsid w:val="00372F03"/>
    <w:rsid w:val="00381343"/>
    <w:rsid w:val="00382BDD"/>
    <w:rsid w:val="00383D0F"/>
    <w:rsid w:val="00385FBD"/>
    <w:rsid w:val="003A6DF9"/>
    <w:rsid w:val="003C44DA"/>
    <w:rsid w:val="003C583E"/>
    <w:rsid w:val="003C644B"/>
    <w:rsid w:val="003C7F17"/>
    <w:rsid w:val="003D64AC"/>
    <w:rsid w:val="003E6C97"/>
    <w:rsid w:val="003F4DBB"/>
    <w:rsid w:val="0040069E"/>
    <w:rsid w:val="00401042"/>
    <w:rsid w:val="00401597"/>
    <w:rsid w:val="00403503"/>
    <w:rsid w:val="004126A1"/>
    <w:rsid w:val="004130DA"/>
    <w:rsid w:val="00414CCD"/>
    <w:rsid w:val="00432693"/>
    <w:rsid w:val="0043666A"/>
    <w:rsid w:val="004411B9"/>
    <w:rsid w:val="00444549"/>
    <w:rsid w:val="00456118"/>
    <w:rsid w:val="0046145D"/>
    <w:rsid w:val="00475889"/>
    <w:rsid w:val="00476EDB"/>
    <w:rsid w:val="00484D9E"/>
    <w:rsid w:val="00492C6A"/>
    <w:rsid w:val="004A543E"/>
    <w:rsid w:val="004C138A"/>
    <w:rsid w:val="004D68EF"/>
    <w:rsid w:val="00505A54"/>
    <w:rsid w:val="00515AF8"/>
    <w:rsid w:val="00516D61"/>
    <w:rsid w:val="005174E7"/>
    <w:rsid w:val="00520B14"/>
    <w:rsid w:val="00525F60"/>
    <w:rsid w:val="0053239E"/>
    <w:rsid w:val="00541E35"/>
    <w:rsid w:val="00557208"/>
    <w:rsid w:val="00576FAA"/>
    <w:rsid w:val="00585B59"/>
    <w:rsid w:val="005A738A"/>
    <w:rsid w:val="005B25ED"/>
    <w:rsid w:val="005B2E39"/>
    <w:rsid w:val="005B344B"/>
    <w:rsid w:val="005B5B4D"/>
    <w:rsid w:val="005C6D2B"/>
    <w:rsid w:val="005D2387"/>
    <w:rsid w:val="005D3D78"/>
    <w:rsid w:val="005D5A7B"/>
    <w:rsid w:val="005E1874"/>
    <w:rsid w:val="005E6E85"/>
    <w:rsid w:val="005F6553"/>
    <w:rsid w:val="006252B2"/>
    <w:rsid w:val="00647E4D"/>
    <w:rsid w:val="006655DE"/>
    <w:rsid w:val="00693A8B"/>
    <w:rsid w:val="006A01EF"/>
    <w:rsid w:val="006B3439"/>
    <w:rsid w:val="006C1F59"/>
    <w:rsid w:val="006D0B90"/>
    <w:rsid w:val="006D33C7"/>
    <w:rsid w:val="006E0C41"/>
    <w:rsid w:val="006E749A"/>
    <w:rsid w:val="006F2E63"/>
    <w:rsid w:val="006F439F"/>
    <w:rsid w:val="006F6433"/>
    <w:rsid w:val="006F6709"/>
    <w:rsid w:val="007005F8"/>
    <w:rsid w:val="007045A9"/>
    <w:rsid w:val="00727FED"/>
    <w:rsid w:val="00740EF9"/>
    <w:rsid w:val="007544CE"/>
    <w:rsid w:val="00762F7C"/>
    <w:rsid w:val="007645F9"/>
    <w:rsid w:val="00764EE7"/>
    <w:rsid w:val="007714DD"/>
    <w:rsid w:val="00776920"/>
    <w:rsid w:val="00785E0A"/>
    <w:rsid w:val="007A45F2"/>
    <w:rsid w:val="007A60AB"/>
    <w:rsid w:val="007B054C"/>
    <w:rsid w:val="007B1D11"/>
    <w:rsid w:val="007C4BA7"/>
    <w:rsid w:val="007D2426"/>
    <w:rsid w:val="007D772B"/>
    <w:rsid w:val="007E6C80"/>
    <w:rsid w:val="007F0185"/>
    <w:rsid w:val="007F6A41"/>
    <w:rsid w:val="00804AF2"/>
    <w:rsid w:val="00815AA2"/>
    <w:rsid w:val="00830098"/>
    <w:rsid w:val="00843A52"/>
    <w:rsid w:val="00845B75"/>
    <w:rsid w:val="00845C31"/>
    <w:rsid w:val="00852984"/>
    <w:rsid w:val="0087127D"/>
    <w:rsid w:val="00871D9E"/>
    <w:rsid w:val="00876D22"/>
    <w:rsid w:val="00880D2E"/>
    <w:rsid w:val="00884B8F"/>
    <w:rsid w:val="00885622"/>
    <w:rsid w:val="00894E80"/>
    <w:rsid w:val="008E1F9B"/>
    <w:rsid w:val="008E6644"/>
    <w:rsid w:val="00910C73"/>
    <w:rsid w:val="00914D7E"/>
    <w:rsid w:val="00926444"/>
    <w:rsid w:val="0092669B"/>
    <w:rsid w:val="00935092"/>
    <w:rsid w:val="00943A36"/>
    <w:rsid w:val="00951783"/>
    <w:rsid w:val="00981371"/>
    <w:rsid w:val="009B35A4"/>
    <w:rsid w:val="009C14B0"/>
    <w:rsid w:val="009E28E8"/>
    <w:rsid w:val="009E4240"/>
    <w:rsid w:val="00A01393"/>
    <w:rsid w:val="00A018B7"/>
    <w:rsid w:val="00A1250D"/>
    <w:rsid w:val="00A13E2B"/>
    <w:rsid w:val="00A37558"/>
    <w:rsid w:val="00A4117B"/>
    <w:rsid w:val="00A42E9E"/>
    <w:rsid w:val="00A438F9"/>
    <w:rsid w:val="00A468A5"/>
    <w:rsid w:val="00A54AB3"/>
    <w:rsid w:val="00A615E5"/>
    <w:rsid w:val="00A741CC"/>
    <w:rsid w:val="00A7440B"/>
    <w:rsid w:val="00A7708D"/>
    <w:rsid w:val="00A77A6D"/>
    <w:rsid w:val="00A85742"/>
    <w:rsid w:val="00A96A13"/>
    <w:rsid w:val="00AA7BE1"/>
    <w:rsid w:val="00AC6789"/>
    <w:rsid w:val="00AE7C66"/>
    <w:rsid w:val="00AF090E"/>
    <w:rsid w:val="00AF337C"/>
    <w:rsid w:val="00AF3ED2"/>
    <w:rsid w:val="00AF4641"/>
    <w:rsid w:val="00B04E1A"/>
    <w:rsid w:val="00B115F0"/>
    <w:rsid w:val="00B20B42"/>
    <w:rsid w:val="00B30DFB"/>
    <w:rsid w:val="00B35536"/>
    <w:rsid w:val="00B35F76"/>
    <w:rsid w:val="00B36E59"/>
    <w:rsid w:val="00B44967"/>
    <w:rsid w:val="00B4750D"/>
    <w:rsid w:val="00B47DB5"/>
    <w:rsid w:val="00B50D9C"/>
    <w:rsid w:val="00B5228D"/>
    <w:rsid w:val="00B52C21"/>
    <w:rsid w:val="00B63555"/>
    <w:rsid w:val="00B63CC0"/>
    <w:rsid w:val="00B70B5F"/>
    <w:rsid w:val="00B7211A"/>
    <w:rsid w:val="00B77BCD"/>
    <w:rsid w:val="00B93A49"/>
    <w:rsid w:val="00B950A2"/>
    <w:rsid w:val="00BA0BBA"/>
    <w:rsid w:val="00BA38C5"/>
    <w:rsid w:val="00BC5596"/>
    <w:rsid w:val="00BE0A6D"/>
    <w:rsid w:val="00BE3785"/>
    <w:rsid w:val="00BF1D40"/>
    <w:rsid w:val="00C00C8A"/>
    <w:rsid w:val="00C022A0"/>
    <w:rsid w:val="00C041DC"/>
    <w:rsid w:val="00C12C49"/>
    <w:rsid w:val="00C1630D"/>
    <w:rsid w:val="00C166BC"/>
    <w:rsid w:val="00C3219B"/>
    <w:rsid w:val="00C36699"/>
    <w:rsid w:val="00CA207C"/>
    <w:rsid w:val="00CA7405"/>
    <w:rsid w:val="00CA7F08"/>
    <w:rsid w:val="00CB33D9"/>
    <w:rsid w:val="00CB50B8"/>
    <w:rsid w:val="00CC3DE3"/>
    <w:rsid w:val="00CC7965"/>
    <w:rsid w:val="00D003BB"/>
    <w:rsid w:val="00D00F6E"/>
    <w:rsid w:val="00D12A4F"/>
    <w:rsid w:val="00D14B45"/>
    <w:rsid w:val="00D26142"/>
    <w:rsid w:val="00D32D3F"/>
    <w:rsid w:val="00D419A9"/>
    <w:rsid w:val="00D63431"/>
    <w:rsid w:val="00D63737"/>
    <w:rsid w:val="00D6474F"/>
    <w:rsid w:val="00D65E5A"/>
    <w:rsid w:val="00D7077B"/>
    <w:rsid w:val="00D76199"/>
    <w:rsid w:val="00D77B13"/>
    <w:rsid w:val="00D809E3"/>
    <w:rsid w:val="00D97427"/>
    <w:rsid w:val="00DA0682"/>
    <w:rsid w:val="00DA291D"/>
    <w:rsid w:val="00DA3819"/>
    <w:rsid w:val="00DA457E"/>
    <w:rsid w:val="00DB6635"/>
    <w:rsid w:val="00DB7185"/>
    <w:rsid w:val="00DD33D9"/>
    <w:rsid w:val="00DD4001"/>
    <w:rsid w:val="00DE0DBE"/>
    <w:rsid w:val="00DE66B0"/>
    <w:rsid w:val="00DF3C15"/>
    <w:rsid w:val="00DF4E4B"/>
    <w:rsid w:val="00DF7AEE"/>
    <w:rsid w:val="00E033B2"/>
    <w:rsid w:val="00E14B5F"/>
    <w:rsid w:val="00E22B35"/>
    <w:rsid w:val="00E26ECB"/>
    <w:rsid w:val="00E31D23"/>
    <w:rsid w:val="00E3290C"/>
    <w:rsid w:val="00E44686"/>
    <w:rsid w:val="00E46B91"/>
    <w:rsid w:val="00E50724"/>
    <w:rsid w:val="00E83261"/>
    <w:rsid w:val="00E8328C"/>
    <w:rsid w:val="00E84618"/>
    <w:rsid w:val="00E90C70"/>
    <w:rsid w:val="00EB4FC0"/>
    <w:rsid w:val="00EF3FA9"/>
    <w:rsid w:val="00EF4AFC"/>
    <w:rsid w:val="00F03F04"/>
    <w:rsid w:val="00F05902"/>
    <w:rsid w:val="00F17D9F"/>
    <w:rsid w:val="00F3318A"/>
    <w:rsid w:val="00F418CE"/>
    <w:rsid w:val="00F41D0C"/>
    <w:rsid w:val="00F53FB3"/>
    <w:rsid w:val="00F73E23"/>
    <w:rsid w:val="00F817CD"/>
    <w:rsid w:val="00FB3E83"/>
    <w:rsid w:val="00FC1C03"/>
    <w:rsid w:val="00FC25D9"/>
    <w:rsid w:val="00FC3D6B"/>
    <w:rsid w:val="00FC3E38"/>
    <w:rsid w:val="00FC751F"/>
    <w:rsid w:val="00FE07B3"/>
    <w:rsid w:val="00FF252B"/>
    <w:rsid w:val="00FF68FC"/>
    <w:rsid w:val="00FF7F2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260E8"/>
  <w15:chartTrackingRefBased/>
  <w15:docId w15:val="{820CA423-4078-4AD2-9E44-89ED4BCE8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18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18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18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18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18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18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18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18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18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18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18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18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18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18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18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18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18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1874"/>
    <w:rPr>
      <w:rFonts w:eastAsiaTheme="majorEastAsia" w:cstheme="majorBidi"/>
      <w:color w:val="272727" w:themeColor="text1" w:themeTint="D8"/>
    </w:rPr>
  </w:style>
  <w:style w:type="paragraph" w:styleId="Title">
    <w:name w:val="Title"/>
    <w:basedOn w:val="Normal"/>
    <w:next w:val="Normal"/>
    <w:link w:val="TitleChar"/>
    <w:uiPriority w:val="10"/>
    <w:qFormat/>
    <w:rsid w:val="005E18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18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18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18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1874"/>
    <w:pPr>
      <w:spacing w:before="160"/>
      <w:jc w:val="center"/>
    </w:pPr>
    <w:rPr>
      <w:i/>
      <w:iCs/>
      <w:color w:val="404040" w:themeColor="text1" w:themeTint="BF"/>
    </w:rPr>
  </w:style>
  <w:style w:type="character" w:customStyle="1" w:styleId="QuoteChar">
    <w:name w:val="Quote Char"/>
    <w:basedOn w:val="DefaultParagraphFont"/>
    <w:link w:val="Quote"/>
    <w:uiPriority w:val="29"/>
    <w:rsid w:val="005E1874"/>
    <w:rPr>
      <w:i/>
      <w:iCs/>
      <w:color w:val="404040" w:themeColor="text1" w:themeTint="BF"/>
    </w:rPr>
  </w:style>
  <w:style w:type="paragraph" w:styleId="ListParagraph">
    <w:name w:val="List Paragraph"/>
    <w:basedOn w:val="Normal"/>
    <w:uiPriority w:val="34"/>
    <w:qFormat/>
    <w:rsid w:val="005E1874"/>
    <w:pPr>
      <w:ind w:left="720"/>
      <w:contextualSpacing/>
    </w:pPr>
  </w:style>
  <w:style w:type="character" w:styleId="IntenseEmphasis">
    <w:name w:val="Intense Emphasis"/>
    <w:basedOn w:val="DefaultParagraphFont"/>
    <w:uiPriority w:val="21"/>
    <w:qFormat/>
    <w:rsid w:val="005E1874"/>
    <w:rPr>
      <w:i/>
      <w:iCs/>
      <w:color w:val="0F4761" w:themeColor="accent1" w:themeShade="BF"/>
    </w:rPr>
  </w:style>
  <w:style w:type="paragraph" w:styleId="IntenseQuote">
    <w:name w:val="Intense Quote"/>
    <w:basedOn w:val="Normal"/>
    <w:next w:val="Normal"/>
    <w:link w:val="IntenseQuoteChar"/>
    <w:uiPriority w:val="30"/>
    <w:qFormat/>
    <w:rsid w:val="005E18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1874"/>
    <w:rPr>
      <w:i/>
      <w:iCs/>
      <w:color w:val="0F4761" w:themeColor="accent1" w:themeShade="BF"/>
    </w:rPr>
  </w:style>
  <w:style w:type="character" w:styleId="IntenseReference">
    <w:name w:val="Intense Reference"/>
    <w:basedOn w:val="DefaultParagraphFont"/>
    <w:uiPriority w:val="32"/>
    <w:qFormat/>
    <w:rsid w:val="005E1874"/>
    <w:rPr>
      <w:b/>
      <w:bCs/>
      <w:smallCaps/>
      <w:color w:val="0F4761" w:themeColor="accent1" w:themeShade="BF"/>
      <w:spacing w:val="5"/>
    </w:rPr>
  </w:style>
  <w:style w:type="character" w:styleId="Hyperlink">
    <w:name w:val="Hyperlink"/>
    <w:basedOn w:val="DefaultParagraphFont"/>
    <w:uiPriority w:val="99"/>
    <w:unhideWhenUsed/>
    <w:rsid w:val="00B35536"/>
    <w:rPr>
      <w:color w:val="467886" w:themeColor="hyperlink"/>
      <w:u w:val="single"/>
    </w:rPr>
  </w:style>
  <w:style w:type="character" w:styleId="UnresolvedMention">
    <w:name w:val="Unresolved Mention"/>
    <w:basedOn w:val="DefaultParagraphFont"/>
    <w:uiPriority w:val="99"/>
    <w:semiHidden/>
    <w:unhideWhenUsed/>
    <w:rsid w:val="00B355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v.uk/flexible-workin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4FDAA8-5178-4140-8BA0-F4F29D910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TotalTime>
  <Pages>13</Pages>
  <Words>4729</Words>
  <Characters>26959</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Hussein</dc:creator>
  <cp:keywords/>
  <dc:description/>
  <cp:lastModifiedBy>Mona Hussein</cp:lastModifiedBy>
  <cp:revision>287</cp:revision>
  <dcterms:created xsi:type="dcterms:W3CDTF">2025-05-11T14:20:00Z</dcterms:created>
  <dcterms:modified xsi:type="dcterms:W3CDTF">2025-08-06T15:26:00Z</dcterms:modified>
</cp:coreProperties>
</file>