
<file path=[Content_Types].xml><?xml version="1.0" encoding="utf-8"?>
<Types xmlns="http://schemas.openxmlformats.org/package/2006/content-types">
  <Default Extension="xml" ContentType="application/xml"/>
  <Default Extension="jpg" ContentType="image/jpeg"/>
  <Default Extension="png" ContentType="image/png"/>
  <Default Extension="rels" ContentType="application/vnd.openxmlformats-package.relationships+xml"/>
  <Default Extension="jpeg" ContentType="image/jpeg"/>
  <Override PartName="/word/footer2.xml" ContentType="application/vnd.openxmlformats-officedocument.wordprocessingml.footer+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body>
    <w:p>
      <w:pPr>
        <w:spacing w:after="160" w:line="259" w:lineRule="auto"/>
        <w:ind w:left="0" w:firstLine="0"/>
        <w:jc w:val="center"/>
        <w:rPr>
          <w:color w:val="auto"/>
        </w:rPr>
      </w:pPr>
      <w:bookmarkStart w:id="0" w:name="_Toc14413"/>
    </w:p>
    <w:p>
      <w:pPr>
        <w:spacing w:after="160" w:line="259" w:lineRule="auto"/>
        <w:ind w:left="0" w:firstLine="0"/>
        <w:jc w:val="center"/>
        <w:rPr>
          <w:rFonts w:ascii="Times New Roman" w:cs="Times New Roman" w:hAnsi="Times New Roman"/>
          <w:color w:val="auto"/>
          <w:sz w:val="72"/>
          <w:szCs w:val="72"/>
        </w:rPr>
      </w:pPr>
      <w:r>
        <w:rPr>
          <w:rFonts w:ascii="Times New Roman" w:cs="Times New Roman" w:hAnsi="Times New Roman"/>
          <w:color w:val="auto"/>
          <w:sz w:val="72"/>
          <w:szCs w:val="72"/>
        </w:rPr>
        <w:t xml:space="preserve"> Problem solving and decizion making </w:t>
      </w:r>
    </w:p>
    <w:p>
      <w:pPr>
        <w:spacing w:after="160" w:line="259" w:lineRule="auto"/>
        <w:ind w:left="0" w:firstLine="0"/>
        <w:jc w:val="center"/>
        <w:rPr>
          <w:rFonts w:ascii="Times New Roman" w:cs="Times New Roman" w:hAnsi="Times New Roman"/>
          <w:color w:val="auto"/>
          <w:sz w:val="72"/>
          <w:szCs w:val="72"/>
        </w:rPr>
      </w:pPr>
      <w:r>
        <w:rPr>
          <w:rFonts w:ascii="Times New Roman" w:cs="Times New Roman" w:hAnsi="Times New Roman"/>
          <w:color w:val="auto"/>
          <w:sz w:val="72"/>
          <w:szCs w:val="72"/>
        </w:rPr>
        <w:t>BMSW4004</w:t>
      </w:r>
    </w:p>
    <w:p>
      <w:pPr>
        <w:spacing w:after="160" w:line="259" w:lineRule="auto"/>
        <w:ind w:left="0" w:firstLine="0"/>
        <w:jc w:val="left"/>
        <w:rPr>
          <w:color w:val="auto"/>
          <w:sz w:val="72"/>
          <w:szCs w:val="72"/>
        </w:rPr>
      </w:pPr>
    </w:p>
    <w:p>
      <w:pPr>
        <w:spacing w:after="160" w:line="259" w:lineRule="auto"/>
        <w:ind w:left="0" w:firstLine="0"/>
        <w:jc w:val="left"/>
        <w:rPr>
          <w:color w:val="auto"/>
          <w:sz w:val="36"/>
          <w:szCs w:val="36"/>
        </w:rPr>
      </w:pPr>
    </w:p>
    <w:p>
      <w:pPr>
        <w:spacing w:after="160" w:line="259" w:lineRule="auto"/>
        <w:ind w:left="0" w:firstLine="0"/>
        <w:jc w:val="left"/>
        <w:rPr>
          <w:color w:val="auto"/>
          <w:sz w:val="36"/>
          <w:szCs w:val="36"/>
        </w:rPr>
      </w:pPr>
    </w:p>
    <w:p>
      <w:pPr>
        <w:spacing w:after="160" w:line="259" w:lineRule="auto"/>
        <w:ind w:left="0" w:firstLine="0"/>
        <w:jc w:val="left"/>
        <w:rPr>
          <w:color w:val="auto"/>
          <w:sz w:val="36"/>
          <w:szCs w:val="36"/>
        </w:rPr>
      </w:pPr>
    </w:p>
    <w:p>
      <w:pPr>
        <w:spacing w:after="160" w:line="259" w:lineRule="auto"/>
        <w:ind w:left="0" w:firstLine="0"/>
        <w:jc w:val="left"/>
        <w:rPr>
          <w:color w:val="auto"/>
          <w:sz w:val="36"/>
          <w:szCs w:val="36"/>
        </w:rPr>
      </w:pPr>
    </w:p>
    <w:p>
      <w:pPr>
        <w:spacing w:after="160" w:line="259" w:lineRule="auto"/>
        <w:ind w:left="0" w:firstLine="0"/>
        <w:jc w:val="left"/>
        <w:rPr>
          <w:color w:val="auto"/>
          <w:sz w:val="36"/>
          <w:szCs w:val="36"/>
        </w:rPr>
      </w:pPr>
    </w:p>
    <w:p>
      <w:pPr>
        <w:spacing w:after="160" w:line="259" w:lineRule="auto"/>
        <w:ind w:left="0" w:firstLine="0"/>
        <w:jc w:val="left"/>
        <w:rPr>
          <w:color w:val="auto"/>
          <w:sz w:val="36"/>
          <w:szCs w:val="36"/>
        </w:rPr>
      </w:pPr>
      <w:r>
        <w:rPr>
          <w:color w:val="auto"/>
          <w:sz w:val="36"/>
          <w:szCs w:val="36"/>
        </w:rPr>
        <w:t>Student Name: Mihai Mariuta</w:t>
        <w:tab/>
      </w:r>
    </w:p>
    <w:p>
      <w:pPr>
        <w:spacing w:after="160" w:line="259" w:lineRule="auto"/>
        <w:ind w:left="0" w:firstLine="0"/>
        <w:jc w:val="left"/>
        <w:rPr>
          <w:rFonts w:cs="Arial" w:eastAsiaTheme="majorEastAsia"/>
          <w:b/>
          <w:bCs/>
          <w:color w:val="auto"/>
          <w:sz w:val="32"/>
          <w:szCs w:val="24"/>
        </w:rPr>
      </w:pPr>
      <w:r>
        <w:rPr>
          <w:color w:val="auto"/>
          <w:sz w:val="36"/>
          <w:szCs w:val="36"/>
        </w:rPr>
        <w:t>ID: 1920013</w:t>
      </w:r>
      <w:r>
        <w:rPr>
          <w:color w:val="auto"/>
          <w:sz w:val="36"/>
          <w:szCs w:val="36"/>
        </w:rPr>
        <w:br w:type="page"/>
      </w:r>
    </w:p>
    <w:p>
      <w:pPr>
        <w:pStyle w:val="TOCHeading"/>
        <w:rPr>
          <w:color w:val="auto"/>
        </w:rPr>
      </w:pPr>
      <w:r>
        <w:rPr>
          <w:color w:val="auto"/>
        </w:rPr>
        <w:t>Table of Contents</w:t>
      </w:r>
    </w:p>
    <w:p>
      <w:pPr>
        <w:pStyle w:val="Toc1"/>
        <w:tabs>
          <w:tab w:val="right" w:leader="dot" w:pos="9350"/>
        </w:tabs>
        <w:rPr>
          <w:rFonts w:asciiTheme="minorHAnsi" w:cstheme="minorBidi" w:eastAsiaTheme="minorEastAsia" w:hAnsiTheme="minorHAnsi"/>
          <w:color w:val="auto"/>
        </w:rPr>
      </w:pPr>
      <w:r>
        <w:fldChar w:fldCharType="begin"/>
      </w:r>
      <w:r>
        <w:instrText xml:space="preserve"> TOC \o "1-3" \h \z \u </w:instrText>
      </w:r>
      <w:r>
        <w:fldChar w:fldCharType="separate"/>
      </w:r>
      <w:r>
        <w:fldChar w:fldCharType="begin"/>
      </w:r>
      <w:r>
        <w:instrText xml:space="preserve">HYPERLINK \l "_Toc69933603" </w:instrText>
      </w:r>
      <w:r>
        <w:fldChar w:fldCharType="separate"/>
      </w:r>
      <w:r>
        <w:rPr>
          <w:rStyle w:val="Hyperlink"/>
          <w:color w:val="auto"/>
        </w:rPr>
        <w:t>Introduction</w:t>
      </w:r>
      <w:r>
        <w:rPr>
          <w:color w:val="auto"/>
        </w:rPr>
        <w:tab/>
      </w:r>
      <w:r>
        <w:fldChar w:fldCharType="begin"/>
      </w:r>
      <w:r>
        <w:instrText xml:space="preserve"> PAGEREF _Toc69933603 \h </w:instrText>
      </w:r>
      <w:r>
        <w:fldChar w:fldCharType="separate"/>
      </w:r>
      <w:r>
        <w:rPr>
          <w:color w:val="auto"/>
        </w:rPr>
        <w:t>3</w:t>
      </w:r>
      <w:r>
        <w:fldChar w:fldCharType="end"/>
      </w:r>
      <w:r>
        <w:fldChar w:fldCharType="end"/>
      </w:r>
    </w:p>
    <w:p>
      <w:pPr>
        <w:pStyle w:val="Toc1"/>
        <w:tabs>
          <w:tab w:val="right" w:leader="dot" w:pos="9350"/>
        </w:tabs>
        <w:rPr>
          <w:rFonts w:asciiTheme="minorHAnsi" w:cstheme="minorBidi" w:eastAsiaTheme="minorEastAsia" w:hAnsiTheme="minorHAnsi"/>
          <w:color w:val="auto"/>
        </w:rPr>
      </w:pPr>
      <w:r>
        <w:fldChar w:fldCharType="begin"/>
      </w:r>
      <w:r>
        <w:instrText xml:space="preserve">HYPERLINK \l "_Toc69933604" </w:instrText>
      </w:r>
      <w:r>
        <w:fldChar w:fldCharType="separate"/>
      </w:r>
      <w:r>
        <w:rPr>
          <w:rStyle w:val="Hyperlink"/>
          <w:color w:val="auto"/>
        </w:rPr>
        <w:t>Discussing complex problem in the workplace including its scope and impact</w:t>
      </w:r>
      <w:r>
        <w:rPr>
          <w:color w:val="auto"/>
        </w:rPr>
        <w:tab/>
      </w:r>
      <w:r>
        <w:fldChar w:fldCharType="begin"/>
      </w:r>
      <w:r>
        <w:instrText xml:space="preserve"> PAGEREF _Toc69933604 \h </w:instrText>
      </w:r>
      <w:r>
        <w:fldChar w:fldCharType="separate"/>
      </w:r>
      <w:r>
        <w:rPr>
          <w:color w:val="auto"/>
        </w:rPr>
        <w:t>3</w:t>
      </w:r>
      <w:r>
        <w:fldChar w:fldCharType="end"/>
      </w:r>
      <w:r>
        <w:fldChar w:fldCharType="end"/>
      </w:r>
    </w:p>
    <w:p>
      <w:pPr>
        <w:pStyle w:val="Toc3"/>
        <w:tabs>
          <w:tab w:val="right" w:leader="dot" w:pos="9350"/>
        </w:tabs>
        <w:rPr>
          <w:rFonts w:asciiTheme="minorHAnsi" w:cstheme="minorBidi" w:eastAsiaTheme="minorEastAsia" w:hAnsiTheme="minorHAnsi"/>
          <w:color w:val="auto"/>
        </w:rPr>
      </w:pPr>
      <w:r>
        <w:fldChar w:fldCharType="begin"/>
      </w:r>
      <w:r>
        <w:instrText xml:space="preserve">HYPERLINK \l "_Toc69933605" </w:instrText>
      </w:r>
      <w:r>
        <w:fldChar w:fldCharType="separate"/>
      </w:r>
      <w:r>
        <w:rPr>
          <w:rStyle w:val="Hyperlink"/>
          <w:color w:val="auto"/>
        </w:rPr>
        <w:t>Scopes and impact of the problem</w:t>
      </w:r>
      <w:r>
        <w:rPr>
          <w:color w:val="auto"/>
        </w:rPr>
        <w:tab/>
      </w:r>
      <w:r>
        <w:fldChar w:fldCharType="begin"/>
      </w:r>
      <w:r>
        <w:instrText xml:space="preserve"> PAGEREF _Toc69933605 \h </w:instrText>
      </w:r>
      <w:r>
        <w:fldChar w:fldCharType="separate"/>
      </w:r>
      <w:r>
        <w:rPr>
          <w:color w:val="auto"/>
        </w:rPr>
        <w:t>4</w:t>
      </w:r>
      <w:r>
        <w:fldChar w:fldCharType="end"/>
      </w:r>
      <w:r>
        <w:fldChar w:fldCharType="end"/>
      </w:r>
    </w:p>
    <w:p>
      <w:pPr>
        <w:pStyle w:val="Toc1"/>
        <w:tabs>
          <w:tab w:val="right" w:leader="dot" w:pos="9350"/>
        </w:tabs>
        <w:rPr>
          <w:rFonts w:asciiTheme="minorHAnsi" w:cstheme="minorBidi" w:eastAsiaTheme="minorEastAsia" w:hAnsiTheme="minorHAnsi"/>
          <w:color w:val="auto"/>
        </w:rPr>
      </w:pPr>
      <w:r>
        <w:fldChar w:fldCharType="begin"/>
      </w:r>
      <w:r>
        <w:instrText xml:space="preserve">HYPERLINK \l "_Toc69933606" </w:instrText>
      </w:r>
      <w:r>
        <w:fldChar w:fldCharType="separate"/>
      </w:r>
      <w:r>
        <w:rPr>
          <w:rStyle w:val="Hyperlink"/>
          <w:color w:val="auto"/>
        </w:rPr>
        <w:t>Analyze information on the identified problem, to help inform the decision making process</w:t>
      </w:r>
      <w:r>
        <w:rPr>
          <w:color w:val="auto"/>
        </w:rPr>
        <w:tab/>
      </w:r>
      <w:r>
        <w:fldChar w:fldCharType="begin"/>
      </w:r>
      <w:r>
        <w:instrText xml:space="preserve"> PAGEREF _Toc69933606 \h </w:instrText>
      </w:r>
      <w:r>
        <w:fldChar w:fldCharType="separate"/>
      </w:r>
      <w:r>
        <w:rPr>
          <w:color w:val="auto"/>
        </w:rPr>
        <w:t>4</w:t>
      </w:r>
      <w:r>
        <w:fldChar w:fldCharType="end"/>
      </w:r>
      <w:r>
        <w:fldChar w:fldCharType="end"/>
      </w:r>
    </w:p>
    <w:p>
      <w:pPr>
        <w:pStyle w:val="Toc1"/>
        <w:tabs>
          <w:tab w:val="right" w:leader="dot" w:pos="9350"/>
        </w:tabs>
        <w:rPr>
          <w:rFonts w:asciiTheme="minorHAnsi" w:cstheme="minorBidi" w:eastAsiaTheme="minorEastAsia" w:hAnsiTheme="minorHAnsi"/>
          <w:color w:val="auto"/>
        </w:rPr>
      </w:pPr>
      <w:r>
        <w:fldChar w:fldCharType="begin"/>
      </w:r>
      <w:r>
        <w:instrText xml:space="preserve">HYPERLINK \l "_Toc69933607" </w:instrText>
      </w:r>
      <w:r>
        <w:fldChar w:fldCharType="separate"/>
      </w:r>
      <w:r>
        <w:rPr>
          <w:rStyle w:val="Hyperlink"/>
          <w:color w:val="auto"/>
        </w:rPr>
        <w:t>Proposing a range of alternative solutions to the problem</w:t>
      </w:r>
      <w:r>
        <w:rPr>
          <w:color w:val="auto"/>
        </w:rPr>
        <w:tab/>
      </w:r>
      <w:r>
        <w:fldChar w:fldCharType="begin"/>
      </w:r>
      <w:r>
        <w:instrText xml:space="preserve"> PAGEREF _Toc69933607 \h </w:instrText>
      </w:r>
      <w:r>
        <w:fldChar w:fldCharType="separate"/>
      </w:r>
      <w:r>
        <w:rPr>
          <w:color w:val="auto"/>
        </w:rPr>
        <w:t>5</w:t>
      </w:r>
      <w:r>
        <w:fldChar w:fldCharType="end"/>
      </w:r>
      <w:r>
        <w:fldChar w:fldCharType="end"/>
      </w:r>
    </w:p>
    <w:p>
      <w:pPr>
        <w:pStyle w:val="Toc1"/>
        <w:tabs>
          <w:tab w:val="right" w:leader="dot" w:pos="9350"/>
        </w:tabs>
        <w:rPr>
          <w:rFonts w:asciiTheme="minorHAnsi" w:cstheme="minorBidi" w:eastAsiaTheme="minorEastAsia" w:hAnsiTheme="minorHAnsi"/>
          <w:color w:val="auto"/>
        </w:rPr>
      </w:pPr>
      <w:r>
        <w:fldChar w:fldCharType="begin"/>
      </w:r>
      <w:r>
        <w:instrText xml:space="preserve">HYPERLINK \l "_Toc69933608" </w:instrText>
      </w:r>
      <w:r>
        <w:fldChar w:fldCharType="separate"/>
      </w:r>
      <w:r>
        <w:rPr>
          <w:rStyle w:val="Hyperlink"/>
          <w:color w:val="auto"/>
        </w:rPr>
        <w:t>Decision making technique to evaluate a range of solutions to identify the most appropriate option</w:t>
      </w:r>
      <w:r>
        <w:rPr>
          <w:color w:val="auto"/>
        </w:rPr>
        <w:tab/>
      </w:r>
      <w:r>
        <w:fldChar w:fldCharType="begin"/>
      </w:r>
      <w:r>
        <w:instrText xml:space="preserve"> PAGEREF _Toc69933608 \h </w:instrText>
      </w:r>
      <w:r>
        <w:fldChar w:fldCharType="separate"/>
      </w:r>
      <w:r>
        <w:rPr>
          <w:color w:val="auto"/>
        </w:rPr>
        <w:t>6</w:t>
      </w:r>
      <w:r>
        <w:fldChar w:fldCharType="end"/>
      </w:r>
      <w:r>
        <w:fldChar w:fldCharType="end"/>
      </w:r>
    </w:p>
    <w:p>
      <w:pPr>
        <w:pStyle w:val="Toc1"/>
        <w:tabs>
          <w:tab w:val="right" w:leader="dot" w:pos="9350"/>
        </w:tabs>
        <w:rPr>
          <w:rFonts w:asciiTheme="minorHAnsi" w:cstheme="minorBidi" w:eastAsiaTheme="minorEastAsia" w:hAnsiTheme="minorHAnsi"/>
          <w:color w:val="auto"/>
        </w:rPr>
      </w:pPr>
      <w:r>
        <w:fldChar w:fldCharType="begin"/>
      </w:r>
      <w:r>
        <w:instrText xml:space="preserve">HYPERLINK \l "_Toc69933609" </w:instrText>
      </w:r>
      <w:r>
        <w:fldChar w:fldCharType="separate"/>
      </w:r>
      <w:r>
        <w:rPr>
          <w:rStyle w:val="Hyperlink"/>
          <w:color w:val="auto"/>
        </w:rPr>
        <w:t>Developing a plan for implementing the solution</w:t>
      </w:r>
      <w:r>
        <w:rPr>
          <w:color w:val="auto"/>
        </w:rPr>
        <w:tab/>
      </w:r>
      <w:r>
        <w:fldChar w:fldCharType="begin"/>
      </w:r>
      <w:r>
        <w:instrText xml:space="preserve"> PAGEREF _Toc69933609 \h </w:instrText>
      </w:r>
      <w:r>
        <w:fldChar w:fldCharType="separate"/>
      </w:r>
      <w:r>
        <w:rPr>
          <w:color w:val="auto"/>
        </w:rPr>
        <w:t>7</w:t>
      </w:r>
      <w:r>
        <w:fldChar w:fldCharType="end"/>
      </w:r>
      <w:r>
        <w:fldChar w:fldCharType="end"/>
      </w:r>
    </w:p>
    <w:p>
      <w:pPr>
        <w:pStyle w:val="Toc1"/>
        <w:tabs>
          <w:tab w:val="right" w:leader="dot" w:pos="9350"/>
        </w:tabs>
        <w:rPr>
          <w:rFonts w:asciiTheme="minorHAnsi" w:cstheme="minorBidi" w:eastAsiaTheme="minorEastAsia" w:hAnsiTheme="minorHAnsi"/>
          <w:color w:val="auto"/>
        </w:rPr>
      </w:pPr>
      <w:r>
        <w:fldChar w:fldCharType="begin"/>
      </w:r>
      <w:r>
        <w:instrText xml:space="preserve">HYPERLINK \l "_Toc69933610" </w:instrText>
      </w:r>
      <w:r>
        <w:fldChar w:fldCharType="separate"/>
      </w:r>
      <w:r>
        <w:rPr>
          <w:rStyle w:val="Hyperlink"/>
          <w:color w:val="auto"/>
        </w:rPr>
        <w:t>Communicating the plan to stakeholders</w:t>
      </w:r>
      <w:r>
        <w:rPr>
          <w:color w:val="auto"/>
        </w:rPr>
        <w:tab/>
      </w:r>
      <w:r>
        <w:fldChar w:fldCharType="begin"/>
      </w:r>
      <w:r>
        <w:instrText xml:space="preserve"> PAGEREF _Toc69933610 \h </w:instrText>
      </w:r>
      <w:r>
        <w:fldChar w:fldCharType="separate"/>
      </w:r>
      <w:r>
        <w:rPr>
          <w:color w:val="auto"/>
        </w:rPr>
        <w:t>9</w:t>
      </w:r>
      <w:r>
        <w:fldChar w:fldCharType="end"/>
      </w:r>
      <w:r>
        <w:fldChar w:fldCharType="end"/>
      </w:r>
    </w:p>
    <w:p>
      <w:pPr>
        <w:pStyle w:val="Toc1"/>
        <w:tabs>
          <w:tab w:val="right" w:leader="dot" w:pos="9350"/>
        </w:tabs>
        <w:rPr>
          <w:rFonts w:asciiTheme="minorHAnsi" w:cstheme="minorBidi" w:eastAsiaTheme="minorEastAsia" w:hAnsiTheme="minorHAnsi"/>
          <w:color w:val="auto"/>
        </w:rPr>
      </w:pPr>
      <w:r>
        <w:fldChar w:fldCharType="begin"/>
      </w:r>
      <w:r>
        <w:instrText xml:space="preserve">HYPERLINK \l "_Toc69933611" </w:instrText>
      </w:r>
      <w:r>
        <w:fldChar w:fldCharType="separate"/>
      </w:r>
      <w:r>
        <w:rPr>
          <w:rStyle w:val="Hyperlink"/>
          <w:color w:val="auto"/>
        </w:rPr>
        <w:t>Assessing appropriate monitoring and review techniques to ensure successful implementation of the solution</w:t>
      </w:r>
      <w:r>
        <w:rPr>
          <w:color w:val="auto"/>
        </w:rPr>
        <w:tab/>
      </w:r>
      <w:r>
        <w:fldChar w:fldCharType="begin"/>
      </w:r>
      <w:r>
        <w:instrText xml:space="preserve"> PAGEREF _Toc69933611 \h </w:instrText>
      </w:r>
      <w:r>
        <w:fldChar w:fldCharType="separate"/>
      </w:r>
      <w:r>
        <w:rPr>
          <w:color w:val="auto"/>
        </w:rPr>
        <w:t>9</w:t>
      </w:r>
      <w:r>
        <w:fldChar w:fldCharType="end"/>
      </w:r>
      <w:r>
        <w:fldChar w:fldCharType="end"/>
      </w:r>
    </w:p>
    <w:p>
      <w:pPr>
        <w:pStyle w:val="Toc1"/>
        <w:tabs>
          <w:tab w:val="right" w:leader="dot" w:pos="9350"/>
        </w:tabs>
        <w:rPr>
          <w:rFonts w:asciiTheme="minorHAnsi" w:cstheme="minorBidi" w:eastAsiaTheme="minorEastAsia" w:hAnsiTheme="minorHAnsi"/>
          <w:color w:val="auto"/>
        </w:rPr>
      </w:pPr>
      <w:r>
        <w:fldChar w:fldCharType="begin"/>
      </w:r>
      <w:r>
        <w:instrText xml:space="preserve">HYPERLINK \l "_Toc69933612" </w:instrText>
      </w:r>
      <w:r>
        <w:fldChar w:fldCharType="separate"/>
      </w:r>
      <w:r>
        <w:rPr>
          <w:rStyle w:val="Hyperlink"/>
          <w:color w:val="auto"/>
        </w:rPr>
        <w:t>Conclusion</w:t>
      </w:r>
      <w:r>
        <w:rPr>
          <w:color w:val="auto"/>
        </w:rPr>
        <w:tab/>
      </w:r>
      <w:r>
        <w:fldChar w:fldCharType="begin"/>
      </w:r>
      <w:r>
        <w:instrText xml:space="preserve"> PAGEREF _Toc69933612 \h </w:instrText>
      </w:r>
      <w:r>
        <w:fldChar w:fldCharType="separate"/>
      </w:r>
      <w:r>
        <w:rPr>
          <w:color w:val="auto"/>
        </w:rPr>
        <w:t>11</w:t>
      </w:r>
      <w:r>
        <w:fldChar w:fldCharType="end"/>
      </w:r>
      <w:r>
        <w:fldChar w:fldCharType="end"/>
      </w:r>
    </w:p>
    <w:p>
      <w:pPr>
        <w:pStyle w:val="Toc1"/>
        <w:tabs>
          <w:tab w:val="right" w:leader="dot" w:pos="9350"/>
        </w:tabs>
        <w:rPr>
          <w:rFonts w:asciiTheme="minorHAnsi" w:cstheme="minorBidi" w:eastAsiaTheme="minorEastAsia" w:hAnsiTheme="minorHAnsi"/>
          <w:color w:val="auto"/>
        </w:rPr>
      </w:pPr>
      <w:r>
        <w:fldChar w:fldCharType="begin"/>
      </w:r>
      <w:r>
        <w:instrText xml:space="preserve">HYPERLINK \l "_Toc69933613" </w:instrText>
      </w:r>
      <w:r>
        <w:fldChar w:fldCharType="separate"/>
      </w:r>
      <w:r>
        <w:rPr>
          <w:rStyle w:val="Hyperlink"/>
          <w:color w:val="auto"/>
        </w:rPr>
        <w:t>References</w:t>
      </w:r>
      <w:r>
        <w:rPr>
          <w:color w:val="auto"/>
        </w:rPr>
        <w:tab/>
      </w:r>
      <w:r>
        <w:fldChar w:fldCharType="begin"/>
      </w:r>
      <w:r>
        <w:instrText xml:space="preserve"> PAGEREF _Toc69933613 \h </w:instrText>
      </w:r>
      <w:r>
        <w:fldChar w:fldCharType="separate"/>
      </w:r>
      <w:r>
        <w:rPr>
          <w:color w:val="auto"/>
        </w:rPr>
        <w:t>11</w:t>
      </w:r>
      <w:r>
        <w:fldChar w:fldCharType="end"/>
      </w:r>
      <w:r>
        <w:fldChar w:fldCharType="end"/>
      </w:r>
    </w:p>
    <w:p>
      <w:pPr>
        <w:rPr>
          <w:color w:val="auto"/>
        </w:rPr>
      </w:pPr>
      <w:r>
        <w:fldChar w:fldCharType="end"/>
      </w:r>
    </w:p>
    <w:p>
      <w:pPr>
        <w:spacing w:after="160" w:line="259" w:lineRule="auto"/>
        <w:ind w:left="0" w:firstLine="0"/>
        <w:jc w:val="left"/>
        <w:rPr>
          <w:rFonts w:cs="Arial" w:eastAsiaTheme="majorEastAsia"/>
          <w:b/>
          <w:bCs/>
          <w:color w:val="auto"/>
          <w:sz w:val="32"/>
          <w:szCs w:val="24"/>
        </w:rPr>
      </w:pPr>
      <w:r>
        <w:rPr>
          <w:color w:val="auto"/>
        </w:rPr>
        <w:br w:type="page"/>
      </w:r>
    </w:p>
    <w:p>
      <w:pPr>
        <w:pStyle w:val="Heading1"/>
        <w:spacing w:line="360" w:lineRule="auto"/>
        <w:ind w:left="-5"/>
        <w:rPr>
          <w:color w:val="auto"/>
        </w:rPr>
      </w:pPr>
      <w:bookmarkStart w:id="1" w:name="_Toc69933603"/>
      <w:r>
        <w:rPr>
          <w:color w:val="auto"/>
        </w:rPr>
        <w:t>Introduction</w:t>
      </w:r>
      <w:bookmarkEnd w:id="0"/>
      <w:bookmarkEnd w:id="1"/>
    </w:p>
    <w:p>
      <w:pPr>
        <w:spacing w:line="360" w:lineRule="auto"/>
        <w:rPr>
          <w:color w:val="auto"/>
        </w:rPr>
      </w:pPr>
      <w:r>
        <w:rPr>
          <w:color w:val="auto"/>
        </w:rPr>
        <w:t>In the course of their daily functions, every corporate entity encounters a variety of common and complex issues. McDonald's plc is the world's most well-known corporate conglomerate, with operations in a range of international. As a result, they have a variety of issues with clients, employees, and suppliers. For businesses to promote their enterprise and improve the quality of their business image, solving problems is a must. Employee-employer dispute is a common occurrence in almost every industry. An organization's management team must be capable of quickly resolving issues that arise. The director should make a quick decision. In this report we will analyse everything through the mirror of McDonalds company.</w:t>
      </w:r>
    </w:p>
    <w:p>
      <w:pPr>
        <w:pStyle w:val="Heading1"/>
        <w:spacing w:after="160" w:line="360" w:lineRule="auto"/>
        <w:ind w:left="-5"/>
        <w:rPr>
          <w:color w:val="auto"/>
        </w:rPr>
      </w:pPr>
      <w:bookmarkStart w:id="2" w:name="_Toc14415"/>
      <w:bookmarkStart w:id="3" w:name="_Toc69933604"/>
      <w:r>
        <w:rPr>
          <w:color w:val="auto"/>
        </w:rPr>
        <w:t>Discussing</w:t>
      </w:r>
      <w:r>
        <w:rPr>
          <w:color w:val="auto"/>
        </w:rPr>
        <w:t xml:space="preserve"> complex problem in the workplace including its scope and impact</w:t>
      </w:r>
      <w:bookmarkEnd w:id="2"/>
      <w:bookmarkEnd w:id="3"/>
    </w:p>
    <w:p>
      <w:pPr>
        <w:rPr>
          <w:color w:val="auto"/>
        </w:rPr>
      </w:pPr>
      <w:bookmarkStart w:id="4" w:name="_Toc14419"/>
      <w:r>
        <w:rPr>
          <w:color w:val="auto"/>
        </w:rPr>
        <w:t>According to Porter</w:t>
      </w:r>
      <w:r>
        <w:rPr>
          <w:color w:val="auto"/>
        </w:rPr>
        <w:t>, (2018), defining a complex issue is difficult because it differs from individual to individual and business to business. A situation that is difficult for McDonald's may be easy for another company. Any issue can be transformed into a complex process. For example, there is widespread scientific consensus that we need to reduce our carbon emissions, and it is feasible to do so, but the political and economic scenario is turning to be far more complicated.</w:t>
      </w:r>
    </w:p>
    <w:p>
      <w:pPr>
        <w:rPr>
          <w:color w:val="auto"/>
        </w:rPr>
      </w:pPr>
      <w:bookmarkEnd w:id="4"/>
      <w:r>
        <w:rPr>
          <w:color w:val="auto"/>
        </w:rPr>
        <w:t>McDonald's recently relocated their headquarters from Oak Brook to the United Kingdom (CNBC, 2018). This pattern affected franchise owners in regions that were established prior to and near the oldest hubs. This action by the company has angered the investors. According to a study taken by Nomura-Instinet to assess McDonald's recent operations, franchisees say they are not being handled as kindly as in the past. This is a difficult issue for the corporation's authority to solve since a majority of shareholders support the authority's decision. Some representatives of the governing body agreed to move the base, while others did not.</w:t>
      </w:r>
    </w:p>
    <w:p>
      <w:pPr>
        <w:pStyle w:val="Heading3"/>
        <w:spacing w:line="360" w:lineRule="auto"/>
        <w:rPr>
          <w:color w:val="auto"/>
        </w:rPr>
      </w:pPr>
      <w:bookmarkStart w:id="5" w:name="_Toc14420"/>
      <w:bookmarkStart w:id="6" w:name="_Toc69933605"/>
      <w:r>
        <w:rPr>
          <w:color w:val="auto"/>
        </w:rPr>
        <w:t>Scopes and impact of the problem</w:t>
      </w:r>
      <w:bookmarkEnd w:id="5"/>
      <w:bookmarkEnd w:id="6"/>
    </w:p>
    <w:p>
      <w:pPr>
        <w:spacing w:line="360" w:lineRule="auto"/>
        <w:ind w:left="-5" w:right="3"/>
        <w:rPr>
          <w:color w:val="auto"/>
        </w:rPr>
      </w:pPr>
      <w:r>
        <w:rPr>
          <w:color w:val="auto"/>
        </w:rPr>
        <w:t>This issue could be shared among the relevant employees. This dispute can provide benefits to the labor union, vendors, and rivals. Workers' routine duties and results can be hindered. The balance of working hours can be disrupted. Transportation issues food issues, revenue sharing issues, and workplace communication issues are all part of the scope of the issues.</w:t>
      </w:r>
    </w:p>
    <w:p>
      <w:pPr>
        <w:spacing w:line="360" w:lineRule="auto"/>
        <w:ind w:left="-5" w:right="3"/>
        <w:rPr>
          <w:color w:val="auto"/>
        </w:rPr>
      </w:pPr>
      <w:r>
        <w:rPr>
          <w:color w:val="auto"/>
        </w:rPr>
        <w:t>McDonald's is a multinational organization so they may lose market share in the global marketplace. McDonald's success has been marred by a number of issues in recent years. They've had issues with franchisee administrators, and recent additions to their dinner menu and products have made it difficult for franchisees to adjust. McDonald's is now asking them to pledge new funds for big investments that they believe will require a fortune but bring in none. However, one franchise owner argues that McDonald's is overlooking a basic. In recent times, the corporation's profit margins and product marketing have been in jeopardy</w:t>
      </w:r>
      <w:r>
        <w:rPr>
          <w:color w:val="auto"/>
        </w:rPr>
        <w:t xml:space="preserve"> (Duggal and Alexander, 2018)</w:t>
      </w:r>
      <w:r>
        <w:rPr>
          <w:color w:val="auto"/>
        </w:rPr>
        <w:t>.</w:t>
      </w:r>
    </w:p>
    <w:p>
      <w:pPr>
        <w:pStyle w:val="Heading1"/>
        <w:spacing w:line="360" w:lineRule="auto"/>
        <w:rPr>
          <w:color w:val="auto"/>
        </w:rPr>
      </w:pPr>
      <w:bookmarkStart w:id="7" w:name="_Toc69933606"/>
      <w:r>
        <w:rPr>
          <w:color w:val="auto"/>
        </w:rPr>
        <w:t>Analyze information on the identified problem, to help inform the decision making process</w:t>
      </w:r>
      <w:bookmarkEnd w:id="7"/>
    </w:p>
    <w:p>
      <w:pPr>
        <w:spacing w:after="220" w:line="360" w:lineRule="auto"/>
        <w:ind w:left="-5" w:right="3"/>
        <w:rPr>
          <w:color w:val="auto"/>
        </w:rPr>
      </w:pPr>
      <w:r>
        <w:rPr>
          <w:color w:val="auto"/>
        </w:rPr>
        <w:t>Since the most of the governing representatives wanted to move the headquarters, they weighed the benefits of doing so. They discovered that their former headquarters were too small to handle their operations in proportion to the needs of a globalized community. They expected that their corporate headquarters will be big and possibly the best.  They discovered that the majority of their stakeholders are located near their newer headquarters in the United Kingdom, which allows them to connect with them quickly. They can hold a meeting at any time, and the entirety of the regulating representatives are in attendance. This is the greatest chance for them to engage with shareholders and gather data required so that they can make informed decisions.</w:t>
      </w:r>
    </w:p>
    <w:p>
      <w:pPr>
        <w:spacing w:after="220" w:line="360" w:lineRule="auto"/>
        <w:ind w:left="-5" w:right="3"/>
        <w:rPr>
          <w:color w:val="auto"/>
        </w:rPr>
      </w:pPr>
      <w:r>
        <w:rPr>
          <w:color w:val="auto"/>
        </w:rPr>
        <w:t xml:space="preserve">According to Daniel Liberto (2017), in the area of global marketing, franchisees such as McDonald's are very relevant as this franchise owner company pays a fee to purchase the franchisor's brand name. This system helps to spread the company's reputation across the globe. The distribution of marketing strategy becomes fast. The organization has the ability to reach out to even the most remote parts of the world for this purpose. They have the potential to expand the size of customers in the global economy (Investopedia, 2018). McDonald's value menu is part </w:t>
      </w:r>
      <w:r>
        <w:rPr>
          <w:color w:val="auto"/>
        </w:rPr>
        <w:t>of the company's effort to reclaim its reputation as the most economical food supplier. McDonald's needs to update their policy and conditions of employment for franchisees and shareholders in light of this complicated situation with franchisees. To fix the problems, they would need to recruit experts. The preferred decision-making approach was used for this.</w:t>
      </w:r>
    </w:p>
    <w:p>
      <w:pPr>
        <w:spacing w:after="610" w:line="360" w:lineRule="auto"/>
        <w:jc w:val="center"/>
        <w:rPr>
          <w:color w:val="auto"/>
        </w:rPr>
      </w:pPr>
      <w:r>
        <w:rPr>
          <w:color w:val="auto"/>
        </w:rPr>
        <w:drawing xmlns:mc="http://schemas.openxmlformats.org/markup-compatibility/2006">
          <wp:inline distT="0" distB="0" distL="0" distR="0">
            <wp:extent cx="5943600" cy="2372360"/>
            <wp:effectExtent l="0" t="0" r="0" b="0"/>
            <wp:docPr id="14149" name="Picture 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7" name="Picture 367"/>
                    <pic:cNvPicPr/>
                  </pic:nvPicPr>
                  <pic:blipFill>
                    <a:blip r:embed="rId14"/>
                    <a:srcRect/>
                    <a:stretch>
                      <a:fillRect/>
                    </a:stretch>
                  </pic:blipFill>
                  <pic:spPr>
                    <a:xfrm>
                      <a:off x="0" y="0"/>
                      <a:ext cx="5943600" cy="2372360"/>
                    </a:xfrm>
                    <a:prstGeom prst="rect">
                      <a:avLst/>
                    </a:prstGeom>
                  </pic:spPr>
                </pic:pic>
              </a:graphicData>
            </a:graphic>
          </wp:inline>
        </w:drawing>
      </w:r>
      <w:r>
        <w:rPr>
          <w:color w:val="auto"/>
        </w:rPr>
        <w:t xml:space="preserve"> Figure: 7 Steps of decision making              </w:t>
      </w:r>
    </w:p>
    <w:p>
      <w:pPr>
        <w:spacing w:after="610" w:line="360" w:lineRule="auto"/>
        <w:jc w:val="center"/>
        <w:rPr>
          <w:color w:val="auto"/>
        </w:rPr>
      </w:pPr>
      <w:r>
        <w:rPr>
          <w:color w:val="auto"/>
        </w:rPr>
        <w:t xml:space="preserve">   Source: UMass, (2018)</w:t>
      </w:r>
    </w:p>
    <w:p>
      <w:pPr>
        <w:pStyle w:val="Heading1"/>
        <w:spacing w:line="360" w:lineRule="auto"/>
        <w:rPr>
          <w:color w:val="auto"/>
        </w:rPr>
      </w:pPr>
      <w:bookmarkStart w:id="8" w:name="_Toc69933607"/>
      <w:r>
        <w:rPr>
          <w:color w:val="auto"/>
        </w:rPr>
        <w:t>Proposing a range of alternative solutions to the problem</w:t>
      </w:r>
      <w:bookmarkEnd w:id="8"/>
    </w:p>
    <w:p>
      <w:pPr>
        <w:rPr>
          <w:b/>
          <w:bCs/>
          <w:i/>
          <w:color w:val="auto"/>
        </w:rPr>
      </w:pPr>
      <w:bookmarkStart w:id="9" w:name="_Toc14431"/>
      <w:r>
        <w:rPr>
          <w:color w:val="auto"/>
        </w:rPr>
        <w:t>Franchise owners and a significant number of stakeholders are dissatisfied with McDonald's' decision to relocate its offices from Oak Brook to the United Kingdom in mid 2018. The corporation's shareholders were worried about this trend</w:t>
      </w:r>
      <w:r>
        <w:rPr>
          <w:color w:val="auto"/>
        </w:rPr>
        <w:t xml:space="preserve"> (Ge, 2020)</w:t>
      </w:r>
      <w:r>
        <w:rPr>
          <w:color w:val="auto"/>
        </w:rPr>
        <w:t>. The new contract terms of the new office control framework are causing problems for franchisees. As a result, the organization can use a variety of problem-solving techniques from an internal standpoint.</w:t>
      </w:r>
    </w:p>
    <w:p>
      <w:pPr>
        <w:rPr>
          <w:b/>
          <w:bCs/>
          <w:color w:val="auto"/>
        </w:rPr>
      </w:pPr>
      <w:bookmarkEnd w:id="9"/>
      <w:bookmarkStart w:id="10" w:name="_Toc14432"/>
      <w:r>
        <w:rPr>
          <w:b/>
          <w:bCs/>
          <w:color w:val="auto"/>
          <w:sz w:val="26"/>
        </w:rPr>
        <w:t>Various alternative solutions to the problem</w:t>
      </w:r>
      <w:bookmarkEnd w:id="10"/>
    </w:p>
    <w:p>
      <w:pPr>
        <w:rPr>
          <w:color w:val="auto"/>
        </w:rPr>
      </w:pPr>
      <w:r>
        <w:rPr>
          <w:color w:val="auto"/>
        </w:rPr>
        <w:t>While several shareholders of the multinational firm expressed their support for moving McDonald's headquarters, others were deeply saddened by the decision to relocate the corporate headquarters. In this regard, the corporation implemented several additional supported programs in order to ensure the growth of the investor and franchisee companies.</w:t>
      </w:r>
    </w:p>
    <w:p>
      <w:pPr>
        <w:spacing w:line="360" w:lineRule="auto"/>
        <w:ind w:left="-5" w:right="3"/>
        <w:rPr>
          <w:color w:val="auto"/>
        </w:rPr>
      </w:pPr>
      <w:r>
        <w:rPr>
          <w:color w:val="auto"/>
        </w:rPr>
        <w:t>McDonald's has provided transportation to the franchisee company in the vicinity of the company's oldest office. The agency offers a large number of cargos, as well as self-modified cars, to transport goods to remote areas. Instead of the manufacturers, the corporation will bear the burden of transporting manufactured goods to the new office.</w:t>
      </w:r>
    </w:p>
    <w:p>
      <w:pPr>
        <w:spacing w:line="360" w:lineRule="auto"/>
        <w:rPr>
          <w:color w:val="auto"/>
        </w:rPr>
      </w:pPr>
      <w:r>
        <w:rPr>
          <w:color w:val="auto"/>
        </w:rPr>
        <w:t>Donating cash to amend the report at the corporation's expense- Since the investors and franchisees have to change their headquarters name, the company would bear the cost of report renaissance.</w:t>
      </w:r>
    </w:p>
    <w:p>
      <w:pPr>
        <w:spacing w:line="360" w:lineRule="auto"/>
        <w:rPr>
          <w:color w:val="auto"/>
        </w:rPr>
      </w:pPr>
      <w:r>
        <w:rPr>
          <w:color w:val="auto"/>
        </w:rPr>
        <w:t>Filling vacancies on the suggestion of franchisees- that business should guarantee that vacancies in the new office will be filled on the suggestion of investors and franchisees, ensuring that they are satisfied and that the corporation's advancement can skyrocket.</w:t>
      </w:r>
    </w:p>
    <w:p>
      <w:pPr>
        <w:pStyle w:val="Heading1"/>
        <w:spacing w:after="0" w:line="360" w:lineRule="auto"/>
        <w:ind w:left="-5"/>
        <w:rPr>
          <w:color w:val="auto"/>
        </w:rPr>
      </w:pPr>
      <w:bookmarkStart w:id="11" w:name="_Toc69933608"/>
      <w:r>
        <w:rPr>
          <w:color w:val="auto"/>
        </w:rPr>
        <w:t>Decision making technique to evaluate a range of solutions to identify the most appropriate option</w:t>
      </w:r>
      <w:bookmarkEnd w:id="11"/>
    </w:p>
    <w:p>
      <w:pPr>
        <w:rPr>
          <w:b/>
          <w:bCs/>
          <w:color w:val="auto"/>
        </w:rPr>
      </w:pPr>
      <w:bookmarkStart w:id="12" w:name="_Toc14435"/>
      <w:r>
        <w:rPr>
          <w:color w:val="auto"/>
        </w:rPr>
        <w:t>Reaching a choice in a complicated situation is based on a number of factors. Size, Assets, Quality Of service, Project Planning, Goals, Administrative, and other considerations are used to style these factors. Simon's principle is a well-known decision-making principle</w:t>
      </w:r>
      <w:r>
        <w:rPr>
          <w:color w:val="auto"/>
        </w:rPr>
        <w:t xml:space="preserve"> (Sahu, et al, 2020)</w:t>
      </w:r>
      <w:bookmarkStart w:id="13" w:name="_GoBack"/>
      <w:bookmarkEnd w:id="13"/>
      <w:r>
        <w:rPr>
          <w:color w:val="auto"/>
        </w:rPr>
        <w:t>.</w:t>
      </w:r>
      <w:r>
        <w:rPr>
          <w:color w:val="auto"/>
        </w:rPr>
        <w:t xml:space="preserve"> The aim of Herbert Simon's investigation was to learn more about the mechanisms involved in human decision-making. Despite his efforts to investigate this issue, his findings did not have the same effect in the “decision-making” culture as they did in other fields. His skepticism of thinking political science's faith in reasonable rationality led him to establish the idea of circumscribed reasoning.</w:t>
      </w:r>
    </w:p>
    <w:p>
      <w:pPr>
        <w:rPr>
          <w:b/>
          <w:bCs/>
          <w:color w:val="auto"/>
        </w:rPr>
      </w:pPr>
      <w:r>
        <w:rPr>
          <w:b/>
          <w:bCs/>
          <w:color w:val="auto"/>
        </w:rPr>
        <w:t>Most appropriate option of problem solving method</w:t>
      </w:r>
      <w:bookmarkEnd w:id="12"/>
    </w:p>
    <w:p>
      <w:pPr>
        <w:rPr>
          <w:color w:val="auto"/>
        </w:rPr>
      </w:pPr>
      <w:r>
        <w:rPr>
          <w:color w:val="auto"/>
        </w:rPr>
        <w:t>McDonald's Plc is having trouble relocating its headquarters from Oak Brook to the United Kingdom. The industry is having a franchisee loss problem as a result of this issue. Due to the gap between the old and new locations, the elderly franchise owners face a variety of problems, including infrastructure problems, the inclusion of new food items, co - workers, administrative body recruiting, participation in conferences, decision-making issues, and so on. To accommodate the shareholders in this situation, the organization employs a variety of techniques. To identify the problem's secret source, they use Simon's decision-making theory. The organization tries to address this issue by providing a variety of services to the shareholders.</w:t>
      </w:r>
    </w:p>
    <w:p>
      <w:pPr>
        <w:pStyle w:val="Heading1"/>
        <w:spacing w:line="360" w:lineRule="auto"/>
        <w:rPr>
          <w:color w:val="auto"/>
        </w:rPr>
      </w:pPr>
      <w:bookmarkStart w:id="14" w:name="_Toc69933609"/>
      <w:r>
        <w:rPr>
          <w:color w:val="auto"/>
        </w:rPr>
        <w:t>Developing a plan for implementing the solution</w:t>
      </w:r>
      <w:bookmarkEnd w:id="14"/>
    </w:p>
    <w:tbl>
      <w:tblPr>
        <w:tblW w:w="0" w:type="auto"/>
        <w:tblInd w:w="1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tblPr>
      <w:tblGrid>
        <w:gridCol w:w="2660"/>
        <w:gridCol w:w="4818"/>
        <w:gridCol w:w="2098"/>
      </w:tblGrid>
      <w:tr>
        <w:trPr>
          <w:trHeight w:val="271"/>
        </w:trPr>
        <w:tc>
          <w:tcPr>
            <w:cnfStyle w:val="101000000000"/>
            <w:tcW w:w="2660" w:type="dxa"/>
            <w:tcBorders>
              <w:left w:val="single" w:color="000000" w:sz="4" w:space="0"/>
              <w:right w:val="single" w:color="000000" w:sz="4" w:space="0"/>
            </w:tcBorders>
          </w:tcPr>
          <w:p>
            <w:pPr>
              <w:pStyle w:val="TableParagraph"/>
              <w:spacing w:line="360" w:lineRule="auto"/>
              <w:ind w:left="120"/>
              <w:jc w:val="left"/>
              <w:rPr>
                <w:b/>
                <w:sz w:val="24"/>
              </w:rPr>
            </w:pPr>
            <w:r>
              <w:rPr>
                <w:b/>
                <w:sz w:val="24"/>
              </w:rPr>
              <w:t>Problems/ backgrounds</w:t>
            </w:r>
          </w:p>
        </w:tc>
        <w:tc>
          <w:tcPr>
            <w:cnfStyle w:val="100010000000"/>
            <w:tcW w:w="4818" w:type="dxa"/>
            <w:tcBorders>
              <w:left w:val="single" w:color="000000" w:sz="4" w:space="0"/>
              <w:right w:val="single" w:color="000000" w:sz="4" w:space="0"/>
            </w:tcBorders>
          </w:tcPr>
          <w:p>
            <w:pPr>
              <w:pStyle w:val="TableParagraph"/>
              <w:spacing w:line="360" w:lineRule="auto"/>
              <w:ind w:left="1944" w:right="1930"/>
              <w:jc w:val="center"/>
              <w:rPr>
                <w:b/>
                <w:sz w:val="24"/>
              </w:rPr>
            </w:pPr>
            <w:r>
              <w:rPr>
                <w:b/>
                <w:sz w:val="24"/>
              </w:rPr>
              <w:t>Methods</w:t>
            </w:r>
          </w:p>
        </w:tc>
        <w:tc>
          <w:tcPr>
            <w:cnfStyle w:val="100100000000"/>
            <w:tcW w:w="2098" w:type="dxa"/>
            <w:tcBorders>
              <w:left w:val="single" w:color="000000" w:sz="4" w:space="0"/>
              <w:right w:val="single" w:color="000000" w:sz="4" w:space="0"/>
            </w:tcBorders>
          </w:tcPr>
          <w:p>
            <w:pPr>
              <w:pStyle w:val="TableParagraph"/>
              <w:spacing w:line="360" w:lineRule="auto"/>
              <w:ind w:left="275"/>
              <w:jc w:val="left"/>
              <w:rPr>
                <w:b/>
                <w:sz w:val="24"/>
              </w:rPr>
            </w:pPr>
            <w:r>
              <w:rPr>
                <w:b/>
                <w:sz w:val="24"/>
              </w:rPr>
              <w:t>Estimated time</w:t>
            </w:r>
          </w:p>
        </w:tc>
      </w:tr>
      <w:tr>
        <w:trPr>
          <w:trHeight w:val="1098"/>
        </w:trPr>
        <w:tc>
          <w:tcPr>
            <w:cnfStyle w:val="001000100000"/>
            <w:tcW w:w="2660" w:type="dxa"/>
            <w:tcBorders>
              <w:left w:val="single" w:color="000000" w:sz="4" w:space="0"/>
              <w:right w:val="single" w:color="000000" w:sz="4" w:space="0"/>
            </w:tcBorders>
          </w:tcPr>
          <w:p>
            <w:pPr>
              <w:pStyle w:val="TableParagraph"/>
              <w:spacing w:line="360" w:lineRule="auto"/>
              <w:ind w:right="1144"/>
              <w:jc w:val="left"/>
              <w:rPr>
                <w:sz w:val="24"/>
              </w:rPr>
            </w:pPr>
            <w:r>
              <w:rPr>
                <w:sz w:val="24"/>
              </w:rPr>
              <w:t>Stakeholders dissatisfaction</w:t>
            </w:r>
          </w:p>
        </w:tc>
        <w:tc>
          <w:tcPr>
            <w:cnfStyle w:val="000010100000"/>
            <w:tcW w:w="4818" w:type="dxa"/>
            <w:tcBorders>
              <w:left w:val="single" w:color="000000" w:sz="4" w:space="0"/>
              <w:right w:val="single" w:color="000000" w:sz="4" w:space="0"/>
            </w:tcBorders>
          </w:tcPr>
          <w:p>
            <w:pPr>
              <w:pStyle w:val="TableParagraph"/>
              <w:spacing w:line="360" w:lineRule="auto"/>
              <w:ind w:left="113"/>
              <w:jc w:val="left"/>
              <w:rPr>
                <w:sz w:val="24"/>
              </w:rPr>
            </w:pPr>
            <w:r>
              <w:rPr>
                <w:sz w:val="24"/>
              </w:rPr>
              <w:t>The corporation's director will continue to meet with shareholders in order to persuade others to consent to the relocation of the head office.</w:t>
            </w:r>
          </w:p>
        </w:tc>
        <w:tc>
          <w:tcPr>
            <w:cnfStyle w:val="000100100000"/>
            <w:tcW w:w="2098" w:type="dxa"/>
            <w:tcBorders>
              <w:left w:val="single" w:color="000000" w:sz="4" w:space="0"/>
              <w:right w:val="single" w:color="000000" w:sz="4" w:space="0"/>
            </w:tcBorders>
          </w:tcPr>
          <w:p>
            <w:pPr>
              <w:pStyle w:val="TableParagraph"/>
              <w:spacing w:line="360" w:lineRule="auto"/>
              <w:jc w:val="left"/>
              <w:rPr>
                <w:sz w:val="24"/>
              </w:rPr>
            </w:pPr>
            <w:r>
              <w:rPr>
                <w:sz w:val="24"/>
              </w:rPr>
              <w:t>June</w:t>
            </w:r>
            <w:r>
              <w:rPr>
                <w:sz w:val="24"/>
              </w:rPr>
              <w:t>, 2021</w:t>
            </w:r>
          </w:p>
        </w:tc>
      </w:tr>
      <w:tr>
        <w:trPr>
          <w:trHeight w:val="1375"/>
        </w:trPr>
        <w:tc>
          <w:tcPr>
            <w:cnfStyle w:val="001000010000"/>
            <w:tcW w:w="2660" w:type="dxa"/>
            <w:tcBorders>
              <w:left w:val="single" w:color="000000" w:sz="4" w:space="0"/>
              <w:right w:val="single" w:color="000000" w:sz="4" w:space="0"/>
            </w:tcBorders>
          </w:tcPr>
          <w:p>
            <w:pPr>
              <w:pStyle w:val="TableParagraph"/>
              <w:spacing w:line="360" w:lineRule="auto"/>
              <w:jc w:val="left"/>
              <w:rPr>
                <w:sz w:val="24"/>
              </w:rPr>
            </w:pPr>
            <w:r>
              <w:rPr>
                <w:sz w:val="24"/>
              </w:rPr>
              <w:t>Transportation cost</w:t>
            </w:r>
          </w:p>
        </w:tc>
        <w:tc>
          <w:tcPr>
            <w:cnfStyle w:val="000010010000"/>
            <w:tcW w:w="4818" w:type="dxa"/>
            <w:tcBorders>
              <w:left w:val="single" w:color="000000" w:sz="4" w:space="0"/>
              <w:right w:val="single" w:color="000000" w:sz="4" w:space="0"/>
            </w:tcBorders>
          </w:tcPr>
          <w:p>
            <w:pPr>
              <w:pStyle w:val="TableParagraph"/>
              <w:spacing w:line="360" w:lineRule="auto"/>
              <w:ind w:left="113"/>
              <w:rPr>
                <w:sz w:val="24"/>
              </w:rPr>
            </w:pPr>
            <w:r>
              <w:rPr>
                <w:sz w:val="24"/>
              </w:rPr>
              <w:t>The franchise owners of the business experience transport problems as a result of the corporation's long distance. McDonald's may have a freight bus or train to transport goods out for their own expense.</w:t>
            </w:r>
          </w:p>
        </w:tc>
        <w:tc>
          <w:tcPr>
            <w:cnfStyle w:val="000100010000"/>
            <w:tcW w:w="2098" w:type="dxa"/>
            <w:tcBorders>
              <w:left w:val="single" w:color="000000" w:sz="4" w:space="0"/>
              <w:right w:val="single" w:color="000000" w:sz="4" w:space="0"/>
            </w:tcBorders>
          </w:tcPr>
          <w:p>
            <w:pPr>
              <w:pStyle w:val="TableParagraph"/>
              <w:spacing w:line="360" w:lineRule="auto"/>
              <w:jc w:val="left"/>
              <w:rPr>
                <w:sz w:val="24"/>
              </w:rPr>
            </w:pPr>
            <w:r>
              <w:rPr>
                <w:sz w:val="24"/>
              </w:rPr>
              <w:t>July</w:t>
            </w:r>
            <w:r>
              <w:rPr>
                <w:sz w:val="24"/>
              </w:rPr>
              <w:t xml:space="preserve"> 2021</w:t>
            </w:r>
          </w:p>
        </w:tc>
      </w:tr>
      <w:tr>
        <w:trPr>
          <w:trHeight w:val="2202"/>
        </w:trPr>
        <w:tc>
          <w:tcPr>
            <w:cnfStyle w:val="001000100000"/>
            <w:tcW w:w="2660" w:type="dxa"/>
            <w:tcBorders>
              <w:left w:val="single" w:color="000000" w:sz="4" w:space="0"/>
              <w:right w:val="single" w:color="000000" w:sz="4" w:space="0"/>
            </w:tcBorders>
          </w:tcPr>
          <w:p>
            <w:pPr>
              <w:pStyle w:val="TableParagraph"/>
              <w:spacing w:line="360" w:lineRule="auto"/>
              <w:ind w:right="94"/>
              <w:jc w:val="left"/>
              <w:rPr>
                <w:sz w:val="24"/>
              </w:rPr>
            </w:pPr>
            <w:r>
              <w:rPr>
                <w:sz w:val="24"/>
              </w:rPr>
              <w:t>New food addition in food menu</w:t>
            </w:r>
          </w:p>
        </w:tc>
        <w:tc>
          <w:tcPr>
            <w:cnfStyle w:val="000010100000"/>
            <w:tcW w:w="4818" w:type="dxa"/>
            <w:tcBorders>
              <w:left w:val="single" w:color="000000" w:sz="4" w:space="0"/>
              <w:right w:val="single" w:color="000000" w:sz="4" w:space="0"/>
            </w:tcBorders>
          </w:tcPr>
          <w:p>
            <w:pPr>
              <w:pStyle w:val="TableParagraph"/>
              <w:spacing w:line="360" w:lineRule="auto"/>
              <w:ind w:left="113"/>
              <w:rPr>
                <w:sz w:val="24"/>
              </w:rPr>
            </w:pPr>
            <w:r>
              <w:rPr>
                <w:sz w:val="24"/>
              </w:rPr>
              <w:t>McDonald's policy, as a new house, requires their food menu to be updated with new items. They must contact their stakeholders and franchisees prior to introducing new items so that they can adjust to the new food menu. The authority should have a six-month period to adjust to the new goods and establish a reasonable value for customer, similar to McDonald's.</w:t>
            </w:r>
          </w:p>
        </w:tc>
        <w:tc>
          <w:tcPr>
            <w:cnfStyle w:val="000100100000"/>
            <w:tcW w:w="2098" w:type="dxa"/>
            <w:tcBorders>
              <w:left w:val="single" w:color="000000" w:sz="4" w:space="0"/>
              <w:right w:val="single" w:color="000000" w:sz="4" w:space="0"/>
            </w:tcBorders>
          </w:tcPr>
          <w:p>
            <w:pPr>
              <w:pStyle w:val="TableParagraph"/>
              <w:spacing w:line="360" w:lineRule="auto"/>
              <w:jc w:val="left"/>
              <w:rPr>
                <w:sz w:val="24"/>
              </w:rPr>
            </w:pPr>
            <w:r>
              <w:rPr>
                <w:sz w:val="24"/>
              </w:rPr>
              <w:t>October</w:t>
            </w:r>
            <w:r>
              <w:rPr>
                <w:sz w:val="24"/>
              </w:rPr>
              <w:t>, 2021</w:t>
            </w:r>
          </w:p>
        </w:tc>
      </w:tr>
      <w:tr>
        <w:trPr>
          <w:trHeight w:val="1926"/>
        </w:trPr>
        <w:tc>
          <w:tcPr>
            <w:cnfStyle w:val="001000010000"/>
            <w:tcW w:w="2660" w:type="dxa"/>
            <w:tcBorders>
              <w:left w:val="single" w:color="000000" w:sz="4" w:space="0"/>
              <w:right w:val="single" w:color="000000" w:sz="4" w:space="0"/>
            </w:tcBorders>
          </w:tcPr>
          <w:p>
            <w:pPr>
              <w:pStyle w:val="TableParagraph"/>
              <w:tabs>
                <w:tab w:val="left" w:pos="1340"/>
              </w:tabs>
              <w:spacing w:line="360" w:lineRule="auto"/>
              <w:ind w:right="94"/>
              <w:jc w:val="left"/>
              <w:rPr>
                <w:sz w:val="24"/>
              </w:rPr>
            </w:pPr>
            <w:r>
              <w:rPr>
                <w:sz w:val="24"/>
              </w:rPr>
              <w:t>Losing</w:t>
            </w:r>
            <w:r>
              <w:rPr>
                <w:sz w:val="24"/>
              </w:rPr>
              <w:tab/>
            </w:r>
            <w:r>
              <w:rPr>
                <w:spacing w:val="-3"/>
                <w:sz w:val="24"/>
              </w:rPr>
              <w:t xml:space="preserve">international </w:t>
            </w:r>
            <w:r>
              <w:rPr>
                <w:sz w:val="24"/>
              </w:rPr>
              <w:t>marketplace</w:t>
            </w:r>
          </w:p>
        </w:tc>
        <w:tc>
          <w:tcPr>
            <w:cnfStyle w:val="000010010000"/>
            <w:tcW w:w="4818" w:type="dxa"/>
            <w:tcBorders>
              <w:left w:val="single" w:color="000000" w:sz="4" w:space="0"/>
              <w:right w:val="single" w:color="000000" w:sz="4" w:space="0"/>
            </w:tcBorders>
          </w:tcPr>
          <w:p>
            <w:pPr>
              <w:pStyle w:val="TableParagraph"/>
              <w:spacing w:line="360" w:lineRule="auto"/>
              <w:ind w:left="113"/>
              <w:rPr>
                <w:sz w:val="24"/>
              </w:rPr>
            </w:pPr>
            <w:r>
              <w:rPr>
                <w:sz w:val="24"/>
              </w:rPr>
              <w:t>Since franchise owners are the corporation's primary source of revenue in the global market, leaving franchisees means abandoning the market. As a result, they must market their new food products as required for consumers. They will use online platform to promote their goods to a large audience.</w:t>
            </w:r>
          </w:p>
        </w:tc>
        <w:tc>
          <w:tcPr>
            <w:cnfStyle w:val="000100010000"/>
            <w:tcW w:w="2098" w:type="dxa"/>
            <w:tcBorders>
              <w:left w:val="single" w:color="000000" w:sz="4" w:space="0"/>
              <w:right w:val="single" w:color="000000" w:sz="4" w:space="0"/>
            </w:tcBorders>
          </w:tcPr>
          <w:p>
            <w:pPr>
              <w:pStyle w:val="TableParagraph"/>
              <w:spacing w:line="360" w:lineRule="auto"/>
              <w:jc w:val="left"/>
              <w:rPr>
                <w:sz w:val="24"/>
              </w:rPr>
            </w:pPr>
            <w:r>
              <w:rPr>
                <w:sz w:val="24"/>
              </w:rPr>
              <w:t>May</w:t>
            </w:r>
            <w:r>
              <w:rPr>
                <w:sz w:val="24"/>
              </w:rPr>
              <w:t>, 2021</w:t>
            </w:r>
          </w:p>
        </w:tc>
      </w:tr>
      <w:tr>
        <w:trPr>
          <w:trHeight w:val="1651"/>
        </w:trPr>
        <w:tc>
          <w:tcPr>
            <w:cnfStyle w:val="001000100000"/>
            <w:tcW w:w="2660" w:type="dxa"/>
            <w:tcBorders>
              <w:left w:val="single" w:color="000000" w:sz="4" w:space="0"/>
              <w:right w:val="single" w:color="000000" w:sz="4" w:space="0"/>
            </w:tcBorders>
          </w:tcPr>
          <w:p>
            <w:pPr>
              <w:pStyle w:val="TableParagraph"/>
              <w:spacing w:line="360" w:lineRule="auto"/>
              <w:jc w:val="left"/>
              <w:rPr>
                <w:sz w:val="24"/>
              </w:rPr>
            </w:pPr>
            <w:r>
              <w:rPr>
                <w:sz w:val="24"/>
              </w:rPr>
              <w:t>New contract terms have been added. McDonald's has implemented several new terms of the contract for its franchisees.</w:t>
            </w:r>
          </w:p>
        </w:tc>
        <w:tc>
          <w:tcPr>
            <w:cnfStyle w:val="000010100000"/>
            <w:tcW w:w="4818" w:type="dxa"/>
            <w:tcBorders>
              <w:left w:val="single" w:color="000000" w:sz="4" w:space="0"/>
              <w:right w:val="single" w:color="000000" w:sz="4" w:space="0"/>
            </w:tcBorders>
          </w:tcPr>
          <w:p>
            <w:pPr>
              <w:pStyle w:val="TableParagraph"/>
              <w:spacing w:line="360" w:lineRule="auto"/>
              <w:ind w:left="113" w:right="100"/>
              <w:rPr>
                <w:sz w:val="24"/>
              </w:rPr>
            </w:pPr>
            <w:r>
              <w:rPr>
                <w:sz w:val="24"/>
              </w:rPr>
              <w:t>The entity must have room for shareholders and franchise owners to enforce these contract terms with their own countries or platforms.</w:t>
            </w:r>
          </w:p>
        </w:tc>
        <w:tc>
          <w:tcPr>
            <w:cnfStyle w:val="000100100000"/>
            <w:tcW w:w="2098" w:type="dxa"/>
            <w:tcBorders>
              <w:left w:val="single" w:color="000000" w:sz="4" w:space="0"/>
              <w:right w:val="single" w:color="000000" w:sz="4" w:space="0"/>
            </w:tcBorders>
          </w:tcPr>
          <w:p>
            <w:pPr>
              <w:pStyle w:val="TableParagraph"/>
              <w:spacing w:line="360" w:lineRule="auto"/>
              <w:jc w:val="left"/>
              <w:rPr>
                <w:sz w:val="24"/>
              </w:rPr>
            </w:pPr>
            <w:r>
              <w:rPr>
                <w:sz w:val="24"/>
              </w:rPr>
              <w:t>November</w:t>
            </w:r>
            <w:r>
              <w:rPr>
                <w:sz w:val="24"/>
              </w:rPr>
              <w:t>, 2021</w:t>
            </w:r>
          </w:p>
        </w:tc>
      </w:tr>
      <w:tr>
        <w:trPr>
          <w:trHeight w:val="1650"/>
        </w:trPr>
        <w:tc>
          <w:tcPr>
            <w:cnfStyle w:val="001000010000"/>
            <w:tcW w:w="2660" w:type="dxa"/>
            <w:tcBorders>
              <w:left w:val="single" w:color="000000" w:sz="4" w:space="0"/>
              <w:right w:val="single" w:color="000000" w:sz="4" w:space="0"/>
            </w:tcBorders>
          </w:tcPr>
          <w:p>
            <w:pPr>
              <w:pStyle w:val="TableParagraph"/>
              <w:spacing w:line="360" w:lineRule="auto"/>
              <w:ind w:right="95"/>
              <w:rPr>
                <w:sz w:val="24"/>
              </w:rPr>
            </w:pPr>
            <w:r>
              <w:rPr>
                <w:sz w:val="24"/>
              </w:rPr>
              <w:t>Update rules and regulations for the stakeholders.</w:t>
            </w:r>
          </w:p>
        </w:tc>
        <w:tc>
          <w:tcPr>
            <w:cnfStyle w:val="000010010000"/>
            <w:tcW w:w="4818" w:type="dxa"/>
            <w:tcBorders>
              <w:left w:val="single" w:color="000000" w:sz="4" w:space="0"/>
              <w:right w:val="single" w:color="000000" w:sz="4" w:space="0"/>
            </w:tcBorders>
          </w:tcPr>
          <w:p>
            <w:pPr>
              <w:pStyle w:val="TableParagraph"/>
              <w:spacing w:line="360" w:lineRule="auto"/>
              <w:ind w:left="113"/>
              <w:rPr>
                <w:sz w:val="24"/>
              </w:rPr>
            </w:pPr>
            <w:r>
              <w:rPr>
                <w:sz w:val="24"/>
              </w:rPr>
              <w:t>For the participants, the company's executives suggested a number of amendments to their policies and guidelines. As a result, the stakeholders are affected by the authority's actions. They need these rules to be simplified so that they might engage in the organization's growth.</w:t>
            </w:r>
          </w:p>
        </w:tc>
        <w:tc>
          <w:tcPr>
            <w:cnfStyle w:val="000100010000"/>
            <w:tcW w:w="2098" w:type="dxa"/>
            <w:tcBorders>
              <w:left w:val="single" w:color="000000" w:sz="4" w:space="0"/>
              <w:right w:val="single" w:color="000000" w:sz="4" w:space="0"/>
            </w:tcBorders>
          </w:tcPr>
          <w:p>
            <w:pPr>
              <w:pStyle w:val="TableParagraph"/>
              <w:spacing w:line="360" w:lineRule="auto"/>
              <w:jc w:val="left"/>
              <w:rPr>
                <w:sz w:val="24"/>
              </w:rPr>
            </w:pPr>
            <w:r>
              <w:rPr>
                <w:sz w:val="24"/>
              </w:rPr>
              <w:t>April</w:t>
            </w:r>
            <w:r>
              <w:rPr>
                <w:sz w:val="24"/>
              </w:rPr>
              <w:t>, 2022</w:t>
            </w:r>
          </w:p>
        </w:tc>
      </w:tr>
      <w:tr>
        <w:trPr>
          <w:trHeight w:val="2203"/>
        </w:trPr>
        <w:tc>
          <w:tcPr>
            <w:cnfStyle w:val="011000000000"/>
            <w:tcW w:w="2660" w:type="dxa"/>
            <w:tcBorders>
              <w:left w:val="single" w:color="000000" w:sz="4" w:space="0"/>
              <w:right w:val="single" w:color="000000" w:sz="4" w:space="0"/>
            </w:tcBorders>
          </w:tcPr>
          <w:p>
            <w:pPr>
              <w:pStyle w:val="TableParagraph"/>
              <w:spacing w:line="360" w:lineRule="auto"/>
              <w:jc w:val="left"/>
              <w:rPr>
                <w:sz w:val="24"/>
              </w:rPr>
            </w:pPr>
            <w:r>
              <w:rPr>
                <w:sz w:val="24"/>
              </w:rPr>
              <w:t>Workers' lack of discipline. Since the oldest office was carried out by an officer who was well-known and comfortable to the staff, they are hesitant to deal with a new officer.</w:t>
            </w:r>
          </w:p>
        </w:tc>
        <w:tc>
          <w:tcPr>
            <w:cnfStyle w:val="010010000000"/>
            <w:tcW w:w="4818" w:type="dxa"/>
            <w:tcBorders>
              <w:left w:val="single" w:color="000000" w:sz="4" w:space="0"/>
              <w:right w:val="single" w:color="000000" w:sz="4" w:space="0"/>
            </w:tcBorders>
          </w:tcPr>
          <w:p>
            <w:pPr>
              <w:pStyle w:val="TableParagraph"/>
              <w:spacing w:line="360" w:lineRule="auto"/>
              <w:ind w:left="113" w:right="96"/>
              <w:rPr>
                <w:sz w:val="24"/>
              </w:rPr>
            </w:pPr>
            <w:r>
              <w:rPr>
                <w:sz w:val="24"/>
              </w:rPr>
              <w:t>The organization hosts a variety of cultural events and entertainment events so that new officers can meet and engage with one another. This will provide a pleasant working environment for both agents and workers.</w:t>
            </w:r>
            <w:r>
              <w:rPr>
                <w:sz w:val="24"/>
              </w:rPr>
              <w:t>.</w:t>
            </w:r>
          </w:p>
        </w:tc>
        <w:tc>
          <w:tcPr>
            <w:cnfStyle w:val="010100000000"/>
            <w:tcW w:w="2098" w:type="dxa"/>
            <w:tcBorders>
              <w:left w:val="single" w:color="000000" w:sz="4" w:space="0"/>
              <w:right w:val="single" w:color="000000" w:sz="4" w:space="0"/>
            </w:tcBorders>
          </w:tcPr>
          <w:p>
            <w:pPr>
              <w:pStyle w:val="TableParagraph"/>
              <w:spacing w:line="360" w:lineRule="auto"/>
              <w:jc w:val="left"/>
              <w:rPr>
                <w:sz w:val="24"/>
              </w:rPr>
            </w:pPr>
            <w:r>
              <w:rPr>
                <w:sz w:val="24"/>
              </w:rPr>
              <w:t>July</w:t>
            </w:r>
            <w:r>
              <w:rPr>
                <w:sz w:val="24"/>
              </w:rPr>
              <w:t>, 2022</w:t>
            </w:r>
          </w:p>
        </w:tc>
      </w:tr>
    </w:tbl>
    <w:p>
      <w:pPr>
        <w:spacing w:line="360" w:lineRule="auto"/>
        <w:jc w:val="center"/>
        <w:rPr>
          <w:color w:val="auto"/>
        </w:rPr>
      </w:pPr>
      <w:r>
        <w:rPr>
          <w:color w:val="auto"/>
        </w:rPr>
        <w:t>Table: Decision Making Plan</w:t>
      </w:r>
    </w:p>
    <w:p>
      <w:pPr>
        <w:spacing w:line="360" w:lineRule="auto"/>
        <w:jc w:val="center"/>
        <w:rPr>
          <w:color w:val="auto"/>
        </w:rPr>
      </w:pPr>
      <w:r>
        <w:rPr>
          <w:color w:val="auto"/>
        </w:rPr>
        <w:t>Source: Author</w:t>
      </w:r>
    </w:p>
    <w:p>
      <w:pPr>
        <w:pStyle w:val="Heading1"/>
        <w:spacing w:line="360" w:lineRule="auto"/>
        <w:rPr>
          <w:color w:val="auto"/>
        </w:rPr>
      </w:pPr>
      <w:bookmarkStart w:id="15" w:name="_Toc69933610"/>
      <w:r>
        <w:rPr>
          <w:color w:val="auto"/>
        </w:rPr>
        <w:t>Communicating the plan to stakeholders</w:t>
      </w:r>
      <w:bookmarkEnd w:id="15"/>
    </w:p>
    <w:p>
      <w:pPr>
        <w:spacing w:line="360" w:lineRule="auto"/>
        <w:rPr>
          <w:color w:val="auto"/>
        </w:rPr>
      </w:pPr>
      <w:r>
        <w:rPr>
          <w:color w:val="auto"/>
        </w:rPr>
        <w:t>McDonald's could provide a subsidy or a discount on merchandise to franchisees so that they might keep doing business despite the corporation's new headquarters. To reach out to the stakeholders, they need to adopt a newer social connecting strategy. To link the participants to their session, they can use social media platforms such as Facebook, Twitter, Imo, and video conferencing. They will write messages to shareholders reminding them of company news and updates. Interested parties may be informed about the execution by the organization.</w:t>
      </w:r>
    </w:p>
    <w:p>
      <w:pPr>
        <w:pStyle w:val="Heading1"/>
        <w:spacing w:line="360" w:lineRule="auto"/>
        <w:rPr>
          <w:color w:val="auto"/>
        </w:rPr>
      </w:pPr>
      <w:bookmarkStart w:id="16" w:name="_Toc69933611"/>
      <w:r>
        <w:rPr>
          <w:color w:val="auto"/>
        </w:rPr>
        <w:t>Assessing appropriate monitoring and review techniques to ensure successful implementation of the solution</w:t>
      </w:r>
      <w:bookmarkEnd w:id="16"/>
    </w:p>
    <w:p>
      <w:pPr>
        <w:spacing w:after="0" w:line="360" w:lineRule="auto"/>
        <w:ind w:left="-5" w:right="3"/>
        <w:rPr>
          <w:color w:val="auto"/>
        </w:rPr>
      </w:pPr>
      <w:r>
        <w:rPr>
          <w:color w:val="auto"/>
        </w:rPr>
        <w:t>McDonald's monitors their office output with a quick sensors. They ensure healthier ingredients by using a swift sensor to track them. According to Paul G, (2018), they notified when unusual events occurred using a single dashboard. Swift Sensors were recently installed by a McDonald's® franchisee with 12 promotion and enforcement in Manhattan and Brooklyn. Paul wanted a better way to track and handle his activities with so many crowded restaurant and stringent town codes. They've appointed a team to ensure that the interests of stakeholders and franchisees are met. The panel negotiated for the some containerized cargo and cars to maintain mobility for the shareholders and franchise owners so that fresh food could be provided.</w:t>
      </w:r>
    </w:p>
    <w:tbl>
      <w:tblPr>
        <w:tblW w:w="0" w:type="auto"/>
        <w:tblInd w:w="1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tblPr>
      <w:tblGrid>
        <w:gridCol w:w="2394"/>
        <w:gridCol w:w="2394"/>
        <w:gridCol w:w="2394"/>
        <w:gridCol w:w="2394"/>
      </w:tblGrid>
      <w:tr>
        <w:trPr>
          <w:trHeight w:val="271"/>
        </w:trPr>
        <w:tc>
          <w:tcPr>
            <w:cnfStyle w:val="101000000000"/>
            <w:tcW w:w="2394" w:type="dxa"/>
            <w:tcBorders>
              <w:left w:val="single" w:color="000000" w:sz="4" w:space="0"/>
              <w:right w:val="single" w:color="000000" w:sz="4" w:space="0"/>
            </w:tcBorders>
          </w:tcPr>
          <w:p>
            <w:pPr>
              <w:pStyle w:val="TableParagraph"/>
              <w:spacing w:line="360" w:lineRule="auto"/>
              <w:ind w:left="792" w:right="777"/>
              <w:jc w:val="center"/>
              <w:rPr>
                <w:b/>
                <w:sz w:val="24"/>
              </w:rPr>
            </w:pPr>
            <w:r>
              <w:rPr>
                <w:b/>
                <w:sz w:val="24"/>
              </w:rPr>
              <w:t>Actions</w:t>
            </w:r>
          </w:p>
        </w:tc>
        <w:tc>
          <w:tcPr>
            <w:cnfStyle w:val="100010000000"/>
            <w:tcW w:w="2394" w:type="dxa"/>
            <w:tcBorders>
              <w:left w:val="single" w:color="000000" w:sz="4" w:space="0"/>
              <w:right w:val="single" w:color="000000" w:sz="4" w:space="0"/>
            </w:tcBorders>
          </w:tcPr>
          <w:p>
            <w:pPr>
              <w:pStyle w:val="TableParagraph"/>
              <w:spacing w:line="360" w:lineRule="auto"/>
              <w:ind w:left="533"/>
              <w:jc w:val="left"/>
              <w:rPr>
                <w:b/>
                <w:sz w:val="24"/>
              </w:rPr>
            </w:pPr>
            <w:r>
              <w:rPr>
                <w:b/>
                <w:sz w:val="24"/>
              </w:rPr>
              <w:t>Performance</w:t>
            </w:r>
          </w:p>
        </w:tc>
        <w:tc>
          <w:tcPr>
            <w:cnfStyle w:val="100001000000"/>
            <w:tcW w:w="2394" w:type="dxa"/>
            <w:tcBorders>
              <w:left w:val="single" w:color="000000" w:sz="4" w:space="0"/>
              <w:right w:val="single" w:color="000000" w:sz="4" w:space="0"/>
            </w:tcBorders>
          </w:tcPr>
          <w:p>
            <w:pPr>
              <w:pStyle w:val="TableParagraph"/>
              <w:spacing w:line="360" w:lineRule="auto"/>
              <w:ind w:left="792" w:right="777"/>
              <w:jc w:val="center"/>
              <w:rPr>
                <w:b/>
                <w:sz w:val="24"/>
              </w:rPr>
            </w:pPr>
            <w:r>
              <w:rPr>
                <w:b/>
                <w:sz w:val="24"/>
              </w:rPr>
              <w:t>Process</w:t>
            </w:r>
          </w:p>
        </w:tc>
        <w:tc>
          <w:tcPr>
            <w:cnfStyle w:val="100100000000"/>
            <w:tcW w:w="2394" w:type="dxa"/>
            <w:tcBorders>
              <w:left w:val="single" w:color="000000" w:sz="4" w:space="0"/>
              <w:right w:val="single" w:color="000000" w:sz="4" w:space="0"/>
            </w:tcBorders>
          </w:tcPr>
          <w:p>
            <w:pPr>
              <w:pStyle w:val="TableParagraph"/>
              <w:spacing w:line="360" w:lineRule="auto"/>
              <w:ind w:left="792" w:right="774"/>
              <w:jc w:val="center"/>
              <w:rPr>
                <w:b/>
                <w:sz w:val="24"/>
              </w:rPr>
            </w:pPr>
            <w:r>
              <w:rPr>
                <w:b/>
                <w:sz w:val="24"/>
              </w:rPr>
              <w:t>Time</w:t>
            </w:r>
          </w:p>
        </w:tc>
      </w:tr>
      <w:tr>
        <w:trPr>
          <w:trHeight w:val="1650"/>
        </w:trPr>
        <w:tc>
          <w:tcPr>
            <w:cnfStyle w:val="001000100000"/>
            <w:tcW w:w="2394" w:type="dxa"/>
            <w:tcBorders>
              <w:left w:val="single" w:color="000000" w:sz="4" w:space="0"/>
              <w:right w:val="single" w:color="000000" w:sz="4" w:space="0"/>
            </w:tcBorders>
          </w:tcPr>
          <w:p>
            <w:pPr>
              <w:pStyle w:val="TableParagraph"/>
              <w:spacing w:line="360" w:lineRule="auto"/>
              <w:jc w:val="left"/>
              <w:rPr>
                <w:sz w:val="24"/>
              </w:rPr>
            </w:pPr>
            <w:r>
              <w:rPr>
                <w:sz w:val="24"/>
              </w:rPr>
              <w:t>Appoint a monitor</w:t>
            </w:r>
          </w:p>
        </w:tc>
        <w:tc>
          <w:tcPr>
            <w:cnfStyle w:val="000010100000"/>
            <w:tcW w:w="2394" w:type="dxa"/>
            <w:tcBorders>
              <w:left w:val="single" w:color="000000" w:sz="4" w:space="0"/>
              <w:right w:val="single" w:color="000000" w:sz="4" w:space="0"/>
            </w:tcBorders>
          </w:tcPr>
          <w:p>
            <w:pPr>
              <w:pStyle w:val="TableParagraph"/>
              <w:spacing w:line="360" w:lineRule="auto"/>
              <w:ind w:left="113"/>
              <w:rPr>
                <w:sz w:val="24"/>
              </w:rPr>
            </w:pPr>
            <w:r>
              <w:rPr>
                <w:sz w:val="24"/>
              </w:rPr>
              <w:t>He examines the franchisee's food inventory management, tastes the foods, and assesses the quality of the foods.</w:t>
            </w:r>
          </w:p>
        </w:tc>
        <w:tc>
          <w:tcPr>
            <w:cnfStyle w:val="000001100000"/>
            <w:tcW w:w="2394" w:type="dxa"/>
            <w:tcBorders>
              <w:left w:val="single" w:color="000000" w:sz="4" w:space="0"/>
              <w:right w:val="single" w:color="000000" w:sz="4" w:space="0"/>
            </w:tcBorders>
          </w:tcPr>
          <w:p>
            <w:pPr>
              <w:pStyle w:val="TableParagraph"/>
              <w:spacing w:line="360" w:lineRule="auto"/>
              <w:ind w:right="97"/>
              <w:rPr>
                <w:sz w:val="24"/>
              </w:rPr>
            </w:pPr>
            <w:r>
              <w:rPr>
                <w:sz w:val="24"/>
              </w:rPr>
              <w:t>Join in person while the franchise's food is being packaged.</w:t>
            </w:r>
          </w:p>
        </w:tc>
        <w:tc>
          <w:tcPr>
            <w:cnfStyle w:val="000100100000"/>
            <w:tcW w:w="2394" w:type="dxa"/>
            <w:tcBorders>
              <w:left w:val="single" w:color="000000" w:sz="4" w:space="0"/>
              <w:right w:val="single" w:color="000000" w:sz="4" w:space="0"/>
            </w:tcBorders>
          </w:tcPr>
          <w:p>
            <w:pPr>
              <w:pStyle w:val="TableParagraph"/>
              <w:spacing w:line="360" w:lineRule="auto"/>
              <w:jc w:val="left"/>
              <w:rPr>
                <w:sz w:val="24"/>
              </w:rPr>
            </w:pPr>
            <w:r>
              <w:rPr>
                <w:sz w:val="24"/>
              </w:rPr>
              <w:t>4 month</w:t>
            </w:r>
          </w:p>
        </w:tc>
      </w:tr>
      <w:tr>
        <w:trPr>
          <w:trHeight w:val="2202"/>
        </w:trPr>
        <w:tc>
          <w:tcPr>
            <w:cnfStyle w:val="001000010000"/>
            <w:tcW w:w="2394" w:type="dxa"/>
            <w:tcBorders>
              <w:left w:val="single" w:color="000000" w:sz="4" w:space="0"/>
              <w:right w:val="single" w:color="000000" w:sz="4" w:space="0"/>
            </w:tcBorders>
          </w:tcPr>
          <w:p>
            <w:pPr>
              <w:pStyle w:val="TableParagraph"/>
              <w:tabs>
                <w:tab w:val="left" w:pos="1660"/>
              </w:tabs>
              <w:spacing w:line="360" w:lineRule="auto"/>
              <w:ind w:right="95"/>
              <w:jc w:val="left"/>
              <w:rPr>
                <w:sz w:val="24"/>
              </w:rPr>
            </w:pPr>
            <w:r>
              <w:rPr>
                <w:sz w:val="24"/>
              </w:rPr>
              <w:t>Expert</w:t>
            </w:r>
            <w:r>
              <w:rPr>
                <w:sz w:val="24"/>
              </w:rPr>
              <w:tab/>
            </w:r>
            <w:r>
              <w:rPr>
                <w:spacing w:val="-4"/>
                <w:sz w:val="24"/>
              </w:rPr>
              <w:t xml:space="preserve">justice </w:t>
            </w:r>
            <w:r>
              <w:rPr>
                <w:sz w:val="24"/>
              </w:rPr>
              <w:t>appointment</w:t>
            </w:r>
          </w:p>
        </w:tc>
        <w:tc>
          <w:tcPr>
            <w:cnfStyle w:val="000010010000"/>
            <w:tcW w:w="2394" w:type="dxa"/>
            <w:tcBorders>
              <w:left w:val="single" w:color="000000" w:sz="4" w:space="0"/>
              <w:right w:val="single" w:color="000000" w:sz="4" w:space="0"/>
            </w:tcBorders>
          </w:tcPr>
          <w:p>
            <w:pPr>
              <w:pStyle w:val="TableParagraph"/>
              <w:spacing w:line="360" w:lineRule="auto"/>
              <w:ind w:left="113" w:right="95"/>
              <w:rPr>
                <w:sz w:val="24"/>
              </w:rPr>
            </w:pPr>
            <w:r>
              <w:rPr>
                <w:sz w:val="24"/>
              </w:rPr>
              <w:t>He has the ability to engage with shareholders, respond to their complaints, and provide assurance to relevant parties that their interests are being considered.</w:t>
            </w:r>
          </w:p>
        </w:tc>
        <w:tc>
          <w:tcPr>
            <w:cnfStyle w:val="000001010000"/>
            <w:tcW w:w="2394" w:type="dxa"/>
            <w:tcBorders>
              <w:left w:val="single" w:color="000000" w:sz="4" w:space="0"/>
              <w:right w:val="single" w:color="000000" w:sz="4" w:space="0"/>
            </w:tcBorders>
          </w:tcPr>
          <w:p>
            <w:pPr>
              <w:pStyle w:val="TableParagraph"/>
              <w:spacing w:line="360" w:lineRule="auto"/>
              <w:ind w:right="94"/>
              <w:rPr>
                <w:sz w:val="24"/>
              </w:rPr>
            </w:pPr>
            <w:r>
              <w:rPr>
                <w:sz w:val="24"/>
              </w:rPr>
              <w:t>They interact with stakeholders and assess public perception of the brand.</w:t>
            </w:r>
          </w:p>
        </w:tc>
        <w:tc>
          <w:tcPr>
            <w:cnfStyle w:val="000100010000"/>
            <w:tcW w:w="2394" w:type="dxa"/>
            <w:tcBorders>
              <w:left w:val="single" w:color="000000" w:sz="4" w:space="0"/>
              <w:right w:val="single" w:color="000000" w:sz="4" w:space="0"/>
            </w:tcBorders>
          </w:tcPr>
          <w:p>
            <w:pPr>
              <w:pStyle w:val="TableParagraph"/>
              <w:spacing w:line="360" w:lineRule="auto"/>
              <w:jc w:val="left"/>
              <w:rPr>
                <w:sz w:val="24"/>
              </w:rPr>
            </w:pPr>
            <w:r>
              <w:rPr>
                <w:sz w:val="24"/>
              </w:rPr>
              <w:t>5 months</w:t>
            </w:r>
          </w:p>
        </w:tc>
      </w:tr>
      <w:tr>
        <w:trPr>
          <w:trHeight w:val="2474"/>
        </w:trPr>
        <w:tc>
          <w:tcPr>
            <w:cnfStyle w:val="001000100000"/>
            <w:tcW w:w="2394" w:type="dxa"/>
            <w:tcBorders>
              <w:left w:val="single" w:color="000000" w:sz="4" w:space="0"/>
              <w:right w:val="single" w:color="000000" w:sz="4" w:space="0"/>
            </w:tcBorders>
          </w:tcPr>
          <w:p>
            <w:pPr>
              <w:pStyle w:val="TableParagraph"/>
              <w:spacing w:line="360" w:lineRule="auto"/>
              <w:jc w:val="left"/>
              <w:rPr>
                <w:sz w:val="24"/>
              </w:rPr>
            </w:pPr>
            <w:r>
              <w:rPr>
                <w:sz w:val="24"/>
              </w:rPr>
              <w:t>Arrange the meeting</w:t>
            </w:r>
          </w:p>
        </w:tc>
        <w:tc>
          <w:tcPr>
            <w:cnfStyle w:val="000010100000"/>
            <w:tcW w:w="2394" w:type="dxa"/>
            <w:tcBorders>
              <w:left w:val="single" w:color="000000" w:sz="4" w:space="0"/>
              <w:right w:val="single" w:color="000000" w:sz="4" w:space="0"/>
            </w:tcBorders>
          </w:tcPr>
          <w:p>
            <w:pPr>
              <w:pStyle w:val="TableParagraph"/>
              <w:spacing w:line="360" w:lineRule="auto"/>
              <w:ind w:left="113"/>
              <w:rPr>
                <w:sz w:val="24"/>
              </w:rPr>
            </w:pPr>
            <w:r>
              <w:rPr>
                <w:sz w:val="24"/>
              </w:rPr>
              <w:t>The panel convened the meeting to remind stakeholders of recent amendments to the contract terms so that they can fully comprehend the issues before the ruling representatives..</w:t>
            </w:r>
          </w:p>
        </w:tc>
        <w:tc>
          <w:tcPr>
            <w:cnfStyle w:val="000001100000"/>
            <w:tcW w:w="2394" w:type="dxa"/>
            <w:tcBorders>
              <w:left w:val="single" w:color="000000" w:sz="4" w:space="0"/>
              <w:right w:val="single" w:color="000000" w:sz="4" w:space="0"/>
            </w:tcBorders>
          </w:tcPr>
          <w:p>
            <w:pPr>
              <w:pStyle w:val="TableParagraph"/>
              <w:spacing w:line="360" w:lineRule="auto"/>
              <w:ind w:right="95"/>
              <w:rPr>
                <w:sz w:val="24"/>
              </w:rPr>
            </w:pPr>
            <w:r>
              <w:rPr>
                <w:sz w:val="24"/>
              </w:rPr>
              <w:t>They gather feedback from stakeholders, such as their opinions, compliments, and dreams for the future for McDonald's.</w:t>
            </w:r>
          </w:p>
        </w:tc>
        <w:tc>
          <w:tcPr>
            <w:cnfStyle w:val="000100100000"/>
            <w:tcW w:w="2394" w:type="dxa"/>
            <w:tcBorders>
              <w:left w:val="single" w:color="000000" w:sz="4" w:space="0"/>
              <w:right w:val="single" w:color="000000" w:sz="4" w:space="0"/>
            </w:tcBorders>
          </w:tcPr>
          <w:p>
            <w:pPr>
              <w:pStyle w:val="TableParagraph"/>
              <w:spacing w:line="360" w:lineRule="auto"/>
              <w:jc w:val="left"/>
              <w:rPr>
                <w:sz w:val="24"/>
              </w:rPr>
            </w:pPr>
            <w:r>
              <w:rPr>
                <w:sz w:val="24"/>
              </w:rPr>
              <w:t>3 Months</w:t>
            </w:r>
          </w:p>
        </w:tc>
      </w:tr>
      <w:tr>
        <w:trPr>
          <w:trHeight w:val="2755"/>
        </w:trPr>
        <w:tc>
          <w:tcPr>
            <w:cnfStyle w:val="011000000000"/>
            <w:tcW w:w="2394" w:type="dxa"/>
            <w:tcBorders>
              <w:left w:val="single" w:color="000000" w:sz="4" w:space="0"/>
              <w:right w:val="single" w:color="000000" w:sz="4" w:space="0"/>
            </w:tcBorders>
          </w:tcPr>
          <w:p>
            <w:pPr>
              <w:pStyle w:val="TableParagraph"/>
              <w:tabs>
                <w:tab w:val="left" w:pos="1780"/>
              </w:tabs>
              <w:spacing w:line="360" w:lineRule="auto"/>
              <w:ind w:right="95"/>
              <w:jc w:val="left"/>
              <w:rPr>
                <w:sz w:val="24"/>
              </w:rPr>
            </w:pPr>
            <w:r>
              <w:rPr>
                <w:sz w:val="24"/>
              </w:rPr>
              <w:t>Arrange</w:t>
            </w:r>
            <w:r>
              <w:rPr>
                <w:sz w:val="24"/>
              </w:rPr>
              <w:tab/>
            </w:r>
            <w:r>
              <w:rPr>
                <w:spacing w:val="-4"/>
                <w:sz w:val="24"/>
              </w:rPr>
              <w:t xml:space="preserve">skills </w:t>
            </w:r>
            <w:r>
              <w:rPr>
                <w:sz w:val="24"/>
              </w:rPr>
              <w:t>development</w:t>
            </w:r>
            <w:r>
              <w:rPr>
                <w:spacing w:val="-3"/>
                <w:sz w:val="24"/>
              </w:rPr>
              <w:t xml:space="preserve"> </w:t>
            </w:r>
            <w:r>
              <w:rPr>
                <w:sz w:val="24"/>
              </w:rPr>
              <w:t>program</w:t>
            </w:r>
          </w:p>
        </w:tc>
        <w:tc>
          <w:tcPr>
            <w:cnfStyle w:val="010010000000"/>
            <w:tcW w:w="2394" w:type="dxa"/>
            <w:tcBorders>
              <w:left w:val="single" w:color="000000" w:sz="4" w:space="0"/>
              <w:right w:val="single" w:color="000000" w:sz="4" w:space="0"/>
            </w:tcBorders>
          </w:tcPr>
          <w:p>
            <w:pPr>
              <w:pStyle w:val="TableParagraph"/>
              <w:tabs>
                <w:tab w:val="left" w:pos="1860"/>
                <w:tab w:val="left" w:pos="2114"/>
              </w:tabs>
              <w:spacing w:line="360" w:lineRule="auto"/>
              <w:ind w:left="113" w:right="94"/>
              <w:rPr>
                <w:sz w:val="24"/>
              </w:rPr>
            </w:pPr>
            <w:r>
              <w:rPr>
                <w:sz w:val="24"/>
              </w:rPr>
              <w:t>The panel will set up a professional training program at headquarters for recently recruited officers and staff so that they can engage with franchisees with mentioned qualities.</w:t>
            </w:r>
          </w:p>
        </w:tc>
        <w:tc>
          <w:tcPr>
            <w:cnfStyle w:val="010001000000"/>
            <w:tcW w:w="2394" w:type="dxa"/>
            <w:tcBorders>
              <w:left w:val="single" w:color="000000" w:sz="4" w:space="0"/>
              <w:right w:val="single" w:color="000000" w:sz="4" w:space="0"/>
            </w:tcBorders>
          </w:tcPr>
          <w:p>
            <w:pPr>
              <w:pStyle w:val="TableParagraph"/>
              <w:tabs>
                <w:tab w:val="left" w:pos="1200"/>
              </w:tabs>
              <w:spacing w:line="360" w:lineRule="auto"/>
              <w:ind w:right="94"/>
              <w:rPr>
                <w:sz w:val="24"/>
              </w:rPr>
            </w:pPr>
            <w:r>
              <w:rPr>
                <w:sz w:val="24"/>
              </w:rPr>
              <w:t>They analyze the problem of staff turnover, as well as tension between workers and supervisors, and then make suggestions and review the learning plan</w:t>
            </w:r>
          </w:p>
        </w:tc>
        <w:tc>
          <w:tcPr>
            <w:cnfStyle w:val="010100000000"/>
            <w:tcW w:w="2394" w:type="dxa"/>
            <w:tcBorders>
              <w:left w:val="single" w:color="000000" w:sz="4" w:space="0"/>
              <w:right w:val="single" w:color="000000" w:sz="4" w:space="0"/>
            </w:tcBorders>
          </w:tcPr>
          <w:p>
            <w:pPr>
              <w:pStyle w:val="TableParagraph"/>
              <w:spacing w:line="360" w:lineRule="auto"/>
              <w:jc w:val="left"/>
              <w:rPr>
                <w:sz w:val="24"/>
              </w:rPr>
            </w:pPr>
            <w:r>
              <w:rPr>
                <w:sz w:val="24"/>
              </w:rPr>
              <w:t>6 Months</w:t>
            </w:r>
          </w:p>
        </w:tc>
      </w:tr>
    </w:tbl>
    <w:p>
      <w:pPr>
        <w:spacing w:after="0" w:line="360" w:lineRule="auto"/>
        <w:ind w:left="-5" w:right="3"/>
        <w:jc w:val="center"/>
        <w:rPr>
          <w:color w:val="auto"/>
        </w:rPr>
      </w:pPr>
      <w:r>
        <w:rPr>
          <w:color w:val="auto"/>
        </w:rPr>
        <w:t>Table: Monitoring techniques</w:t>
      </w:r>
    </w:p>
    <w:p>
      <w:pPr>
        <w:spacing w:after="0" w:line="360" w:lineRule="auto"/>
        <w:ind w:left="-5" w:right="3"/>
        <w:jc w:val="center"/>
        <w:rPr>
          <w:color w:val="auto"/>
        </w:rPr>
      </w:pPr>
      <w:r>
        <w:rPr>
          <w:color w:val="auto"/>
        </w:rPr>
        <w:t>Source: Author</w:t>
      </w:r>
    </w:p>
    <w:p>
      <w:pPr>
        <w:spacing w:after="0" w:line="360" w:lineRule="auto"/>
        <w:ind w:left="-5" w:right="3"/>
        <w:jc w:val="center"/>
        <w:rPr>
          <w:color w:val="auto"/>
        </w:rPr>
      </w:pPr>
    </w:p>
    <w:p>
      <w:pPr>
        <w:pStyle w:val="Heading1"/>
        <w:spacing w:line="360" w:lineRule="auto"/>
        <w:ind w:left="-5"/>
        <w:rPr>
          <w:color w:val="auto"/>
        </w:rPr>
      </w:pPr>
      <w:bookmarkStart w:id="17" w:name="_Toc14446"/>
      <w:bookmarkStart w:id="18" w:name="_Toc69933612"/>
      <w:r>
        <w:rPr>
          <w:color w:val="auto"/>
        </w:rPr>
        <w:t>Conclusion</w:t>
      </w:r>
      <w:bookmarkEnd w:id="17"/>
      <w:bookmarkEnd w:id="18"/>
    </w:p>
    <w:p>
      <w:pPr>
        <w:spacing w:line="360" w:lineRule="auto"/>
        <w:ind w:left="-5" w:right="3"/>
        <w:rPr>
          <w:color w:val="auto"/>
        </w:rPr>
      </w:pPr>
      <w:r>
        <w:rPr>
          <w:color w:val="auto"/>
        </w:rPr>
        <w:t>It is important for any business person to gain experience with problem-solving and decision-making techniques. They must be familiar with a variety of diverse problem-solving techniques in order to effectively solve their company's problems. McDonald's' terms and policies have recently evolved as a result of the company's relocation from Oak Brook to the United Kingdom. For a variety of reasons, this was important for the business.</w:t>
      </w:r>
    </w:p>
    <w:p>
      <w:pPr>
        <w:spacing w:line="360" w:lineRule="auto"/>
        <w:ind w:left="-5" w:right="3"/>
        <w:rPr>
          <w:color w:val="auto"/>
        </w:rPr>
      </w:pPr>
      <w:r>
        <w:rPr>
          <w:color w:val="auto"/>
        </w:rPr>
        <w:t>They need a high-quality management system to expand their company. However, the franchise owner and participants, especially investors, are dissatisfied with this decision. They risk having issues with the new headquarters. The distributors' input materials supply and demand issue is severe in this case.</w:t>
      </w:r>
    </w:p>
    <w:p>
      <w:pPr>
        <w:spacing w:line="360" w:lineRule="auto"/>
        <w:ind w:left="-5" w:right="3"/>
        <w:rPr>
          <w:color w:val="auto"/>
        </w:rPr>
      </w:pPr>
    </w:p>
    <w:p>
      <w:pPr>
        <w:pStyle w:val="Heading1"/>
        <w:spacing w:line="360" w:lineRule="auto"/>
        <w:rPr>
          <w:color w:val="auto"/>
        </w:rPr>
      </w:pPr>
      <w:bookmarkStart w:id="19" w:name="_Toc69933613"/>
      <w:r>
        <w:rPr>
          <w:color w:val="auto"/>
        </w:rPr>
        <w:t>References</w:t>
      </w:r>
      <w:bookmarkEnd w:id="19"/>
    </w:p>
    <w:p>
      <w:pPr>
        <w:spacing w:line="360" w:lineRule="auto"/>
        <w:ind w:left="-5" w:right="3"/>
        <w:rPr>
          <w:color w:val="auto"/>
          <w:szCs w:val="22"/>
        </w:rPr>
      </w:pPr>
      <w:r>
        <w:rPr>
          <w:rFonts w:cs="Arial"/>
          <w:color w:val="auto"/>
          <w:szCs w:val="22"/>
          <w:shd w:val="clear" w:color="auto" w:fill="ffffff"/>
        </w:rPr>
        <w:t>Duggal, R. and Alexander, P., 2018. Staff management training in McDonalds.</w:t>
      </w:r>
    </w:p>
    <w:p>
      <w:pPr>
        <w:spacing w:line="360" w:lineRule="auto"/>
        <w:ind w:left="-5" w:right="3"/>
        <w:rPr>
          <w:rFonts w:cs="Arial"/>
          <w:color w:val="auto"/>
          <w:szCs w:val="22"/>
          <w:shd w:val="clear" w:color="auto" w:fill="ffffff"/>
        </w:rPr>
      </w:pPr>
      <w:r>
        <w:rPr>
          <w:rFonts w:cs="Arial"/>
          <w:color w:val="auto"/>
          <w:szCs w:val="22"/>
          <w:shd w:val="clear" w:color="auto" w:fill="ffffff"/>
        </w:rPr>
        <w:t>Ge, L., 2020. Report on Critical Analysis on Operation Management for McDonalds. </w:t>
      </w:r>
      <w:r>
        <w:rPr>
          <w:rFonts w:cs="Arial"/>
          <w:i/>
          <w:iCs/>
          <w:color w:val="auto"/>
          <w:szCs w:val="22"/>
          <w:shd w:val="clear" w:color="auto" w:fill="ffffff"/>
        </w:rPr>
        <w:t>International Core Journal of Engineering</w:t>
      </w:r>
      <w:r>
        <w:rPr>
          <w:rFonts w:cs="Arial"/>
          <w:color w:val="auto"/>
          <w:szCs w:val="22"/>
          <w:shd w:val="clear" w:color="auto" w:fill="ffffff"/>
        </w:rPr>
        <w:t>, </w:t>
      </w:r>
      <w:r>
        <w:rPr>
          <w:rFonts w:cs="Arial"/>
          <w:i/>
          <w:iCs/>
          <w:color w:val="auto"/>
          <w:szCs w:val="22"/>
          <w:shd w:val="clear" w:color="auto" w:fill="ffffff"/>
        </w:rPr>
        <w:t>6</w:t>
      </w:r>
      <w:r>
        <w:rPr>
          <w:rFonts w:cs="Arial"/>
          <w:color w:val="auto"/>
          <w:szCs w:val="22"/>
          <w:shd w:val="clear" w:color="auto" w:fill="ffffff"/>
        </w:rPr>
        <w:t>(11), pp.386-392.</w:t>
      </w:r>
    </w:p>
    <w:p>
      <w:pPr>
        <w:spacing w:line="360" w:lineRule="auto"/>
        <w:ind w:left="-5" w:right="3"/>
        <w:rPr>
          <w:rFonts w:cs="Arial"/>
          <w:color w:val="auto"/>
          <w:szCs w:val="22"/>
          <w:shd w:val="clear" w:color="auto" w:fill="ffffff"/>
        </w:rPr>
      </w:pPr>
      <w:r>
        <w:rPr>
          <w:rFonts w:cs="Arial"/>
          <w:color w:val="auto"/>
          <w:szCs w:val="22"/>
          <w:shd w:val="clear" w:color="auto" w:fill="ffffff"/>
        </w:rPr>
        <w:t>Marchau, V.A., Walker, W.E., Bloemen, P.J. and Popper, S.W., 2019. </w:t>
      </w:r>
      <w:r>
        <w:rPr>
          <w:rFonts w:cs="Arial"/>
          <w:i/>
          <w:iCs/>
          <w:color w:val="auto"/>
          <w:szCs w:val="22"/>
          <w:shd w:val="clear" w:color="auto" w:fill="ffffff"/>
        </w:rPr>
        <w:t>Decision making under deep uncertainty: from theory to practice</w:t>
      </w:r>
      <w:r>
        <w:rPr>
          <w:rFonts w:cs="Arial"/>
          <w:color w:val="auto"/>
          <w:szCs w:val="22"/>
          <w:shd w:val="clear" w:color="auto" w:fill="ffffff"/>
        </w:rPr>
        <w:t> (p. 405). Springer Nature.</w:t>
      </w:r>
    </w:p>
    <w:p>
      <w:pPr>
        <w:spacing w:line="360" w:lineRule="auto"/>
        <w:ind w:left="-5" w:right="3"/>
        <w:rPr>
          <w:rFonts w:cs="Arial"/>
          <w:color w:val="auto"/>
          <w:szCs w:val="22"/>
          <w:shd w:val="clear" w:color="auto" w:fill="ffffff"/>
        </w:rPr>
      </w:pPr>
      <w:r>
        <w:rPr>
          <w:rFonts w:cs="Arial"/>
          <w:color w:val="auto"/>
          <w:szCs w:val="22"/>
          <w:shd w:val="clear" w:color="auto" w:fill="ffffff"/>
        </w:rPr>
        <w:t>Sahu, A.K., Padhy, R.K. and Dhir, A., 2020. Envisioning the future of behavioral decision-making: A systematic literature review of behavioral reasoning theory. </w:t>
      </w:r>
      <w:r>
        <w:rPr>
          <w:rFonts w:cs="Arial"/>
          <w:i/>
          <w:iCs/>
          <w:color w:val="auto"/>
          <w:szCs w:val="22"/>
          <w:shd w:val="clear" w:color="auto" w:fill="ffffff"/>
        </w:rPr>
        <w:t>Australasian Marketing Journal (AMJ)</w:t>
      </w:r>
      <w:r>
        <w:rPr>
          <w:rFonts w:cs="Arial"/>
          <w:color w:val="auto"/>
          <w:szCs w:val="22"/>
          <w:shd w:val="clear" w:color="auto" w:fill="ffffff"/>
        </w:rPr>
        <w:t>, </w:t>
      </w:r>
      <w:r>
        <w:rPr>
          <w:rFonts w:cs="Arial"/>
          <w:i/>
          <w:iCs/>
          <w:color w:val="auto"/>
          <w:szCs w:val="22"/>
          <w:shd w:val="clear" w:color="auto" w:fill="ffffff"/>
        </w:rPr>
        <w:t>28</w:t>
      </w:r>
      <w:r>
        <w:rPr>
          <w:rFonts w:cs="Arial"/>
          <w:color w:val="auto"/>
          <w:szCs w:val="22"/>
          <w:shd w:val="clear" w:color="auto" w:fill="ffffff"/>
        </w:rPr>
        <w:t>(4), pp.145-159.</w:t>
      </w:r>
    </w:p>
    <w:p>
      <w:pPr>
        <w:spacing w:line="360" w:lineRule="auto"/>
        <w:ind w:left="-5" w:right="3"/>
        <w:rPr>
          <w:rFonts w:cs="Arial"/>
          <w:color w:val="auto"/>
          <w:szCs w:val="22"/>
          <w:shd w:val="clear" w:color="auto" w:fill="ffffff"/>
        </w:rPr>
      </w:pPr>
    </w:p>
    <w:sectPr>
      <w:footerReference w:type="default" r:id="rId15"/>
      <w:footerReference w:type="first" r:id="rId16"/>
      <w:footerReference w:type="even" r:id="rId1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endnote w:type="separator" w:id="0">
    <w:p>
      <w:pPr>
        <w:spacing w:after="0" w:line="240" w:lineRule="auto"/>
        <w:rPr/>
      </w:pPr>
      <w:r>
        <w:rPr/>
        <w:separator/>
      </w:r>
    </w:p>
  </w:endnote>
  <w:endnote w:type="continuationSeparator" w:id="1">
    <w:p>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00000000" w:usb1="00000000" w:usb2="00000009" w:usb3="00000000" w:csb0="000001ff" w:csb1="00000000"/>
  </w:font>
  <w:font w:name="Liberation Serif">
    <w:altName w:val="Times New Roman"/>
    <w:charset w:val="00"/>
    <w:family w:val="roman"/>
    <w:pitch w:val="variable"/>
  </w:font>
  <w:font w:name="Calibri Light">
    <w:panose1 w:val="020f03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p>
    <w:pPr>
      <w:spacing w:after="0"/>
      <w:ind w:left="0" w:firstLine="0"/>
      <w:jc w:val="left"/>
      <w:rPr/>
    </w:pPr>
    <w:r>
      <w:rPr/>
      <mc:AlternateContent>
        <mc:Choice Requires="wpg">
          <w:drawing xmlns:mc="http://schemas.openxmlformats.org/markup-compatibility/2006">
            <wp:anchor allowOverlap="1" behindDoc="0" distT="0" distB="0" distL="114300" distR="114300" layoutInCell="1" locked="0" relativeHeight="251660288" simplePos="0">
              <wp:simplePos x="0" y="0"/>
              <wp:positionH relativeFrom="page">
                <wp:posOffset>914400</wp:posOffset>
              </wp:positionH>
              <wp:positionV relativeFrom="page">
                <wp:posOffset>9231630</wp:posOffset>
              </wp:positionV>
              <wp:extent cx="5942331" cy="6350"/>
              <wp:effectExtent l="0" t="0" r="0" b="2794"/>
              <wp:wrapSquare wrapText="bothSides"/>
              <wp:docPr id="14150" name="Group 14137"/>
              <wp:cNvGraphicFramePr>
                <a:graphicFrameLocks xmlns:a="http://schemas.openxmlformats.org/drawingml/2006/main"/>
              </wp:cNvGraphicFramePr>
              <a:graphic xmlns:a="http://schemas.openxmlformats.org/drawingml/2006/main">
                <a:graphicData uri="http://schemas.microsoft.com/office/word/2010/wordprocessingGroup">
                  <wpg:wgp>
                    <wpg:cNvPr id="14137" name="Group 14137"/>
                    <wpg:cNvGrpSpPr/>
                    <wpg:grpSpPr>
                      <a:xfrm>
                        <a:off x="0" y="0"/>
                        <a:ext cx="5942331" cy="6350"/>
                        <a:chOff x="0" y="0"/>
                        <a:chExt cx="5942331" cy="6350"/>
                      </a:xfrm>
                    </wpg:grpSpPr>
                    <wps:wsp>
                      <wps:cNvPr id="14801" name=""/>
                      <wps:cNvSpPr/>
                      <wps:spPr>
                        <a:xfrm>
                          <a:off x="0" y="0"/>
                          <a:ext cx="5942331" cy="9144"/>
                        </a:xfrm>
                        <a:custGeom>
                          <a:avLst/>
                          <a:rect l="l" t="t" r="r" b="b"/>
                          <a:pathLst>
                            <a:path w="5942331" h="9144">
                              <a:moveTo>
                                <a:pt x="0" y="0"/>
                              </a:moveTo>
                              <a:lnTo>
                                <a:pt x="5942331" y="0"/>
                              </a:lnTo>
                              <a:lnTo>
                                <a:pt x="5942331" y="9144"/>
                              </a:lnTo>
                              <a:lnTo>
                                <a:pt x="0" y="9144"/>
                              </a:lnTo>
                              <a:lnTo>
                                <a:pt x="0" y="0"/>
                              </a:lnTo>
                            </a:path>
                          </a:pathLst>
                        </a:custGeom>
                      </wps:spPr>
                      <wps:style>
                        <a:lnRef idx="0">
                          <a:srgbClr val="000000">
                            <a:alpha val="0"/>
                          </a:srgbClr>
                        </a:lnRef>
                        <a:fillRef idx="1">
                          <a:srgbClr val="D9D9D9"/>
                        </a:fillRef>
                        <a:effectRef idx="0">
                          <a:scrgbClr r="0" g="0" b="0"/>
                        </a:effectRef>
                        <a:fontRef idx="none"/>
                      </wps:style>
                      <wps:bodyPr/>
                    </wps:wsp>
                    <wps:wsp>
                      <wps:cNvPr id="14802" name=""/>
                      <wps:cNvSpPr/>
                      <wps:spPr>
                        <a:xfrm>
                          <a:off x="0" y="0"/>
                          <a:ext cx="5942331" cy="9144"/>
                        </a:xfrm>
                        <a:custGeom>
                          <a:avLst/>
                          <a:rect l="l" t="t" r="r" b="b"/>
                          <a:pathLst>
                            <a:path w="5942331" h="9144">
                              <a:moveTo>
                                <a:pt x="0" y="0"/>
                              </a:moveTo>
                              <a:lnTo>
                                <a:pt x="5942331" y="0"/>
                              </a:lnTo>
                              <a:lnTo>
                                <a:pt x="5942331" y="9144"/>
                              </a:lnTo>
                              <a:lnTo>
                                <a:pt x="0" y="9144"/>
                              </a:lnTo>
                              <a:lnTo>
                                <a:pt x="0" y="0"/>
                              </a:lnTo>
                            </a:path>
                          </a:pathLst>
                        </a:custGeom>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id="DD6B11C0-6FD8-9238-773625E34499" coordsize="5942331,6350" style="position:absolute;width:467.9pt;height:0.5pt;margin-top:726.9pt;margin-left:72pt;mso-wrap-distance-left:9pt;mso-wrap-distance-right:9pt;mso-wrap-distance-top:0pt;mso-wrap-distance-bottom:0pt;mso-position-horizontal-relative:page;mso-position-vertical-relative:page;rotation:0.000000;z-index:251660288;">
              <v:shape id="3E762949-33E1-B57A-B80AA8D1128E" coordsize="21600,21600" style="width:5942331;height:9144;left:0;top:0;rotation:0.000000;" fillcolor="#d9d9d9" stroked="f" path="m0,0 l5942331,0 l5942331,9144 l0,9144 l0,0 e">
                <v:fill/>
                <o:lock/>
              </v:shape>
              <v:shape id="E94D5F87-F81C-F6A3-B8079568D35A" coordsize="21600,21600" style="width:5942331;height:9144;left:0;top:0;rotation:0.000000;" fillcolor="#d9d9d9" stroked="f" path="m0,0 l5942331,0 l5942331,9144 l0,9144 l0,0 e">
                <v:fill/>
                <o:lock/>
              </v:shape>
              <w10:wrap type="square" side="both"/>
              <o:lock/>
            </v:group>
          </w:pict>
        </mc:Fallback>
      </mc:AlternateContent>
    </w:r>
    <w:r>
      <w:fldChar w:fldCharType="begin"/>
    </w:r>
    <w:r>
      <w:instrText xml:space="preserve"> PAGE   \* MERGEFORMAT </w:instrText>
    </w:r>
    <w:r>
      <w:fldChar w:fldCharType="separate"/>
    </w:r>
    <w:r>
      <w:rPr>
        <w:rFonts w:ascii="Calibri" w:hAnsi="Calibri"/>
        <w:b/>
      </w:rPr>
      <w:t>1</w:t>
    </w:r>
    <w:r>
      <w:fldChar w:fldCharType="end"/>
    </w:r>
    <w:r>
      <w:rPr>
        <w:rFonts w:ascii="Calibri" w:hAnsi="Calibri"/>
        <w:b/>
      </w:rPr>
      <w:t xml:space="preserve"> | </w:t>
    </w:r>
    <w:r>
      <w:rPr>
        <w:color w:val="7f7f7f"/>
      </w:rPr>
      <w:t>P a g e</w:t>
    </w:r>
  </w:p>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p>
    <w:pPr>
      <w:spacing w:after="0"/>
      <w:ind w:left="0" w:firstLine="0"/>
      <w:jc w:val="left"/>
      <w:rPr/>
    </w:pPr>
    <w:r>
      <w:rPr/>
      <mc:AlternateContent>
        <mc:Choice Requires="wpg">
          <w:drawing xmlns:mc="http://schemas.openxmlformats.org/markup-compatibility/2006">
            <wp:anchor allowOverlap="1" behindDoc="0" distT="0" distB="0" distL="114300" distR="114300" layoutInCell="1" locked="0" relativeHeight="251661312" simplePos="0">
              <wp:simplePos x="0" y="0"/>
              <wp:positionH relativeFrom="page">
                <wp:posOffset>914400</wp:posOffset>
              </wp:positionH>
              <wp:positionV relativeFrom="page">
                <wp:posOffset>9231630</wp:posOffset>
              </wp:positionV>
              <wp:extent cx="5942331" cy="6350"/>
              <wp:effectExtent l="0" t="0" r="0" b="2794"/>
              <wp:wrapSquare wrapText="bothSides"/>
              <wp:docPr id="14151" name="Group 14126"/>
              <wp:cNvGraphicFramePr>
                <a:graphicFrameLocks xmlns:a="http://schemas.openxmlformats.org/drawingml/2006/main"/>
              </wp:cNvGraphicFramePr>
              <a:graphic xmlns:a="http://schemas.openxmlformats.org/drawingml/2006/main">
                <a:graphicData uri="http://schemas.microsoft.com/office/word/2010/wordprocessingGroup">
                  <wpg:wgp>
                    <wpg:cNvPr id="14126" name="Group 14126"/>
                    <wpg:cNvGrpSpPr/>
                    <wpg:grpSpPr>
                      <a:xfrm>
                        <a:off x="0" y="0"/>
                        <a:ext cx="5942331" cy="6350"/>
                        <a:chOff x="0" y="0"/>
                        <a:chExt cx="5942331" cy="6350"/>
                      </a:xfrm>
                    </wpg:grpSpPr>
                    <wps:wsp>
                      <wps:cNvPr id="14797" name=""/>
                      <wps:cNvSpPr/>
                      <wps:spPr>
                        <a:xfrm>
                          <a:off x="0" y="0"/>
                          <a:ext cx="5942331" cy="9144"/>
                        </a:xfrm>
                        <a:custGeom>
                          <a:avLst/>
                          <a:rect l="l" t="t" r="r" b="b"/>
                          <a:pathLst>
                            <a:path w="5942331" h="9144">
                              <a:moveTo>
                                <a:pt x="0" y="0"/>
                              </a:moveTo>
                              <a:lnTo>
                                <a:pt x="5942331" y="0"/>
                              </a:lnTo>
                              <a:lnTo>
                                <a:pt x="5942331" y="9144"/>
                              </a:lnTo>
                              <a:lnTo>
                                <a:pt x="0" y="9144"/>
                              </a:lnTo>
                              <a:lnTo>
                                <a:pt x="0" y="0"/>
                              </a:lnTo>
                            </a:path>
                          </a:pathLst>
                        </a:custGeom>
                      </wps:spPr>
                      <wps:style>
                        <a:lnRef idx="0">
                          <a:srgbClr val="000000">
                            <a:alpha val="0"/>
                          </a:srgbClr>
                        </a:lnRef>
                        <a:fillRef idx="1">
                          <a:srgbClr val="D9D9D9"/>
                        </a:fillRef>
                        <a:effectRef idx="0">
                          <a:scrgbClr r="0" g="0" b="0"/>
                        </a:effectRef>
                        <a:fontRef idx="none"/>
                      </wps:style>
                      <wps:bodyPr/>
                    </wps:wsp>
                    <wps:wsp>
                      <wps:cNvPr id="14798" name=""/>
                      <wps:cNvSpPr/>
                      <wps:spPr>
                        <a:xfrm>
                          <a:off x="0" y="0"/>
                          <a:ext cx="5942331" cy="9144"/>
                        </a:xfrm>
                        <a:custGeom>
                          <a:avLst/>
                          <a:rect l="l" t="t" r="r" b="b"/>
                          <a:pathLst>
                            <a:path w="5942331" h="9144">
                              <a:moveTo>
                                <a:pt x="0" y="0"/>
                              </a:moveTo>
                              <a:lnTo>
                                <a:pt x="5942331" y="0"/>
                              </a:lnTo>
                              <a:lnTo>
                                <a:pt x="5942331" y="9144"/>
                              </a:lnTo>
                              <a:lnTo>
                                <a:pt x="0" y="9144"/>
                              </a:lnTo>
                              <a:lnTo>
                                <a:pt x="0" y="0"/>
                              </a:lnTo>
                            </a:path>
                          </a:pathLst>
                        </a:custGeom>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id="B0891E62-1776-12E1-9513D5890422" coordsize="5942331,6350" style="position:absolute;width:467.9pt;height:0.5pt;margin-top:726.9pt;margin-left:72pt;mso-wrap-distance-left:9pt;mso-wrap-distance-right:9pt;mso-wrap-distance-top:0pt;mso-wrap-distance-bottom:0pt;mso-position-horizontal-relative:page;mso-position-vertical-relative:page;rotation:0.000000;z-index:251661312;">
              <v:shape id="00278BC4-5176-E247-0D9656C28EDB" coordsize="21600,21600" style="width:5942331;height:9144;left:0;top:0;rotation:0.000000;" fillcolor="#d9d9d9" stroked="f" path="m0,0 l5942331,0 l5942331,9144 l0,9144 l0,0 e">
                <v:fill/>
                <o:lock/>
              </v:shape>
              <v:shape id="C459E1E7-031D-69B4-2EEAAFED541D" coordsize="21600,21600" style="width:5942331;height:9144;left:0;top:0;rotation:0.000000;" fillcolor="#d9d9d9" stroked="f" path="m0,0 l5942331,0 l5942331,9144 l0,9144 l0,0 e">
                <v:fill/>
                <o:lock/>
              </v:shape>
              <w10:wrap type="square" side="both"/>
              <o:lock/>
            </v:group>
          </w:pict>
        </mc:Fallback>
      </mc:AlternateContent>
    </w:r>
    <w:r>
      <w:fldChar w:fldCharType="begin"/>
    </w:r>
    <w:r>
      <w:instrText xml:space="preserve"> PAGE   \* MERGEFORMAT </w:instrText>
    </w:r>
    <w:r>
      <w:fldChar w:fldCharType="separate"/>
    </w:r>
    <w:r>
      <w:rPr>
        <w:rFonts w:ascii="Calibri" w:hAnsi="Calibri"/>
        <w:b/>
      </w:rPr>
      <w:t>1</w:t>
    </w:r>
    <w:r>
      <w:fldChar w:fldCharType="end"/>
    </w:r>
    <w:r>
      <w:rPr>
        <w:rFonts w:ascii="Calibri" w:hAnsi="Calibri"/>
        <w:b/>
      </w:rPr>
      <w:t xml:space="preserve"> | </w:t>
    </w:r>
    <w:r>
      <w:rPr>
        <w:color w:val="7f7f7f"/>
      </w:rPr>
      <w:t>P a g e</w:t>
    </w:r>
  </w:p>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p>
    <w:pPr>
      <w:spacing w:after="0"/>
      <w:ind w:left="0" w:firstLine="0"/>
      <w:jc w:val="left"/>
      <w:rPr/>
    </w:pPr>
    <w:r>
      <w:rPr/>
      <mc:AlternateContent>
        <mc:Choice Requires="wpg">
          <w:drawing xmlns:mc="http://schemas.openxmlformats.org/markup-compatibility/2006">
            <wp:anchor allowOverlap="1" behindDoc="0" distT="0" distB="0" distL="114300" distR="114300" layoutInCell="1" locked="0" relativeHeight="251659264" simplePos="0">
              <wp:simplePos x="0" y="0"/>
              <wp:positionH relativeFrom="page">
                <wp:posOffset>914400</wp:posOffset>
              </wp:positionH>
              <wp:positionV relativeFrom="page">
                <wp:posOffset>9231630</wp:posOffset>
              </wp:positionV>
              <wp:extent cx="5942331" cy="6350"/>
              <wp:effectExtent l="0" t="0" r="0" b="2794"/>
              <wp:wrapSquare wrapText="bothSides"/>
              <wp:docPr id="14152" name="Group 14148"/>
              <wp:cNvGraphicFramePr>
                <a:graphicFrameLocks xmlns:a="http://schemas.openxmlformats.org/drawingml/2006/main"/>
              </wp:cNvGraphicFramePr>
              <a:graphic xmlns:a="http://schemas.openxmlformats.org/drawingml/2006/main">
                <a:graphicData uri="http://schemas.microsoft.com/office/word/2010/wordprocessingGroup">
                  <wpg:wgp>
                    <wpg:cNvPr id="14148" name="Group 14148"/>
                    <wpg:cNvGrpSpPr/>
                    <wpg:grpSpPr>
                      <a:xfrm>
                        <a:off x="0" y="0"/>
                        <a:ext cx="5942331" cy="6350"/>
                        <a:chOff x="0" y="0"/>
                        <a:chExt cx="5942331" cy="6350"/>
                      </a:xfrm>
                    </wpg:grpSpPr>
                    <wps:wsp>
                      <wps:cNvPr id="14805" name=""/>
                      <wps:cNvSpPr/>
                      <wps:spPr>
                        <a:xfrm>
                          <a:off x="0" y="0"/>
                          <a:ext cx="5942331" cy="9144"/>
                        </a:xfrm>
                        <a:custGeom>
                          <a:avLst/>
                          <a:rect l="l" t="t" r="r" b="b"/>
                          <a:pathLst>
                            <a:path w="5942331" h="9144">
                              <a:moveTo>
                                <a:pt x="0" y="0"/>
                              </a:moveTo>
                              <a:lnTo>
                                <a:pt x="5942331" y="0"/>
                              </a:lnTo>
                              <a:lnTo>
                                <a:pt x="5942331" y="9144"/>
                              </a:lnTo>
                              <a:lnTo>
                                <a:pt x="0" y="9144"/>
                              </a:lnTo>
                              <a:lnTo>
                                <a:pt x="0" y="0"/>
                              </a:lnTo>
                            </a:path>
                          </a:pathLst>
                        </a:custGeom>
                      </wps:spPr>
                      <wps:style>
                        <a:lnRef idx="0">
                          <a:srgbClr val="000000">
                            <a:alpha val="0"/>
                          </a:srgbClr>
                        </a:lnRef>
                        <a:fillRef idx="1">
                          <a:srgbClr val="D9D9D9"/>
                        </a:fillRef>
                        <a:effectRef idx="0">
                          <a:scrgbClr r="0" g="0" b="0"/>
                        </a:effectRef>
                        <a:fontRef idx="none"/>
                      </wps:style>
                      <wps:bodyPr/>
                    </wps:wsp>
                    <wps:wsp>
                      <wps:cNvPr id="14806" name=""/>
                      <wps:cNvSpPr/>
                      <wps:spPr>
                        <a:xfrm>
                          <a:off x="0" y="0"/>
                          <a:ext cx="5942331" cy="9144"/>
                        </a:xfrm>
                        <a:custGeom>
                          <a:avLst/>
                          <a:rect l="l" t="t" r="r" b="b"/>
                          <a:pathLst>
                            <a:path w="5942331" h="9144">
                              <a:moveTo>
                                <a:pt x="0" y="0"/>
                              </a:moveTo>
                              <a:lnTo>
                                <a:pt x="5942331" y="0"/>
                              </a:lnTo>
                              <a:lnTo>
                                <a:pt x="5942331" y="9144"/>
                              </a:lnTo>
                              <a:lnTo>
                                <a:pt x="0" y="9144"/>
                              </a:lnTo>
                              <a:lnTo>
                                <a:pt x="0" y="0"/>
                              </a:lnTo>
                            </a:path>
                          </a:pathLst>
                        </a:custGeom>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id="77D8DB9F-4B24-ECBC-756E640851A4" coordsize="5942331,6350" style="position:absolute;width:467.9pt;height:0.5pt;margin-top:726.9pt;margin-left:72pt;mso-wrap-distance-left:9pt;mso-wrap-distance-right:9pt;mso-wrap-distance-top:0pt;mso-wrap-distance-bottom:0pt;mso-position-horizontal-relative:page;mso-position-vertical-relative:page;rotation:0.000000;z-index:251659264;">
              <v:shape id="B1F97731-91E0-E910-BF86F4AE4FA5" coordsize="21600,21600" style="width:5942331;height:9144;left:0;top:0;rotation:0.000000;" fillcolor="#d9d9d9" stroked="f" path="m0,0 l5942331,0 l5942331,9144 l0,9144 l0,0 e">
                <v:fill/>
                <o:lock/>
              </v:shape>
              <v:shape id="738479D9-B2DC-EB21-9AEA9B686C36" coordsize="21600,21600" style="width:5942331;height:9144;left:0;top:0;rotation:0.000000;" fillcolor="#d9d9d9" stroked="f" path="m0,0 l5942331,0 l5942331,9144 l0,9144 l0,0 e">
                <v:fill/>
                <o:lock/>
              </v:shape>
              <w10:wrap type="square" side="both"/>
              <o:lock/>
            </v:group>
          </w:pict>
        </mc:Fallback>
      </mc:AlternateContent>
    </w:r>
    <w:r>
      <w:fldChar w:fldCharType="begin"/>
    </w:r>
    <w:r>
      <w:instrText xml:space="preserve"> PAGE   \* MERGEFORMAT </w:instrText>
    </w:r>
    <w:r>
      <w:fldChar w:fldCharType="separate"/>
    </w:r>
    <w:r>
      <w:rPr>
        <w:rFonts w:ascii="Calibri" w:hAnsi="Calibri"/>
        <w:b/>
      </w:rPr>
      <w:t>1</w:t>
    </w:r>
    <w:r>
      <w:fldChar w:fldCharType="end"/>
    </w:r>
    <w:r>
      <w:rPr>
        <w:rFonts w:ascii="Calibri" w:hAnsi="Calibri"/>
        <w:b/>
      </w:rPr>
      <w:t xml:space="preserve"> | </w:t>
    </w:r>
    <w:r>
      <w:rPr>
        <w:color w:val="7f7f7f"/>
      </w:rPr>
      <w:t>P a g e</w:t>
    </w:r>
  </w:p>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footnote w:type="separator" w:id="0">
    <w:p>
      <w:pPr>
        <w:spacing w:after="0" w:line="240" w:lineRule="auto"/>
        <w:rPr/>
      </w:pPr>
      <w:r>
        <w:rPr/>
        <w:separator/>
      </w:r>
    </w:p>
  </w:footnote>
  <w:footnote w:type="continuationSeparator" w:id="1">
    <w:p>
      <w:pPr>
        <w:spacing w:after="0"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xNDYxMTU1MzM1MzdV0lEKTi0uzszPAykwrAUA3zptxCwAAAA="/>
  </w:docVars>
  <w:rsids>
    <w:rsidRoot w:val="00DE0166"/>
    <w:rsid w:val="000602BF"/>
    <w:rsid w:val="001222C0"/>
    <w:rsid w:val="00171BEE"/>
    <w:rsid w:val="001A4211"/>
    <w:rsid w:val="001D1E5B"/>
    <w:rsid w:val="001F100E"/>
    <w:rsid w:val="0023282F"/>
    <w:rsid w:val="00254065"/>
    <w:rsid w:val="002609F5"/>
    <w:rsid w:val="002D385D"/>
    <w:rsid w:val="00304C8E"/>
    <w:rsid w:val="003064C0"/>
    <w:rsid w:val="0032428F"/>
    <w:rsid w:val="00333BD1"/>
    <w:rsid w:val="00362160"/>
    <w:rsid w:val="00382428"/>
    <w:rsid w:val="003948AB"/>
    <w:rsid w:val="0039784D"/>
    <w:rsid w:val="003E3BC1"/>
    <w:rsid w:val="004256A1"/>
    <w:rsid w:val="004674A9"/>
    <w:rsid w:val="0049435B"/>
    <w:rsid w:val="004B7C49"/>
    <w:rsid w:val="004C0193"/>
    <w:rsid w:val="004E78D6"/>
    <w:rsid w:val="004F2740"/>
    <w:rsid w:val="005414EA"/>
    <w:rsid w:val="00554581"/>
    <w:rsid w:val="00556E21"/>
    <w:rsid w:val="005600D8"/>
    <w:rsid w:val="005713A1"/>
    <w:rsid w:val="00591661"/>
    <w:rsid w:val="00594396"/>
    <w:rsid w:val="005C43AE"/>
    <w:rsid w:val="005C4E90"/>
    <w:rsid w:val="005D6FDA"/>
    <w:rsid w:val="005D7177"/>
    <w:rsid w:val="005E2DF9"/>
    <w:rsid w:val="00637D52"/>
    <w:rsid w:val="00641628"/>
    <w:rsid w:val="00650DD8"/>
    <w:rsid w:val="00675DC8"/>
    <w:rsid w:val="006B59E1"/>
    <w:rsid w:val="00702F6B"/>
    <w:rsid w:val="007034DB"/>
    <w:rsid w:val="00710E67"/>
    <w:rsid w:val="007332E0"/>
    <w:rsid w:val="0074592B"/>
    <w:rsid w:val="0075420A"/>
    <w:rsid w:val="00775780"/>
    <w:rsid w:val="0078449E"/>
    <w:rsid w:val="007D30D5"/>
    <w:rsid w:val="007E4B2F"/>
    <w:rsid w:val="00804C00"/>
    <w:rsid w:val="00807C34"/>
    <w:rsid w:val="0086691C"/>
    <w:rsid w:val="008914F4"/>
    <w:rsid w:val="008C4605"/>
    <w:rsid w:val="008F1E18"/>
    <w:rsid w:val="009013D8"/>
    <w:rsid w:val="00907097"/>
    <w:rsid w:val="00912455"/>
    <w:rsid w:val="0095169D"/>
    <w:rsid w:val="00991373"/>
    <w:rsid w:val="00992483"/>
    <w:rsid w:val="009D5208"/>
    <w:rsid w:val="009E2AD7"/>
    <w:rsid w:val="009E45A1"/>
    <w:rsid w:val="00A16D97"/>
    <w:rsid w:val="00A22344"/>
    <w:rsid w:val="00A378AE"/>
    <w:rsid w:val="00A37EE0"/>
    <w:rsid w:val="00A53930"/>
    <w:rsid w:val="00A837BC"/>
    <w:rsid w:val="00A866AD"/>
    <w:rsid w:val="00A90B48"/>
    <w:rsid w:val="00A92C5D"/>
    <w:rsid w:val="00AD26CC"/>
    <w:rsid w:val="00B03B58"/>
    <w:rsid w:val="00B210C7"/>
    <w:rsid w:val="00B52517"/>
    <w:rsid w:val="00B56734"/>
    <w:rsid w:val="00BB75C0"/>
    <w:rsid w:val="00BE1421"/>
    <w:rsid w:val="00BE6F87"/>
    <w:rsid w:val="00C0378E"/>
    <w:rsid w:val="00C83B10"/>
    <w:rsid w:val="00C94CDC"/>
    <w:rsid w:val="00CD4458"/>
    <w:rsid w:val="00CF0931"/>
    <w:rsid w:val="00CF6062"/>
    <w:rsid w:val="00D16DF8"/>
    <w:rsid w:val="00D17716"/>
    <w:rsid w:val="00D237C3"/>
    <w:rsid w:val="00D27630"/>
    <w:rsid w:val="00D527D4"/>
    <w:rsid w:val="00D55FD4"/>
    <w:rsid w:val="00D9221A"/>
    <w:rsid w:val="00D977DC"/>
    <w:rsid w:val="00DA4703"/>
    <w:rsid w:val="00DD1F73"/>
    <w:rsid w:val="00DE0166"/>
    <w:rsid w:val="00DF58AD"/>
    <w:rsid w:val="00E04DCC"/>
    <w:rsid w:val="00E066E9"/>
    <w:rsid w:val="00E3479E"/>
    <w:rsid w:val="00E36E75"/>
    <w:rsid w:val="00E52FE5"/>
    <w:rsid w:val="00E80EE1"/>
    <w:rsid w:val="00E907E5"/>
    <w:rsid w:val="00E96558"/>
    <w:rsid w:val="00EB101B"/>
    <w:rsid w:val="00ED5F06"/>
    <w:rsid w:val="00ED6423"/>
    <w:rsid w:val="00EE4A23"/>
    <w:rsid w:val="00F11799"/>
    <w:rsid w:val="00F25DEA"/>
    <w:rsid w:val="00F414C9"/>
    <w:rsid w:val="00F8194B"/>
    <w:rsid w:val="00F948F0"/>
    <w:rsid w:val="00F963A7"/>
    <w:rsid w:val="00FA7B16"/>
    <w:rsid w:val="00FD6D3A"/>
    <w:rsid w:val="00FF4B0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C0069"/>
  <w15:chartTrackingRefBased/>
  <w15:docId w15:val="{633CBD89-122B-481B-A1EF-C1B5C1B94E98}"/>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imes New Roman" w:hAnsiTheme="minorHAnsi"/>
        <w:sz w:val="22"/>
        <w:szCs w:val="22"/>
        <w:lang w:val="en-US" w:bidi="ar-SA" w:eastAsia="en-US"/>
      </w:rPr>
    </w:rPrDefault>
    <w:pPrDefault>
      <w:pPr>
        <w:spacing w:after="160" w:line="259" w:lineRule="auto"/>
      </w:pPr>
    </w:pPrDefault>
  </w:docDefaults>
  <w:style w:type="paragraph" w:styleId="Heading5">
    <w:name w:val="Heading 5"/>
    <w:basedOn w:val="Normal"/>
    <w:next w:val="Normal"/>
    <w:link w:val="Heading5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unhideWhenUsed w:val="on"/>
    <w:rPr>
      <w:vertAlign w:val="superscript"/>
    </w:rPr>
  </w:style>
  <w:style w:type="paragraph" w:styleId="Endnotetext">
    <w:name w:val="Endnote text"/>
    <w:basedOn w:val="Normal"/>
    <w:link w:val="EndnoteTextChar"/>
    <w:uiPriority w:val="99"/>
    <w:semiHidden w:val="on"/>
    <w:unhideWhenUsed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unhideWhenUsed w:val="on"/>
    <w:rPr>
      <w:vertAlign w:val="superscript"/>
    </w:rPr>
  </w:style>
  <w:style w:type="paragraph" w:styleId="PlainText">
    <w:name w:val="Plain Text"/>
    <w:basedOn w:val="Normal"/>
    <w:link w:val="PlainTextChar"/>
    <w:uiPriority w:val="99"/>
    <w:semiHidden w:val="on"/>
    <w:unhideWhenUsed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unhideWhenUsed w:val="on"/>
    <w:pPr>
      <w:spacing w:after="0" w:line="240" w:lineRule="auto"/>
    </w:pPr>
  </w:style>
  <w:style w:type="character" w:customStyle="1" w:styleId="FooterChar">
    <w:name w:val="Footer Char"/>
    <w:basedOn w:val="DefaultParagraphFont"/>
    <w:link w:val="Footer"/>
    <w:uiPriority w:val="99"/>
  </w:style>
  <w:style w:type="paragraph" w:default="1" w:styleId="Normal">
    <w:name w:val="Normal"/>
    <w:uiPriority w:val="99"/>
    <w:qFormat w:val="on"/>
    <w:pPr>
      <w:spacing w:after="197" w:line="480" w:lineRule="auto"/>
      <w:ind w:left="14" w:hanging="14"/>
      <w:jc w:val="both"/>
    </w:pPr>
    <w:rPr>
      <w:rFonts w:ascii="Arial" w:cs="Calibri" w:eastAsia="Calibri" w:hAnsi="Arial"/>
      <w:color w:val="000000"/>
      <w:szCs w:val="28"/>
      <w:lang w:bidi="bn-BD"/>
    </w:rPr>
  </w:style>
  <w:style w:type="paragraph" w:styleId="Heading1">
    <w:name w:val="Heading 1"/>
    <w:basedOn w:val="Normal"/>
    <w:next w:val="Normal"/>
    <w:link w:val="Heading1Char"/>
    <w:uiPriority w:val="9"/>
    <w:qFormat w:val="on"/>
    <w:pPr>
      <w:keepNext w:val="on"/>
      <w:spacing w:before="240" w:after="134"/>
    </w:pPr>
    <w:rPr>
      <w:rFonts w:cs="Arial" w:eastAsiaTheme="majorEastAsia"/>
      <w:b/>
      <w:bCs/>
      <w:sz w:val="32"/>
      <w:szCs w:val="24"/>
    </w:rPr>
  </w:style>
  <w:style w:type="paragraph" w:styleId="Heading2">
    <w:name w:val="Heading 2"/>
    <w:basedOn w:val="Normal"/>
    <w:next w:val="Normal"/>
    <w:link w:val="Heading2Char"/>
    <w:uiPriority w:val="9"/>
    <w:unhideWhenUsed w:val="on"/>
    <w:qFormat w:val="on"/>
    <w:unhideWhenUsed w:val="on"/>
    <w:pPr>
      <w:keepNext w:val="on"/>
      <w:spacing w:before="240" w:after="60"/>
    </w:pPr>
    <w:rPr>
      <w:rFonts w:cs="Arial" w:eastAsiaTheme="majorEastAsia"/>
      <w:b/>
      <w:bCs/>
      <w:i/>
      <w:sz w:val="28"/>
      <w:szCs w:val="24"/>
      <w:lang w:eastAsia="zh-CN"/>
    </w:rPr>
  </w:style>
  <w:style w:type="paragraph" w:styleId="Heading3">
    <w:name w:val="Heading 3"/>
    <w:basedOn w:val="Normal"/>
    <w:next w:val="Normal"/>
    <w:link w:val="Heading3Char"/>
    <w:uiPriority w:val="9"/>
    <w:unhideWhenUsed w:val="on"/>
    <w:qFormat w:val="on"/>
    <w:unhideWhenUsed w:val="on"/>
    <w:pPr>
      <w:keepNext w:val="on"/>
      <w:spacing w:before="240" w:after="60"/>
      <w:ind w:left="-5"/>
    </w:pPr>
    <w:rPr>
      <w:rFonts w:cstheme="majorBidi" w:eastAsiaTheme="majorEastAsia"/>
      <w:b/>
      <w:bCs/>
      <w:szCs w:val="26"/>
    </w:rPr>
  </w:style>
  <w:style w:type="paragraph" w:styleId="Heading4">
    <w:name w:val="Heading 4"/>
    <w:basedOn w:val="Normal"/>
    <w:next w:val="Normal"/>
    <w:link w:val="Heading4Char"/>
    <w:uiPriority w:val="9"/>
    <w:unhideWhenUsed w:val="on"/>
    <w:qFormat w:val="on"/>
    <w:unhideWhenUsed w:val="on"/>
    <w:pPr>
      <w:keepNext w:val="on"/>
      <w:keepLines w:val="on"/>
      <w:spacing w:before="40"/>
    </w:pPr>
    <w:rPr>
      <w:rFonts w:cstheme="majorBidi" w:eastAsiaTheme="majorEastAsia"/>
      <w:i/>
      <w:iCs/>
    </w:rPr>
  </w:style>
  <w:style w:type="character" w:default="1" w:styleId="DefaultParagraphFont">
    <w:name w:val="Default Paragraph Font"/>
    <w:uiPriority w:val="1"/>
    <w:semiHidden w:val="on"/>
    <w:unhideWhenUsed w:val="on"/>
    <w:unhideWhenUsed w:val="on"/>
  </w:style>
  <w:style w:type="table" w:default="1" w:styleId="NormalTable">
    <w:name w:val="Normal Table"/>
    <w:uiPriority w:val="99"/>
    <w:semiHidden w:val="on"/>
    <w:unhideWhenUsed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unhideWhenUsed w:val="on"/>
  </w:style>
  <w:style w:type="character" w:customStyle="1" w:styleId="Heading1Char">
    <w:name w:val="Heading 1 Char"/>
    <w:basedOn w:val="DefaultParagraphFont"/>
    <w:link w:val="Heading1"/>
    <w:uiPriority w:val="99"/>
    <w:rPr>
      <w:rFonts w:ascii="Times New Roman" w:cs="Arial" w:eastAsiaTheme="majorEastAsia" w:hAnsi="Times New Roman"/>
      <w:b/>
      <w:bCs/>
      <w:sz w:val="32"/>
      <w:szCs w:val="24"/>
      <w:lang w:val="en-GB" w:bidi="bn-BD"/>
    </w:rPr>
  </w:style>
  <w:style w:type="character" w:customStyle="1" w:styleId="Heading2Char">
    <w:name w:val="Heading 2 Char"/>
    <w:basedOn w:val="DefaultParagraphFont"/>
    <w:link w:val="Heading2"/>
    <w:uiPriority w:val="9"/>
    <w:rPr>
      <w:rFonts w:ascii="Times New Roman" w:cs="Arial" w:eastAsiaTheme="majorEastAsia" w:hAnsi="Times New Roman"/>
      <w:b/>
      <w:bCs/>
      <w:i/>
      <w:sz w:val="28"/>
      <w:szCs w:val="24"/>
      <w:lang w:eastAsia="zh-CN"/>
    </w:rPr>
  </w:style>
  <w:style w:type="character" w:customStyle="1" w:styleId="Heading3Char">
    <w:name w:val="Heading 3 Char"/>
    <w:basedOn w:val="DefaultParagraphFont"/>
    <w:link w:val="Heading3"/>
    <w:uiPriority w:val="9"/>
    <w:rPr>
      <w:rFonts w:ascii="Arial" w:cstheme="majorBidi" w:eastAsiaTheme="majorEastAsia" w:hAnsi="Arial"/>
      <w:b/>
      <w:bCs/>
      <w:color w:val="000000"/>
      <w:szCs w:val="26"/>
      <w:lang w:bidi="bn-BD"/>
    </w:rPr>
  </w:style>
  <w:style w:type="paragraph" w:styleId="Title">
    <w:name w:val="Title"/>
    <w:basedOn w:val="Normal"/>
    <w:next w:val="Normal"/>
    <w:link w:val="TitleChar"/>
    <w:uiPriority w:val="10"/>
    <w:qFormat w:val="on"/>
    <w:pPr>
      <w:spacing w:before="240" w:after="60" w:line="276" w:lineRule="auto"/>
    </w:pPr>
    <w:rPr>
      <w:rFonts w:cstheme="majorBidi" w:eastAsiaTheme="majorEastAsia"/>
      <w:bCs/>
      <w:szCs w:val="32"/>
    </w:rPr>
  </w:style>
  <w:style w:type="character" w:customStyle="1" w:styleId="TitleChar">
    <w:name w:val="Title Char"/>
    <w:basedOn w:val="DefaultParagraphFont"/>
    <w:link w:val="Title"/>
    <w:uiPriority w:val="10"/>
    <w:rPr>
      <w:rFonts w:ascii="Times New Roman" w:cstheme="majorBidi" w:eastAsiaTheme="majorEastAsia" w:hAnsi="Times New Roman"/>
      <w:bCs/>
      <w:sz w:val="24"/>
      <w:szCs w:val="32"/>
      <w:lang w:eastAsia="zh-CN"/>
    </w:rPr>
  </w:style>
  <w:style w:type="character" w:customStyle="1" w:styleId="Heading4Char">
    <w:name w:val="Heading 4 Char"/>
    <w:basedOn w:val="DefaultParagraphFont"/>
    <w:link w:val="Heading4"/>
    <w:uiPriority w:val="9"/>
    <w:rPr>
      <w:rFonts w:ascii="Arial" w:cstheme="majorBidi" w:eastAsiaTheme="majorEastAsia" w:hAnsi="Arial"/>
      <w:i/>
      <w:iCs/>
      <w:sz w:val="24"/>
      <w:lang w:eastAsia="zh-CN"/>
    </w:rPr>
  </w:style>
  <w:style w:type="paragraph" w:customStyle="1" w:styleId="TableParagraph">
    <w:name w:val="Table Paragraph"/>
    <w:basedOn w:val="Normal"/>
    <w:uiPriority w:val="1"/>
    <w:qFormat w:val="on"/>
    <w:pPr>
      <w:spacing w:after="0" w:line="240" w:lineRule="auto"/>
      <w:ind w:left="112" w:firstLine="0"/>
    </w:pPr>
    <w:rPr>
      <w:rFonts w:ascii="Liberation Serif" w:cs="Liberation Serif" w:eastAsia="Liberation Serif" w:hAnsi="Liberation Serif"/>
      <w:color w:val="auto"/>
      <w:szCs w:val="22"/>
      <w:lang w:bidi="ar-SA"/>
    </w:rPr>
  </w:style>
  <w:style w:type="paragraph" w:styleId="TOCHeading">
    <w:name w:val="TOC Heading"/>
    <w:basedOn w:val="Heading1"/>
    <w:next w:val="Normal"/>
    <w:uiPriority w:val="39"/>
    <w:unhideWhenUsed w:val="on"/>
    <w:qFormat w:val="on"/>
    <w:unhideWhenUsed w:val="on"/>
    <w:pPr>
      <w:keepLines w:val="on"/>
      <w:spacing w:after="0" w:line="259" w:lineRule="auto"/>
      <w:ind w:left="0" w:firstLine="0"/>
      <w:jc w:val="left"/>
    </w:pPr>
    <w:rPr>
      <w:rFonts w:asciiTheme="majorHAnsi" w:cstheme="majorBidi" w:hAnsiTheme="majorHAnsi"/>
      <w:b w:val="off"/>
      <w:bCs w:val="off"/>
      <w:color w:val="2f5395" w:themeColor="accent1" w:themeShade="bf"/>
      <w:szCs w:val="32"/>
      <w:lang w:bidi="ar-SA"/>
    </w:rPr>
  </w:style>
  <w:style w:type="paragraph" w:styleId="Toc1">
    <w:name w:val="Toc 1"/>
    <w:basedOn w:val="Normal"/>
    <w:next w:val="Normal"/>
    <w:uiPriority w:val="39"/>
    <w:unhideWhenUsed w:val="on"/>
    <w:unhideWhenUsed w:val="on"/>
    <w:pPr>
      <w:spacing w:after="100"/>
      <w:ind w:left="0"/>
    </w:pPr>
  </w:style>
  <w:style w:type="paragraph" w:styleId="Toc3">
    <w:name w:val="Toc 3"/>
    <w:basedOn w:val="Normal"/>
    <w:next w:val="Normal"/>
    <w:uiPriority w:val="39"/>
    <w:unhideWhenUsed w:val="on"/>
    <w:unhideWhenUsed w:val="on"/>
    <w:pPr>
      <w:spacing w:after="100"/>
      <w:ind w:left="440"/>
    </w:pPr>
  </w:style>
  <w:style w:type="paragraph" w:styleId="Toc2">
    <w:name w:val="Toc 2"/>
    <w:basedOn w:val="Normal"/>
    <w:next w:val="Normal"/>
    <w:uiPriority w:val="39"/>
    <w:unhideWhenUsed w:val="on"/>
    <w:unhideWhenUsed w:val="on"/>
    <w:pPr>
      <w:spacing w:after="100"/>
      <w:ind w:left="220"/>
    </w:pPr>
  </w:style>
  <w:style w:type="character" w:styleId="Hyperlink">
    <w:name w:val="Hyperlink"/>
    <w:basedOn w:val="DefaultParagraphFont"/>
    <w:uiPriority w:val="99"/>
    <w:unhideWhenUsed w:val="on"/>
    <w:unhideWhenUsed w:val="on"/>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4" Type="http://schemas.openxmlformats.org/officeDocument/2006/relationships/image" Target="media/image1.jpeg"/><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9" Type="http://schemas.openxmlformats.org/officeDocument/2006/relationships/footer" Target="footer1.xml"/><Relationship Id="rId1" Type="http://schemas.openxmlformats.org/officeDocument/2006/relationships/customXml" Target="../customXml/item1.xml"/><Relationship Id="rId4"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EA9423-B037-4C40-91AD-0E59E5BF8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11</Pages>
  <Words>2366</Words>
  <Characters>13492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Fuad Muhtasim</dc:creator>
  <cp:lastModifiedBy>AsusRog</cp:lastModifiedBy>
</cp:coreProperties>
</file>