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2EB25" w14:textId="77777777" w:rsidR="00650B5F" w:rsidRDefault="005B56B6" w:rsidP="00650B5F">
      <w:pPr>
        <w:spacing w:line="276" w:lineRule="auto"/>
        <w:jc w:val="center"/>
      </w:pPr>
      <w:r>
        <w:rPr>
          <w:noProof/>
        </w:rPr>
        <w:drawing>
          <wp:inline distT="0" distB="0" distL="0" distR="0" wp14:anchorId="56D8308B" wp14:editId="0CA0C19D">
            <wp:extent cx="2906395" cy="1284514"/>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
                    <a:srcRect/>
                    <a:stretch>
                      <a:fillRect/>
                    </a:stretch>
                  </pic:blipFill>
                  <pic:spPr bwMode="auto">
                    <a:xfrm>
                      <a:off x="0" y="0"/>
                      <a:ext cx="2925108" cy="1292785"/>
                    </a:xfrm>
                    <a:prstGeom prst="rect">
                      <a:avLst/>
                    </a:prstGeom>
                    <a:noFill/>
                    <a:ln w="9525">
                      <a:noFill/>
                      <a:miter lim="800000"/>
                      <a:headEnd/>
                      <a:tailEnd/>
                    </a:ln>
                  </pic:spPr>
                </pic:pic>
              </a:graphicData>
            </a:graphic>
          </wp:inline>
        </w:drawing>
      </w:r>
    </w:p>
    <w:p w14:paraId="3803AA22" w14:textId="77777777" w:rsidR="00650B5F" w:rsidRDefault="00650B5F" w:rsidP="005B56B6">
      <w:pPr>
        <w:spacing w:line="276" w:lineRule="auto"/>
      </w:pPr>
    </w:p>
    <w:p w14:paraId="7FA29CF6" w14:textId="77777777" w:rsidR="00650B5F" w:rsidRPr="005B67E0" w:rsidRDefault="00650B5F" w:rsidP="00650B5F">
      <w:pPr>
        <w:pStyle w:val="Title"/>
        <w:jc w:val="center"/>
        <w:rPr>
          <w:rFonts w:ascii="Arial" w:hAnsi="Arial" w:cs="Arial"/>
          <w:b/>
          <w:color w:val="000000" w:themeColor="text1"/>
          <w:sz w:val="44"/>
          <w:szCs w:val="48"/>
        </w:rPr>
      </w:pPr>
      <w:r w:rsidRPr="005B67E0">
        <w:rPr>
          <w:rFonts w:ascii="Arial" w:hAnsi="Arial" w:cs="Arial"/>
          <w:b/>
          <w:color w:val="000000" w:themeColor="text1"/>
          <w:sz w:val="44"/>
          <w:szCs w:val="48"/>
        </w:rPr>
        <w:t>Master of Business Administration</w:t>
      </w:r>
    </w:p>
    <w:p w14:paraId="1C6C7591" w14:textId="77777777" w:rsidR="001D141E" w:rsidRPr="00806087" w:rsidRDefault="00650B5F" w:rsidP="00650B5F">
      <w:pPr>
        <w:pStyle w:val="Subtitle"/>
        <w:jc w:val="center"/>
        <w:rPr>
          <w:rFonts w:ascii="Arial" w:hAnsi="Arial" w:cs="Arial"/>
          <w:b/>
          <w:i w:val="0"/>
          <w:color w:val="000000" w:themeColor="text1"/>
          <w:sz w:val="28"/>
        </w:rPr>
      </w:pPr>
      <w:r w:rsidRPr="00806087">
        <w:rPr>
          <w:rFonts w:ascii="Arial" w:hAnsi="Arial" w:cs="Arial"/>
          <w:b/>
          <w:i w:val="0"/>
          <w:color w:val="000000" w:themeColor="text1"/>
          <w:sz w:val="28"/>
        </w:rPr>
        <w:t>Module: Marketing Management</w:t>
      </w:r>
    </w:p>
    <w:p w14:paraId="07E6FA3F" w14:textId="77777777" w:rsidR="00650B5F" w:rsidRDefault="00650B5F" w:rsidP="00650B5F">
      <w:pPr>
        <w:pStyle w:val="Subtitle"/>
        <w:jc w:val="center"/>
        <w:rPr>
          <w:rFonts w:ascii="Arial" w:hAnsi="Arial" w:cs="Arial"/>
          <w:b/>
          <w:i w:val="0"/>
          <w:color w:val="000000" w:themeColor="text1"/>
          <w:sz w:val="28"/>
        </w:rPr>
      </w:pPr>
      <w:r w:rsidRPr="00806087">
        <w:rPr>
          <w:rFonts w:ascii="Arial" w:hAnsi="Arial" w:cs="Arial"/>
          <w:b/>
          <w:i w:val="0"/>
          <w:color w:val="000000" w:themeColor="text1"/>
          <w:sz w:val="28"/>
        </w:rPr>
        <w:t>Module code: LCMB7024</w:t>
      </w:r>
    </w:p>
    <w:p w14:paraId="431AE9B3" w14:textId="77777777" w:rsidR="00806087" w:rsidRDefault="00806087" w:rsidP="00806087"/>
    <w:p w14:paraId="7A84554F" w14:textId="5747A05B" w:rsidR="00806087" w:rsidRPr="005B67E0" w:rsidRDefault="005B67E0" w:rsidP="005B67E0">
      <w:pPr>
        <w:jc w:val="center"/>
        <w:rPr>
          <w:b/>
          <w:bCs/>
          <w:sz w:val="28"/>
          <w:szCs w:val="24"/>
        </w:rPr>
      </w:pPr>
      <w:r w:rsidRPr="005B67E0">
        <w:rPr>
          <w:b/>
          <w:bCs/>
          <w:sz w:val="28"/>
          <w:szCs w:val="24"/>
        </w:rPr>
        <w:t>Student Name:</w:t>
      </w:r>
      <w:r w:rsidR="00071CE7">
        <w:rPr>
          <w:b/>
          <w:bCs/>
          <w:sz w:val="28"/>
          <w:szCs w:val="24"/>
        </w:rPr>
        <w:t xml:space="preserve"> Maheshwari Mehta</w:t>
      </w:r>
    </w:p>
    <w:p w14:paraId="7FABD978" w14:textId="0C9E9C6A" w:rsidR="005B67E0" w:rsidRPr="005B67E0" w:rsidRDefault="005B67E0" w:rsidP="005B67E0">
      <w:pPr>
        <w:jc w:val="center"/>
        <w:rPr>
          <w:b/>
          <w:bCs/>
          <w:sz w:val="28"/>
          <w:szCs w:val="24"/>
        </w:rPr>
      </w:pPr>
      <w:r w:rsidRPr="005B67E0">
        <w:rPr>
          <w:b/>
          <w:bCs/>
          <w:sz w:val="28"/>
          <w:szCs w:val="24"/>
        </w:rPr>
        <w:t>Student ID:</w:t>
      </w:r>
      <w:r w:rsidR="00071CE7">
        <w:rPr>
          <w:b/>
          <w:bCs/>
          <w:sz w:val="28"/>
          <w:szCs w:val="24"/>
        </w:rPr>
        <w:t xml:space="preserve"> 2531</w:t>
      </w:r>
      <w:r w:rsidR="00324C2E">
        <w:rPr>
          <w:b/>
          <w:bCs/>
          <w:sz w:val="28"/>
          <w:szCs w:val="24"/>
        </w:rPr>
        <w:t>264</w:t>
      </w:r>
    </w:p>
    <w:p w14:paraId="41C9BD5F" w14:textId="6045067C" w:rsidR="005B56B6" w:rsidRDefault="005B56B6" w:rsidP="005B56B6">
      <w:pPr>
        <w:jc w:val="center"/>
        <w:rPr>
          <w:rFonts w:cs="Arial"/>
          <w:b/>
          <w:color w:val="000000" w:themeColor="text1"/>
          <w:sz w:val="28"/>
          <w:szCs w:val="20"/>
        </w:rPr>
      </w:pPr>
      <w:r w:rsidRPr="005B67E0">
        <w:rPr>
          <w:rFonts w:cs="Arial"/>
          <w:b/>
          <w:color w:val="000000" w:themeColor="text1"/>
          <w:sz w:val="28"/>
          <w:szCs w:val="20"/>
        </w:rPr>
        <w:t>Word Count: 26</w:t>
      </w:r>
      <w:r w:rsidR="005B67E0">
        <w:rPr>
          <w:rFonts w:cs="Arial"/>
          <w:b/>
          <w:color w:val="000000" w:themeColor="text1"/>
          <w:sz w:val="28"/>
          <w:szCs w:val="20"/>
        </w:rPr>
        <w:t>30</w:t>
      </w:r>
    </w:p>
    <w:p w14:paraId="63824FF8" w14:textId="25A57FC2" w:rsidR="005A472F" w:rsidRDefault="00EF7D6D" w:rsidP="005B56B6">
      <w:pPr>
        <w:jc w:val="center"/>
        <w:rPr>
          <w:rFonts w:cs="Arial"/>
          <w:b/>
          <w:color w:val="000000" w:themeColor="text1"/>
          <w:sz w:val="28"/>
          <w:szCs w:val="20"/>
        </w:rPr>
      </w:pPr>
      <w:r>
        <w:rPr>
          <w:rFonts w:cs="Arial"/>
          <w:b/>
          <w:color w:val="000000" w:themeColor="text1"/>
          <w:sz w:val="28"/>
          <w:szCs w:val="20"/>
        </w:rPr>
        <w:t xml:space="preserve">Lecturer </w:t>
      </w:r>
      <w:r w:rsidR="005A472F">
        <w:rPr>
          <w:rFonts w:cs="Arial"/>
          <w:b/>
          <w:color w:val="000000" w:themeColor="text1"/>
          <w:sz w:val="28"/>
          <w:szCs w:val="20"/>
        </w:rPr>
        <w:t xml:space="preserve">: </w:t>
      </w:r>
      <w:r w:rsidR="00115B76" w:rsidRPr="00115B76">
        <w:rPr>
          <w:rFonts w:cs="Arial"/>
          <w:b/>
          <w:color w:val="000000" w:themeColor="text1"/>
          <w:sz w:val="28"/>
          <w:szCs w:val="20"/>
        </w:rPr>
        <w:t xml:space="preserve">Dr </w:t>
      </w:r>
      <w:proofErr w:type="spellStart"/>
      <w:r w:rsidR="00115B76" w:rsidRPr="00115B76">
        <w:rPr>
          <w:rFonts w:cs="Arial"/>
          <w:b/>
          <w:color w:val="000000" w:themeColor="text1"/>
          <w:sz w:val="28"/>
          <w:szCs w:val="20"/>
        </w:rPr>
        <w:t>Mustakkima</w:t>
      </w:r>
      <w:proofErr w:type="spellEnd"/>
      <w:r w:rsidR="00115B76" w:rsidRPr="00115B76">
        <w:rPr>
          <w:rFonts w:cs="Arial"/>
          <w:b/>
          <w:color w:val="000000" w:themeColor="text1"/>
          <w:sz w:val="28"/>
          <w:szCs w:val="20"/>
        </w:rPr>
        <w:t xml:space="preserve"> Afrin</w:t>
      </w:r>
    </w:p>
    <w:p w14:paraId="258AA245" w14:textId="2AA24EB5" w:rsidR="005B67E0" w:rsidRDefault="005A472F" w:rsidP="00EA0ECB">
      <w:pPr>
        <w:rPr>
          <w:rFonts w:cs="Arial"/>
          <w:b/>
          <w:color w:val="000000" w:themeColor="text1"/>
          <w:sz w:val="28"/>
          <w:szCs w:val="20"/>
        </w:rPr>
      </w:pPr>
      <w:r>
        <w:rPr>
          <w:rFonts w:cs="Arial"/>
          <w:b/>
          <w:color w:val="000000" w:themeColor="text1"/>
          <w:sz w:val="28"/>
          <w:szCs w:val="20"/>
        </w:rPr>
        <w:t xml:space="preserve"> </w:t>
      </w:r>
    </w:p>
    <w:p w14:paraId="1351348B" w14:textId="68254B7A" w:rsidR="005B67E0" w:rsidRDefault="005B67E0" w:rsidP="005B56B6">
      <w:pPr>
        <w:jc w:val="center"/>
        <w:rPr>
          <w:rFonts w:cs="Arial"/>
          <w:b/>
          <w:color w:val="000000" w:themeColor="text1"/>
          <w:sz w:val="28"/>
          <w:szCs w:val="20"/>
        </w:rPr>
      </w:pPr>
      <w:r>
        <w:rPr>
          <w:rFonts w:cs="Arial"/>
          <w:b/>
          <w:color w:val="000000" w:themeColor="text1"/>
          <w:sz w:val="28"/>
          <w:szCs w:val="20"/>
        </w:rPr>
        <w:t xml:space="preserve">A Case analysis on Tesco and </w:t>
      </w:r>
      <w:proofErr w:type="spellStart"/>
      <w:r>
        <w:rPr>
          <w:rFonts w:cs="Arial"/>
          <w:b/>
          <w:color w:val="000000" w:themeColor="text1"/>
          <w:sz w:val="28"/>
          <w:szCs w:val="20"/>
        </w:rPr>
        <w:t>Sainsuvrry</w:t>
      </w:r>
      <w:proofErr w:type="spellEnd"/>
      <w:r>
        <w:rPr>
          <w:rFonts w:cs="Arial"/>
          <w:b/>
          <w:color w:val="000000" w:themeColor="text1"/>
          <w:sz w:val="28"/>
          <w:szCs w:val="20"/>
        </w:rPr>
        <w:t xml:space="preserve"> in the UK retail sector </w:t>
      </w:r>
    </w:p>
    <w:p w14:paraId="4A615AEA" w14:textId="58958FA1" w:rsidR="005B67E0" w:rsidRDefault="005B67E0" w:rsidP="005B56B6">
      <w:pPr>
        <w:jc w:val="center"/>
        <w:rPr>
          <w:rFonts w:cs="Arial"/>
          <w:b/>
          <w:color w:val="000000" w:themeColor="text1"/>
          <w:sz w:val="28"/>
          <w:szCs w:val="20"/>
        </w:rPr>
      </w:pPr>
      <w:r w:rsidRPr="005B67E0">
        <w:rPr>
          <w:rFonts w:cs="Arial"/>
          <w:b/>
          <w:noProof/>
          <w:color w:val="000000" w:themeColor="text1"/>
          <w:sz w:val="28"/>
          <w:szCs w:val="20"/>
        </w:rPr>
        <w:drawing>
          <wp:inline distT="0" distB="0" distL="0" distR="0" wp14:anchorId="7CB3EB87" wp14:editId="52A14991">
            <wp:extent cx="4748893" cy="1256434"/>
            <wp:effectExtent l="0" t="0" r="0" b="0"/>
            <wp:docPr id="298550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550066" name=""/>
                    <pic:cNvPicPr/>
                  </pic:nvPicPr>
                  <pic:blipFill>
                    <a:blip r:embed="rId8"/>
                    <a:stretch>
                      <a:fillRect/>
                    </a:stretch>
                  </pic:blipFill>
                  <pic:spPr>
                    <a:xfrm>
                      <a:off x="0" y="0"/>
                      <a:ext cx="4758909" cy="1259084"/>
                    </a:xfrm>
                    <a:prstGeom prst="rect">
                      <a:avLst/>
                    </a:prstGeom>
                  </pic:spPr>
                </pic:pic>
              </a:graphicData>
            </a:graphic>
          </wp:inline>
        </w:drawing>
      </w:r>
    </w:p>
    <w:p w14:paraId="5BA20FFD" w14:textId="694A74B4" w:rsidR="005B67E0" w:rsidRPr="005B67E0" w:rsidRDefault="005B67E0" w:rsidP="005B67E0">
      <w:pPr>
        <w:jc w:val="left"/>
        <w:rPr>
          <w:rFonts w:cs="Arial"/>
          <w:b/>
          <w:color w:val="000000" w:themeColor="text1"/>
          <w:sz w:val="28"/>
          <w:szCs w:val="20"/>
        </w:rPr>
      </w:pPr>
    </w:p>
    <w:p w14:paraId="66796A59" w14:textId="77777777" w:rsidR="00650B5F" w:rsidRDefault="00650B5F" w:rsidP="00D24296">
      <w:pPr>
        <w:spacing w:line="240" w:lineRule="auto"/>
        <w:jc w:val="left"/>
        <w:rPr>
          <w:rFonts w:eastAsiaTheme="majorEastAsia" w:cstheme="majorBidi"/>
          <w:b/>
          <w:bCs/>
          <w:sz w:val="28"/>
          <w:szCs w:val="28"/>
        </w:rPr>
      </w:pPr>
      <w:r>
        <w:br w:type="page"/>
      </w:r>
    </w:p>
    <w:sdt>
      <w:sdtPr>
        <w:rPr>
          <w:rFonts w:ascii="Times New Roman" w:eastAsiaTheme="minorEastAsia" w:hAnsi="Times New Roman" w:cstheme="minorBidi"/>
          <w:b w:val="0"/>
          <w:bCs w:val="0"/>
          <w:color w:val="auto"/>
          <w:sz w:val="24"/>
          <w:szCs w:val="22"/>
          <w:lang w:val="en-IN" w:eastAsia="en-IN"/>
        </w:rPr>
        <w:id w:val="25253314"/>
        <w:docPartObj>
          <w:docPartGallery w:val="Table of Contents"/>
          <w:docPartUnique/>
        </w:docPartObj>
      </w:sdtPr>
      <w:sdtEndPr>
        <w:rPr>
          <w:rFonts w:ascii="Arial" w:hAnsi="Arial"/>
        </w:rPr>
      </w:sdtEndPr>
      <w:sdtContent>
        <w:p w14:paraId="5AF1CBA5" w14:textId="77777777" w:rsidR="000607D2" w:rsidRPr="00A858AD" w:rsidRDefault="000607D2" w:rsidP="00A858AD">
          <w:pPr>
            <w:pStyle w:val="TOCHeading"/>
            <w:spacing w:line="240" w:lineRule="auto"/>
            <w:jc w:val="center"/>
            <w:rPr>
              <w:rFonts w:ascii="Arial" w:hAnsi="Arial" w:cs="Arial"/>
              <w:color w:val="000000" w:themeColor="text1"/>
            </w:rPr>
          </w:pPr>
          <w:r w:rsidRPr="00A858AD">
            <w:rPr>
              <w:rFonts w:ascii="Arial" w:hAnsi="Arial" w:cs="Arial"/>
              <w:color w:val="000000" w:themeColor="text1"/>
            </w:rPr>
            <w:t>Table of Contents</w:t>
          </w:r>
        </w:p>
        <w:p w14:paraId="413C5F34" w14:textId="14472514" w:rsidR="005B67E0" w:rsidRDefault="00200447">
          <w:pPr>
            <w:pStyle w:val="TOC1"/>
            <w:tabs>
              <w:tab w:val="right" w:leader="dot" w:pos="9016"/>
            </w:tabs>
            <w:rPr>
              <w:rFonts w:asciiTheme="minorHAnsi" w:hAnsiTheme="minorHAnsi"/>
              <w:noProof/>
              <w:kern w:val="2"/>
              <w:szCs w:val="24"/>
              <w14:ligatures w14:val="standardContextual"/>
            </w:rPr>
          </w:pPr>
          <w:r>
            <w:fldChar w:fldCharType="begin"/>
          </w:r>
          <w:r w:rsidR="000607D2">
            <w:instrText xml:space="preserve"> TOC \o "1-3" \h \z \u </w:instrText>
          </w:r>
          <w:r>
            <w:fldChar w:fldCharType="separate"/>
          </w:r>
          <w:hyperlink w:anchor="_Toc225265841" w:history="1">
            <w:r w:rsidR="005B67E0" w:rsidRPr="00A377EE">
              <w:rPr>
                <w:rStyle w:val="Hyperlink"/>
                <w:noProof/>
              </w:rPr>
              <w:t>1. Introduction</w:t>
            </w:r>
            <w:r w:rsidR="005B67E0">
              <w:rPr>
                <w:noProof/>
                <w:webHidden/>
              </w:rPr>
              <w:tab/>
            </w:r>
            <w:r w:rsidR="005B67E0">
              <w:rPr>
                <w:noProof/>
                <w:webHidden/>
              </w:rPr>
              <w:fldChar w:fldCharType="begin"/>
            </w:r>
            <w:r w:rsidR="005B67E0">
              <w:rPr>
                <w:noProof/>
                <w:webHidden/>
              </w:rPr>
              <w:instrText xml:space="preserve"> PAGEREF _Toc225265841 \h </w:instrText>
            </w:r>
            <w:r w:rsidR="005B67E0">
              <w:rPr>
                <w:noProof/>
                <w:webHidden/>
              </w:rPr>
            </w:r>
            <w:r w:rsidR="005B67E0">
              <w:rPr>
                <w:noProof/>
                <w:webHidden/>
              </w:rPr>
              <w:fldChar w:fldCharType="separate"/>
            </w:r>
            <w:r w:rsidR="005B67E0">
              <w:rPr>
                <w:noProof/>
                <w:webHidden/>
              </w:rPr>
              <w:t>3</w:t>
            </w:r>
            <w:r w:rsidR="005B67E0">
              <w:rPr>
                <w:noProof/>
                <w:webHidden/>
              </w:rPr>
              <w:fldChar w:fldCharType="end"/>
            </w:r>
          </w:hyperlink>
        </w:p>
        <w:p w14:paraId="441D1659" w14:textId="5205BB3A" w:rsidR="005B67E0" w:rsidRDefault="005B67E0">
          <w:pPr>
            <w:pStyle w:val="TOC1"/>
            <w:tabs>
              <w:tab w:val="right" w:leader="dot" w:pos="9016"/>
            </w:tabs>
            <w:rPr>
              <w:rFonts w:asciiTheme="minorHAnsi" w:hAnsiTheme="minorHAnsi"/>
              <w:noProof/>
              <w:kern w:val="2"/>
              <w:szCs w:val="24"/>
              <w14:ligatures w14:val="standardContextual"/>
            </w:rPr>
          </w:pPr>
          <w:hyperlink w:anchor="_Toc225265842" w:history="1">
            <w:r w:rsidRPr="00A377EE">
              <w:rPr>
                <w:rStyle w:val="Hyperlink"/>
                <w:noProof/>
              </w:rPr>
              <w:t>2. Critical Analysis of the Study</w:t>
            </w:r>
            <w:r>
              <w:rPr>
                <w:noProof/>
                <w:webHidden/>
              </w:rPr>
              <w:tab/>
            </w:r>
            <w:r>
              <w:rPr>
                <w:noProof/>
                <w:webHidden/>
              </w:rPr>
              <w:fldChar w:fldCharType="begin"/>
            </w:r>
            <w:r>
              <w:rPr>
                <w:noProof/>
                <w:webHidden/>
              </w:rPr>
              <w:instrText xml:space="preserve"> PAGEREF _Toc225265842 \h </w:instrText>
            </w:r>
            <w:r>
              <w:rPr>
                <w:noProof/>
                <w:webHidden/>
              </w:rPr>
            </w:r>
            <w:r>
              <w:rPr>
                <w:noProof/>
                <w:webHidden/>
              </w:rPr>
              <w:fldChar w:fldCharType="separate"/>
            </w:r>
            <w:r>
              <w:rPr>
                <w:noProof/>
                <w:webHidden/>
              </w:rPr>
              <w:t>4</w:t>
            </w:r>
            <w:r>
              <w:rPr>
                <w:noProof/>
                <w:webHidden/>
              </w:rPr>
              <w:fldChar w:fldCharType="end"/>
            </w:r>
          </w:hyperlink>
        </w:p>
        <w:p w14:paraId="2AEF209C" w14:textId="4E9A0873" w:rsidR="005B67E0" w:rsidRDefault="005B67E0">
          <w:pPr>
            <w:pStyle w:val="TOC1"/>
            <w:tabs>
              <w:tab w:val="right" w:leader="dot" w:pos="9016"/>
            </w:tabs>
            <w:rPr>
              <w:rFonts w:asciiTheme="minorHAnsi" w:hAnsiTheme="minorHAnsi"/>
              <w:noProof/>
              <w:kern w:val="2"/>
              <w:szCs w:val="24"/>
              <w14:ligatures w14:val="standardContextual"/>
            </w:rPr>
          </w:pPr>
          <w:hyperlink w:anchor="_Toc225265843" w:history="1">
            <w:r w:rsidRPr="00A377EE">
              <w:rPr>
                <w:rStyle w:val="Hyperlink"/>
                <w:noProof/>
              </w:rPr>
              <w:t>2.1. Task 1</w:t>
            </w:r>
            <w:r>
              <w:rPr>
                <w:noProof/>
                <w:webHidden/>
              </w:rPr>
              <w:tab/>
            </w:r>
            <w:r>
              <w:rPr>
                <w:noProof/>
                <w:webHidden/>
              </w:rPr>
              <w:fldChar w:fldCharType="begin"/>
            </w:r>
            <w:r>
              <w:rPr>
                <w:noProof/>
                <w:webHidden/>
              </w:rPr>
              <w:instrText xml:space="preserve"> PAGEREF _Toc225265843 \h </w:instrText>
            </w:r>
            <w:r>
              <w:rPr>
                <w:noProof/>
                <w:webHidden/>
              </w:rPr>
            </w:r>
            <w:r>
              <w:rPr>
                <w:noProof/>
                <w:webHidden/>
              </w:rPr>
              <w:fldChar w:fldCharType="separate"/>
            </w:r>
            <w:r>
              <w:rPr>
                <w:noProof/>
                <w:webHidden/>
              </w:rPr>
              <w:t>4</w:t>
            </w:r>
            <w:r>
              <w:rPr>
                <w:noProof/>
                <w:webHidden/>
              </w:rPr>
              <w:fldChar w:fldCharType="end"/>
            </w:r>
          </w:hyperlink>
        </w:p>
        <w:p w14:paraId="32C2D711" w14:textId="5347A539" w:rsidR="005B67E0" w:rsidRDefault="005B67E0">
          <w:pPr>
            <w:pStyle w:val="TOC2"/>
            <w:tabs>
              <w:tab w:val="right" w:leader="dot" w:pos="9016"/>
            </w:tabs>
            <w:rPr>
              <w:rFonts w:asciiTheme="minorHAnsi" w:hAnsiTheme="minorHAnsi"/>
              <w:noProof/>
              <w:kern w:val="2"/>
              <w:szCs w:val="24"/>
              <w14:ligatures w14:val="standardContextual"/>
            </w:rPr>
          </w:pPr>
          <w:hyperlink w:anchor="_Toc225265844" w:history="1">
            <w:r w:rsidRPr="00A377EE">
              <w:rPr>
                <w:rStyle w:val="Hyperlink"/>
                <w:noProof/>
              </w:rPr>
              <w:t>2.1.1. Application of PESTLE Analysis for overall analysis of the macro marketing factors</w:t>
            </w:r>
            <w:r>
              <w:rPr>
                <w:noProof/>
                <w:webHidden/>
              </w:rPr>
              <w:tab/>
            </w:r>
            <w:r>
              <w:rPr>
                <w:noProof/>
                <w:webHidden/>
              </w:rPr>
              <w:fldChar w:fldCharType="begin"/>
            </w:r>
            <w:r>
              <w:rPr>
                <w:noProof/>
                <w:webHidden/>
              </w:rPr>
              <w:instrText xml:space="preserve"> PAGEREF _Toc225265844 \h </w:instrText>
            </w:r>
            <w:r>
              <w:rPr>
                <w:noProof/>
                <w:webHidden/>
              </w:rPr>
            </w:r>
            <w:r>
              <w:rPr>
                <w:noProof/>
                <w:webHidden/>
              </w:rPr>
              <w:fldChar w:fldCharType="separate"/>
            </w:r>
            <w:r>
              <w:rPr>
                <w:noProof/>
                <w:webHidden/>
              </w:rPr>
              <w:t>4</w:t>
            </w:r>
            <w:r>
              <w:rPr>
                <w:noProof/>
                <w:webHidden/>
              </w:rPr>
              <w:fldChar w:fldCharType="end"/>
            </w:r>
          </w:hyperlink>
        </w:p>
        <w:p w14:paraId="77C16B35" w14:textId="05688427" w:rsidR="005B67E0" w:rsidRDefault="005B67E0">
          <w:pPr>
            <w:pStyle w:val="TOC2"/>
            <w:tabs>
              <w:tab w:val="right" w:leader="dot" w:pos="9016"/>
            </w:tabs>
            <w:rPr>
              <w:rFonts w:asciiTheme="minorHAnsi" w:hAnsiTheme="minorHAnsi"/>
              <w:noProof/>
              <w:kern w:val="2"/>
              <w:szCs w:val="24"/>
              <w14:ligatures w14:val="standardContextual"/>
            </w:rPr>
          </w:pPr>
          <w:hyperlink w:anchor="_Toc225265845" w:history="1">
            <w:r w:rsidRPr="00A377EE">
              <w:rPr>
                <w:rStyle w:val="Hyperlink"/>
                <w:noProof/>
              </w:rPr>
              <w:t>2.1.2.Factor 1: Economic Environment (Inflation and Cost-of-Living Crisis)</w:t>
            </w:r>
            <w:r>
              <w:rPr>
                <w:noProof/>
                <w:webHidden/>
              </w:rPr>
              <w:tab/>
            </w:r>
            <w:r>
              <w:rPr>
                <w:noProof/>
                <w:webHidden/>
              </w:rPr>
              <w:fldChar w:fldCharType="begin"/>
            </w:r>
            <w:r>
              <w:rPr>
                <w:noProof/>
                <w:webHidden/>
              </w:rPr>
              <w:instrText xml:space="preserve"> PAGEREF _Toc225265845 \h </w:instrText>
            </w:r>
            <w:r>
              <w:rPr>
                <w:noProof/>
                <w:webHidden/>
              </w:rPr>
            </w:r>
            <w:r>
              <w:rPr>
                <w:noProof/>
                <w:webHidden/>
              </w:rPr>
              <w:fldChar w:fldCharType="separate"/>
            </w:r>
            <w:r>
              <w:rPr>
                <w:noProof/>
                <w:webHidden/>
              </w:rPr>
              <w:t>6</w:t>
            </w:r>
            <w:r>
              <w:rPr>
                <w:noProof/>
                <w:webHidden/>
              </w:rPr>
              <w:fldChar w:fldCharType="end"/>
            </w:r>
          </w:hyperlink>
        </w:p>
        <w:p w14:paraId="523ACDC2" w14:textId="21BB103D" w:rsidR="005B67E0" w:rsidRDefault="005B67E0">
          <w:pPr>
            <w:pStyle w:val="TOC2"/>
            <w:tabs>
              <w:tab w:val="right" w:leader="dot" w:pos="9016"/>
            </w:tabs>
            <w:rPr>
              <w:rFonts w:asciiTheme="minorHAnsi" w:hAnsiTheme="minorHAnsi"/>
              <w:noProof/>
              <w:kern w:val="2"/>
              <w:szCs w:val="24"/>
              <w14:ligatures w14:val="standardContextual"/>
            </w:rPr>
          </w:pPr>
          <w:hyperlink w:anchor="_Toc225265846" w:history="1">
            <w:r w:rsidRPr="00A377EE">
              <w:rPr>
                <w:rStyle w:val="Hyperlink"/>
                <w:noProof/>
              </w:rPr>
              <w:t>2.1.3.Factor 2: Socio-Technological Environment (Digitalisation and Changing Consumer Behaviour)</w:t>
            </w:r>
            <w:r>
              <w:rPr>
                <w:noProof/>
                <w:webHidden/>
              </w:rPr>
              <w:tab/>
            </w:r>
            <w:r>
              <w:rPr>
                <w:noProof/>
                <w:webHidden/>
              </w:rPr>
              <w:fldChar w:fldCharType="begin"/>
            </w:r>
            <w:r>
              <w:rPr>
                <w:noProof/>
                <w:webHidden/>
              </w:rPr>
              <w:instrText xml:space="preserve"> PAGEREF _Toc225265846 \h </w:instrText>
            </w:r>
            <w:r>
              <w:rPr>
                <w:noProof/>
                <w:webHidden/>
              </w:rPr>
            </w:r>
            <w:r>
              <w:rPr>
                <w:noProof/>
                <w:webHidden/>
              </w:rPr>
              <w:fldChar w:fldCharType="separate"/>
            </w:r>
            <w:r>
              <w:rPr>
                <w:noProof/>
                <w:webHidden/>
              </w:rPr>
              <w:t>7</w:t>
            </w:r>
            <w:r>
              <w:rPr>
                <w:noProof/>
                <w:webHidden/>
              </w:rPr>
              <w:fldChar w:fldCharType="end"/>
            </w:r>
          </w:hyperlink>
        </w:p>
        <w:p w14:paraId="34F46EE8" w14:textId="20A43A15" w:rsidR="005B67E0" w:rsidRDefault="005B67E0">
          <w:pPr>
            <w:pStyle w:val="TOC2"/>
            <w:tabs>
              <w:tab w:val="right" w:leader="dot" w:pos="9016"/>
            </w:tabs>
            <w:rPr>
              <w:rFonts w:asciiTheme="minorHAnsi" w:hAnsiTheme="minorHAnsi"/>
              <w:noProof/>
              <w:kern w:val="2"/>
              <w:szCs w:val="24"/>
              <w14:ligatures w14:val="standardContextual"/>
            </w:rPr>
          </w:pPr>
          <w:hyperlink w:anchor="_Toc225265847" w:history="1">
            <w:r w:rsidRPr="00A377EE">
              <w:rPr>
                <w:rStyle w:val="Hyperlink"/>
                <w:noProof/>
              </w:rPr>
              <w:t>2.1.4. Summarising key points</w:t>
            </w:r>
            <w:r>
              <w:rPr>
                <w:noProof/>
                <w:webHidden/>
              </w:rPr>
              <w:tab/>
            </w:r>
            <w:r>
              <w:rPr>
                <w:noProof/>
                <w:webHidden/>
              </w:rPr>
              <w:fldChar w:fldCharType="begin"/>
            </w:r>
            <w:r>
              <w:rPr>
                <w:noProof/>
                <w:webHidden/>
              </w:rPr>
              <w:instrText xml:space="preserve"> PAGEREF _Toc225265847 \h </w:instrText>
            </w:r>
            <w:r>
              <w:rPr>
                <w:noProof/>
                <w:webHidden/>
              </w:rPr>
            </w:r>
            <w:r>
              <w:rPr>
                <w:noProof/>
                <w:webHidden/>
              </w:rPr>
              <w:fldChar w:fldCharType="separate"/>
            </w:r>
            <w:r>
              <w:rPr>
                <w:noProof/>
                <w:webHidden/>
              </w:rPr>
              <w:t>8</w:t>
            </w:r>
            <w:r>
              <w:rPr>
                <w:noProof/>
                <w:webHidden/>
              </w:rPr>
              <w:fldChar w:fldCharType="end"/>
            </w:r>
          </w:hyperlink>
        </w:p>
        <w:p w14:paraId="204F958C" w14:textId="73641318" w:rsidR="005B67E0" w:rsidRDefault="005B67E0">
          <w:pPr>
            <w:pStyle w:val="TOC1"/>
            <w:tabs>
              <w:tab w:val="right" w:leader="dot" w:pos="9016"/>
            </w:tabs>
            <w:rPr>
              <w:rFonts w:asciiTheme="minorHAnsi" w:hAnsiTheme="minorHAnsi"/>
              <w:noProof/>
              <w:kern w:val="2"/>
              <w:szCs w:val="24"/>
              <w14:ligatures w14:val="standardContextual"/>
            </w:rPr>
          </w:pPr>
          <w:hyperlink w:anchor="_Toc225265848" w:history="1">
            <w:r w:rsidRPr="00A377EE">
              <w:rPr>
                <w:rStyle w:val="Hyperlink"/>
                <w:noProof/>
              </w:rPr>
              <w:t>2.2. Task 2: Comparative Evaluation of Strategic Responses</w:t>
            </w:r>
            <w:r>
              <w:rPr>
                <w:noProof/>
                <w:webHidden/>
              </w:rPr>
              <w:tab/>
            </w:r>
            <w:r>
              <w:rPr>
                <w:noProof/>
                <w:webHidden/>
              </w:rPr>
              <w:fldChar w:fldCharType="begin"/>
            </w:r>
            <w:r>
              <w:rPr>
                <w:noProof/>
                <w:webHidden/>
              </w:rPr>
              <w:instrText xml:space="preserve"> PAGEREF _Toc225265848 \h </w:instrText>
            </w:r>
            <w:r>
              <w:rPr>
                <w:noProof/>
                <w:webHidden/>
              </w:rPr>
            </w:r>
            <w:r>
              <w:rPr>
                <w:noProof/>
                <w:webHidden/>
              </w:rPr>
              <w:fldChar w:fldCharType="separate"/>
            </w:r>
            <w:r>
              <w:rPr>
                <w:noProof/>
                <w:webHidden/>
              </w:rPr>
              <w:t>9</w:t>
            </w:r>
            <w:r>
              <w:rPr>
                <w:noProof/>
                <w:webHidden/>
              </w:rPr>
              <w:fldChar w:fldCharType="end"/>
            </w:r>
          </w:hyperlink>
        </w:p>
        <w:p w14:paraId="2828D87A" w14:textId="0D282C17" w:rsidR="005B67E0" w:rsidRDefault="005B67E0">
          <w:pPr>
            <w:pStyle w:val="TOC2"/>
            <w:tabs>
              <w:tab w:val="right" w:leader="dot" w:pos="9016"/>
            </w:tabs>
            <w:rPr>
              <w:rFonts w:asciiTheme="minorHAnsi" w:hAnsiTheme="minorHAnsi"/>
              <w:noProof/>
              <w:kern w:val="2"/>
              <w:szCs w:val="24"/>
              <w14:ligatures w14:val="standardContextual"/>
            </w:rPr>
          </w:pPr>
          <w:hyperlink w:anchor="_Toc225265849" w:history="1">
            <w:r w:rsidRPr="00A377EE">
              <w:rPr>
                <w:rStyle w:val="Hyperlink"/>
                <w:noProof/>
              </w:rPr>
              <w:t>2.2.1. Tesco's Strategic Response (Pioneer Organisation)</w:t>
            </w:r>
            <w:r>
              <w:rPr>
                <w:noProof/>
                <w:webHidden/>
              </w:rPr>
              <w:tab/>
            </w:r>
            <w:r>
              <w:rPr>
                <w:noProof/>
                <w:webHidden/>
              </w:rPr>
              <w:fldChar w:fldCharType="begin"/>
            </w:r>
            <w:r>
              <w:rPr>
                <w:noProof/>
                <w:webHidden/>
              </w:rPr>
              <w:instrText xml:space="preserve"> PAGEREF _Toc225265849 \h </w:instrText>
            </w:r>
            <w:r>
              <w:rPr>
                <w:noProof/>
                <w:webHidden/>
              </w:rPr>
            </w:r>
            <w:r>
              <w:rPr>
                <w:noProof/>
                <w:webHidden/>
              </w:rPr>
              <w:fldChar w:fldCharType="separate"/>
            </w:r>
            <w:r>
              <w:rPr>
                <w:noProof/>
                <w:webHidden/>
              </w:rPr>
              <w:t>9</w:t>
            </w:r>
            <w:r>
              <w:rPr>
                <w:noProof/>
                <w:webHidden/>
              </w:rPr>
              <w:fldChar w:fldCharType="end"/>
            </w:r>
          </w:hyperlink>
        </w:p>
        <w:p w14:paraId="42059823" w14:textId="29157CF4" w:rsidR="005B67E0" w:rsidRDefault="005B67E0">
          <w:pPr>
            <w:pStyle w:val="TOC3"/>
            <w:tabs>
              <w:tab w:val="right" w:leader="dot" w:pos="9016"/>
            </w:tabs>
            <w:rPr>
              <w:rFonts w:asciiTheme="minorHAnsi" w:hAnsiTheme="minorHAnsi"/>
              <w:noProof/>
              <w:kern w:val="2"/>
              <w:szCs w:val="24"/>
              <w14:ligatures w14:val="standardContextual"/>
            </w:rPr>
          </w:pPr>
          <w:hyperlink w:anchor="_Toc225265850" w:history="1">
            <w:r w:rsidRPr="00A377EE">
              <w:rPr>
                <w:rStyle w:val="Hyperlink"/>
                <w:noProof/>
              </w:rPr>
              <w:t>2.2.1.1. Porter's Generic Strategy</w:t>
            </w:r>
            <w:r>
              <w:rPr>
                <w:noProof/>
                <w:webHidden/>
              </w:rPr>
              <w:tab/>
            </w:r>
            <w:r>
              <w:rPr>
                <w:noProof/>
                <w:webHidden/>
              </w:rPr>
              <w:fldChar w:fldCharType="begin"/>
            </w:r>
            <w:r>
              <w:rPr>
                <w:noProof/>
                <w:webHidden/>
              </w:rPr>
              <w:instrText xml:space="preserve"> PAGEREF _Toc225265850 \h </w:instrText>
            </w:r>
            <w:r>
              <w:rPr>
                <w:noProof/>
                <w:webHidden/>
              </w:rPr>
            </w:r>
            <w:r>
              <w:rPr>
                <w:noProof/>
                <w:webHidden/>
              </w:rPr>
              <w:fldChar w:fldCharType="separate"/>
            </w:r>
            <w:r>
              <w:rPr>
                <w:noProof/>
                <w:webHidden/>
              </w:rPr>
              <w:t>9</w:t>
            </w:r>
            <w:r>
              <w:rPr>
                <w:noProof/>
                <w:webHidden/>
              </w:rPr>
              <w:fldChar w:fldCharType="end"/>
            </w:r>
          </w:hyperlink>
        </w:p>
        <w:p w14:paraId="6BAA4C0E" w14:textId="732DCA61" w:rsidR="005B67E0" w:rsidRDefault="005B67E0">
          <w:pPr>
            <w:pStyle w:val="TOC3"/>
            <w:tabs>
              <w:tab w:val="right" w:leader="dot" w:pos="9016"/>
            </w:tabs>
            <w:rPr>
              <w:rFonts w:asciiTheme="minorHAnsi" w:hAnsiTheme="minorHAnsi"/>
              <w:noProof/>
              <w:kern w:val="2"/>
              <w:szCs w:val="24"/>
              <w14:ligatures w14:val="standardContextual"/>
            </w:rPr>
          </w:pPr>
          <w:hyperlink w:anchor="_Toc225265851" w:history="1">
            <w:r w:rsidRPr="00A377EE">
              <w:rPr>
                <w:rStyle w:val="Hyperlink"/>
                <w:noProof/>
              </w:rPr>
              <w:t>2.2.1.2. Ansoff’s Growth Matrix Application</w:t>
            </w:r>
            <w:r>
              <w:rPr>
                <w:noProof/>
                <w:webHidden/>
              </w:rPr>
              <w:tab/>
            </w:r>
            <w:r>
              <w:rPr>
                <w:noProof/>
                <w:webHidden/>
              </w:rPr>
              <w:fldChar w:fldCharType="begin"/>
            </w:r>
            <w:r>
              <w:rPr>
                <w:noProof/>
                <w:webHidden/>
              </w:rPr>
              <w:instrText xml:space="preserve"> PAGEREF _Toc225265851 \h </w:instrText>
            </w:r>
            <w:r>
              <w:rPr>
                <w:noProof/>
                <w:webHidden/>
              </w:rPr>
            </w:r>
            <w:r>
              <w:rPr>
                <w:noProof/>
                <w:webHidden/>
              </w:rPr>
              <w:fldChar w:fldCharType="separate"/>
            </w:r>
            <w:r>
              <w:rPr>
                <w:noProof/>
                <w:webHidden/>
              </w:rPr>
              <w:t>11</w:t>
            </w:r>
            <w:r>
              <w:rPr>
                <w:noProof/>
                <w:webHidden/>
              </w:rPr>
              <w:fldChar w:fldCharType="end"/>
            </w:r>
          </w:hyperlink>
        </w:p>
        <w:p w14:paraId="7F34B104" w14:textId="7D6A8124" w:rsidR="005B67E0" w:rsidRDefault="005B67E0">
          <w:pPr>
            <w:pStyle w:val="TOC2"/>
            <w:tabs>
              <w:tab w:val="right" w:leader="dot" w:pos="9016"/>
            </w:tabs>
            <w:rPr>
              <w:rFonts w:asciiTheme="minorHAnsi" w:hAnsiTheme="minorHAnsi"/>
              <w:noProof/>
              <w:kern w:val="2"/>
              <w:szCs w:val="24"/>
              <w14:ligatures w14:val="standardContextual"/>
            </w:rPr>
          </w:pPr>
          <w:hyperlink w:anchor="_Toc225265852" w:history="1">
            <w:r w:rsidRPr="00A377EE">
              <w:rPr>
                <w:rStyle w:val="Hyperlink"/>
                <w:noProof/>
              </w:rPr>
              <w:t>2.2.2. Sainsbury's Strategic Response (Follower Organisation)</w:t>
            </w:r>
            <w:r>
              <w:rPr>
                <w:noProof/>
                <w:webHidden/>
              </w:rPr>
              <w:tab/>
            </w:r>
            <w:r>
              <w:rPr>
                <w:noProof/>
                <w:webHidden/>
              </w:rPr>
              <w:fldChar w:fldCharType="begin"/>
            </w:r>
            <w:r>
              <w:rPr>
                <w:noProof/>
                <w:webHidden/>
              </w:rPr>
              <w:instrText xml:space="preserve"> PAGEREF _Toc225265852 \h </w:instrText>
            </w:r>
            <w:r>
              <w:rPr>
                <w:noProof/>
                <w:webHidden/>
              </w:rPr>
            </w:r>
            <w:r>
              <w:rPr>
                <w:noProof/>
                <w:webHidden/>
              </w:rPr>
              <w:fldChar w:fldCharType="separate"/>
            </w:r>
            <w:r>
              <w:rPr>
                <w:noProof/>
                <w:webHidden/>
              </w:rPr>
              <w:t>11</w:t>
            </w:r>
            <w:r>
              <w:rPr>
                <w:noProof/>
                <w:webHidden/>
              </w:rPr>
              <w:fldChar w:fldCharType="end"/>
            </w:r>
          </w:hyperlink>
        </w:p>
        <w:p w14:paraId="2377D114" w14:textId="059AAABB" w:rsidR="005B67E0" w:rsidRDefault="005B67E0">
          <w:pPr>
            <w:pStyle w:val="TOC3"/>
            <w:tabs>
              <w:tab w:val="right" w:leader="dot" w:pos="9016"/>
            </w:tabs>
            <w:rPr>
              <w:rFonts w:asciiTheme="minorHAnsi" w:hAnsiTheme="minorHAnsi"/>
              <w:noProof/>
              <w:kern w:val="2"/>
              <w:szCs w:val="24"/>
              <w14:ligatures w14:val="standardContextual"/>
            </w:rPr>
          </w:pPr>
          <w:hyperlink w:anchor="_Toc225265853" w:history="1">
            <w:r w:rsidRPr="00A377EE">
              <w:rPr>
                <w:rStyle w:val="Hyperlink"/>
                <w:noProof/>
              </w:rPr>
              <w:t>2.2.2.1. Porter's Generic Strategy</w:t>
            </w:r>
            <w:r>
              <w:rPr>
                <w:noProof/>
                <w:webHidden/>
              </w:rPr>
              <w:tab/>
            </w:r>
            <w:r>
              <w:rPr>
                <w:noProof/>
                <w:webHidden/>
              </w:rPr>
              <w:fldChar w:fldCharType="begin"/>
            </w:r>
            <w:r>
              <w:rPr>
                <w:noProof/>
                <w:webHidden/>
              </w:rPr>
              <w:instrText xml:space="preserve"> PAGEREF _Toc225265853 \h </w:instrText>
            </w:r>
            <w:r>
              <w:rPr>
                <w:noProof/>
                <w:webHidden/>
              </w:rPr>
            </w:r>
            <w:r>
              <w:rPr>
                <w:noProof/>
                <w:webHidden/>
              </w:rPr>
              <w:fldChar w:fldCharType="separate"/>
            </w:r>
            <w:r>
              <w:rPr>
                <w:noProof/>
                <w:webHidden/>
              </w:rPr>
              <w:t>11</w:t>
            </w:r>
            <w:r>
              <w:rPr>
                <w:noProof/>
                <w:webHidden/>
              </w:rPr>
              <w:fldChar w:fldCharType="end"/>
            </w:r>
          </w:hyperlink>
        </w:p>
        <w:p w14:paraId="469CB206" w14:textId="705ABC4C" w:rsidR="005B67E0" w:rsidRDefault="005B67E0">
          <w:pPr>
            <w:pStyle w:val="TOC3"/>
            <w:tabs>
              <w:tab w:val="right" w:leader="dot" w:pos="9016"/>
            </w:tabs>
            <w:rPr>
              <w:rFonts w:asciiTheme="minorHAnsi" w:hAnsiTheme="minorHAnsi"/>
              <w:noProof/>
              <w:kern w:val="2"/>
              <w:szCs w:val="24"/>
              <w14:ligatures w14:val="standardContextual"/>
            </w:rPr>
          </w:pPr>
          <w:hyperlink w:anchor="_Toc225265854" w:history="1">
            <w:r w:rsidRPr="00A377EE">
              <w:rPr>
                <w:rStyle w:val="Hyperlink"/>
                <w:noProof/>
              </w:rPr>
              <w:t>2.2.2.2. Ansoff’s Growth Matrix Application</w:t>
            </w:r>
            <w:r>
              <w:rPr>
                <w:noProof/>
                <w:webHidden/>
              </w:rPr>
              <w:tab/>
            </w:r>
            <w:r>
              <w:rPr>
                <w:noProof/>
                <w:webHidden/>
              </w:rPr>
              <w:fldChar w:fldCharType="begin"/>
            </w:r>
            <w:r>
              <w:rPr>
                <w:noProof/>
                <w:webHidden/>
              </w:rPr>
              <w:instrText xml:space="preserve"> PAGEREF _Toc225265854 \h </w:instrText>
            </w:r>
            <w:r>
              <w:rPr>
                <w:noProof/>
                <w:webHidden/>
              </w:rPr>
            </w:r>
            <w:r>
              <w:rPr>
                <w:noProof/>
                <w:webHidden/>
              </w:rPr>
              <w:fldChar w:fldCharType="separate"/>
            </w:r>
            <w:r>
              <w:rPr>
                <w:noProof/>
                <w:webHidden/>
              </w:rPr>
              <w:t>13</w:t>
            </w:r>
            <w:r>
              <w:rPr>
                <w:noProof/>
                <w:webHidden/>
              </w:rPr>
              <w:fldChar w:fldCharType="end"/>
            </w:r>
          </w:hyperlink>
        </w:p>
        <w:p w14:paraId="04666E25" w14:textId="0739ED8A" w:rsidR="005B67E0" w:rsidRDefault="005B67E0">
          <w:pPr>
            <w:pStyle w:val="TOC1"/>
            <w:tabs>
              <w:tab w:val="right" w:leader="dot" w:pos="9016"/>
            </w:tabs>
            <w:rPr>
              <w:rFonts w:asciiTheme="minorHAnsi" w:hAnsiTheme="minorHAnsi"/>
              <w:noProof/>
              <w:kern w:val="2"/>
              <w:szCs w:val="24"/>
              <w14:ligatures w14:val="standardContextual"/>
            </w:rPr>
          </w:pPr>
          <w:hyperlink w:anchor="_Toc225265855" w:history="1">
            <w:r w:rsidRPr="00A377EE">
              <w:rPr>
                <w:rStyle w:val="Hyperlink"/>
                <w:noProof/>
              </w:rPr>
              <w:t>3. Conclusion</w:t>
            </w:r>
            <w:r>
              <w:rPr>
                <w:noProof/>
                <w:webHidden/>
              </w:rPr>
              <w:tab/>
            </w:r>
            <w:r>
              <w:rPr>
                <w:noProof/>
                <w:webHidden/>
              </w:rPr>
              <w:fldChar w:fldCharType="begin"/>
            </w:r>
            <w:r>
              <w:rPr>
                <w:noProof/>
                <w:webHidden/>
              </w:rPr>
              <w:instrText xml:space="preserve"> PAGEREF _Toc225265855 \h </w:instrText>
            </w:r>
            <w:r>
              <w:rPr>
                <w:noProof/>
                <w:webHidden/>
              </w:rPr>
            </w:r>
            <w:r>
              <w:rPr>
                <w:noProof/>
                <w:webHidden/>
              </w:rPr>
              <w:fldChar w:fldCharType="separate"/>
            </w:r>
            <w:r>
              <w:rPr>
                <w:noProof/>
                <w:webHidden/>
              </w:rPr>
              <w:t>14</w:t>
            </w:r>
            <w:r>
              <w:rPr>
                <w:noProof/>
                <w:webHidden/>
              </w:rPr>
              <w:fldChar w:fldCharType="end"/>
            </w:r>
          </w:hyperlink>
        </w:p>
        <w:p w14:paraId="689C2C60" w14:textId="30B0C6BB" w:rsidR="005B67E0" w:rsidRDefault="005B67E0">
          <w:pPr>
            <w:pStyle w:val="TOC1"/>
            <w:tabs>
              <w:tab w:val="right" w:leader="dot" w:pos="9016"/>
            </w:tabs>
            <w:rPr>
              <w:rFonts w:asciiTheme="minorHAnsi" w:hAnsiTheme="minorHAnsi"/>
              <w:noProof/>
              <w:kern w:val="2"/>
              <w:szCs w:val="24"/>
              <w14:ligatures w14:val="standardContextual"/>
            </w:rPr>
          </w:pPr>
          <w:hyperlink w:anchor="_Toc225265856" w:history="1">
            <w:r w:rsidRPr="00A377EE">
              <w:rPr>
                <w:rStyle w:val="Hyperlink"/>
                <w:noProof/>
              </w:rPr>
              <w:t>Reference List</w:t>
            </w:r>
            <w:r>
              <w:rPr>
                <w:noProof/>
                <w:webHidden/>
              </w:rPr>
              <w:tab/>
            </w:r>
            <w:r>
              <w:rPr>
                <w:noProof/>
                <w:webHidden/>
              </w:rPr>
              <w:fldChar w:fldCharType="begin"/>
            </w:r>
            <w:r>
              <w:rPr>
                <w:noProof/>
                <w:webHidden/>
              </w:rPr>
              <w:instrText xml:space="preserve"> PAGEREF _Toc225265856 \h </w:instrText>
            </w:r>
            <w:r>
              <w:rPr>
                <w:noProof/>
                <w:webHidden/>
              </w:rPr>
            </w:r>
            <w:r>
              <w:rPr>
                <w:noProof/>
                <w:webHidden/>
              </w:rPr>
              <w:fldChar w:fldCharType="separate"/>
            </w:r>
            <w:r>
              <w:rPr>
                <w:noProof/>
                <w:webHidden/>
              </w:rPr>
              <w:t>15</w:t>
            </w:r>
            <w:r>
              <w:rPr>
                <w:noProof/>
                <w:webHidden/>
              </w:rPr>
              <w:fldChar w:fldCharType="end"/>
            </w:r>
          </w:hyperlink>
        </w:p>
        <w:p w14:paraId="52E12496" w14:textId="4A5F3BC9" w:rsidR="000607D2" w:rsidRDefault="00200447" w:rsidP="00D24296">
          <w:pPr>
            <w:spacing w:line="240" w:lineRule="auto"/>
          </w:pPr>
          <w:r>
            <w:fldChar w:fldCharType="end"/>
          </w:r>
        </w:p>
      </w:sdtContent>
    </w:sdt>
    <w:p w14:paraId="22456AF5" w14:textId="77777777" w:rsidR="000607D2" w:rsidRDefault="000607D2">
      <w:pPr>
        <w:spacing w:line="276" w:lineRule="auto"/>
        <w:jc w:val="left"/>
        <w:rPr>
          <w:rFonts w:eastAsiaTheme="majorEastAsia" w:cstheme="majorBidi"/>
          <w:b/>
          <w:bCs/>
          <w:sz w:val="28"/>
          <w:szCs w:val="28"/>
        </w:rPr>
      </w:pPr>
      <w:r>
        <w:br w:type="page"/>
      </w:r>
    </w:p>
    <w:p w14:paraId="5C24F206" w14:textId="77777777" w:rsidR="00FA3413" w:rsidRDefault="00536170" w:rsidP="005E5722">
      <w:pPr>
        <w:pStyle w:val="Heading1"/>
      </w:pPr>
      <w:bookmarkStart w:id="0" w:name="_Toc225265841"/>
      <w:r>
        <w:t xml:space="preserve">1. </w:t>
      </w:r>
      <w:r w:rsidR="001A15D2">
        <w:t>Introduction</w:t>
      </w:r>
      <w:bookmarkEnd w:id="0"/>
    </w:p>
    <w:p w14:paraId="1065B2CA" w14:textId="0E76D021" w:rsidR="00650B5F" w:rsidRDefault="001A15D2">
      <w:r>
        <w:t>The following report will look forward towards specifying as well as critically analysing the context associated with the macro and micro environmental considerations for the mentioned two organisations</w:t>
      </w:r>
      <w:r w:rsidR="001E794D">
        <w:t xml:space="preserve">, </w:t>
      </w:r>
      <w:r>
        <w:t xml:space="preserve">i.e. </w:t>
      </w:r>
      <w:r w:rsidRPr="00536170">
        <w:rPr>
          <w:bCs/>
          <w:iCs/>
          <w:szCs w:val="20"/>
        </w:rPr>
        <w:t xml:space="preserve">Tesco </w:t>
      </w:r>
      <w:r w:rsidR="001E794D" w:rsidRPr="00536170">
        <w:rPr>
          <w:bCs/>
          <w:iCs/>
          <w:szCs w:val="20"/>
        </w:rPr>
        <w:t xml:space="preserve">(pioneering organisation) </w:t>
      </w:r>
      <w:r w:rsidRPr="00536170">
        <w:rPr>
          <w:bCs/>
          <w:iCs/>
          <w:szCs w:val="20"/>
        </w:rPr>
        <w:t>and Sainsbury</w:t>
      </w:r>
      <w:r w:rsidR="001E794D" w:rsidRPr="00536170">
        <w:rPr>
          <w:bCs/>
          <w:iCs/>
          <w:szCs w:val="20"/>
        </w:rPr>
        <w:t xml:space="preserve"> (follower</w:t>
      </w:r>
      <w:r w:rsidR="005B67E0" w:rsidRPr="00536170">
        <w:rPr>
          <w:bCs/>
          <w:iCs/>
          <w:sz w:val="22"/>
          <w:szCs w:val="20"/>
        </w:rPr>
        <w:t>),</w:t>
      </w:r>
      <w:r w:rsidR="005B67E0">
        <w:t xml:space="preserve"> operating</w:t>
      </w:r>
      <w:r w:rsidR="001E794D">
        <w:t xml:space="preserve"> within the same industry, i.e. the retail and supermarket chain in the United Kingdom.  Two specific and major macro environmental considerations are elaborated in the study through specifying the determined and ongoing aspects aligned with the economic factor, i.e., inflation and cost of living, and the socio-economic technology factor, i.e., changing consumer behaviour and digitalisation.  </w:t>
      </w:r>
      <w:r w:rsidR="00E633CF">
        <w:t xml:space="preserve">The other task, i.e. task 2, will be based on assessing </w:t>
      </w:r>
      <w:r w:rsidR="00726A77">
        <w:t>task 1, comprised through specifying the determined attributed aligned with drawing on relevant industry evidence, comparing and evaluating the strategic responses implemented by the pioneering and follower organisations to sustain growth in light of the identified macro-environmental factors.</w:t>
      </w:r>
    </w:p>
    <w:p w14:paraId="2888A45C" w14:textId="77777777" w:rsidR="00650B5F" w:rsidRPr="00536170" w:rsidRDefault="00650B5F" w:rsidP="00650B5F">
      <w:pPr>
        <w:spacing w:line="276" w:lineRule="auto"/>
        <w:jc w:val="center"/>
        <w:rPr>
          <w:sz w:val="22"/>
          <w:szCs w:val="20"/>
        </w:rPr>
      </w:pPr>
      <w:r w:rsidRPr="00536170">
        <w:rPr>
          <w:noProof/>
          <w:sz w:val="22"/>
          <w:szCs w:val="20"/>
        </w:rPr>
        <w:drawing>
          <wp:inline distT="0" distB="0" distL="0" distR="0" wp14:anchorId="14A4B4E5" wp14:editId="0DBC7841">
            <wp:extent cx="5448300" cy="32330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srcRect l="1497" t="2179" r="3328" b="15635"/>
                    <a:stretch>
                      <a:fillRect/>
                    </a:stretch>
                  </pic:blipFill>
                  <pic:spPr bwMode="auto">
                    <a:xfrm>
                      <a:off x="0" y="0"/>
                      <a:ext cx="5448300" cy="3233057"/>
                    </a:xfrm>
                    <a:prstGeom prst="rect">
                      <a:avLst/>
                    </a:prstGeom>
                    <a:noFill/>
                    <a:ln>
                      <a:noFill/>
                    </a:ln>
                    <a:extLst>
                      <a:ext uri="{53640926-AAD7-44D8-BBD7-CCE9431645EC}">
                        <a14:shadowObscured xmlns:a14="http://schemas.microsoft.com/office/drawing/2010/main"/>
                      </a:ext>
                    </a:extLst>
                  </pic:spPr>
                </pic:pic>
              </a:graphicData>
            </a:graphic>
          </wp:inline>
        </w:drawing>
      </w:r>
    </w:p>
    <w:p w14:paraId="1D162102" w14:textId="77777777" w:rsidR="00650B5F" w:rsidRPr="00536170" w:rsidRDefault="00650B5F" w:rsidP="00650B5F">
      <w:pPr>
        <w:spacing w:line="276" w:lineRule="auto"/>
        <w:jc w:val="center"/>
        <w:rPr>
          <w:b/>
          <w:szCs w:val="20"/>
        </w:rPr>
      </w:pPr>
      <w:r w:rsidRPr="00536170">
        <w:rPr>
          <w:b/>
          <w:szCs w:val="20"/>
        </w:rPr>
        <w:t xml:space="preserve">Figure 1: UK Super Market Share </w:t>
      </w:r>
    </w:p>
    <w:p w14:paraId="74FD1D6B" w14:textId="77777777" w:rsidR="00650B5F" w:rsidRDefault="00650B5F" w:rsidP="00650B5F">
      <w:pPr>
        <w:spacing w:line="276" w:lineRule="auto"/>
        <w:jc w:val="center"/>
      </w:pPr>
      <w:r>
        <w:t xml:space="preserve">(Source: Armstrong </w:t>
      </w:r>
      <w:r w:rsidR="002B5148">
        <w:t>and</w:t>
      </w:r>
      <w:r>
        <w:t xml:space="preserve"> Richter, 2019)</w:t>
      </w:r>
    </w:p>
    <w:p w14:paraId="2D5E8DF4" w14:textId="77777777" w:rsidR="00CA5B0D" w:rsidRDefault="00CA5B0D"/>
    <w:p w14:paraId="1F789BB0" w14:textId="77777777" w:rsidR="00892B22" w:rsidRDefault="00536170" w:rsidP="005E5722">
      <w:pPr>
        <w:pStyle w:val="Heading1"/>
      </w:pPr>
      <w:bookmarkStart w:id="1" w:name="_Toc225265842"/>
      <w:r>
        <w:t xml:space="preserve">2. </w:t>
      </w:r>
      <w:r w:rsidR="001A15D2">
        <w:t>Critical Analysis of the Study</w:t>
      </w:r>
      <w:bookmarkEnd w:id="1"/>
    </w:p>
    <w:p w14:paraId="70F984CD" w14:textId="77777777" w:rsidR="00FA3413" w:rsidRDefault="00536170" w:rsidP="00892B22">
      <w:pPr>
        <w:pStyle w:val="Heading1"/>
      </w:pPr>
      <w:bookmarkStart w:id="2" w:name="_Toc225265843"/>
      <w:r>
        <w:t xml:space="preserve">2.1. </w:t>
      </w:r>
      <w:r w:rsidR="00892B22">
        <w:t>Task 1</w:t>
      </w:r>
      <w:bookmarkEnd w:id="2"/>
    </w:p>
    <w:p w14:paraId="2F68B2D2" w14:textId="77777777" w:rsidR="0010329F" w:rsidRDefault="00536170" w:rsidP="005E5722">
      <w:pPr>
        <w:pStyle w:val="Heading2"/>
      </w:pPr>
      <w:bookmarkStart w:id="3" w:name="_Toc225265844"/>
      <w:r>
        <w:t xml:space="preserve">2.1.1. </w:t>
      </w:r>
      <w:r w:rsidR="001A15D2">
        <w:t>Application of PESTLE Analysis</w:t>
      </w:r>
      <w:r>
        <w:t xml:space="preserve"> for overall analysis of the macro marketing factors</w:t>
      </w:r>
      <w:bookmarkEnd w:id="3"/>
    </w:p>
    <w:p w14:paraId="5EA0EFFD" w14:textId="77777777" w:rsidR="0010329F" w:rsidRPr="00536170" w:rsidRDefault="001A15D2" w:rsidP="00536170">
      <w:pPr>
        <w:rPr>
          <w:b/>
          <w:bCs/>
          <w:i/>
          <w:iCs/>
        </w:rPr>
      </w:pPr>
      <w:bookmarkStart w:id="4" w:name="_Toc225263118"/>
      <w:r w:rsidRPr="00536170">
        <w:rPr>
          <w:b/>
          <w:bCs/>
          <w:i/>
          <w:iCs/>
        </w:rPr>
        <w:t>Political factors</w:t>
      </w:r>
      <w:bookmarkEnd w:id="4"/>
    </w:p>
    <w:p w14:paraId="5F23A49C" w14:textId="77777777" w:rsidR="0010329F" w:rsidRPr="007329F7" w:rsidRDefault="001A15D2" w:rsidP="00536170">
      <w:pPr>
        <w:rPr>
          <w:rFonts w:cs="Times New Roman"/>
          <w:szCs w:val="24"/>
        </w:rPr>
      </w:pPr>
      <w:r>
        <w:rPr>
          <w:rFonts w:cs="Times New Roman"/>
          <w:szCs w:val="24"/>
        </w:rPr>
        <w:t xml:space="preserve">Tesco, the leading supermarket in </w:t>
      </w:r>
      <w:r w:rsidR="00536170">
        <w:rPr>
          <w:rFonts w:cs="Times New Roman"/>
          <w:szCs w:val="24"/>
        </w:rPr>
        <w:t xml:space="preserve">the </w:t>
      </w:r>
      <w:r>
        <w:rPr>
          <w:rFonts w:cs="Times New Roman"/>
          <w:szCs w:val="24"/>
        </w:rPr>
        <w:t xml:space="preserve">UK focuses on customer procedures with </w:t>
      </w:r>
      <w:r w:rsidRPr="007329F7">
        <w:rPr>
          <w:rFonts w:cs="Times New Roman"/>
          <w:szCs w:val="24"/>
        </w:rPr>
        <w:t>Government-mandated rules.  The company operates its business policies by fairness and external authority</w:t>
      </w:r>
      <w:r w:rsidR="005E5722" w:rsidRPr="005E5722">
        <w:rPr>
          <w:rFonts w:cs="Times New Roman"/>
          <w:szCs w:val="24"/>
        </w:rPr>
        <w:t>(Ghadiyaram, 2025)</w:t>
      </w:r>
      <w:r w:rsidR="005E5722">
        <w:rPr>
          <w:rFonts w:cs="Times New Roman"/>
          <w:szCs w:val="24"/>
        </w:rPr>
        <w:t xml:space="preserve">. </w:t>
      </w:r>
      <w:r w:rsidRPr="007329F7">
        <w:rPr>
          <w:rFonts w:cs="Times New Roman"/>
          <w:szCs w:val="24"/>
        </w:rPr>
        <w:t>While Sainsbury targets the global market by maintaining food safety standards, labelling requirements, supply chain security and dealing with increased compliance costs.</w:t>
      </w:r>
    </w:p>
    <w:p w14:paraId="756EDD7E" w14:textId="77777777" w:rsidR="0010329F" w:rsidRPr="00536170" w:rsidRDefault="001A15D2" w:rsidP="00536170">
      <w:pPr>
        <w:rPr>
          <w:b/>
          <w:bCs/>
          <w:i/>
          <w:iCs/>
        </w:rPr>
      </w:pPr>
      <w:bookmarkStart w:id="5" w:name="_Toc225263119"/>
      <w:r w:rsidRPr="00536170">
        <w:rPr>
          <w:b/>
          <w:bCs/>
          <w:i/>
          <w:iCs/>
        </w:rPr>
        <w:t>Economic factors</w:t>
      </w:r>
      <w:bookmarkEnd w:id="5"/>
    </w:p>
    <w:p w14:paraId="39342F66" w14:textId="77777777" w:rsidR="0010329F" w:rsidRPr="00B25DEA" w:rsidRDefault="001A15D2" w:rsidP="00536170">
      <w:pPr>
        <w:rPr>
          <w:rFonts w:cs="Times New Roman"/>
          <w:szCs w:val="24"/>
        </w:rPr>
      </w:pPr>
      <w:r w:rsidRPr="00B25DEA">
        <w:rPr>
          <w:rFonts w:cs="Times New Roman"/>
          <w:szCs w:val="24"/>
        </w:rPr>
        <w:t xml:space="preserve">While ensuring the operations for the right margin, Tesco focuses on quality and packing.  Brand positioning with adequate margins on the higher side is primarily driven by the operations. </w:t>
      </w:r>
      <w:r w:rsidR="005E5722" w:rsidRPr="00B25DEA">
        <w:rPr>
          <w:rFonts w:cs="Times New Roman"/>
          <w:szCs w:val="24"/>
        </w:rPr>
        <w:t>Sainsbury’s introduces</w:t>
      </w:r>
      <w:r w:rsidRPr="00B25DEA">
        <w:rPr>
          <w:rFonts w:cs="Times New Roman"/>
          <w:szCs w:val="24"/>
        </w:rPr>
        <w:t xml:space="preserve"> the scheme later in 2022-2023 with segment pricing, justifying the trend of consumers switching to cheaper alternatives among many items</w:t>
      </w:r>
      <w:r w:rsidR="005E5722" w:rsidRPr="005E5722">
        <w:rPr>
          <w:rFonts w:cs="Times New Roman"/>
          <w:szCs w:val="24"/>
        </w:rPr>
        <w:t>(Glover et al., 2024)</w:t>
      </w:r>
      <w:r w:rsidRPr="00B25DEA">
        <w:rPr>
          <w:rFonts w:cs="Times New Roman"/>
          <w:szCs w:val="24"/>
        </w:rPr>
        <w:t>.  Company already invested almost £5.6 billion to upgrade of shops, distribution and IT equipment.  In the year 2024-2025 company raised £502 million in new equity to fund the expansion of superstores</w:t>
      </w:r>
      <w:r w:rsidR="009A659E">
        <w:rPr>
          <w:rFonts w:cs="Times New Roman"/>
          <w:szCs w:val="24"/>
        </w:rPr>
        <w:t xml:space="preserve"> (</w:t>
      </w:r>
      <w:r w:rsidR="009A659E">
        <w:t>Armstrong and Richter, 2019</w:t>
      </w:r>
      <w:r w:rsidR="009A659E">
        <w:rPr>
          <w:rFonts w:cs="Times New Roman"/>
          <w:szCs w:val="24"/>
        </w:rPr>
        <w:t>)</w:t>
      </w:r>
      <w:r w:rsidRPr="00B25DEA">
        <w:rPr>
          <w:rFonts w:cs="Times New Roman"/>
          <w:szCs w:val="24"/>
        </w:rPr>
        <w:t>.</w:t>
      </w:r>
    </w:p>
    <w:p w14:paraId="220B2304" w14:textId="77777777" w:rsidR="0010329F" w:rsidRPr="00536170" w:rsidRDefault="001A15D2" w:rsidP="00536170">
      <w:pPr>
        <w:rPr>
          <w:b/>
          <w:bCs/>
          <w:i/>
          <w:iCs/>
        </w:rPr>
      </w:pPr>
      <w:bookmarkStart w:id="6" w:name="_Toc225263120"/>
      <w:r w:rsidRPr="00536170">
        <w:rPr>
          <w:b/>
          <w:bCs/>
          <w:i/>
          <w:iCs/>
        </w:rPr>
        <w:t>Sociological factors</w:t>
      </w:r>
      <w:bookmarkEnd w:id="6"/>
    </w:p>
    <w:p w14:paraId="204B0475" w14:textId="576D60BB" w:rsidR="0010329F" w:rsidRPr="00A065E0" w:rsidRDefault="001A15D2" w:rsidP="00536170">
      <w:pPr>
        <w:rPr>
          <w:rFonts w:cs="Times New Roman"/>
          <w:szCs w:val="24"/>
        </w:rPr>
      </w:pPr>
      <w:r w:rsidRPr="00A065E0">
        <w:rPr>
          <w:rFonts w:cs="Times New Roman"/>
          <w:szCs w:val="24"/>
        </w:rPr>
        <w:t xml:space="preserve">It influences the store requirement, the behaviour of regional consumers, and the responsibility towards social </w:t>
      </w:r>
      <w:r w:rsidR="005B67E0" w:rsidRPr="00A065E0">
        <w:rPr>
          <w:rFonts w:cs="Times New Roman"/>
          <w:szCs w:val="24"/>
        </w:rPr>
        <w:t>activities</w:t>
      </w:r>
      <w:r w:rsidR="005B67E0" w:rsidRPr="005E5722">
        <w:rPr>
          <w:rFonts w:cs="Times New Roman"/>
          <w:szCs w:val="24"/>
        </w:rPr>
        <w:t xml:space="preserve"> (</w:t>
      </w:r>
      <w:proofErr w:type="spellStart"/>
      <w:r w:rsidR="005E5722" w:rsidRPr="005E5722">
        <w:rPr>
          <w:rFonts w:cs="Times New Roman"/>
          <w:szCs w:val="24"/>
        </w:rPr>
        <w:t>Mahony</w:t>
      </w:r>
      <w:proofErr w:type="spellEnd"/>
      <w:r w:rsidR="005E5722" w:rsidRPr="005E5722">
        <w:rPr>
          <w:rFonts w:cs="Times New Roman"/>
          <w:szCs w:val="24"/>
        </w:rPr>
        <w:t xml:space="preserve"> et al., 2025)</w:t>
      </w:r>
      <w:r w:rsidR="005E5722">
        <w:rPr>
          <w:rFonts w:cs="Times New Roman"/>
          <w:szCs w:val="24"/>
        </w:rPr>
        <w:t xml:space="preserve">. </w:t>
      </w:r>
      <w:r w:rsidRPr="00A065E0">
        <w:rPr>
          <w:rFonts w:cs="Times New Roman"/>
          <w:szCs w:val="24"/>
        </w:rPr>
        <w:t xml:space="preserve">The company is still quite dependent on the UKUK market, where it has a market share of around 325 to 35%.  Sainsbury focuses on Ethical and Sustainable Consumption for different demographic </w:t>
      </w:r>
      <w:r w:rsidR="005B67E0" w:rsidRPr="00A065E0">
        <w:rPr>
          <w:rFonts w:cs="Times New Roman"/>
          <w:szCs w:val="24"/>
        </w:rPr>
        <w:t>conditions</w:t>
      </w:r>
      <w:r w:rsidR="005B67E0" w:rsidRPr="005E5722">
        <w:rPr>
          <w:rFonts w:cs="Times New Roman"/>
          <w:szCs w:val="24"/>
        </w:rPr>
        <w:t xml:space="preserve"> (</w:t>
      </w:r>
      <w:proofErr w:type="spellStart"/>
      <w:r w:rsidR="005E5722" w:rsidRPr="005E5722">
        <w:rPr>
          <w:rFonts w:cs="Times New Roman"/>
          <w:szCs w:val="24"/>
        </w:rPr>
        <w:t>Placzek</w:t>
      </w:r>
      <w:proofErr w:type="spellEnd"/>
      <w:r w:rsidR="005E5722" w:rsidRPr="005E5722">
        <w:rPr>
          <w:rFonts w:cs="Times New Roman"/>
          <w:szCs w:val="24"/>
        </w:rPr>
        <w:t>, 2022)</w:t>
      </w:r>
      <w:r w:rsidR="005E5722">
        <w:rPr>
          <w:rFonts w:cs="Times New Roman"/>
          <w:szCs w:val="24"/>
        </w:rPr>
        <w:t xml:space="preserve">. </w:t>
      </w:r>
      <w:r w:rsidRPr="00A065E0">
        <w:rPr>
          <w:rFonts w:cs="Times New Roman"/>
          <w:szCs w:val="24"/>
        </w:rPr>
        <w:t>T</w:t>
      </w:r>
      <w:r>
        <w:rPr>
          <w:rFonts w:cs="Times New Roman"/>
          <w:szCs w:val="24"/>
        </w:rPr>
        <w:t>esco</w:t>
      </w:r>
      <w:r w:rsidRPr="00A065E0">
        <w:rPr>
          <w:rFonts w:cs="Times New Roman"/>
          <w:szCs w:val="24"/>
        </w:rPr>
        <w:t xml:space="preserve"> influence the sociological factors through the smart shopping window.  Besides it the company engages in community initiatives and local sourcing to enhance its brand image and build customer loyalty.</w:t>
      </w:r>
    </w:p>
    <w:p w14:paraId="520CE5D5" w14:textId="77777777" w:rsidR="005B67E0" w:rsidRDefault="005B67E0" w:rsidP="00536170">
      <w:pPr>
        <w:rPr>
          <w:b/>
          <w:bCs/>
          <w:i/>
          <w:iCs/>
        </w:rPr>
      </w:pPr>
      <w:bookmarkStart w:id="7" w:name="_Toc225263121"/>
    </w:p>
    <w:p w14:paraId="6D5A01E8" w14:textId="77777777" w:rsidR="005B67E0" w:rsidRDefault="005B67E0" w:rsidP="00536170">
      <w:pPr>
        <w:rPr>
          <w:b/>
          <w:bCs/>
          <w:i/>
          <w:iCs/>
        </w:rPr>
      </w:pPr>
    </w:p>
    <w:p w14:paraId="78F6B239" w14:textId="53DA00B5" w:rsidR="0010329F" w:rsidRPr="00536170" w:rsidRDefault="001A15D2" w:rsidP="00536170">
      <w:pPr>
        <w:rPr>
          <w:b/>
          <w:bCs/>
          <w:i/>
          <w:iCs/>
        </w:rPr>
      </w:pPr>
      <w:r w:rsidRPr="00536170">
        <w:rPr>
          <w:b/>
          <w:bCs/>
          <w:i/>
          <w:iCs/>
        </w:rPr>
        <w:t>Technological factor</w:t>
      </w:r>
      <w:bookmarkEnd w:id="7"/>
    </w:p>
    <w:p w14:paraId="2B203DFA" w14:textId="77777777" w:rsidR="0010329F" w:rsidRPr="0010329F" w:rsidRDefault="001A15D2" w:rsidP="00536170">
      <w:pPr>
        <w:rPr>
          <w:rFonts w:cs="Times New Roman"/>
          <w:szCs w:val="24"/>
        </w:rPr>
      </w:pPr>
      <w:r w:rsidRPr="00874011">
        <w:rPr>
          <w:rFonts w:cs="Times New Roman"/>
          <w:szCs w:val="24"/>
        </w:rPr>
        <w:t xml:space="preserve">High-level machinery and the advancement of technology influence the grocery market in the UKUK Proper training and </w:t>
      </w:r>
      <w:r w:rsidR="005E5722" w:rsidRPr="00874011">
        <w:rPr>
          <w:rFonts w:cs="Times New Roman"/>
          <w:szCs w:val="24"/>
        </w:rPr>
        <w:t>consultation for supply chain machinery improves</w:t>
      </w:r>
      <w:r w:rsidRPr="00874011">
        <w:rPr>
          <w:rFonts w:cs="Times New Roman"/>
          <w:szCs w:val="24"/>
        </w:rPr>
        <w:t xml:space="preserve"> the ope</w:t>
      </w:r>
      <w:r w:rsidR="005E5722">
        <w:rPr>
          <w:rFonts w:cs="Times New Roman"/>
          <w:szCs w:val="24"/>
        </w:rPr>
        <w:t xml:space="preserve">rations process for Sainsbury </w:t>
      </w:r>
      <w:r w:rsidR="005E5722" w:rsidRPr="005E5722">
        <w:rPr>
          <w:rFonts w:cs="Times New Roman"/>
          <w:szCs w:val="24"/>
        </w:rPr>
        <w:t>(</w:t>
      </w:r>
      <w:proofErr w:type="spellStart"/>
      <w:r w:rsidR="005E5722" w:rsidRPr="005E5722">
        <w:rPr>
          <w:rFonts w:cs="Times New Roman"/>
          <w:szCs w:val="24"/>
        </w:rPr>
        <w:t>Ramanankonenana</w:t>
      </w:r>
      <w:proofErr w:type="spellEnd"/>
      <w:r w:rsidR="005E5722" w:rsidRPr="005E5722">
        <w:rPr>
          <w:rFonts w:cs="Times New Roman"/>
          <w:szCs w:val="24"/>
        </w:rPr>
        <w:t xml:space="preserve"> </w:t>
      </w:r>
      <w:r w:rsidR="002B5148">
        <w:rPr>
          <w:rFonts w:cs="Times New Roman"/>
          <w:szCs w:val="24"/>
        </w:rPr>
        <w:t>and</w:t>
      </w:r>
      <w:r w:rsidR="005E5722" w:rsidRPr="005E5722">
        <w:rPr>
          <w:rFonts w:cs="Times New Roman"/>
          <w:szCs w:val="24"/>
        </w:rPr>
        <w:t xml:space="preserve"> </w:t>
      </w:r>
      <w:proofErr w:type="spellStart"/>
      <w:r w:rsidR="005E5722" w:rsidRPr="005E5722">
        <w:rPr>
          <w:rFonts w:cs="Times New Roman"/>
          <w:szCs w:val="24"/>
        </w:rPr>
        <w:t>Randriamamonjy</w:t>
      </w:r>
      <w:proofErr w:type="spellEnd"/>
      <w:r w:rsidR="005E5722" w:rsidRPr="005E5722">
        <w:rPr>
          <w:rFonts w:cs="Times New Roman"/>
          <w:szCs w:val="24"/>
        </w:rPr>
        <w:t>, 2023)</w:t>
      </w:r>
      <w:r w:rsidR="005E5722">
        <w:rPr>
          <w:rFonts w:cs="Times New Roman"/>
          <w:szCs w:val="24"/>
        </w:rPr>
        <w:t xml:space="preserve">. </w:t>
      </w:r>
      <w:r w:rsidRPr="00874011">
        <w:rPr>
          <w:rFonts w:cs="Times New Roman"/>
          <w:szCs w:val="24"/>
        </w:rPr>
        <w:t xml:space="preserve">AI-driven stock analysis and management with upgraded cloud technology for storage of data improves the inventory management system for the company. </w:t>
      </w:r>
    </w:p>
    <w:p w14:paraId="0EF670AC" w14:textId="77777777" w:rsidR="0010329F" w:rsidRPr="00536170" w:rsidRDefault="001A15D2" w:rsidP="00536170">
      <w:pPr>
        <w:rPr>
          <w:b/>
          <w:bCs/>
          <w:i/>
          <w:iCs/>
        </w:rPr>
      </w:pPr>
      <w:bookmarkStart w:id="8" w:name="_Toc225263122"/>
      <w:r w:rsidRPr="00536170">
        <w:rPr>
          <w:b/>
          <w:bCs/>
          <w:i/>
          <w:iCs/>
        </w:rPr>
        <w:t>Legal factors</w:t>
      </w:r>
      <w:bookmarkEnd w:id="8"/>
    </w:p>
    <w:p w14:paraId="1F4D2996" w14:textId="16F6B508" w:rsidR="0010329F" w:rsidRPr="0095321B" w:rsidRDefault="001A15D2" w:rsidP="00536170">
      <w:pPr>
        <w:rPr>
          <w:rFonts w:cs="Times New Roman"/>
          <w:szCs w:val="24"/>
        </w:rPr>
      </w:pPr>
      <w:r w:rsidRPr="005A703B">
        <w:rPr>
          <w:rFonts w:cs="Times New Roman"/>
          <w:szCs w:val="24"/>
        </w:rPr>
        <w:t xml:space="preserve">Groceries supply code of practice allows the supermarkets to comply with the Consumer Rights Act against all types of purchasing </w:t>
      </w:r>
      <w:r w:rsidR="005B67E0" w:rsidRPr="005A703B">
        <w:rPr>
          <w:rFonts w:cs="Times New Roman"/>
          <w:szCs w:val="24"/>
        </w:rPr>
        <w:t>modules</w:t>
      </w:r>
      <w:r w:rsidR="005B67E0" w:rsidRPr="005E5722">
        <w:rPr>
          <w:rFonts w:cs="Times New Roman"/>
          <w:szCs w:val="24"/>
        </w:rPr>
        <w:t xml:space="preserve"> (</w:t>
      </w:r>
      <w:r w:rsidR="005E5722" w:rsidRPr="005E5722">
        <w:rPr>
          <w:rFonts w:cs="Times New Roman"/>
          <w:szCs w:val="24"/>
        </w:rPr>
        <w:t>Rashid, 2023)</w:t>
      </w:r>
      <w:r w:rsidRPr="005A703B">
        <w:rPr>
          <w:rFonts w:cs="Times New Roman"/>
          <w:szCs w:val="24"/>
        </w:rPr>
        <w:t>.  The first and foremost acceptable factor</w:t>
      </w:r>
      <w:r w:rsidRPr="00C55F92">
        <w:rPr>
          <w:rFonts w:cs="Times New Roman"/>
          <w:szCs w:val="24"/>
        </w:rPr>
        <w:t xml:space="preserve">s Tesco adhere to </w:t>
      </w:r>
      <w:r w:rsidRPr="0095321B">
        <w:rPr>
          <w:rFonts w:cs="Times New Roman"/>
          <w:szCs w:val="24"/>
        </w:rPr>
        <w:t>is laws regarding product quality, safety, and labelling to</w:t>
      </w:r>
      <w:r w:rsidR="005E5722">
        <w:rPr>
          <w:rFonts w:cs="Times New Roman"/>
          <w:szCs w:val="24"/>
        </w:rPr>
        <w:t xml:space="preserve"> prevent misleading customers </w:t>
      </w:r>
      <w:r w:rsidR="005E5722" w:rsidRPr="005E5722">
        <w:rPr>
          <w:rFonts w:cs="Times New Roman"/>
          <w:szCs w:val="24"/>
        </w:rPr>
        <w:t>(</w:t>
      </w:r>
      <w:proofErr w:type="spellStart"/>
      <w:r w:rsidR="005E5722" w:rsidRPr="005E5722">
        <w:rPr>
          <w:rFonts w:cs="Times New Roman"/>
          <w:szCs w:val="24"/>
        </w:rPr>
        <w:t>Samadzadeh</w:t>
      </w:r>
      <w:proofErr w:type="spellEnd"/>
      <w:r w:rsidR="005E5722" w:rsidRPr="005E5722">
        <w:rPr>
          <w:rFonts w:cs="Times New Roman"/>
          <w:szCs w:val="24"/>
        </w:rPr>
        <w:t>, 2024)</w:t>
      </w:r>
      <w:r w:rsidR="005E5722">
        <w:rPr>
          <w:rFonts w:cs="Times New Roman"/>
          <w:szCs w:val="24"/>
        </w:rPr>
        <w:t xml:space="preserve">. </w:t>
      </w:r>
      <w:r w:rsidRPr="0095321B">
        <w:rPr>
          <w:rFonts w:cs="Times New Roman"/>
          <w:szCs w:val="24"/>
        </w:rPr>
        <w:t>Besides, health and safety for all the workers inside the company's premises and for the consumers are being main</w:t>
      </w:r>
      <w:r w:rsidR="005E5722">
        <w:rPr>
          <w:rFonts w:cs="Times New Roman"/>
          <w:szCs w:val="24"/>
        </w:rPr>
        <w:t xml:space="preserve">tained by the company. </w:t>
      </w:r>
      <w:r w:rsidRPr="0095321B">
        <w:rPr>
          <w:rFonts w:cs="Times New Roman"/>
          <w:szCs w:val="24"/>
        </w:rPr>
        <w:t>Also, corporate governance, employment law and other laws and regulations regulate the market dominance of Tesco to avoid penalties and reputational damage.</w:t>
      </w:r>
    </w:p>
    <w:p w14:paraId="6E4134AF" w14:textId="77777777" w:rsidR="0010329F" w:rsidRPr="00536170" w:rsidRDefault="001A15D2" w:rsidP="00536170">
      <w:pPr>
        <w:rPr>
          <w:b/>
          <w:bCs/>
          <w:i/>
          <w:iCs/>
        </w:rPr>
      </w:pPr>
      <w:bookmarkStart w:id="9" w:name="_Toc225263123"/>
      <w:r w:rsidRPr="00536170">
        <w:rPr>
          <w:b/>
          <w:bCs/>
          <w:i/>
          <w:iCs/>
        </w:rPr>
        <w:t>Environmental factors</w:t>
      </w:r>
      <w:bookmarkEnd w:id="9"/>
    </w:p>
    <w:p w14:paraId="568F0B91" w14:textId="5CDBDAE4" w:rsidR="0010329F" w:rsidRPr="00711E49" w:rsidRDefault="001A15D2" w:rsidP="00536170">
      <w:pPr>
        <w:rPr>
          <w:rFonts w:cs="Times New Roman"/>
          <w:szCs w:val="24"/>
        </w:rPr>
      </w:pPr>
      <w:r w:rsidRPr="00711E49">
        <w:rPr>
          <w:rFonts w:cs="Times New Roman"/>
          <w:szCs w:val="24"/>
        </w:rPr>
        <w:t>For Tesco's carbon emissions, increasing energy efficiency by reducing waste management properties with sustainable farming through local partnerships and ties up supports the company to reduce operational</w:t>
      </w:r>
      <w:r w:rsidR="005E5722">
        <w:rPr>
          <w:rFonts w:cs="Times New Roman"/>
          <w:szCs w:val="24"/>
        </w:rPr>
        <w:t xml:space="preserve"> costs and consumer awareness </w:t>
      </w:r>
      <w:r w:rsidR="005E5722" w:rsidRPr="005E5722">
        <w:rPr>
          <w:rFonts w:cs="Times New Roman"/>
          <w:szCs w:val="24"/>
        </w:rPr>
        <w:t>(</w:t>
      </w:r>
      <w:proofErr w:type="spellStart"/>
      <w:r w:rsidR="005E5722" w:rsidRPr="005E5722">
        <w:rPr>
          <w:rFonts w:cs="Times New Roman"/>
          <w:szCs w:val="24"/>
        </w:rPr>
        <w:t>Stylianou</w:t>
      </w:r>
      <w:proofErr w:type="spellEnd"/>
      <w:r w:rsidR="005E5722" w:rsidRPr="005E5722">
        <w:rPr>
          <w:rFonts w:cs="Times New Roman"/>
          <w:szCs w:val="24"/>
        </w:rPr>
        <w:t xml:space="preserve"> </w:t>
      </w:r>
      <w:r w:rsidR="002B5148">
        <w:rPr>
          <w:rFonts w:cs="Times New Roman"/>
          <w:szCs w:val="24"/>
        </w:rPr>
        <w:t>and</w:t>
      </w:r>
      <w:r w:rsidR="005E5722" w:rsidRPr="005E5722">
        <w:rPr>
          <w:rFonts w:cs="Times New Roman"/>
          <w:szCs w:val="24"/>
        </w:rPr>
        <w:t xml:space="preserve"> </w:t>
      </w:r>
      <w:proofErr w:type="spellStart"/>
      <w:r w:rsidR="005E5722" w:rsidRPr="005E5722">
        <w:rPr>
          <w:rFonts w:cs="Times New Roman"/>
          <w:szCs w:val="24"/>
        </w:rPr>
        <w:t>Pantelidou</w:t>
      </w:r>
      <w:proofErr w:type="spellEnd"/>
      <w:r w:rsidR="005E5722" w:rsidRPr="005E5722">
        <w:rPr>
          <w:rFonts w:cs="Times New Roman"/>
          <w:szCs w:val="24"/>
        </w:rPr>
        <w:t>, 2025)</w:t>
      </w:r>
      <w:r w:rsidR="005E5722">
        <w:rPr>
          <w:rFonts w:cs="Times New Roman"/>
          <w:szCs w:val="24"/>
        </w:rPr>
        <w:t xml:space="preserve">. </w:t>
      </w:r>
      <w:r w:rsidRPr="00711E49">
        <w:rPr>
          <w:rFonts w:cs="Times New Roman"/>
          <w:szCs w:val="24"/>
        </w:rPr>
        <w:t xml:space="preserve">The company reduces 3.1 billion </w:t>
      </w:r>
      <w:r w:rsidR="005B67E0" w:rsidRPr="00711E49">
        <w:rPr>
          <w:rFonts w:cs="Times New Roman"/>
          <w:szCs w:val="24"/>
        </w:rPr>
        <w:t>plastics</w:t>
      </w:r>
      <w:r w:rsidRPr="00711E49">
        <w:rPr>
          <w:rFonts w:cs="Times New Roman"/>
          <w:szCs w:val="24"/>
        </w:rPr>
        <w:t xml:space="preserve"> from its own production</w:t>
      </w:r>
      <w:r>
        <w:rPr>
          <w:rFonts w:cs="Times New Roman"/>
          <w:szCs w:val="24"/>
        </w:rPr>
        <w:t xml:space="preserve">. </w:t>
      </w:r>
      <w:r w:rsidR="005E5722">
        <w:rPr>
          <w:rFonts w:cs="Times New Roman"/>
          <w:szCs w:val="24"/>
        </w:rPr>
        <w:t>Sainsbury</w:t>
      </w:r>
      <w:r w:rsidR="005E5722" w:rsidRPr="00711E49">
        <w:rPr>
          <w:rFonts w:cs="Times New Roman"/>
          <w:szCs w:val="24"/>
        </w:rPr>
        <w:t xml:space="preserve">’s </w:t>
      </w:r>
      <w:r w:rsidR="005B67E0" w:rsidRPr="00711E49">
        <w:rPr>
          <w:rFonts w:cs="Times New Roman"/>
          <w:szCs w:val="24"/>
        </w:rPr>
        <w:t>has</w:t>
      </w:r>
      <w:r w:rsidR="005B67E0">
        <w:rPr>
          <w:rFonts w:cs="Times New Roman"/>
          <w:szCs w:val="24"/>
        </w:rPr>
        <w:t xml:space="preserve"> already</w:t>
      </w:r>
      <w:r w:rsidRPr="00711E49">
        <w:rPr>
          <w:rFonts w:cs="Times New Roman"/>
          <w:szCs w:val="24"/>
        </w:rPr>
        <w:t xml:space="preserve"> implemented over 650 energy efficiency vans for delivery</w:t>
      </w:r>
      <w:r w:rsidR="009A659E">
        <w:rPr>
          <w:rFonts w:cs="Times New Roman"/>
          <w:szCs w:val="24"/>
        </w:rPr>
        <w:t xml:space="preserve"> (</w:t>
      </w:r>
      <w:r w:rsidR="009A659E">
        <w:t>Armstrong and Richter, 2019</w:t>
      </w:r>
      <w:r w:rsidR="009A659E">
        <w:rPr>
          <w:rFonts w:cs="Times New Roman"/>
          <w:szCs w:val="24"/>
        </w:rPr>
        <w:t>)</w:t>
      </w:r>
      <w:r w:rsidRPr="00711E49">
        <w:rPr>
          <w:rFonts w:cs="Times New Roman"/>
          <w:szCs w:val="24"/>
        </w:rPr>
        <w:t>.</w:t>
      </w:r>
    </w:p>
    <w:p w14:paraId="48BBAC64" w14:textId="77777777" w:rsidR="0010329F" w:rsidRDefault="001A15D2" w:rsidP="00536170">
      <w:r>
        <w:t xml:space="preserve">Nevertheless, the context of the current discussions will look forward towards specifying two major factors aligned through specifying the core perceptions associated with specifying the application of PESTLE Analysis that determined Economic Environment (Inflation </w:t>
      </w:r>
      <w:r w:rsidR="002B5148">
        <w:t>and</w:t>
      </w:r>
      <w:r>
        <w:t xml:space="preserve"> Cost-of-Living Crisis), followed by Socio-Technological Environment (Digitalisation </w:t>
      </w:r>
      <w:r w:rsidR="002B5148">
        <w:t>and</w:t>
      </w:r>
      <w:r>
        <w:t xml:space="preserve"> Changing Consumer Behaviour).</w:t>
      </w:r>
    </w:p>
    <w:p w14:paraId="62D155B0" w14:textId="77777777" w:rsidR="00892B22" w:rsidRDefault="00650B5F" w:rsidP="00650B5F">
      <w:pPr>
        <w:spacing w:line="276" w:lineRule="auto"/>
        <w:jc w:val="center"/>
        <w:rPr>
          <w:b/>
        </w:rPr>
      </w:pPr>
      <w:r>
        <w:rPr>
          <w:b/>
          <w:noProof/>
        </w:rPr>
        <w:drawing>
          <wp:inline distT="0" distB="0" distL="0" distR="0" wp14:anchorId="125E1EE5" wp14:editId="3FD40365">
            <wp:extent cx="5667375" cy="3009900"/>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l="1163"/>
                    <a:stretch>
                      <a:fillRect/>
                    </a:stretch>
                  </pic:blipFill>
                  <pic:spPr bwMode="auto">
                    <a:xfrm>
                      <a:off x="0" y="0"/>
                      <a:ext cx="5667375" cy="3009900"/>
                    </a:xfrm>
                    <a:prstGeom prst="rect">
                      <a:avLst/>
                    </a:prstGeom>
                    <a:noFill/>
                    <a:ln w="9525">
                      <a:noFill/>
                      <a:miter lim="800000"/>
                      <a:headEnd/>
                      <a:tailEnd/>
                    </a:ln>
                  </pic:spPr>
                </pic:pic>
              </a:graphicData>
            </a:graphic>
          </wp:inline>
        </w:drawing>
      </w:r>
    </w:p>
    <w:p w14:paraId="13D12738" w14:textId="77777777" w:rsidR="00650B5F" w:rsidRPr="005B67E0" w:rsidRDefault="00650B5F" w:rsidP="00650B5F">
      <w:pPr>
        <w:spacing w:line="276" w:lineRule="auto"/>
        <w:jc w:val="center"/>
        <w:rPr>
          <w:b/>
          <w:szCs w:val="20"/>
        </w:rPr>
      </w:pPr>
      <w:r w:rsidRPr="005B67E0">
        <w:rPr>
          <w:b/>
          <w:szCs w:val="20"/>
        </w:rPr>
        <w:t>Figure 2: Factors Influencing PESTLE Aspects</w:t>
      </w:r>
    </w:p>
    <w:p w14:paraId="59DA407F" w14:textId="77777777" w:rsidR="00650B5F" w:rsidRPr="00650B5F" w:rsidRDefault="00650B5F" w:rsidP="00650B5F">
      <w:pPr>
        <w:spacing w:line="276" w:lineRule="auto"/>
        <w:jc w:val="center"/>
      </w:pPr>
      <w:r w:rsidRPr="00650B5F">
        <w:t xml:space="preserve">(Source: </w:t>
      </w:r>
      <w:r w:rsidR="00536170" w:rsidRPr="00650B5F">
        <w:t>Self-Created</w:t>
      </w:r>
      <w:r w:rsidRPr="00650B5F">
        <w:t>)</w:t>
      </w:r>
    </w:p>
    <w:p w14:paraId="24E927F9" w14:textId="79694979" w:rsidR="0010329F" w:rsidRDefault="00536170" w:rsidP="00892B22">
      <w:pPr>
        <w:pStyle w:val="Heading2"/>
      </w:pPr>
      <w:bookmarkStart w:id="10" w:name="_Toc225265845"/>
      <w:r>
        <w:t>2.1</w:t>
      </w:r>
      <w:r w:rsidR="001A15D2">
        <w:t>.</w:t>
      </w:r>
      <w:r>
        <w:t>2.</w:t>
      </w:r>
      <w:r w:rsidR="005B67E0">
        <w:t xml:space="preserve"> </w:t>
      </w:r>
      <w:r>
        <w:t xml:space="preserve">Factor 1: </w:t>
      </w:r>
      <w:r w:rsidR="001A15D2">
        <w:t xml:space="preserve">Economic Environment (Inflation </w:t>
      </w:r>
      <w:r w:rsidR="002B5148">
        <w:t>and</w:t>
      </w:r>
      <w:r w:rsidR="001A15D2">
        <w:t xml:space="preserve"> Cost-of-Living Crisis)</w:t>
      </w:r>
      <w:bookmarkEnd w:id="10"/>
    </w:p>
    <w:p w14:paraId="1FAF3B26" w14:textId="23F37D61" w:rsidR="00BF6D41" w:rsidRDefault="001A15D2">
      <w:r>
        <w:t xml:space="preserve">The economic aspects created a strong impact on the industry, where the UKUK grocery market has been heavily influenced by inflation and rising living cost leading to increased price sensitivity among </w:t>
      </w:r>
      <w:r w:rsidR="005B67E0">
        <w:t>consumers</w:t>
      </w:r>
      <w:r w:rsidR="005B67E0" w:rsidRPr="005E5722">
        <w:t xml:space="preserve"> (</w:t>
      </w:r>
      <w:proofErr w:type="spellStart"/>
      <w:r w:rsidR="005E5722" w:rsidRPr="005E5722">
        <w:t>Mohebbi</w:t>
      </w:r>
      <w:proofErr w:type="spellEnd"/>
      <w:r w:rsidR="005E5722" w:rsidRPr="005E5722">
        <w:t xml:space="preserve"> et al., 2023)</w:t>
      </w:r>
      <w:r w:rsidR="000D2BD7">
        <w:t>. Determining the growth of discount retailers such as Aldi and Lidl created huge pressure on both profit margins and profitability</w:t>
      </w:r>
      <w:r w:rsidR="005E5722">
        <w:t xml:space="preserve"> will create as one of the considerable </w:t>
      </w:r>
      <w:r w:rsidR="005B67E0">
        <w:t>impacts</w:t>
      </w:r>
      <w:r w:rsidR="005B67E0" w:rsidRPr="005E5722">
        <w:t xml:space="preserve"> (</w:t>
      </w:r>
      <w:proofErr w:type="spellStart"/>
      <w:r w:rsidR="005E5722" w:rsidRPr="005E5722">
        <w:t>Piernas</w:t>
      </w:r>
      <w:proofErr w:type="spellEnd"/>
      <w:r w:rsidR="005E5722" w:rsidRPr="005E5722">
        <w:t xml:space="preserve">, Harmer </w:t>
      </w:r>
      <w:r w:rsidR="002B5148">
        <w:t>and</w:t>
      </w:r>
      <w:r w:rsidR="005E5722" w:rsidRPr="005E5722">
        <w:t xml:space="preserve"> </w:t>
      </w:r>
      <w:proofErr w:type="spellStart"/>
      <w:r w:rsidR="005E5722" w:rsidRPr="005E5722">
        <w:t>Jebb</w:t>
      </w:r>
      <w:proofErr w:type="spellEnd"/>
      <w:r w:rsidR="005E5722" w:rsidRPr="005E5722">
        <w:t>, 2022)</w:t>
      </w:r>
      <w:r w:rsidR="000D2BD7">
        <w:t xml:space="preserve">.  Competition under the mentioned circumstances was highly intensified, forcing retailers such as Tesco and Sainsbury to adjust pricing and cost structure aligned with the current economic </w:t>
      </w:r>
      <w:r w:rsidR="000729A0">
        <w:t xml:space="preserve">perceptions. </w:t>
      </w:r>
    </w:p>
    <w:p w14:paraId="207CE36B" w14:textId="77777777" w:rsidR="0010329F" w:rsidRPr="00536170" w:rsidRDefault="001A15D2" w:rsidP="00536170">
      <w:pPr>
        <w:rPr>
          <w:b/>
          <w:bCs/>
          <w:u w:val="single"/>
        </w:rPr>
      </w:pPr>
      <w:r w:rsidRPr="00536170">
        <w:rPr>
          <w:b/>
          <w:bCs/>
          <w:u w:val="single"/>
        </w:rPr>
        <w:t xml:space="preserve">Assessing </w:t>
      </w:r>
      <w:r w:rsidR="009A659E" w:rsidRPr="00536170">
        <w:rPr>
          <w:b/>
          <w:bCs/>
          <w:u w:val="single"/>
        </w:rPr>
        <w:t>Key Opportunities</w:t>
      </w:r>
      <w:r w:rsidRPr="00536170">
        <w:rPr>
          <w:b/>
          <w:bCs/>
          <w:u w:val="single"/>
        </w:rPr>
        <w:t xml:space="preserve"> and Threats</w:t>
      </w:r>
    </w:p>
    <w:p w14:paraId="722D45B4" w14:textId="3B0EBD7D" w:rsidR="00BF6D41" w:rsidRDefault="001A15D2">
      <w:r>
        <w:t>Assessing the key opportunities and threats for Tesco (Pioneer) organisation will look forward towards creating the ongoing considerations aligned through determining the dominance of Tesco followed by Sai</w:t>
      </w:r>
      <w:r w:rsidR="005E5722">
        <w:t xml:space="preserve">nsbury while operating in the </w:t>
      </w:r>
      <w:r>
        <w:t xml:space="preserve">UK market structure.  For example, the opportunities and threats of Tesco lie within the context associated with specifying large-scale operations adopted by Tesco, aiming to leverage economies of scale and maintain competitive </w:t>
      </w:r>
      <w:r w:rsidR="005B67E0">
        <w:t>pricing</w:t>
      </w:r>
      <w:r w:rsidR="005B67E0" w:rsidRPr="005E5722">
        <w:t xml:space="preserve"> (</w:t>
      </w:r>
      <w:r w:rsidR="005E5722" w:rsidRPr="005E5722">
        <w:t xml:space="preserve">Berri </w:t>
      </w:r>
      <w:r w:rsidR="002B5148">
        <w:t>and</w:t>
      </w:r>
      <w:r w:rsidR="005E5722" w:rsidRPr="005E5722">
        <w:t xml:space="preserve"> </w:t>
      </w:r>
      <w:proofErr w:type="spellStart"/>
      <w:r w:rsidR="005E5722" w:rsidRPr="005E5722">
        <w:t>Toma</w:t>
      </w:r>
      <w:proofErr w:type="spellEnd"/>
      <w:r w:rsidR="005E5722" w:rsidRPr="005E5722">
        <w:t>, 2023)</w:t>
      </w:r>
      <w:r w:rsidR="005E5722">
        <w:t xml:space="preserve">. </w:t>
      </w:r>
      <w:r>
        <w:t xml:space="preserve">On the other hand, specifying strong private-level brands allows attracting cost-conscious customers, creating a considerable </w:t>
      </w:r>
      <w:r w:rsidR="005B67E0">
        <w:t>impact</w:t>
      </w:r>
      <w:r w:rsidR="005B67E0" w:rsidRPr="005E5722">
        <w:t xml:space="preserve"> (</w:t>
      </w:r>
      <w:proofErr w:type="spellStart"/>
      <w:r w:rsidR="005E5722" w:rsidRPr="005E5722">
        <w:t>Piernas</w:t>
      </w:r>
      <w:proofErr w:type="spellEnd"/>
      <w:r w:rsidR="005E5722" w:rsidRPr="005E5722">
        <w:t xml:space="preserve">, Harmer </w:t>
      </w:r>
      <w:r w:rsidR="002B5148">
        <w:t>and</w:t>
      </w:r>
      <w:r w:rsidR="005E5722" w:rsidRPr="005E5722">
        <w:t xml:space="preserve"> </w:t>
      </w:r>
      <w:proofErr w:type="spellStart"/>
      <w:r w:rsidR="005E5722" w:rsidRPr="005E5722">
        <w:t>Jebb</w:t>
      </w:r>
      <w:proofErr w:type="spellEnd"/>
      <w:r w:rsidR="005E5722" w:rsidRPr="005E5722">
        <w:t>, 2022)</w:t>
      </w:r>
      <w:r w:rsidR="005E5722">
        <w:t xml:space="preserve">. </w:t>
      </w:r>
      <w:r>
        <w:t>Threat includes determining the price war with reducing profit marg</w:t>
      </w:r>
      <w:r w:rsidR="004A6652">
        <w:t>ins as well as specifying public scrutiny during cost-of-living crises (e.g., accusations of profiteering).  Nevertheless, Tesco was created as one of the strong dominants (nearly one-third of UK</w:t>
      </w:r>
      <w:r w:rsidR="005B67E0">
        <w:t xml:space="preserve"> </w:t>
      </w:r>
      <w:r w:rsidR="004A6652">
        <w:t xml:space="preserve">grocery sales), aiming through strengthening its competitive position, but also increasing regulatory and public pressure. </w:t>
      </w:r>
    </w:p>
    <w:p w14:paraId="4DD7EF52" w14:textId="77777777" w:rsidR="004A6652" w:rsidRDefault="001A15D2">
      <w:r>
        <w:t xml:space="preserve">For Sainsbury, assessing the context of the current discussions will create as well as improve the opportunity and ability to reposition itself as a value plus quality hybrid retailer, where adopting the fundamentals of price matching strategy, i.e. matching Aldi prices in order to attract budget-conscious consumers, will create as well as specify a </w:t>
      </w:r>
      <w:r w:rsidR="005E5722">
        <w:t xml:space="preserve">considerable amount of impact </w:t>
      </w:r>
      <w:r w:rsidR="005E5722" w:rsidRPr="005E5722">
        <w:t>(</w:t>
      </w:r>
      <w:proofErr w:type="spellStart"/>
      <w:r w:rsidR="005E5722" w:rsidRPr="005E5722">
        <w:t>Olarewaju</w:t>
      </w:r>
      <w:proofErr w:type="spellEnd"/>
      <w:r w:rsidR="005E5722" w:rsidRPr="005E5722">
        <w:t xml:space="preserve"> et al., 2024)</w:t>
      </w:r>
      <w:r w:rsidR="005E5722">
        <w:t xml:space="preserve">. </w:t>
      </w:r>
      <w:r>
        <w:t xml:space="preserve">Threats associated with lowering the economies of scale compared with Tesco are offset by specifying profit stagnation due to adopting an aggressive pricing strategy, measured at the highest potential level. </w:t>
      </w:r>
    </w:p>
    <w:p w14:paraId="7004EA0A" w14:textId="77777777" w:rsidR="004A6652" w:rsidRDefault="001A15D2" w:rsidP="00536170">
      <w:pPr>
        <w:pStyle w:val="Heading2"/>
      </w:pPr>
      <w:bookmarkStart w:id="11" w:name="_Toc225265846"/>
      <w:r>
        <w:t>2</w:t>
      </w:r>
      <w:r w:rsidR="00536170">
        <w:t xml:space="preserve">.1.3. </w:t>
      </w:r>
      <w:r w:rsidR="00A858AD">
        <w:t xml:space="preserve">Factor 2: </w:t>
      </w:r>
      <w:r>
        <w:t xml:space="preserve">Socio-Technological Environment (Digitalisation </w:t>
      </w:r>
      <w:r w:rsidR="002B5148">
        <w:t>and</w:t>
      </w:r>
      <w:r>
        <w:t xml:space="preserve"> Changing Consumer Behaviour)</w:t>
      </w:r>
      <w:bookmarkEnd w:id="11"/>
    </w:p>
    <w:p w14:paraId="079365E4" w14:textId="77777777" w:rsidR="003A7F8D" w:rsidRDefault="001A15D2">
      <w:r>
        <w:t>Primarily, the context of the current discussions will uphold the ongoing attributes aligned with assessing the key trends associated with the current macro environmental considerations that comprised through specifying the growth in online shopping in the</w:t>
      </w:r>
      <w:r w:rsidR="005E5722">
        <w:t xml:space="preserve"> retail and grocery industry </w:t>
      </w:r>
      <w:r w:rsidR="005E5722" w:rsidRPr="005E5722">
        <w:t>(</w:t>
      </w:r>
      <w:proofErr w:type="spellStart"/>
      <w:r w:rsidR="005E5722" w:rsidRPr="005E5722">
        <w:t>Mohebbi</w:t>
      </w:r>
      <w:proofErr w:type="spellEnd"/>
      <w:r w:rsidR="005E5722" w:rsidRPr="005E5722">
        <w:t xml:space="preserve"> et al., 2023)</w:t>
      </w:r>
      <w:r w:rsidR="005E5722">
        <w:t xml:space="preserve">. </w:t>
      </w:r>
      <w:r>
        <w:t xml:space="preserve">Alongside assessing the demand for convenience (click-and-collect, rapid delivery), as well as focusing on increased use of loyalty programs, data analysis will conceptualise by specifying as well as assessing ongoing trends. </w:t>
      </w:r>
    </w:p>
    <w:p w14:paraId="3CB890CE" w14:textId="77777777" w:rsidR="003A7F8D" w:rsidRPr="00536170" w:rsidRDefault="001A15D2" w:rsidP="00536170">
      <w:pPr>
        <w:rPr>
          <w:b/>
          <w:bCs/>
          <w:u w:val="single"/>
        </w:rPr>
      </w:pPr>
      <w:r w:rsidRPr="00536170">
        <w:rPr>
          <w:b/>
          <w:bCs/>
          <w:u w:val="single"/>
        </w:rPr>
        <w:t>Assessing Opportunities and Threats for Sainsbury</w:t>
      </w:r>
    </w:p>
    <w:p w14:paraId="0F97F26D" w14:textId="4D58B95D" w:rsidR="003A7F8D" w:rsidRDefault="001A15D2">
      <w:r>
        <w:t>For Tesco, key opportunities will include, as well as comprise, an advanced digital ecosystem that determines the use and application of various kinds of online platform along with using the club card mem</w:t>
      </w:r>
      <w:r w:rsidR="005E5722">
        <w:t xml:space="preserve">bership option </w:t>
      </w:r>
      <w:r w:rsidR="005E5722" w:rsidRPr="005E5722">
        <w:t>(</w:t>
      </w:r>
      <w:proofErr w:type="spellStart"/>
      <w:r w:rsidR="005E5722" w:rsidRPr="005E5722">
        <w:t>Stylianou</w:t>
      </w:r>
      <w:proofErr w:type="spellEnd"/>
      <w:r w:rsidR="005E5722" w:rsidRPr="005E5722">
        <w:t xml:space="preserve"> </w:t>
      </w:r>
      <w:r w:rsidR="002B5148">
        <w:t>and</w:t>
      </w:r>
      <w:r w:rsidR="005E5722" w:rsidRPr="005E5722">
        <w:t xml:space="preserve"> </w:t>
      </w:r>
      <w:proofErr w:type="spellStart"/>
      <w:r w:rsidR="005E5722" w:rsidRPr="005E5722">
        <w:t>Pantelidou</w:t>
      </w:r>
      <w:proofErr w:type="spellEnd"/>
      <w:r w:rsidR="005E5722" w:rsidRPr="005E5722">
        <w:t>, 2025)</w:t>
      </w:r>
      <w:r w:rsidR="005E5722">
        <w:t>.</w:t>
      </w:r>
      <w:r>
        <w:t xml:space="preserve"> On the other hand, assessing the current threats will create as well as improve high investment costs aligned with specifying the </w:t>
      </w:r>
      <w:r w:rsidR="005B67E0">
        <w:t>digital infrastructure</w:t>
      </w:r>
      <w:r>
        <w:t xml:space="preserve"> through creating a platform of competi</w:t>
      </w:r>
      <w:r w:rsidR="005E5722">
        <w:t xml:space="preserve">tion from e-commerce platforms </w:t>
      </w:r>
      <w:r w:rsidR="005E5722" w:rsidRPr="005E5722">
        <w:t>(</w:t>
      </w:r>
      <w:proofErr w:type="spellStart"/>
      <w:r w:rsidR="005E5722" w:rsidRPr="005E5722">
        <w:t>Samadzadeh</w:t>
      </w:r>
      <w:proofErr w:type="spellEnd"/>
      <w:r w:rsidR="005E5722" w:rsidRPr="005E5722">
        <w:t>, 2024)</w:t>
      </w:r>
      <w:r w:rsidR="005E5722">
        <w:t xml:space="preserve">. </w:t>
      </w:r>
      <w:r>
        <w:t xml:space="preserve">For example, Tesco's data-driven </w:t>
      </w:r>
      <w:r w:rsidR="005B67E0">
        <w:t>strategy and</w:t>
      </w:r>
      <w:r>
        <w:t xml:space="preserve"> convenience formats found highly strengthen with customer loyalty and market share simultaneously.  </w:t>
      </w:r>
    </w:p>
    <w:p w14:paraId="533BECEE" w14:textId="77777777" w:rsidR="009E07BE" w:rsidRDefault="001A15D2">
      <w:r>
        <w:t xml:space="preserve">For Sainsbury, the opportunities lie within the overall aspects associated with specifying the Nectar loyalty programme enables personalised offers and customer retention, and integration of Argo will also </w:t>
      </w:r>
      <w:r w:rsidR="00536170">
        <w:t>create</w:t>
      </w:r>
      <w:r>
        <w:t xml:space="preserve"> as well as e</w:t>
      </w:r>
      <w:r w:rsidR="005E5722">
        <w:t xml:space="preserve">nhances </w:t>
      </w:r>
      <w:proofErr w:type="spellStart"/>
      <w:r w:rsidR="005E5722">
        <w:t>omnichannel</w:t>
      </w:r>
      <w:proofErr w:type="spellEnd"/>
      <w:r w:rsidR="005E5722">
        <w:t xml:space="preserve"> retailing </w:t>
      </w:r>
      <w:r w:rsidR="005E5722" w:rsidRPr="005E5722">
        <w:t>(Rashid, 2023)</w:t>
      </w:r>
      <w:r w:rsidR="005E5722">
        <w:t xml:space="preserve">. </w:t>
      </w:r>
      <w:r>
        <w:t xml:space="preserve">Assessing the </w:t>
      </w:r>
      <w:r w:rsidR="007C3897">
        <w:t xml:space="preserve">Threat will comprise specifying </w:t>
      </w:r>
      <w:r>
        <w:t>the related attributes associated with assessing as well as determining the lagging behind Tesco in digital scale and execution, with assessing and specifying non-food digital segments (A</w:t>
      </w:r>
      <w:r w:rsidR="005E5722">
        <w:t xml:space="preserve">rgos) facing declining </w:t>
      </w:r>
      <w:r w:rsidR="00536170">
        <w:t>demand</w:t>
      </w:r>
      <w:r w:rsidR="00536170" w:rsidRPr="005E5722">
        <w:t xml:space="preserve"> (</w:t>
      </w:r>
      <w:proofErr w:type="spellStart"/>
      <w:r w:rsidR="005E5722" w:rsidRPr="005E5722">
        <w:t>Ramana</w:t>
      </w:r>
      <w:r w:rsidR="00892B22">
        <w:t>nkonenana</w:t>
      </w:r>
      <w:proofErr w:type="spellEnd"/>
      <w:r w:rsidR="00892B22">
        <w:t xml:space="preserve"> </w:t>
      </w:r>
      <w:r w:rsidR="002B5148">
        <w:t>and</w:t>
      </w:r>
      <w:r w:rsidR="00892B22">
        <w:t xml:space="preserve"> </w:t>
      </w:r>
      <w:proofErr w:type="spellStart"/>
      <w:r w:rsidR="00892B22">
        <w:t>Randriamamonjy</w:t>
      </w:r>
      <w:proofErr w:type="spellEnd"/>
      <w:r w:rsidR="00892B22">
        <w:t>, 2023</w:t>
      </w:r>
      <w:r w:rsidR="005E5722" w:rsidRPr="005E5722">
        <w:t>)</w:t>
      </w:r>
      <w:r w:rsidR="005E5722">
        <w:t xml:space="preserve">. </w:t>
      </w:r>
      <w:r>
        <w:t xml:space="preserve">For example, Sainsbury continues to invest in technology and loyalty platforms to remain competitive through determining as well as creating as one of the significant aspects. </w:t>
      </w:r>
    </w:p>
    <w:p w14:paraId="3CFD3C2E" w14:textId="77777777" w:rsidR="009E07BE" w:rsidRDefault="00536170" w:rsidP="00892B22">
      <w:pPr>
        <w:pStyle w:val="Heading2"/>
      </w:pPr>
      <w:bookmarkStart w:id="12" w:name="_Toc225265847"/>
      <w:r>
        <w:t xml:space="preserve">2.1.4. </w:t>
      </w:r>
      <w:r w:rsidR="001A15D2">
        <w:t>Summarising key points</w:t>
      </w:r>
      <w:bookmarkEnd w:id="12"/>
    </w:p>
    <w:p w14:paraId="59FA82C2" w14:textId="77777777" w:rsidR="004A6652" w:rsidRDefault="001A15D2">
      <w:r>
        <w:t xml:space="preserve">Assessing the macro environmental considerations will determine the context that was created through specifying the right of opportunities through assessing the core economic pressures that favour scale, i.e. Tesco's advantage through comprising technological change that favours both innovation as well as data capabilities, through comprising Tesco in order to sustain a dominant competitive positioning where </w:t>
      </w:r>
      <w:r w:rsidRPr="00A404F8">
        <w:t>Sainsbury’s competes through strategic adaptation and differentiation.</w:t>
      </w:r>
    </w:p>
    <w:p w14:paraId="7A772257" w14:textId="77777777" w:rsidR="00536170" w:rsidRDefault="00536170">
      <w:pPr>
        <w:spacing w:line="276" w:lineRule="auto"/>
        <w:jc w:val="left"/>
        <w:rPr>
          <w:rFonts w:eastAsiaTheme="majorEastAsia" w:cstheme="majorBidi"/>
          <w:b/>
          <w:bCs/>
          <w:sz w:val="28"/>
          <w:szCs w:val="28"/>
        </w:rPr>
      </w:pPr>
      <w:r>
        <w:br w:type="page"/>
      </w:r>
    </w:p>
    <w:p w14:paraId="476D69F4" w14:textId="77777777" w:rsidR="00F35B51" w:rsidRDefault="00536170" w:rsidP="00892B22">
      <w:pPr>
        <w:pStyle w:val="Heading1"/>
      </w:pPr>
      <w:bookmarkStart w:id="13" w:name="_Toc225265848"/>
      <w:r>
        <w:t xml:space="preserve">2.2. </w:t>
      </w:r>
      <w:r w:rsidR="001A15D2">
        <w:t>Task 2: Comparative Evaluation of Strategic Responses</w:t>
      </w:r>
      <w:bookmarkEnd w:id="13"/>
    </w:p>
    <w:p w14:paraId="4B868357" w14:textId="515D26C5" w:rsidR="00F35B51" w:rsidRDefault="001A15D2">
      <w:r>
        <w:t xml:space="preserve">Building on specifying the macro environmental considerations identified in task 1, </w:t>
      </w:r>
      <w:r w:rsidR="00D24296">
        <w:t xml:space="preserve">such as </w:t>
      </w:r>
      <w:r w:rsidRPr="00F35B51">
        <w:t>(inflation and cost-of-living crisis) and socio-technological (digitalisation and changing consumer behaviour)</w:t>
      </w:r>
      <w:r>
        <w:t xml:space="preserve">, both Tesco </w:t>
      </w:r>
      <w:r w:rsidRPr="00F35B51">
        <w:t>(pioneer) and Sainsbury's (follower)</w:t>
      </w:r>
      <w:r>
        <w:t xml:space="preserve"> implemented a distinct strategic response through assessing and creating a sustained growth.  </w:t>
      </w:r>
      <w:r w:rsidR="00D24296">
        <w:t>The context of the current</w:t>
      </w:r>
      <w:r>
        <w:t xml:space="preserve"> report will </w:t>
      </w:r>
      <w:r w:rsidR="005B67E0">
        <w:t>critically</w:t>
      </w:r>
      <w:r>
        <w:t xml:space="preserve"> emphasi</w:t>
      </w:r>
      <w:r w:rsidR="005B67E0">
        <w:t>s</w:t>
      </w:r>
      <w:r>
        <w:t>e through creating and putting the right use of macro environmental considerations aligned with its strategy through specifying and determining external pressures</w:t>
      </w:r>
      <w:r w:rsidR="00D24296">
        <w:t>. The use of proper theoretical intervention such as Porter’s</w:t>
      </w:r>
      <w:r>
        <w:t xml:space="preserve"> Generic Strategies an</w:t>
      </w:r>
      <w:r w:rsidR="00D24296">
        <w:t xml:space="preserve">d </w:t>
      </w:r>
      <w:proofErr w:type="spellStart"/>
      <w:r w:rsidR="00D24296">
        <w:t>Ansoff's</w:t>
      </w:r>
      <w:proofErr w:type="spellEnd"/>
      <w:r w:rsidR="00D24296">
        <w:t xml:space="preserve"> Growth Matrix, aimed</w:t>
      </w:r>
      <w:r>
        <w:t xml:space="preserve"> to analyse </w:t>
      </w:r>
      <w:r w:rsidRPr="00F35B51">
        <w:t>effectiveness, sustainability, and competitive advantage.</w:t>
      </w:r>
    </w:p>
    <w:p w14:paraId="0269884F" w14:textId="77777777" w:rsidR="007D2B50" w:rsidRDefault="00536170" w:rsidP="00892B22">
      <w:pPr>
        <w:pStyle w:val="Heading2"/>
      </w:pPr>
      <w:bookmarkStart w:id="14" w:name="_Toc225265849"/>
      <w:r>
        <w:t xml:space="preserve">2.2.1. </w:t>
      </w:r>
      <w:r w:rsidR="001A15D2">
        <w:t>Tesco's Strategic Response (Pioneer Organisation)</w:t>
      </w:r>
      <w:bookmarkEnd w:id="14"/>
    </w:p>
    <w:p w14:paraId="259F012A" w14:textId="77777777" w:rsidR="00CF4457" w:rsidRDefault="00536170" w:rsidP="00892B22">
      <w:pPr>
        <w:pStyle w:val="Heading3"/>
      </w:pPr>
      <w:bookmarkStart w:id="15" w:name="_Toc225265850"/>
      <w:r>
        <w:t xml:space="preserve">2.2.1.1. </w:t>
      </w:r>
      <w:r w:rsidR="001A15D2">
        <w:t>Porter's Generic Strategy</w:t>
      </w:r>
      <w:bookmarkEnd w:id="15"/>
    </w:p>
    <w:tbl>
      <w:tblPr>
        <w:tblStyle w:val="GridTable4-Accent51"/>
        <w:tblW w:w="0" w:type="auto"/>
        <w:tblLook w:val="04A0" w:firstRow="1" w:lastRow="0" w:firstColumn="1" w:lastColumn="0" w:noHBand="0" w:noVBand="1"/>
      </w:tblPr>
      <w:tblGrid>
        <w:gridCol w:w="2336"/>
        <w:gridCol w:w="3434"/>
        <w:gridCol w:w="3246"/>
      </w:tblGrid>
      <w:tr w:rsidR="00C825D3" w14:paraId="4AC15EBE" w14:textId="77777777" w:rsidTr="005361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5FFC6028" w14:textId="77777777" w:rsidR="00CF4457" w:rsidRDefault="001A15D2" w:rsidP="00892B22">
            <w:pPr>
              <w:jc w:val="center"/>
            </w:pPr>
            <w:r>
              <w:t>Competitive Scope / Advantage</w:t>
            </w:r>
          </w:p>
        </w:tc>
        <w:tc>
          <w:tcPr>
            <w:tcW w:w="3544" w:type="dxa"/>
          </w:tcPr>
          <w:p w14:paraId="7001BC57" w14:textId="77777777" w:rsidR="00CF4457" w:rsidRDefault="001A15D2" w:rsidP="00892B22">
            <w:pPr>
              <w:jc w:val="center"/>
              <w:cnfStyle w:val="100000000000" w:firstRow="1" w:lastRow="0" w:firstColumn="0" w:lastColumn="0" w:oddVBand="0" w:evenVBand="0" w:oddHBand="0" w:evenHBand="0" w:firstRowFirstColumn="0" w:firstRowLastColumn="0" w:lastRowFirstColumn="0" w:lastRowLastColumn="0"/>
            </w:pPr>
            <w:r>
              <w:t>Lower Cost</w:t>
            </w:r>
          </w:p>
        </w:tc>
        <w:tc>
          <w:tcPr>
            <w:tcW w:w="3322" w:type="dxa"/>
          </w:tcPr>
          <w:p w14:paraId="0DA33F55" w14:textId="77777777" w:rsidR="00CF4457" w:rsidRDefault="001A15D2" w:rsidP="00892B22">
            <w:pPr>
              <w:jc w:val="center"/>
              <w:cnfStyle w:val="100000000000" w:firstRow="1" w:lastRow="0" w:firstColumn="0" w:lastColumn="0" w:oddVBand="0" w:evenVBand="0" w:oddHBand="0" w:evenHBand="0" w:firstRowFirstColumn="0" w:firstRowLastColumn="0" w:lastRowFirstColumn="0" w:lastRowLastColumn="0"/>
            </w:pPr>
            <w:r w:rsidRPr="003650D4">
              <w:t>Differentiation</w:t>
            </w:r>
          </w:p>
        </w:tc>
      </w:tr>
      <w:tr w:rsidR="00C825D3" w14:paraId="765383D0" w14:textId="77777777" w:rsidTr="005361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775C8812" w14:textId="77777777" w:rsidR="00CF4457" w:rsidRDefault="001A15D2" w:rsidP="00892B22">
            <w:pPr>
              <w:jc w:val="center"/>
            </w:pPr>
            <w:r>
              <w:t>Broad Target</w:t>
            </w:r>
          </w:p>
        </w:tc>
        <w:tc>
          <w:tcPr>
            <w:tcW w:w="3544" w:type="dxa"/>
          </w:tcPr>
          <w:p w14:paraId="33DD0DB4" w14:textId="77777777" w:rsidR="00CF4457" w:rsidRDefault="001A15D2" w:rsidP="00536170">
            <w:pPr>
              <w:jc w:val="left"/>
              <w:cnfStyle w:val="000000100000" w:firstRow="0" w:lastRow="0" w:firstColumn="0" w:lastColumn="0" w:oddVBand="0" w:evenVBand="0" w:oddHBand="1" w:evenHBand="0" w:firstRowFirstColumn="0" w:firstRowLastColumn="0" w:lastRowFirstColumn="0" w:lastRowLastColumn="0"/>
            </w:pPr>
            <w:r>
              <w:t>Cost Leadership (Primary Strategy)</w:t>
            </w:r>
          </w:p>
          <w:p w14:paraId="42639346" w14:textId="77777777" w:rsidR="003650D4" w:rsidRDefault="001A15D2" w:rsidP="00536170">
            <w:pPr>
              <w:jc w:val="left"/>
              <w:cnfStyle w:val="000000100000" w:firstRow="0" w:lastRow="0" w:firstColumn="0" w:lastColumn="0" w:oddVBand="0" w:evenVBand="0" w:oddHBand="1" w:evenHBand="0" w:firstRowFirstColumn="0" w:firstRowLastColumn="0" w:lastRowFirstColumn="0" w:lastRowLastColumn="0"/>
            </w:pPr>
            <w:r>
              <w:t>Large-scale operations will reduce costs through fostering effective SCM operations and efficiency.</w:t>
            </w:r>
          </w:p>
        </w:tc>
        <w:tc>
          <w:tcPr>
            <w:tcW w:w="3322" w:type="dxa"/>
          </w:tcPr>
          <w:p w14:paraId="0115B8F4" w14:textId="77777777" w:rsidR="00CF4457" w:rsidRDefault="001A15D2" w:rsidP="00536170">
            <w:pPr>
              <w:jc w:val="left"/>
              <w:cnfStyle w:val="000000100000" w:firstRow="0" w:lastRow="0" w:firstColumn="0" w:lastColumn="0" w:oddVBand="0" w:evenVBand="0" w:oddHBand="1" w:evenHBand="0" w:firstRowFirstColumn="0" w:firstRowLastColumn="0" w:lastRowFirstColumn="0" w:lastRowLastColumn="0"/>
            </w:pPr>
            <w:r>
              <w:t>Broad Differentiation (Secondary Support)</w:t>
            </w:r>
          </w:p>
          <w:p w14:paraId="396517EC" w14:textId="77777777" w:rsidR="003650D4" w:rsidRDefault="001A15D2" w:rsidP="00536170">
            <w:pPr>
              <w:jc w:val="left"/>
              <w:cnfStyle w:val="000000100000" w:firstRow="0" w:lastRow="0" w:firstColumn="0" w:lastColumn="0" w:oddVBand="0" w:evenVBand="0" w:oddHBand="1" w:evenHBand="0" w:firstRowFirstColumn="0" w:firstRowLastColumn="0" w:lastRowFirstColumn="0" w:lastRowLastColumn="0"/>
            </w:pPr>
            <w:r>
              <w:t xml:space="preserve">Specifying </w:t>
            </w:r>
            <w:proofErr w:type="spellStart"/>
            <w:r>
              <w:t>Clubcard</w:t>
            </w:r>
            <w:proofErr w:type="spellEnd"/>
            <w:r>
              <w:t xml:space="preserve"> data presentation with focusing on omni retail business proceedings</w:t>
            </w:r>
          </w:p>
        </w:tc>
      </w:tr>
      <w:tr w:rsidR="00C825D3" w14:paraId="0A26FCCE" w14:textId="77777777" w:rsidTr="00536170">
        <w:tc>
          <w:tcPr>
            <w:cnfStyle w:val="001000000000" w:firstRow="0" w:lastRow="0" w:firstColumn="1" w:lastColumn="0" w:oddVBand="0" w:evenVBand="0" w:oddHBand="0" w:evenHBand="0" w:firstRowFirstColumn="0" w:firstRowLastColumn="0" w:lastRowFirstColumn="0" w:lastRowLastColumn="0"/>
            <w:tcW w:w="2376" w:type="dxa"/>
          </w:tcPr>
          <w:p w14:paraId="7CF4A803" w14:textId="77777777" w:rsidR="00CF4457" w:rsidRDefault="001A15D2" w:rsidP="00892B22">
            <w:pPr>
              <w:jc w:val="center"/>
            </w:pPr>
            <w:r>
              <w:t>Narrow Target</w:t>
            </w:r>
          </w:p>
        </w:tc>
        <w:tc>
          <w:tcPr>
            <w:tcW w:w="3544" w:type="dxa"/>
          </w:tcPr>
          <w:p w14:paraId="50DE7932" w14:textId="77777777" w:rsidR="00CF4457" w:rsidRDefault="001A15D2" w:rsidP="00536170">
            <w:pPr>
              <w:jc w:val="left"/>
              <w:cnfStyle w:val="000000000000" w:firstRow="0" w:lastRow="0" w:firstColumn="0" w:lastColumn="0" w:oddVBand="0" w:evenVBand="0" w:oddHBand="0" w:evenHBand="0" w:firstRowFirstColumn="0" w:firstRowLastColumn="0" w:lastRowFirstColumn="0" w:lastRowLastColumn="0"/>
            </w:pPr>
            <w:r>
              <w:t>Cost Focus (Limited)</w:t>
            </w:r>
          </w:p>
          <w:p w14:paraId="01DC419E" w14:textId="77777777" w:rsidR="003650D4" w:rsidRDefault="001A15D2" w:rsidP="00536170">
            <w:pPr>
              <w:jc w:val="left"/>
              <w:cnfStyle w:val="000000000000" w:firstRow="0" w:lastRow="0" w:firstColumn="0" w:lastColumn="0" w:oddVBand="0" w:evenVBand="0" w:oddHBand="0" w:evenHBand="0" w:firstRowFirstColumn="0" w:firstRowLastColumn="0" w:lastRowFirstColumn="0" w:lastRowLastColumn="0"/>
            </w:pPr>
            <w:r>
              <w:t>Valuing large ranges with targeting price-sensitive market segments</w:t>
            </w:r>
          </w:p>
        </w:tc>
        <w:tc>
          <w:tcPr>
            <w:tcW w:w="3322" w:type="dxa"/>
          </w:tcPr>
          <w:p w14:paraId="79CE04B0" w14:textId="77777777" w:rsidR="00CF4457" w:rsidRDefault="001A15D2" w:rsidP="00536170">
            <w:pPr>
              <w:jc w:val="left"/>
              <w:cnfStyle w:val="000000000000" w:firstRow="0" w:lastRow="0" w:firstColumn="0" w:lastColumn="0" w:oddVBand="0" w:evenVBand="0" w:oddHBand="0" w:evenHBand="0" w:firstRowFirstColumn="0" w:firstRowLastColumn="0" w:lastRowFirstColumn="0" w:lastRowLastColumn="0"/>
            </w:pPr>
            <w:r>
              <w:t>Differentiation Focus (Limited)</w:t>
            </w:r>
          </w:p>
          <w:p w14:paraId="6F96E047" w14:textId="77777777" w:rsidR="003650D4" w:rsidRDefault="001A15D2" w:rsidP="00536170">
            <w:pPr>
              <w:jc w:val="left"/>
              <w:cnfStyle w:val="000000000000" w:firstRow="0" w:lastRow="0" w:firstColumn="0" w:lastColumn="0" w:oddVBand="0" w:evenVBand="0" w:oddHBand="0" w:evenHBand="0" w:firstRowFirstColumn="0" w:firstRowLastColumn="0" w:lastRowFirstColumn="0" w:lastRowLastColumn="0"/>
            </w:pPr>
            <w:r>
              <w:t>Premium own-label with targeting higher-income niche segments</w:t>
            </w:r>
          </w:p>
        </w:tc>
      </w:tr>
    </w:tbl>
    <w:p w14:paraId="14BD2BCD" w14:textId="77777777" w:rsidR="00CF4457" w:rsidRDefault="00CF4457"/>
    <w:p w14:paraId="38461D75" w14:textId="77777777" w:rsidR="007D2B50" w:rsidRPr="00536170" w:rsidRDefault="001A15D2" w:rsidP="00536170">
      <w:pPr>
        <w:rPr>
          <w:b/>
          <w:bCs/>
          <w:i/>
          <w:iCs/>
        </w:rPr>
      </w:pPr>
      <w:r w:rsidRPr="00536170">
        <w:rPr>
          <w:b/>
          <w:bCs/>
          <w:i/>
          <w:iCs/>
        </w:rPr>
        <w:t>Porter’s Generic Strategy: Cost Leadership with Data-Driven Differentiation</w:t>
      </w:r>
    </w:p>
    <w:p w14:paraId="74E4DE01" w14:textId="77777777" w:rsidR="00F35B51" w:rsidRDefault="001A15D2">
      <w:r>
        <w:t xml:space="preserve">It will be crucial </w:t>
      </w:r>
      <w:r w:rsidR="00D24296">
        <w:t>over the ways to determine</w:t>
      </w:r>
      <w:r>
        <w:t xml:space="preserve"> the strategic positioning for Tesco, measured primarily by adopting the overall effectiveness of cost leadership, reinforced the use of a selective differentiation process through </w:t>
      </w:r>
      <w:r w:rsidR="00D24296">
        <w:t>aimed towards improving</w:t>
      </w:r>
      <w:r>
        <w:t xml:space="preserve"> both</w:t>
      </w:r>
      <w:r w:rsidR="005E5722">
        <w:t xml:space="preserve"> technology and customer data </w:t>
      </w:r>
      <w:r w:rsidR="005E5722" w:rsidRPr="005E5722">
        <w:t>(</w:t>
      </w:r>
      <w:proofErr w:type="spellStart"/>
      <w:r w:rsidR="005E5722" w:rsidRPr="005E5722">
        <w:t>Placzek</w:t>
      </w:r>
      <w:proofErr w:type="spellEnd"/>
      <w:r w:rsidR="005E5722" w:rsidRPr="005E5722">
        <w:t>, 2022)</w:t>
      </w:r>
      <w:r w:rsidR="005E5722">
        <w:t xml:space="preserve">.  </w:t>
      </w:r>
      <w:r>
        <w:t xml:space="preserve">Key strategic actions will improve </w:t>
      </w:r>
      <w:r w:rsidR="00600B3A">
        <w:t xml:space="preserve">the context of aggressive </w:t>
      </w:r>
      <w:r w:rsidR="002B26E7">
        <w:t xml:space="preserve">price investment through specifying the expansion of private level </w:t>
      </w:r>
      <w:r w:rsidR="00697EA9">
        <w:t xml:space="preserve">products through </w:t>
      </w:r>
      <w:r w:rsidR="000371D9">
        <w:t xml:space="preserve">specifying the context associated with the response </w:t>
      </w:r>
      <w:r w:rsidR="00D15FFB">
        <w:t>aligned wi</w:t>
      </w:r>
      <w:r w:rsidR="005E5722">
        <w:t xml:space="preserve">th Tesco's strategic response </w:t>
      </w:r>
      <w:r w:rsidR="005E5722" w:rsidRPr="005E5722">
        <w:t>(</w:t>
      </w:r>
      <w:proofErr w:type="spellStart"/>
      <w:r w:rsidR="005E5722" w:rsidRPr="005E5722">
        <w:t>Ramanankonenana</w:t>
      </w:r>
      <w:proofErr w:type="spellEnd"/>
      <w:r w:rsidR="005E5722" w:rsidRPr="005E5722">
        <w:t xml:space="preserve"> </w:t>
      </w:r>
      <w:r w:rsidR="002B5148">
        <w:t>and</w:t>
      </w:r>
      <w:r w:rsidR="005E5722" w:rsidRPr="005E5722">
        <w:t xml:space="preserve"> </w:t>
      </w:r>
      <w:proofErr w:type="spellStart"/>
      <w:r w:rsidR="005E5722" w:rsidRPr="005E5722">
        <w:t>Randriamamonjy</w:t>
      </w:r>
      <w:proofErr w:type="spellEnd"/>
      <w:r w:rsidR="005E5722" w:rsidRPr="005E5722">
        <w:t>, 2023)</w:t>
      </w:r>
      <w:r w:rsidR="005E5722">
        <w:t xml:space="preserve">. </w:t>
      </w:r>
      <w:r w:rsidR="00D24296">
        <w:t>For example, t</w:t>
      </w:r>
      <w:r w:rsidR="00D15FFB">
        <w:t xml:space="preserve">he UK Grocery sector is experiencing high </w:t>
      </w:r>
      <w:r w:rsidR="00D15FFB" w:rsidRPr="00D15FFB">
        <w:t>cost-of-living pressures, reducing consumer purchasing power</w:t>
      </w:r>
      <w:r w:rsidR="00D15FFB">
        <w:t>, and focusing on r</w:t>
      </w:r>
      <w:r w:rsidR="00D15FFB" w:rsidRPr="00D15FFB">
        <w:t>apid digitalisation and a shift to online/convenience consumption</w:t>
      </w:r>
      <w:r w:rsidR="00D15FFB">
        <w:t>.</w:t>
      </w:r>
    </w:p>
    <w:p w14:paraId="0B25B7AA" w14:textId="77777777" w:rsidR="003943C7" w:rsidRPr="00536170" w:rsidRDefault="001A15D2" w:rsidP="00536170">
      <w:pPr>
        <w:rPr>
          <w:b/>
          <w:bCs/>
          <w:i/>
          <w:iCs/>
        </w:rPr>
      </w:pPr>
      <w:r w:rsidRPr="00536170">
        <w:rPr>
          <w:b/>
          <w:bCs/>
          <w:i/>
          <w:iCs/>
        </w:rPr>
        <w:t xml:space="preserve">Key strategic insights and action </w:t>
      </w:r>
    </w:p>
    <w:p w14:paraId="4103AC6E" w14:textId="77777777" w:rsidR="003943C7" w:rsidRDefault="001A15D2">
      <w:r>
        <w:t xml:space="preserve">Key strategic insights and options will be explored through focusing on aggressive pricing and investment, i.e. price-lock campaigns during inflation, along with the expansion of private-level products that will provide value and premium tiers through leveraging </w:t>
      </w:r>
      <w:proofErr w:type="spellStart"/>
      <w:r w:rsidRPr="003943C7">
        <w:t>Clubcard</w:t>
      </w:r>
      <w:proofErr w:type="spellEnd"/>
      <w:r w:rsidRPr="003943C7">
        <w:t xml:space="preserve"> data analytics for personalised pricing</w:t>
      </w:r>
      <w:r>
        <w:t xml:space="preserve">. </w:t>
      </w:r>
    </w:p>
    <w:p w14:paraId="44FAD03A" w14:textId="77777777" w:rsidR="003943C7" w:rsidRPr="00536170" w:rsidRDefault="001A15D2" w:rsidP="00536170">
      <w:pPr>
        <w:rPr>
          <w:b/>
          <w:bCs/>
          <w:i/>
          <w:iCs/>
        </w:rPr>
      </w:pPr>
      <w:r w:rsidRPr="00536170">
        <w:rPr>
          <w:b/>
          <w:bCs/>
          <w:i/>
          <w:iCs/>
        </w:rPr>
        <w:t>Critical Evolution (Cost Leadership Porter's Generic Strategy)</w:t>
      </w:r>
    </w:p>
    <w:p w14:paraId="651319DC" w14:textId="53F1F7A6" w:rsidR="003943C7" w:rsidRDefault="001A15D2">
      <w:r>
        <w:t xml:space="preserve">Applying the perceptions associated with cost leadership aspects (Porter's Generic Framework) is found to be highly effective because it aligns directly with infraction-driven price sensitivity through assessing the economies of scale, allowing for specifying as well as creating how low pricing will create a considerable impact without severe margin </w:t>
      </w:r>
      <w:r w:rsidR="005B67E0">
        <w:t>erosion</w:t>
      </w:r>
      <w:r w:rsidR="005B67E0" w:rsidRPr="005E5722">
        <w:t xml:space="preserve"> (</w:t>
      </w:r>
      <w:r w:rsidR="005E5722" w:rsidRPr="005E5722">
        <w:t>Rashid, 2023)</w:t>
      </w:r>
      <w:r w:rsidR="005E5722">
        <w:t xml:space="preserve">. </w:t>
      </w:r>
      <w:r>
        <w:t>Nevertheless, Tesco goes beyond pure cost leadership attributes by embedding data driven differentiation process by creating customer switching barriers along with spec</w:t>
      </w:r>
      <w:r w:rsidR="005E5722">
        <w:t xml:space="preserve">ifying higher perceived value </w:t>
      </w:r>
      <w:r w:rsidR="005E5722" w:rsidRPr="005E5722">
        <w:t>(</w:t>
      </w:r>
      <w:proofErr w:type="spellStart"/>
      <w:r w:rsidR="005E5722" w:rsidRPr="005E5722">
        <w:t>Samadzadeh</w:t>
      </w:r>
      <w:proofErr w:type="spellEnd"/>
      <w:r w:rsidR="005E5722" w:rsidRPr="005E5722">
        <w:t>, 2024)</w:t>
      </w:r>
      <w:r w:rsidR="005E5722">
        <w:t xml:space="preserve">. </w:t>
      </w:r>
      <w:r>
        <w:t xml:space="preserve">The critical evolution process will be specified through combining </w:t>
      </w:r>
      <w:r w:rsidRPr="003943C7">
        <w:t>cost efficiency with data-enabled value creation</w:t>
      </w:r>
      <w:r>
        <w:t xml:space="preserve">, making its strategy </w:t>
      </w:r>
      <w:r w:rsidRPr="003943C7">
        <w:t>hybrid but coherent</w:t>
      </w:r>
      <w:r>
        <w:t xml:space="preserve">. </w:t>
      </w:r>
    </w:p>
    <w:p w14:paraId="21953EC2" w14:textId="77777777" w:rsidR="003943C7" w:rsidRDefault="00536170" w:rsidP="00536170">
      <w:pPr>
        <w:pStyle w:val="Heading3"/>
      </w:pPr>
      <w:bookmarkStart w:id="16" w:name="_Toc225265851"/>
      <w:r>
        <w:t xml:space="preserve">2.2.1.2. </w:t>
      </w:r>
      <w:proofErr w:type="spellStart"/>
      <w:r w:rsidR="001A15D2">
        <w:t>Ansoff’s</w:t>
      </w:r>
      <w:proofErr w:type="spellEnd"/>
      <w:r w:rsidR="001A15D2">
        <w:t xml:space="preserve"> Growth Matrix Application</w:t>
      </w:r>
      <w:bookmarkEnd w:id="16"/>
    </w:p>
    <w:tbl>
      <w:tblPr>
        <w:tblStyle w:val="GridTable4-Accent2"/>
        <w:tblW w:w="0" w:type="auto"/>
        <w:tblLook w:val="04A0" w:firstRow="1" w:lastRow="0" w:firstColumn="1" w:lastColumn="0" w:noHBand="0" w:noVBand="1"/>
      </w:tblPr>
      <w:tblGrid>
        <w:gridCol w:w="2614"/>
        <w:gridCol w:w="3414"/>
        <w:gridCol w:w="2988"/>
      </w:tblGrid>
      <w:tr w:rsidR="00C825D3" w14:paraId="5AB297BC" w14:textId="77777777" w:rsidTr="005B67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75955205" w14:textId="77777777" w:rsidR="003943C7" w:rsidRDefault="001A15D2" w:rsidP="00892B22">
            <w:pPr>
              <w:jc w:val="center"/>
            </w:pPr>
            <w:r>
              <w:t>Strategy</w:t>
            </w:r>
          </w:p>
        </w:tc>
        <w:tc>
          <w:tcPr>
            <w:tcW w:w="3501" w:type="dxa"/>
          </w:tcPr>
          <w:p w14:paraId="7C7876D5" w14:textId="77777777" w:rsidR="003943C7" w:rsidRDefault="001A15D2" w:rsidP="00892B22">
            <w:pPr>
              <w:jc w:val="center"/>
              <w:cnfStyle w:val="100000000000" w:firstRow="1" w:lastRow="0" w:firstColumn="0" w:lastColumn="0" w:oddVBand="0" w:evenVBand="0" w:oddHBand="0" w:evenHBand="0" w:firstRowFirstColumn="0" w:firstRowLastColumn="0" w:lastRowFirstColumn="0" w:lastRowLastColumn="0"/>
            </w:pPr>
            <w:r>
              <w:t>Tesco Implementation</w:t>
            </w:r>
          </w:p>
        </w:tc>
        <w:tc>
          <w:tcPr>
            <w:tcW w:w="3081" w:type="dxa"/>
          </w:tcPr>
          <w:p w14:paraId="3473D4AC" w14:textId="77777777" w:rsidR="003943C7" w:rsidRDefault="001A15D2" w:rsidP="00892B22">
            <w:pPr>
              <w:jc w:val="center"/>
              <w:cnfStyle w:val="100000000000" w:firstRow="1" w:lastRow="0" w:firstColumn="0" w:lastColumn="0" w:oddVBand="0" w:evenVBand="0" w:oddHBand="0" w:evenHBand="0" w:firstRowFirstColumn="0" w:firstRowLastColumn="0" w:lastRowFirstColumn="0" w:lastRowLastColumn="0"/>
            </w:pPr>
            <w:r>
              <w:t>Evaluation</w:t>
            </w:r>
          </w:p>
        </w:tc>
      </w:tr>
      <w:tr w:rsidR="00C825D3" w14:paraId="2E9C8578" w14:textId="77777777" w:rsidTr="005B67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1073EB8E" w14:textId="77777777" w:rsidR="003943C7" w:rsidRDefault="001A15D2" w:rsidP="00892B22">
            <w:pPr>
              <w:jc w:val="center"/>
            </w:pPr>
            <w:r>
              <w:t>Market Penetration</w:t>
            </w:r>
          </w:p>
        </w:tc>
        <w:tc>
          <w:tcPr>
            <w:tcW w:w="3501" w:type="dxa"/>
          </w:tcPr>
          <w:p w14:paraId="4A205B69" w14:textId="77777777" w:rsidR="003943C7" w:rsidRDefault="001A15D2" w:rsidP="00892B22">
            <w:pPr>
              <w:jc w:val="center"/>
              <w:cnfStyle w:val="000000100000" w:firstRow="0" w:lastRow="0" w:firstColumn="0" w:lastColumn="0" w:oddVBand="0" w:evenVBand="0" w:oddHBand="1" w:evenHBand="0" w:firstRowFirstColumn="0" w:firstRowLastColumn="0" w:lastRowFirstColumn="0" w:lastRowLastColumn="0"/>
            </w:pPr>
            <w:r w:rsidRPr="00496B41">
              <w:t>Price reductions, loyalty rewards</w:t>
            </w:r>
          </w:p>
        </w:tc>
        <w:tc>
          <w:tcPr>
            <w:tcW w:w="3081" w:type="dxa"/>
          </w:tcPr>
          <w:p w14:paraId="565FA728" w14:textId="77777777" w:rsidR="003943C7" w:rsidRDefault="001A15D2" w:rsidP="00892B22">
            <w:pPr>
              <w:jc w:val="center"/>
              <w:cnfStyle w:val="000000100000" w:firstRow="0" w:lastRow="0" w:firstColumn="0" w:lastColumn="0" w:oddVBand="0" w:evenVBand="0" w:oddHBand="1" w:evenHBand="0" w:firstRowFirstColumn="0" w:firstRowLastColumn="0" w:lastRowFirstColumn="0" w:lastRowLastColumn="0"/>
            </w:pPr>
            <w:r>
              <w:t>Highly effective in retaining customers during inflation</w:t>
            </w:r>
          </w:p>
        </w:tc>
      </w:tr>
      <w:tr w:rsidR="00C825D3" w14:paraId="63EE5696" w14:textId="77777777" w:rsidTr="005B67E0">
        <w:tc>
          <w:tcPr>
            <w:cnfStyle w:val="001000000000" w:firstRow="0" w:lastRow="0" w:firstColumn="1" w:lastColumn="0" w:oddVBand="0" w:evenVBand="0" w:oddHBand="0" w:evenHBand="0" w:firstRowFirstColumn="0" w:firstRowLastColumn="0" w:lastRowFirstColumn="0" w:lastRowLastColumn="0"/>
            <w:tcW w:w="2660" w:type="dxa"/>
          </w:tcPr>
          <w:p w14:paraId="45B92190" w14:textId="77777777" w:rsidR="003943C7" w:rsidRDefault="001A15D2" w:rsidP="00892B22">
            <w:pPr>
              <w:jc w:val="center"/>
            </w:pPr>
            <w:r>
              <w:t>Product Development</w:t>
            </w:r>
          </w:p>
        </w:tc>
        <w:tc>
          <w:tcPr>
            <w:tcW w:w="3501" w:type="dxa"/>
          </w:tcPr>
          <w:p w14:paraId="6A496A66" w14:textId="77777777" w:rsidR="003943C7" w:rsidRDefault="001A15D2" w:rsidP="00892B22">
            <w:pPr>
              <w:jc w:val="center"/>
              <w:cnfStyle w:val="000000000000" w:firstRow="0" w:lastRow="0" w:firstColumn="0" w:lastColumn="0" w:oddVBand="0" w:evenVBand="0" w:oddHBand="0" w:evenHBand="0" w:firstRowFirstColumn="0" w:firstRowLastColumn="0" w:lastRowFirstColumn="0" w:lastRowLastColumn="0"/>
            </w:pPr>
            <w:r>
              <w:t>Expansion of own-label ranges</w:t>
            </w:r>
          </w:p>
        </w:tc>
        <w:tc>
          <w:tcPr>
            <w:tcW w:w="3081" w:type="dxa"/>
          </w:tcPr>
          <w:p w14:paraId="1D83CA23" w14:textId="77777777" w:rsidR="003943C7" w:rsidRDefault="001A15D2" w:rsidP="00892B22">
            <w:pPr>
              <w:jc w:val="center"/>
              <w:cnfStyle w:val="000000000000" w:firstRow="0" w:lastRow="0" w:firstColumn="0" w:lastColumn="0" w:oddVBand="0" w:evenVBand="0" w:oddHBand="0" w:evenHBand="0" w:firstRowFirstColumn="0" w:firstRowLastColumn="0" w:lastRowFirstColumn="0" w:lastRowLastColumn="0"/>
            </w:pPr>
            <w:r>
              <w:t>Enhances margins and brand control</w:t>
            </w:r>
          </w:p>
        </w:tc>
      </w:tr>
      <w:tr w:rsidR="00C825D3" w14:paraId="2481AD83" w14:textId="77777777" w:rsidTr="005B67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497CA955" w14:textId="77777777" w:rsidR="003943C7" w:rsidRDefault="001A15D2" w:rsidP="00892B22">
            <w:pPr>
              <w:jc w:val="center"/>
            </w:pPr>
            <w:r w:rsidRPr="00E033A0">
              <w:t>Market Development</w:t>
            </w:r>
          </w:p>
        </w:tc>
        <w:tc>
          <w:tcPr>
            <w:tcW w:w="3501" w:type="dxa"/>
          </w:tcPr>
          <w:p w14:paraId="4E7910D9" w14:textId="77777777" w:rsidR="003943C7" w:rsidRDefault="001A15D2" w:rsidP="00892B22">
            <w:pPr>
              <w:jc w:val="center"/>
              <w:cnfStyle w:val="000000100000" w:firstRow="0" w:lastRow="0" w:firstColumn="0" w:lastColumn="0" w:oddVBand="0" w:evenVBand="0" w:oddHBand="1" w:evenHBand="0" w:firstRowFirstColumn="0" w:firstRowLastColumn="0" w:lastRowFirstColumn="0" w:lastRowLastColumn="0"/>
            </w:pPr>
            <w:r>
              <w:t xml:space="preserve">Growth in convenience stores </w:t>
            </w:r>
            <w:r w:rsidR="002B5148">
              <w:t>and</w:t>
            </w:r>
            <w:r>
              <w:t xml:space="preserve"> online channels</w:t>
            </w:r>
          </w:p>
        </w:tc>
        <w:tc>
          <w:tcPr>
            <w:tcW w:w="3081" w:type="dxa"/>
          </w:tcPr>
          <w:p w14:paraId="15882F0C" w14:textId="77777777" w:rsidR="003943C7" w:rsidRDefault="001A15D2" w:rsidP="00892B22">
            <w:pPr>
              <w:jc w:val="center"/>
              <w:cnfStyle w:val="000000100000" w:firstRow="0" w:lastRow="0" w:firstColumn="0" w:lastColumn="0" w:oddVBand="0" w:evenVBand="0" w:oddHBand="1" w:evenHBand="0" w:firstRowFirstColumn="0" w:firstRowLastColumn="0" w:lastRowFirstColumn="0" w:lastRowLastColumn="0"/>
            </w:pPr>
            <w:r>
              <w:t>Captures urban and time-poor consumers</w:t>
            </w:r>
          </w:p>
        </w:tc>
      </w:tr>
      <w:tr w:rsidR="00C825D3" w14:paraId="1D9CC8C6" w14:textId="77777777" w:rsidTr="005B67E0">
        <w:tc>
          <w:tcPr>
            <w:cnfStyle w:val="001000000000" w:firstRow="0" w:lastRow="0" w:firstColumn="1" w:lastColumn="0" w:oddVBand="0" w:evenVBand="0" w:oddHBand="0" w:evenHBand="0" w:firstRowFirstColumn="0" w:firstRowLastColumn="0" w:lastRowFirstColumn="0" w:lastRowLastColumn="0"/>
            <w:tcW w:w="2660" w:type="dxa"/>
          </w:tcPr>
          <w:p w14:paraId="1DEA3F60" w14:textId="77777777" w:rsidR="003943C7" w:rsidRDefault="001A15D2" w:rsidP="00892B22">
            <w:pPr>
              <w:jc w:val="center"/>
            </w:pPr>
            <w:r>
              <w:t>Diversification</w:t>
            </w:r>
          </w:p>
        </w:tc>
        <w:tc>
          <w:tcPr>
            <w:tcW w:w="3501" w:type="dxa"/>
          </w:tcPr>
          <w:p w14:paraId="3E8E15F9" w14:textId="77777777" w:rsidR="003943C7" w:rsidRDefault="001A15D2" w:rsidP="00892B22">
            <w:pPr>
              <w:jc w:val="center"/>
              <w:cnfStyle w:val="000000000000" w:firstRow="0" w:lastRow="0" w:firstColumn="0" w:lastColumn="0" w:oddVBand="0" w:evenVBand="0" w:oddHBand="0" w:evenHBand="0" w:firstRowFirstColumn="0" w:firstRowLastColumn="0" w:lastRowFirstColumn="0" w:lastRowLastColumn="0"/>
            </w:pPr>
            <w:r>
              <w:t>Tesco Bank, retail media, marketplace</w:t>
            </w:r>
          </w:p>
        </w:tc>
        <w:tc>
          <w:tcPr>
            <w:tcW w:w="3081" w:type="dxa"/>
          </w:tcPr>
          <w:p w14:paraId="6BEDD1F6" w14:textId="77777777" w:rsidR="003943C7" w:rsidRDefault="001A15D2" w:rsidP="00892B22">
            <w:pPr>
              <w:jc w:val="center"/>
              <w:cnfStyle w:val="000000000000" w:firstRow="0" w:lastRow="0" w:firstColumn="0" w:lastColumn="0" w:oddVBand="0" w:evenVBand="0" w:oddHBand="0" w:evenHBand="0" w:firstRowFirstColumn="0" w:firstRowLastColumn="0" w:lastRowFirstColumn="0" w:lastRowLastColumn="0"/>
            </w:pPr>
            <w:r>
              <w:t>Risky but strengthens long-term growth</w:t>
            </w:r>
          </w:p>
        </w:tc>
      </w:tr>
    </w:tbl>
    <w:p w14:paraId="22CF17E4" w14:textId="77777777" w:rsidR="003943C7" w:rsidRDefault="003943C7"/>
    <w:p w14:paraId="7DD455FF" w14:textId="77777777" w:rsidR="00496B41" w:rsidRPr="00536170" w:rsidRDefault="001A15D2" w:rsidP="00536170">
      <w:pPr>
        <w:rPr>
          <w:b/>
          <w:bCs/>
          <w:i/>
          <w:iCs/>
        </w:rPr>
      </w:pPr>
      <w:r w:rsidRPr="00536170">
        <w:rPr>
          <w:b/>
          <w:bCs/>
          <w:i/>
          <w:iCs/>
        </w:rPr>
        <w:t xml:space="preserve">Critical Evolution </w:t>
      </w:r>
    </w:p>
    <w:p w14:paraId="55F4257A" w14:textId="46719766" w:rsidR="00496B41" w:rsidRDefault="001A15D2">
      <w:r>
        <w:t>Under the mentioned business circumstances, the mentioned company in the report, Tesco, will demonstrate on creating balanced growth portfolio through creating short term resilience by assessing market penetration, where adopting the right pricing strategy wi</w:t>
      </w:r>
      <w:r w:rsidR="005E5722">
        <w:t xml:space="preserve">ll have a considerable impact </w:t>
      </w:r>
      <w:r w:rsidR="005E5722" w:rsidRPr="005E5722">
        <w:t>(</w:t>
      </w:r>
      <w:proofErr w:type="spellStart"/>
      <w:r w:rsidR="005E5722" w:rsidRPr="005E5722">
        <w:t>Stylianou</w:t>
      </w:r>
      <w:proofErr w:type="spellEnd"/>
      <w:r w:rsidR="005E5722" w:rsidRPr="005E5722">
        <w:t xml:space="preserve"> </w:t>
      </w:r>
      <w:r w:rsidR="002B5148">
        <w:t>and</w:t>
      </w:r>
      <w:r w:rsidR="005E5722" w:rsidRPr="005E5722">
        <w:t xml:space="preserve"> </w:t>
      </w:r>
      <w:proofErr w:type="spellStart"/>
      <w:r w:rsidR="005E5722" w:rsidRPr="005E5722">
        <w:t>Pantelidou</w:t>
      </w:r>
      <w:proofErr w:type="spellEnd"/>
      <w:r w:rsidR="005E5722" w:rsidRPr="005E5722">
        <w:t>, 2025)</w:t>
      </w:r>
      <w:r w:rsidR="005E5722">
        <w:t xml:space="preserve">. </w:t>
      </w:r>
      <w:r>
        <w:t xml:space="preserve">On the other hand, working with the long-term growth aspects for Tesco diversification and digital ecosystem integration will explore as well as deliver the right strategic </w:t>
      </w:r>
      <w:r w:rsidR="005B67E0">
        <w:t>choice</w:t>
      </w:r>
      <w:r w:rsidR="005B67E0" w:rsidRPr="005E5722">
        <w:t xml:space="preserve"> (</w:t>
      </w:r>
      <w:proofErr w:type="spellStart"/>
      <w:r w:rsidR="005E5722" w:rsidRPr="005E5722">
        <w:t>Mohebbi</w:t>
      </w:r>
      <w:proofErr w:type="spellEnd"/>
      <w:r w:rsidR="005E5722" w:rsidRPr="005E5722">
        <w:t xml:space="preserve"> et al., 2023)</w:t>
      </w:r>
      <w:r>
        <w:t xml:space="preserve">.  However, the diversification process might introduce strategic risk through creating as well as specifying over-reliance </w:t>
      </w:r>
      <w:r w:rsidRPr="00496B41">
        <w:t>on price competition, which could erode brand differentiation</w:t>
      </w:r>
      <w:r>
        <w:t>.</w:t>
      </w:r>
    </w:p>
    <w:p w14:paraId="124E8D51" w14:textId="77777777" w:rsidR="00496B41" w:rsidRDefault="00536170" w:rsidP="00892B22">
      <w:pPr>
        <w:pStyle w:val="Heading2"/>
      </w:pPr>
      <w:bookmarkStart w:id="17" w:name="_Toc225265852"/>
      <w:r>
        <w:t xml:space="preserve">2.2.2. </w:t>
      </w:r>
      <w:r w:rsidR="001A15D2">
        <w:t>Sainsbury's Strategic Response (Follower Organisation)</w:t>
      </w:r>
      <w:bookmarkEnd w:id="17"/>
    </w:p>
    <w:p w14:paraId="6A9027A7" w14:textId="77777777" w:rsidR="003650D4" w:rsidRDefault="00536170" w:rsidP="00892B22">
      <w:pPr>
        <w:pStyle w:val="Heading3"/>
      </w:pPr>
      <w:bookmarkStart w:id="18" w:name="_Toc225265853"/>
      <w:r>
        <w:t xml:space="preserve">2.2.2.1. </w:t>
      </w:r>
      <w:r w:rsidR="001A15D2">
        <w:t>Porter's Generic Strategy</w:t>
      </w:r>
      <w:bookmarkEnd w:id="18"/>
    </w:p>
    <w:tbl>
      <w:tblPr>
        <w:tblStyle w:val="GridTable4-Accent11"/>
        <w:tblW w:w="0" w:type="auto"/>
        <w:tblLook w:val="04A0" w:firstRow="1" w:lastRow="0" w:firstColumn="1" w:lastColumn="0" w:noHBand="0" w:noVBand="1"/>
      </w:tblPr>
      <w:tblGrid>
        <w:gridCol w:w="2593"/>
        <w:gridCol w:w="3193"/>
        <w:gridCol w:w="3230"/>
      </w:tblGrid>
      <w:tr w:rsidR="00C825D3" w14:paraId="63E1EB42" w14:textId="77777777" w:rsidTr="005361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374E1998" w14:textId="77777777" w:rsidR="003650D4" w:rsidRDefault="001A15D2" w:rsidP="00892B22">
            <w:pPr>
              <w:jc w:val="center"/>
            </w:pPr>
            <w:r>
              <w:t>Competitive Scope / Advantage</w:t>
            </w:r>
          </w:p>
        </w:tc>
        <w:tc>
          <w:tcPr>
            <w:tcW w:w="3260" w:type="dxa"/>
          </w:tcPr>
          <w:p w14:paraId="4A38B396" w14:textId="77777777" w:rsidR="003650D4" w:rsidRDefault="001A15D2" w:rsidP="00892B22">
            <w:pPr>
              <w:jc w:val="center"/>
              <w:cnfStyle w:val="100000000000" w:firstRow="1" w:lastRow="0" w:firstColumn="0" w:lastColumn="0" w:oddVBand="0" w:evenVBand="0" w:oddHBand="0" w:evenHBand="0" w:firstRowFirstColumn="0" w:firstRowLastColumn="0" w:lastRowFirstColumn="0" w:lastRowLastColumn="0"/>
            </w:pPr>
            <w:r>
              <w:t>Lower Cost</w:t>
            </w:r>
          </w:p>
        </w:tc>
        <w:tc>
          <w:tcPr>
            <w:tcW w:w="3322" w:type="dxa"/>
          </w:tcPr>
          <w:p w14:paraId="7C4E5363" w14:textId="77777777" w:rsidR="003650D4" w:rsidRDefault="001A15D2" w:rsidP="00892B22">
            <w:pPr>
              <w:jc w:val="center"/>
              <w:cnfStyle w:val="100000000000" w:firstRow="1" w:lastRow="0" w:firstColumn="0" w:lastColumn="0" w:oddVBand="0" w:evenVBand="0" w:oddHBand="0" w:evenHBand="0" w:firstRowFirstColumn="0" w:firstRowLastColumn="0" w:lastRowFirstColumn="0" w:lastRowLastColumn="0"/>
            </w:pPr>
            <w:r>
              <w:t>Differentiation</w:t>
            </w:r>
          </w:p>
        </w:tc>
      </w:tr>
      <w:tr w:rsidR="00C825D3" w14:paraId="742DACAC" w14:textId="77777777" w:rsidTr="005361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6D0B2B33" w14:textId="77777777" w:rsidR="003650D4" w:rsidRDefault="001A15D2" w:rsidP="00892B22">
            <w:pPr>
              <w:jc w:val="center"/>
            </w:pPr>
            <w:r>
              <w:t>Broad Target</w:t>
            </w:r>
          </w:p>
        </w:tc>
        <w:tc>
          <w:tcPr>
            <w:tcW w:w="3260" w:type="dxa"/>
          </w:tcPr>
          <w:p w14:paraId="608536C4" w14:textId="77777777" w:rsidR="003650D4" w:rsidRDefault="001A15D2" w:rsidP="00892B22">
            <w:pPr>
              <w:jc w:val="center"/>
              <w:cnfStyle w:val="000000100000" w:firstRow="0" w:lastRow="0" w:firstColumn="0" w:lastColumn="0" w:oddVBand="0" w:evenVBand="0" w:oddHBand="1" w:evenHBand="0" w:firstRowFirstColumn="0" w:firstRowLastColumn="0" w:lastRowFirstColumn="0" w:lastRowLastColumn="0"/>
            </w:pPr>
            <w:r w:rsidRPr="00A71628">
              <w:t>Cost Leadership (Partial/Defensive)</w:t>
            </w:r>
          </w:p>
          <w:p w14:paraId="7192E520" w14:textId="77777777" w:rsidR="00A71628" w:rsidRDefault="001A15D2" w:rsidP="00892B22">
            <w:pPr>
              <w:jc w:val="center"/>
              <w:cnfStyle w:val="000000100000" w:firstRow="0" w:lastRow="0" w:firstColumn="0" w:lastColumn="0" w:oddVBand="0" w:evenVBand="0" w:oddHBand="1" w:evenHBand="0" w:firstRowFirstColumn="0" w:firstRowLastColumn="0" w:lastRowFirstColumn="0" w:lastRowLastColumn="0"/>
            </w:pPr>
            <w:r>
              <w:t>Focusing on an effective pricing strategy through comprising on the rival pricing model and programs</w:t>
            </w:r>
          </w:p>
        </w:tc>
        <w:tc>
          <w:tcPr>
            <w:tcW w:w="3322" w:type="dxa"/>
          </w:tcPr>
          <w:p w14:paraId="2B6CFA5B" w14:textId="77777777" w:rsidR="003650D4" w:rsidRDefault="001A15D2" w:rsidP="00892B22">
            <w:pPr>
              <w:jc w:val="center"/>
              <w:cnfStyle w:val="000000100000" w:firstRow="0" w:lastRow="0" w:firstColumn="0" w:lastColumn="0" w:oddVBand="0" w:evenVBand="0" w:oddHBand="1" w:evenHBand="0" w:firstRowFirstColumn="0" w:firstRowLastColumn="0" w:lastRowFirstColumn="0" w:lastRowLastColumn="0"/>
            </w:pPr>
            <w:r>
              <w:t>Differentiation (Primary Strategy)</w:t>
            </w:r>
          </w:p>
          <w:p w14:paraId="0ECD471C" w14:textId="77777777" w:rsidR="00A71628" w:rsidRDefault="001A15D2" w:rsidP="00892B22">
            <w:pPr>
              <w:jc w:val="center"/>
              <w:cnfStyle w:val="000000100000" w:firstRow="0" w:lastRow="0" w:firstColumn="0" w:lastColumn="0" w:oddVBand="0" w:evenVBand="0" w:oddHBand="1" w:evenHBand="0" w:firstRowFirstColumn="0" w:firstRowLastColumn="0" w:lastRowFirstColumn="0" w:lastRowLastColumn="0"/>
            </w:pPr>
            <w:r>
              <w:t>Focusing on good quality food positioning through specifying and creating a strong brand reputation</w:t>
            </w:r>
          </w:p>
        </w:tc>
      </w:tr>
      <w:tr w:rsidR="00C825D3" w14:paraId="3D661783" w14:textId="77777777" w:rsidTr="00536170">
        <w:tc>
          <w:tcPr>
            <w:cnfStyle w:val="001000000000" w:firstRow="0" w:lastRow="0" w:firstColumn="1" w:lastColumn="0" w:oddVBand="0" w:evenVBand="0" w:oddHBand="0" w:evenHBand="0" w:firstRowFirstColumn="0" w:firstRowLastColumn="0" w:lastRowFirstColumn="0" w:lastRowLastColumn="0"/>
            <w:tcW w:w="2660" w:type="dxa"/>
          </w:tcPr>
          <w:p w14:paraId="174648D5" w14:textId="77777777" w:rsidR="003650D4" w:rsidRDefault="001A15D2" w:rsidP="00892B22">
            <w:pPr>
              <w:jc w:val="center"/>
            </w:pPr>
            <w:r>
              <w:t>Narrow Target</w:t>
            </w:r>
          </w:p>
        </w:tc>
        <w:tc>
          <w:tcPr>
            <w:tcW w:w="3260" w:type="dxa"/>
          </w:tcPr>
          <w:p w14:paraId="7E64E113" w14:textId="77777777" w:rsidR="003650D4" w:rsidRDefault="001A15D2" w:rsidP="00892B22">
            <w:pPr>
              <w:jc w:val="center"/>
              <w:cnfStyle w:val="000000000000" w:firstRow="0" w:lastRow="0" w:firstColumn="0" w:lastColumn="0" w:oddVBand="0" w:evenVBand="0" w:oddHBand="0" w:evenHBand="0" w:firstRowFirstColumn="0" w:firstRowLastColumn="0" w:lastRowFirstColumn="0" w:lastRowLastColumn="0"/>
            </w:pPr>
            <w:r w:rsidRPr="00A71628">
              <w:t>Cost Focus (Weak)</w:t>
            </w:r>
          </w:p>
          <w:p w14:paraId="7F1BA3F6" w14:textId="77777777" w:rsidR="00A71628" w:rsidRDefault="001A15D2" w:rsidP="00892B22">
            <w:pPr>
              <w:jc w:val="center"/>
              <w:cnfStyle w:val="000000000000" w:firstRow="0" w:lastRow="0" w:firstColumn="0" w:lastColumn="0" w:oddVBand="0" w:evenVBand="0" w:oddHBand="0" w:evenHBand="0" w:firstRowFirstColumn="0" w:firstRowLastColumn="0" w:lastRowFirstColumn="0" w:lastRowLastColumn="0"/>
            </w:pPr>
            <w:r>
              <w:t>Limited ability to compete with discounters is not a core strength</w:t>
            </w:r>
          </w:p>
        </w:tc>
        <w:tc>
          <w:tcPr>
            <w:tcW w:w="3322" w:type="dxa"/>
          </w:tcPr>
          <w:p w14:paraId="626E238E" w14:textId="77777777" w:rsidR="003650D4" w:rsidRDefault="001A15D2" w:rsidP="00892B22">
            <w:pPr>
              <w:jc w:val="center"/>
              <w:cnfStyle w:val="000000000000" w:firstRow="0" w:lastRow="0" w:firstColumn="0" w:lastColumn="0" w:oddVBand="0" w:evenVBand="0" w:oddHBand="0" w:evenHBand="0" w:firstRowFirstColumn="0" w:firstRowLastColumn="0" w:lastRowFirstColumn="0" w:lastRowLastColumn="0"/>
            </w:pPr>
            <w:r>
              <w:t>Differentiation Focus (Moderate)</w:t>
            </w:r>
          </w:p>
          <w:p w14:paraId="3656DCEC" w14:textId="77777777" w:rsidR="00A71628" w:rsidRDefault="001A15D2" w:rsidP="00892B22">
            <w:pPr>
              <w:jc w:val="center"/>
              <w:cnfStyle w:val="000000000000" w:firstRow="0" w:lastRow="0" w:firstColumn="0" w:lastColumn="0" w:oddVBand="0" w:evenVBand="0" w:oddHBand="0" w:evenHBand="0" w:firstRowFirstColumn="0" w:firstRowLastColumn="0" w:lastRowFirstColumn="0" w:lastRowLastColumn="0"/>
            </w:pPr>
            <w:r>
              <w:t>Premium ranges (Taste the Difference) with focusing on quality-conscious consumers in the UK Market</w:t>
            </w:r>
          </w:p>
        </w:tc>
      </w:tr>
    </w:tbl>
    <w:p w14:paraId="10A0C4E6" w14:textId="77777777" w:rsidR="003650D4" w:rsidRDefault="003650D4"/>
    <w:p w14:paraId="02AE69E6" w14:textId="77777777" w:rsidR="00496B41" w:rsidRPr="00536170" w:rsidRDefault="001A15D2" w:rsidP="00536170">
      <w:pPr>
        <w:rPr>
          <w:b/>
          <w:bCs/>
          <w:i/>
          <w:iCs/>
        </w:rPr>
      </w:pPr>
      <w:r w:rsidRPr="00536170">
        <w:rPr>
          <w:b/>
          <w:bCs/>
          <w:i/>
          <w:iCs/>
        </w:rPr>
        <w:t>Porter’s Generic Strategy: Differentiation with Cost Adaptation</w:t>
      </w:r>
    </w:p>
    <w:p w14:paraId="782154D3" w14:textId="77777777" w:rsidR="0050402C" w:rsidRDefault="001A15D2">
      <w:r>
        <w:t xml:space="preserve">Out of the four quadrants of the selected theatrical </w:t>
      </w:r>
      <w:r w:rsidR="00536170">
        <w:t>framework</w:t>
      </w:r>
      <w:r>
        <w:t xml:space="preserve"> assessing the strategic positioning will allow Sainsbury, with its management, to adopt a </w:t>
      </w:r>
      <w:r w:rsidRPr="00496B41">
        <w:t>differentiation strategy</w:t>
      </w:r>
      <w:r>
        <w:t xml:space="preserve"> through emphasising quality (fresh food, premium perception) and creating brand trust.  </w:t>
      </w:r>
      <w:r w:rsidR="00355597">
        <w:t xml:space="preserve">Simultaneously, the context integrates by specifying on adopting the fundamental strategies associated with </w:t>
      </w:r>
      <w:r w:rsidR="00355597" w:rsidRPr="00355597">
        <w:t>cost adaptation strategies</w:t>
      </w:r>
      <w:r w:rsidR="00355597">
        <w:t xml:space="preserve"> that will include Aldi price-matching campaigns followed by Cost-saving programmes (£</w:t>
      </w:r>
      <w:proofErr w:type="spellStart"/>
      <w:r w:rsidR="00355597">
        <w:t>1bn</w:t>
      </w:r>
      <w:proofErr w:type="spellEnd"/>
      <w:r w:rsidR="00355597">
        <w:t xml:space="preserve"> efficiency targets)</w:t>
      </w:r>
      <w:r>
        <w:t>.</w:t>
      </w:r>
    </w:p>
    <w:p w14:paraId="31C00C4E" w14:textId="77777777" w:rsidR="0050402C" w:rsidRPr="00536170" w:rsidRDefault="001A15D2" w:rsidP="00536170">
      <w:pPr>
        <w:rPr>
          <w:b/>
          <w:bCs/>
          <w:i/>
          <w:iCs/>
        </w:rPr>
      </w:pPr>
      <w:r w:rsidRPr="00536170">
        <w:rPr>
          <w:b/>
          <w:bCs/>
          <w:i/>
          <w:iCs/>
        </w:rPr>
        <w:t xml:space="preserve">Key strategic insights and action </w:t>
      </w:r>
    </w:p>
    <w:p w14:paraId="2FA4DB3D" w14:textId="77777777" w:rsidR="00773DA5" w:rsidRDefault="001A15D2">
      <w:r>
        <w:t>Differentiation with Cost Adaptation alongside will specify as well as create the ongoing context through specifying as well as assessing the current and ongoing market positioning of Sainsbury, where the ongoing inflation is created a</w:t>
      </w:r>
      <w:r w:rsidR="005E5722">
        <w:t xml:space="preserve">s one of the serious concerns </w:t>
      </w:r>
      <w:r w:rsidR="005E5722" w:rsidRPr="005E5722">
        <w:t>(</w:t>
      </w:r>
      <w:proofErr w:type="spellStart"/>
      <w:r w:rsidR="005E5722" w:rsidRPr="005E5722">
        <w:t>Stylianou</w:t>
      </w:r>
      <w:proofErr w:type="spellEnd"/>
      <w:r w:rsidR="005E5722" w:rsidRPr="005E5722">
        <w:t xml:space="preserve"> </w:t>
      </w:r>
      <w:r w:rsidR="002B5148">
        <w:t>and</w:t>
      </w:r>
      <w:r w:rsidR="005E5722" w:rsidRPr="005E5722">
        <w:t xml:space="preserve"> </w:t>
      </w:r>
      <w:proofErr w:type="spellStart"/>
      <w:r w:rsidR="005E5722" w:rsidRPr="005E5722">
        <w:t>Pantelidou</w:t>
      </w:r>
      <w:proofErr w:type="spellEnd"/>
      <w:r w:rsidR="005E5722" w:rsidRPr="005E5722">
        <w:t>, 2025)</w:t>
      </w:r>
      <w:r w:rsidR="005E5722">
        <w:t xml:space="preserve">. </w:t>
      </w:r>
      <w:r>
        <w:t xml:space="preserve">Alongside specifying the differentiation aspects will also look forward to specifying as well as assessing the current context of discussions through understanding the differentiation process over their offerings on rivals that will provide a defined competitive edge.   </w:t>
      </w:r>
    </w:p>
    <w:p w14:paraId="627B70E6" w14:textId="77777777" w:rsidR="00773DA5" w:rsidRPr="00536170" w:rsidRDefault="001A15D2" w:rsidP="00536170">
      <w:pPr>
        <w:rPr>
          <w:b/>
          <w:bCs/>
          <w:i/>
          <w:iCs/>
        </w:rPr>
      </w:pPr>
      <w:r w:rsidRPr="00536170">
        <w:rPr>
          <w:b/>
          <w:bCs/>
          <w:i/>
          <w:iCs/>
        </w:rPr>
        <w:t>Critical Evaluation</w:t>
      </w:r>
    </w:p>
    <w:p w14:paraId="34A71B2C" w14:textId="6D661078" w:rsidR="00650B5F" w:rsidRDefault="001A15D2">
      <w:r>
        <w:t xml:space="preserve">The dual approach of the follower organisation, i.e. Sainsbury, created both strengths and risks through conceptualising the key as well as ongoing attributes with specifying proper retail management.  Strengths under the mentioned business circumstances will be specified through assessing appeals </w:t>
      </w:r>
      <w:r w:rsidRPr="00773DA5">
        <w:t>to middle-income consumers seeking</w:t>
      </w:r>
      <w:r w:rsidR="005E5722">
        <w:t xml:space="preserve"> both value and quality. </w:t>
      </w:r>
      <w:r>
        <w:t xml:space="preserve">On the other hand, the context also maintains proper brand visibility through identifying and adopting the impact and consequences of economic </w:t>
      </w:r>
      <w:r w:rsidR="005B67E0">
        <w:t>pressure</w:t>
      </w:r>
      <w:r w:rsidR="005B67E0" w:rsidRPr="005E5722">
        <w:t xml:space="preserve"> (</w:t>
      </w:r>
      <w:proofErr w:type="spellStart"/>
      <w:r w:rsidR="005E5722" w:rsidRPr="005E5722">
        <w:t>Mohebbi</w:t>
      </w:r>
      <w:proofErr w:type="spellEnd"/>
      <w:r w:rsidR="005E5722" w:rsidRPr="005E5722">
        <w:t xml:space="preserve"> et al., 2023)</w:t>
      </w:r>
      <w:r>
        <w:t xml:space="preserve">.  </w:t>
      </w:r>
    </w:p>
    <w:p w14:paraId="09CA24E1" w14:textId="77777777" w:rsidR="0098114D" w:rsidRDefault="001A15D2">
      <w:r>
        <w:t>Despite its strengths, weakness comprised through assessing the risk o</w:t>
      </w:r>
      <w:r w:rsidRPr="00773DA5">
        <w:t>f being “stuck in the middle” (Porter)</w:t>
      </w:r>
      <w:r>
        <w:t>, and it might also be difficult to compete fully on cost (vs Tesco/Aldi), where differentiation dilution might create one of the serious concerns, considering the fact associated with focusing heavily on pricing</w:t>
      </w:r>
      <w:r w:rsidR="005E5722" w:rsidRPr="005E5722">
        <w:t>(</w:t>
      </w:r>
      <w:proofErr w:type="spellStart"/>
      <w:r w:rsidR="005E5722" w:rsidRPr="005E5722">
        <w:t>Olarewaju</w:t>
      </w:r>
      <w:proofErr w:type="spellEnd"/>
      <w:r w:rsidR="005E5722" w:rsidRPr="005E5722">
        <w:t xml:space="preserve"> et al., 2024)</w:t>
      </w:r>
      <w:r w:rsidR="005E5722">
        <w:t>.</w:t>
      </w:r>
      <w:r>
        <w:t xml:space="preserve"> Hence, </w:t>
      </w:r>
      <w:r w:rsidRPr="0098114D">
        <w:t xml:space="preserve">Sainsbury’s strategy </w:t>
      </w:r>
      <w:r>
        <w:t xml:space="preserve">is found </w:t>
      </w:r>
      <w:r w:rsidRPr="0098114D">
        <w:t xml:space="preserve">to be reactive rather than proactive, </w:t>
      </w:r>
      <w:r>
        <w:t>driven by the contributions made by</w:t>
      </w:r>
      <w:r w:rsidRPr="0098114D">
        <w:t xml:space="preserve"> competitive pressure rather than internal capability.</w:t>
      </w:r>
    </w:p>
    <w:p w14:paraId="2AF58090" w14:textId="77777777" w:rsidR="0098114D" w:rsidRDefault="00536170" w:rsidP="00536170">
      <w:pPr>
        <w:pStyle w:val="Heading3"/>
      </w:pPr>
      <w:bookmarkStart w:id="19" w:name="_Toc225265854"/>
      <w:r>
        <w:t xml:space="preserve">2.2.2.2. </w:t>
      </w:r>
      <w:proofErr w:type="spellStart"/>
      <w:r w:rsidR="001A15D2">
        <w:t>Ansoff’s</w:t>
      </w:r>
      <w:proofErr w:type="spellEnd"/>
      <w:r w:rsidR="001A15D2">
        <w:t xml:space="preserve"> Growth Matrix Application</w:t>
      </w:r>
      <w:bookmarkEnd w:id="19"/>
    </w:p>
    <w:tbl>
      <w:tblPr>
        <w:tblStyle w:val="GridTable5Dark-Accent41"/>
        <w:tblW w:w="0" w:type="auto"/>
        <w:tblLook w:val="04A0" w:firstRow="1" w:lastRow="0" w:firstColumn="1" w:lastColumn="0" w:noHBand="0" w:noVBand="1"/>
      </w:tblPr>
      <w:tblGrid>
        <w:gridCol w:w="2612"/>
        <w:gridCol w:w="3409"/>
        <w:gridCol w:w="2995"/>
      </w:tblGrid>
      <w:tr w:rsidR="00C825D3" w14:paraId="1A9F703F" w14:textId="77777777" w:rsidTr="005361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2751F054" w14:textId="77777777" w:rsidR="0098114D" w:rsidRDefault="001A15D2" w:rsidP="00892B22">
            <w:pPr>
              <w:jc w:val="center"/>
            </w:pPr>
            <w:r>
              <w:t>Strategy</w:t>
            </w:r>
          </w:p>
        </w:tc>
        <w:tc>
          <w:tcPr>
            <w:tcW w:w="3501" w:type="dxa"/>
          </w:tcPr>
          <w:p w14:paraId="0D7D7C18" w14:textId="77777777" w:rsidR="0098114D" w:rsidRDefault="001A15D2" w:rsidP="00892B22">
            <w:pPr>
              <w:jc w:val="center"/>
              <w:cnfStyle w:val="100000000000" w:firstRow="1" w:lastRow="0" w:firstColumn="0" w:lastColumn="0" w:oddVBand="0" w:evenVBand="0" w:oddHBand="0" w:evenHBand="0" w:firstRowFirstColumn="0" w:firstRowLastColumn="0" w:lastRowFirstColumn="0" w:lastRowLastColumn="0"/>
            </w:pPr>
            <w:r w:rsidRPr="00BC7192">
              <w:t>Sainsbury’s Implementation</w:t>
            </w:r>
          </w:p>
        </w:tc>
        <w:tc>
          <w:tcPr>
            <w:tcW w:w="3081" w:type="dxa"/>
          </w:tcPr>
          <w:p w14:paraId="220E5354" w14:textId="77777777" w:rsidR="0098114D" w:rsidRDefault="001A15D2" w:rsidP="00892B22">
            <w:pPr>
              <w:jc w:val="center"/>
              <w:cnfStyle w:val="100000000000" w:firstRow="1" w:lastRow="0" w:firstColumn="0" w:lastColumn="0" w:oddVBand="0" w:evenVBand="0" w:oddHBand="0" w:evenHBand="0" w:firstRowFirstColumn="0" w:firstRowLastColumn="0" w:lastRowFirstColumn="0" w:lastRowLastColumn="0"/>
            </w:pPr>
            <w:r>
              <w:t>Evaluation</w:t>
            </w:r>
          </w:p>
        </w:tc>
      </w:tr>
      <w:tr w:rsidR="00C825D3" w14:paraId="2F70363F" w14:textId="77777777" w:rsidTr="005361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71A1D33C" w14:textId="77777777" w:rsidR="0098114D" w:rsidRDefault="001A15D2" w:rsidP="00892B22">
            <w:pPr>
              <w:jc w:val="center"/>
            </w:pPr>
            <w:r>
              <w:t>Market Penetration</w:t>
            </w:r>
          </w:p>
        </w:tc>
        <w:tc>
          <w:tcPr>
            <w:tcW w:w="3501" w:type="dxa"/>
          </w:tcPr>
          <w:p w14:paraId="6831A765" w14:textId="77777777" w:rsidR="0098114D" w:rsidRDefault="001A15D2" w:rsidP="00892B22">
            <w:pPr>
              <w:jc w:val="center"/>
              <w:cnfStyle w:val="000000100000" w:firstRow="0" w:lastRow="0" w:firstColumn="0" w:lastColumn="0" w:oddVBand="0" w:evenVBand="0" w:oddHBand="1" w:evenHBand="0" w:firstRowFirstColumn="0" w:firstRowLastColumn="0" w:lastRowFirstColumn="0" w:lastRowLastColumn="0"/>
            </w:pPr>
            <w:r w:rsidRPr="00BC7192">
              <w:t>Price matching, Nectar promotions</w:t>
            </w:r>
          </w:p>
        </w:tc>
        <w:tc>
          <w:tcPr>
            <w:tcW w:w="3081" w:type="dxa"/>
          </w:tcPr>
          <w:p w14:paraId="53EFBE9C" w14:textId="77777777" w:rsidR="0098114D" w:rsidRDefault="001A15D2" w:rsidP="00892B22">
            <w:pPr>
              <w:jc w:val="center"/>
              <w:cnfStyle w:val="000000100000" w:firstRow="0" w:lastRow="0" w:firstColumn="0" w:lastColumn="0" w:oddVBand="0" w:evenVBand="0" w:oddHBand="1" w:evenHBand="0" w:firstRowFirstColumn="0" w:firstRowLastColumn="0" w:lastRowFirstColumn="0" w:lastRowLastColumn="0"/>
            </w:pPr>
            <w:r>
              <w:t>Necessary but margin-diluting</w:t>
            </w:r>
          </w:p>
        </w:tc>
      </w:tr>
      <w:tr w:rsidR="00C825D3" w14:paraId="12BA6D19" w14:textId="77777777" w:rsidTr="00536170">
        <w:tc>
          <w:tcPr>
            <w:cnfStyle w:val="001000000000" w:firstRow="0" w:lastRow="0" w:firstColumn="1" w:lastColumn="0" w:oddVBand="0" w:evenVBand="0" w:oddHBand="0" w:evenHBand="0" w:firstRowFirstColumn="0" w:firstRowLastColumn="0" w:lastRowFirstColumn="0" w:lastRowLastColumn="0"/>
            <w:tcW w:w="2660" w:type="dxa"/>
          </w:tcPr>
          <w:p w14:paraId="7EDDE4FA" w14:textId="77777777" w:rsidR="0098114D" w:rsidRDefault="001A15D2" w:rsidP="00892B22">
            <w:pPr>
              <w:jc w:val="center"/>
            </w:pPr>
            <w:r>
              <w:t>Product Development</w:t>
            </w:r>
          </w:p>
        </w:tc>
        <w:tc>
          <w:tcPr>
            <w:tcW w:w="3501" w:type="dxa"/>
          </w:tcPr>
          <w:p w14:paraId="21A63FB6" w14:textId="77777777" w:rsidR="0098114D" w:rsidRDefault="001A15D2" w:rsidP="00892B22">
            <w:pPr>
              <w:jc w:val="center"/>
              <w:cnfStyle w:val="000000000000" w:firstRow="0" w:lastRow="0" w:firstColumn="0" w:lastColumn="0" w:oddVBand="0" w:evenVBand="0" w:oddHBand="0" w:evenHBand="0" w:firstRowFirstColumn="0" w:firstRowLastColumn="0" w:lastRowFirstColumn="0" w:lastRowLastColumn="0"/>
            </w:pPr>
            <w:r>
              <w:t>Premium and fresh food innovation</w:t>
            </w:r>
          </w:p>
        </w:tc>
        <w:tc>
          <w:tcPr>
            <w:tcW w:w="3081" w:type="dxa"/>
          </w:tcPr>
          <w:p w14:paraId="01E6EA62" w14:textId="77777777" w:rsidR="0098114D" w:rsidRDefault="001A15D2" w:rsidP="00892B22">
            <w:pPr>
              <w:jc w:val="center"/>
              <w:cnfStyle w:val="000000000000" w:firstRow="0" w:lastRow="0" w:firstColumn="0" w:lastColumn="0" w:oddVBand="0" w:evenVBand="0" w:oddHBand="0" w:evenHBand="0" w:firstRowFirstColumn="0" w:firstRowLastColumn="0" w:lastRowFirstColumn="0" w:lastRowLastColumn="0"/>
            </w:pPr>
            <w:r>
              <w:t>Supports differentiation</w:t>
            </w:r>
          </w:p>
        </w:tc>
      </w:tr>
      <w:tr w:rsidR="00C825D3" w14:paraId="7956E0F0" w14:textId="77777777" w:rsidTr="005361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14F8141B" w14:textId="77777777" w:rsidR="0098114D" w:rsidRDefault="001A15D2" w:rsidP="00892B22">
            <w:pPr>
              <w:jc w:val="center"/>
            </w:pPr>
            <w:r>
              <w:t>Market Development</w:t>
            </w:r>
          </w:p>
        </w:tc>
        <w:tc>
          <w:tcPr>
            <w:tcW w:w="3501" w:type="dxa"/>
          </w:tcPr>
          <w:p w14:paraId="0C2806E2" w14:textId="77777777" w:rsidR="0098114D" w:rsidRDefault="001A15D2" w:rsidP="00892B22">
            <w:pPr>
              <w:jc w:val="center"/>
              <w:cnfStyle w:val="000000100000" w:firstRow="0" w:lastRow="0" w:firstColumn="0" w:lastColumn="0" w:oddVBand="0" w:evenVBand="0" w:oddHBand="1" w:evenHBand="0" w:firstRowFirstColumn="0" w:firstRowLastColumn="0" w:lastRowFirstColumn="0" w:lastRowLastColumn="0"/>
            </w:pPr>
            <w:r w:rsidRPr="00BC7192">
              <w:t>Expansion of convenience formats</w:t>
            </w:r>
          </w:p>
        </w:tc>
        <w:tc>
          <w:tcPr>
            <w:tcW w:w="3081" w:type="dxa"/>
          </w:tcPr>
          <w:p w14:paraId="769CD2FB" w14:textId="77777777" w:rsidR="0098114D" w:rsidRDefault="001A15D2" w:rsidP="00892B22">
            <w:pPr>
              <w:jc w:val="center"/>
              <w:cnfStyle w:val="000000100000" w:firstRow="0" w:lastRow="0" w:firstColumn="0" w:lastColumn="0" w:oddVBand="0" w:evenVBand="0" w:oddHBand="1" w:evenHBand="0" w:firstRowFirstColumn="0" w:firstRowLastColumn="0" w:lastRowFirstColumn="0" w:lastRowLastColumn="0"/>
            </w:pPr>
            <w:r>
              <w:t>Moderate success</w:t>
            </w:r>
          </w:p>
        </w:tc>
      </w:tr>
      <w:tr w:rsidR="00C825D3" w14:paraId="44CA6BE2" w14:textId="77777777" w:rsidTr="00536170">
        <w:tc>
          <w:tcPr>
            <w:cnfStyle w:val="001000000000" w:firstRow="0" w:lastRow="0" w:firstColumn="1" w:lastColumn="0" w:oddVBand="0" w:evenVBand="0" w:oddHBand="0" w:evenHBand="0" w:firstRowFirstColumn="0" w:firstRowLastColumn="0" w:lastRowFirstColumn="0" w:lastRowLastColumn="0"/>
            <w:tcW w:w="2660" w:type="dxa"/>
          </w:tcPr>
          <w:p w14:paraId="15005DD6" w14:textId="77777777" w:rsidR="0098114D" w:rsidRDefault="001A15D2" w:rsidP="00892B22">
            <w:pPr>
              <w:jc w:val="center"/>
            </w:pPr>
            <w:r>
              <w:t>Diversification</w:t>
            </w:r>
          </w:p>
        </w:tc>
        <w:tc>
          <w:tcPr>
            <w:tcW w:w="3501" w:type="dxa"/>
          </w:tcPr>
          <w:p w14:paraId="4A1C9DF4" w14:textId="77777777" w:rsidR="0098114D" w:rsidRDefault="001A15D2" w:rsidP="00892B22">
            <w:pPr>
              <w:jc w:val="center"/>
              <w:cnfStyle w:val="000000000000" w:firstRow="0" w:lastRow="0" w:firstColumn="0" w:lastColumn="0" w:oddVBand="0" w:evenVBand="0" w:oddHBand="0" w:evenHBand="0" w:firstRowFirstColumn="0" w:firstRowLastColumn="0" w:lastRowFirstColumn="0" w:lastRowLastColumn="0"/>
            </w:pPr>
            <w:r>
              <w:t>Argos integration (non-food retail)</w:t>
            </w:r>
          </w:p>
        </w:tc>
        <w:tc>
          <w:tcPr>
            <w:tcW w:w="3081" w:type="dxa"/>
          </w:tcPr>
          <w:p w14:paraId="46E470DB" w14:textId="77777777" w:rsidR="0098114D" w:rsidRDefault="001A15D2" w:rsidP="00892B22">
            <w:pPr>
              <w:jc w:val="center"/>
              <w:cnfStyle w:val="000000000000" w:firstRow="0" w:lastRow="0" w:firstColumn="0" w:lastColumn="0" w:oddVBand="0" w:evenVBand="0" w:oddHBand="0" w:evenHBand="0" w:firstRowFirstColumn="0" w:firstRowLastColumn="0" w:lastRowFirstColumn="0" w:lastRowLastColumn="0"/>
            </w:pPr>
            <w:r>
              <w:t>Mixed results</w:t>
            </w:r>
          </w:p>
        </w:tc>
      </w:tr>
    </w:tbl>
    <w:p w14:paraId="24998D47" w14:textId="77777777" w:rsidR="00773DA5" w:rsidRDefault="00773DA5"/>
    <w:p w14:paraId="31CD9DE8" w14:textId="77777777" w:rsidR="00BC7192" w:rsidRPr="00536170" w:rsidRDefault="001A15D2" w:rsidP="00536170">
      <w:pPr>
        <w:rPr>
          <w:b/>
          <w:bCs/>
          <w:i/>
          <w:iCs/>
        </w:rPr>
      </w:pPr>
      <w:r w:rsidRPr="00536170">
        <w:rPr>
          <w:b/>
          <w:bCs/>
          <w:i/>
          <w:iCs/>
        </w:rPr>
        <w:t xml:space="preserve">Critical Evolution </w:t>
      </w:r>
    </w:p>
    <w:p w14:paraId="382FA134" w14:textId="2BB39425" w:rsidR="00892B22" w:rsidRDefault="001A15D2" w:rsidP="00892B22">
      <w:r>
        <w:t xml:space="preserve">Specifying the ongoing context associated with critical evolution will look forward through assessing as well as comprising the attributes associated with defensive strategy, along with protecting its market share, but reduces profitability at the same time.  Additionally, specifying product development as one of the strong impacts that found rein enforces through assessing </w:t>
      </w:r>
      <w:r w:rsidR="005E5722">
        <w:t xml:space="preserve">the current brand positioning </w:t>
      </w:r>
      <w:r w:rsidR="005E5722" w:rsidRPr="005E5722">
        <w:t>(</w:t>
      </w:r>
      <w:proofErr w:type="spellStart"/>
      <w:r w:rsidR="005E5722" w:rsidRPr="005E5722">
        <w:t>Piernas</w:t>
      </w:r>
      <w:proofErr w:type="spellEnd"/>
      <w:r w:rsidR="005E5722" w:rsidRPr="005E5722">
        <w:t xml:space="preserve">, Harmer </w:t>
      </w:r>
      <w:r w:rsidR="002B5148">
        <w:t>and</w:t>
      </w:r>
      <w:r w:rsidR="005E5722" w:rsidRPr="005E5722">
        <w:t xml:space="preserve"> </w:t>
      </w:r>
      <w:proofErr w:type="spellStart"/>
      <w:r w:rsidR="005E5722" w:rsidRPr="005E5722">
        <w:t>Jebb</w:t>
      </w:r>
      <w:proofErr w:type="spellEnd"/>
      <w:r w:rsidR="005E5722" w:rsidRPr="005E5722">
        <w:t>, 2022)</w:t>
      </w:r>
      <w:r w:rsidR="005E5722">
        <w:t xml:space="preserve">. </w:t>
      </w:r>
      <w:r>
        <w:t xml:space="preserve">Specifying the ongoing diversification process will look forward towards conceptualising initially by specifying the strategic aspects where structural decline due to e-commerce competition might create as one of the considerable </w:t>
      </w:r>
      <w:r w:rsidR="005B67E0">
        <w:t>impacts</w:t>
      </w:r>
      <w:r w:rsidR="005B67E0" w:rsidRPr="005E5722">
        <w:t xml:space="preserve"> (</w:t>
      </w:r>
      <w:r w:rsidR="005E5722" w:rsidRPr="005E5722">
        <w:t xml:space="preserve">Berri </w:t>
      </w:r>
      <w:r w:rsidR="002B5148">
        <w:t>and</w:t>
      </w:r>
      <w:r w:rsidR="005E5722" w:rsidRPr="005E5722">
        <w:t xml:space="preserve"> </w:t>
      </w:r>
      <w:proofErr w:type="spellStart"/>
      <w:r w:rsidR="005E5722" w:rsidRPr="005E5722">
        <w:t>Toma</w:t>
      </w:r>
      <w:proofErr w:type="spellEnd"/>
      <w:r w:rsidR="005E5722" w:rsidRPr="005E5722">
        <w:t>, 2023)</w:t>
      </w:r>
      <w:r w:rsidR="005E5722">
        <w:t xml:space="preserve">. </w:t>
      </w:r>
      <w:r w:rsidR="00D512D7">
        <w:t xml:space="preserve">Hence, </w:t>
      </w:r>
      <w:r w:rsidR="00D512D7" w:rsidRPr="00D512D7">
        <w:t>Sainsbury’s growth strategy lacks clear prioritisation,</w:t>
      </w:r>
      <w:r w:rsidR="00D512D7">
        <w:t xml:space="preserve"> leading to strategic diffusion in determining its key strengths.   </w:t>
      </w:r>
    </w:p>
    <w:p w14:paraId="16480C27" w14:textId="77777777" w:rsidR="00AA0B69" w:rsidRDefault="00A858AD" w:rsidP="00650B5F">
      <w:pPr>
        <w:pStyle w:val="Heading1"/>
      </w:pPr>
      <w:bookmarkStart w:id="20" w:name="_Toc225265855"/>
      <w:r>
        <w:t xml:space="preserve">3. </w:t>
      </w:r>
      <w:r w:rsidR="001A15D2" w:rsidRPr="00650B5F">
        <w:t>Conclusion</w:t>
      </w:r>
      <w:bookmarkEnd w:id="20"/>
    </w:p>
    <w:p w14:paraId="6506F9D9" w14:textId="77777777" w:rsidR="00892B22" w:rsidRDefault="001A15D2">
      <w:r>
        <w:t xml:space="preserve">Combined together in conclusion, the entire analysis successfully demonstrated the macro and micro environmental considerations aligned through specifying the related attributed associated with </w:t>
      </w:r>
      <w:r w:rsidRPr="00A71628">
        <w:t>economic pressures (inflation and cost-of-living crisis) and socio-technological changes (digitalisation and evolving consumer behaviour)</w:t>
      </w:r>
      <w:r>
        <w:t xml:space="preserve">.  The mentioned two contexts hold as one of the significant aspects that reshaped competitive dynamics within the UKUK grocery retail sector.  These external factors do not impact through assessing </w:t>
      </w:r>
      <w:r w:rsidR="00E96C83" w:rsidRPr="00E96C83">
        <w:t>firms uniformly; instead, they reinforce existing structural advantages and expose strategic weaknesses, thereby influencing long-term market positioning.</w:t>
      </w:r>
      <w:r w:rsidR="00E96C83">
        <w:t xml:space="preserve">  Hence, the use as well as the application of the theories, such as Porter's generic and </w:t>
      </w:r>
      <w:proofErr w:type="spellStart"/>
      <w:r w:rsidR="00E96C83">
        <w:t>Ansoff</w:t>
      </w:r>
      <w:proofErr w:type="spellEnd"/>
      <w:r w:rsidR="00E96C83">
        <w:t xml:space="preserve"> matrix, will create and deliver the right strategic aspects </w:t>
      </w:r>
      <w:r w:rsidR="00536170">
        <w:t>to</w:t>
      </w:r>
      <w:r w:rsidR="00E96C83">
        <w:t xml:space="preserve"> determine the market positioning for Tesco and Sainsbury. </w:t>
      </w:r>
      <w:r w:rsidR="00892B22">
        <w:br/>
      </w:r>
    </w:p>
    <w:p w14:paraId="57ABF730" w14:textId="77777777" w:rsidR="00892B22" w:rsidRDefault="00892B22">
      <w:pPr>
        <w:spacing w:line="276" w:lineRule="auto"/>
        <w:jc w:val="left"/>
      </w:pPr>
      <w:r>
        <w:br w:type="page"/>
      </w:r>
    </w:p>
    <w:p w14:paraId="7B36C1DA" w14:textId="77777777" w:rsidR="00892B22" w:rsidRDefault="00892B22" w:rsidP="00892B22">
      <w:pPr>
        <w:pStyle w:val="Heading1"/>
      </w:pPr>
      <w:bookmarkStart w:id="21" w:name="_Toc225265856"/>
      <w:r>
        <w:t>Reference List</w:t>
      </w:r>
      <w:bookmarkEnd w:id="21"/>
    </w:p>
    <w:p w14:paraId="7EB7CB17" w14:textId="77777777" w:rsidR="00A858AD" w:rsidRDefault="00A858AD" w:rsidP="00A858AD">
      <w:pPr>
        <w:pStyle w:val="NormalWeb"/>
        <w:spacing w:line="360" w:lineRule="auto"/>
        <w:jc w:val="both"/>
      </w:pPr>
      <w:r>
        <w:t xml:space="preserve">Armstrong, M. and Richter, F. (2019) </w:t>
      </w:r>
      <w:r>
        <w:rPr>
          <w:i/>
          <w:iCs/>
        </w:rPr>
        <w:t>The state of the UK supermarket landscape</w:t>
      </w:r>
      <w:r>
        <w:t xml:space="preserve">, </w:t>
      </w:r>
      <w:proofErr w:type="spellStart"/>
      <w:r>
        <w:rPr>
          <w:i/>
          <w:iCs/>
        </w:rPr>
        <w:t>Statista</w:t>
      </w:r>
      <w:proofErr w:type="spellEnd"/>
      <w:r>
        <w:rPr>
          <w:i/>
          <w:iCs/>
        </w:rPr>
        <w:t xml:space="preserve"> Daily Data</w:t>
      </w:r>
      <w:r>
        <w:t xml:space="preserve">. Available at: </w:t>
      </w:r>
      <w:hyperlink r:id="rId11" w:history="1">
        <w:r w:rsidRPr="00C4057C">
          <w:rPr>
            <w:rStyle w:val="Hyperlink"/>
          </w:rPr>
          <w:t>https://www.statista.com/chart/19075/uk-supermarket-market-share/?srsltid=AfmBOorL6ivKAMq1Gstn7N5mbLIK0iwS8vQ28v1AbuBnsMchEqnvnaCV</w:t>
        </w:r>
      </w:hyperlink>
      <w:r>
        <w:t xml:space="preserve"> (Accessed: 24 March 2026)</w:t>
      </w:r>
    </w:p>
    <w:p w14:paraId="6BF73E25" w14:textId="77777777" w:rsidR="00A858AD" w:rsidRPr="00892B22" w:rsidRDefault="00A858AD" w:rsidP="00A858AD">
      <w:pPr>
        <w:rPr>
          <w:rFonts w:cs="Times New Roman"/>
          <w:color w:val="222222"/>
          <w:szCs w:val="24"/>
          <w:shd w:val="clear" w:color="auto" w:fill="FFFFFF"/>
        </w:rPr>
      </w:pPr>
      <w:r w:rsidRPr="00892B22">
        <w:rPr>
          <w:rFonts w:cs="Times New Roman"/>
          <w:color w:val="222222"/>
          <w:szCs w:val="24"/>
          <w:shd w:val="clear" w:color="auto" w:fill="FFFFFF"/>
        </w:rPr>
        <w:t xml:space="preserve">Berri, A., </w:t>
      </w:r>
      <w:r>
        <w:rPr>
          <w:rFonts w:cs="Times New Roman"/>
          <w:color w:val="222222"/>
          <w:szCs w:val="24"/>
          <w:shd w:val="clear" w:color="auto" w:fill="FFFFFF"/>
        </w:rPr>
        <w:t>and</w:t>
      </w:r>
      <w:r w:rsidRPr="00892B22">
        <w:rPr>
          <w:rFonts w:cs="Times New Roman"/>
          <w:color w:val="222222"/>
          <w:szCs w:val="24"/>
          <w:shd w:val="clear" w:color="auto" w:fill="FFFFFF"/>
        </w:rPr>
        <w:t xml:space="preserve"> </w:t>
      </w:r>
      <w:proofErr w:type="spellStart"/>
      <w:r w:rsidRPr="00892B22">
        <w:rPr>
          <w:rFonts w:cs="Times New Roman"/>
          <w:color w:val="222222"/>
          <w:szCs w:val="24"/>
          <w:shd w:val="clear" w:color="auto" w:fill="FFFFFF"/>
        </w:rPr>
        <w:t>Toma</w:t>
      </w:r>
      <w:proofErr w:type="spellEnd"/>
      <w:r w:rsidRPr="00892B22">
        <w:rPr>
          <w:rFonts w:cs="Times New Roman"/>
          <w:color w:val="222222"/>
          <w:szCs w:val="24"/>
          <w:shd w:val="clear" w:color="auto" w:fill="FFFFFF"/>
        </w:rPr>
        <w:t>, L. (2023). Factors influencing consumer use of social supermarkets in the UK: A redistribution model providing low-cost surplus food. </w:t>
      </w:r>
      <w:r w:rsidRPr="00892B22">
        <w:rPr>
          <w:rFonts w:cs="Times New Roman"/>
          <w:i/>
          <w:iCs/>
          <w:color w:val="222222"/>
          <w:szCs w:val="24"/>
          <w:shd w:val="clear" w:color="auto" w:fill="FFFFFF"/>
        </w:rPr>
        <w:t>Cleaner and Responsible Consumption</w:t>
      </w:r>
      <w:r w:rsidRPr="00892B22">
        <w:rPr>
          <w:rFonts w:cs="Times New Roman"/>
          <w:color w:val="222222"/>
          <w:szCs w:val="24"/>
          <w:shd w:val="clear" w:color="auto" w:fill="FFFFFF"/>
        </w:rPr>
        <w:t>, </w:t>
      </w:r>
      <w:r w:rsidRPr="00892B22">
        <w:rPr>
          <w:rFonts w:cs="Times New Roman"/>
          <w:i/>
          <w:iCs/>
          <w:color w:val="222222"/>
          <w:szCs w:val="24"/>
          <w:shd w:val="clear" w:color="auto" w:fill="FFFFFF"/>
        </w:rPr>
        <w:t>10</w:t>
      </w:r>
      <w:r w:rsidRPr="00892B22">
        <w:rPr>
          <w:rFonts w:cs="Times New Roman"/>
          <w:color w:val="222222"/>
          <w:szCs w:val="24"/>
          <w:shd w:val="clear" w:color="auto" w:fill="FFFFFF"/>
        </w:rPr>
        <w:t>, 100133.</w:t>
      </w:r>
      <w:hyperlink r:id="rId12" w:history="1">
        <w:r w:rsidRPr="00892B22">
          <w:rPr>
            <w:rStyle w:val="Hyperlink"/>
            <w:rFonts w:cs="Times New Roman"/>
            <w:szCs w:val="24"/>
            <w:shd w:val="clear" w:color="auto" w:fill="FFFFFF"/>
          </w:rPr>
          <w:t>https://www.sciencedirect.com/science/article/pii/S2666784323000347</w:t>
        </w:r>
      </w:hyperlink>
    </w:p>
    <w:p w14:paraId="0717F6F9" w14:textId="77777777" w:rsidR="00A858AD" w:rsidRPr="00892B22" w:rsidRDefault="00A858AD" w:rsidP="00A858AD">
      <w:pPr>
        <w:rPr>
          <w:rFonts w:cs="Times New Roman"/>
          <w:color w:val="222222"/>
          <w:szCs w:val="24"/>
          <w:shd w:val="clear" w:color="auto" w:fill="FFFFFF"/>
        </w:rPr>
      </w:pPr>
      <w:r w:rsidRPr="00892B22">
        <w:rPr>
          <w:rFonts w:cs="Times New Roman"/>
          <w:color w:val="222222"/>
          <w:szCs w:val="24"/>
          <w:shd w:val="clear" w:color="auto" w:fill="FFFFFF"/>
        </w:rPr>
        <w:t>Ghadiyaram, K. D. S. (2025). </w:t>
      </w:r>
      <w:r w:rsidRPr="00892B22">
        <w:rPr>
          <w:rFonts w:cs="Times New Roman"/>
          <w:i/>
          <w:iCs/>
          <w:color w:val="222222"/>
          <w:szCs w:val="24"/>
          <w:shd w:val="clear" w:color="auto" w:fill="FFFFFF"/>
        </w:rPr>
        <w:t>An Investigation of Factors Influencing Retail Service Quality Scale in the Irish Grocery Retail Market</w:t>
      </w:r>
      <w:r w:rsidRPr="00892B22">
        <w:rPr>
          <w:rFonts w:cs="Times New Roman"/>
          <w:color w:val="222222"/>
          <w:szCs w:val="24"/>
          <w:shd w:val="clear" w:color="auto" w:fill="FFFFFF"/>
        </w:rPr>
        <w:t> (Doctoral dissertation, Dublin, National College of Ireland).</w:t>
      </w:r>
      <w:hyperlink r:id="rId13" w:history="1">
        <w:r w:rsidRPr="00892B22">
          <w:rPr>
            <w:rStyle w:val="Hyperlink"/>
            <w:rFonts w:cs="Times New Roman"/>
            <w:szCs w:val="24"/>
            <w:shd w:val="clear" w:color="auto" w:fill="FFFFFF"/>
          </w:rPr>
          <w:t>https://</w:t>
        </w:r>
        <w:proofErr w:type="spellStart"/>
        <w:r w:rsidRPr="00892B22">
          <w:rPr>
            <w:rStyle w:val="Hyperlink"/>
            <w:rFonts w:cs="Times New Roman"/>
            <w:szCs w:val="24"/>
            <w:shd w:val="clear" w:color="auto" w:fill="FFFFFF"/>
          </w:rPr>
          <w:t>norma.ncirl.ie</w:t>
        </w:r>
        <w:proofErr w:type="spellEnd"/>
        <w:r w:rsidRPr="00892B22">
          <w:rPr>
            <w:rStyle w:val="Hyperlink"/>
            <w:rFonts w:cs="Times New Roman"/>
            <w:szCs w:val="24"/>
            <w:shd w:val="clear" w:color="auto" w:fill="FFFFFF"/>
          </w:rPr>
          <w:t>/8506/</w:t>
        </w:r>
      </w:hyperlink>
    </w:p>
    <w:p w14:paraId="3D6A66BB" w14:textId="77777777" w:rsidR="00A858AD" w:rsidRPr="00892B22" w:rsidRDefault="00A858AD" w:rsidP="00A858AD">
      <w:pPr>
        <w:rPr>
          <w:rFonts w:cs="Times New Roman"/>
          <w:color w:val="222222"/>
          <w:szCs w:val="24"/>
          <w:shd w:val="clear" w:color="auto" w:fill="FFFFFF"/>
        </w:rPr>
      </w:pPr>
      <w:r w:rsidRPr="00892B22">
        <w:rPr>
          <w:rFonts w:cs="Times New Roman"/>
          <w:color w:val="222222"/>
          <w:szCs w:val="24"/>
          <w:shd w:val="clear" w:color="auto" w:fill="FFFFFF"/>
        </w:rPr>
        <w:t xml:space="preserve">Glover, A., Hayes, H. E., Ni, H., </w:t>
      </w:r>
      <w:r>
        <w:rPr>
          <w:rFonts w:cs="Times New Roman"/>
          <w:color w:val="222222"/>
          <w:szCs w:val="24"/>
          <w:shd w:val="clear" w:color="auto" w:fill="FFFFFF"/>
        </w:rPr>
        <w:t>and</w:t>
      </w:r>
      <w:r w:rsidRPr="00892B22">
        <w:rPr>
          <w:rFonts w:cs="Times New Roman"/>
          <w:color w:val="222222"/>
          <w:szCs w:val="24"/>
          <w:shd w:val="clear" w:color="auto" w:fill="FFFFFF"/>
        </w:rPr>
        <w:t xml:space="preserve"> </w:t>
      </w:r>
      <w:proofErr w:type="spellStart"/>
      <w:r w:rsidRPr="00892B22">
        <w:rPr>
          <w:rFonts w:cs="Times New Roman"/>
          <w:color w:val="222222"/>
          <w:szCs w:val="24"/>
          <w:shd w:val="clear" w:color="auto" w:fill="FFFFFF"/>
        </w:rPr>
        <w:t>Raikos</w:t>
      </w:r>
      <w:proofErr w:type="spellEnd"/>
      <w:r w:rsidRPr="00892B22">
        <w:rPr>
          <w:rFonts w:cs="Times New Roman"/>
          <w:color w:val="222222"/>
          <w:szCs w:val="24"/>
          <w:shd w:val="clear" w:color="auto" w:fill="FFFFFF"/>
        </w:rPr>
        <w:t>, V. (2024). A comparison of the nutritional content and price between dairy and non-dairy milks and cheeses in UK supermarkets: A cross sectional analysis. </w:t>
      </w:r>
      <w:r w:rsidRPr="00892B22">
        <w:rPr>
          <w:rFonts w:cs="Times New Roman"/>
          <w:i/>
          <w:iCs/>
          <w:color w:val="222222"/>
          <w:szCs w:val="24"/>
          <w:shd w:val="clear" w:color="auto" w:fill="FFFFFF"/>
        </w:rPr>
        <w:t>Nutrition and health</w:t>
      </w:r>
      <w:r w:rsidRPr="00892B22">
        <w:rPr>
          <w:rFonts w:cs="Times New Roman"/>
          <w:color w:val="222222"/>
          <w:szCs w:val="24"/>
          <w:shd w:val="clear" w:color="auto" w:fill="FFFFFF"/>
        </w:rPr>
        <w:t>, </w:t>
      </w:r>
      <w:r w:rsidRPr="00892B22">
        <w:rPr>
          <w:rFonts w:cs="Times New Roman"/>
          <w:i/>
          <w:iCs/>
          <w:color w:val="222222"/>
          <w:szCs w:val="24"/>
          <w:shd w:val="clear" w:color="auto" w:fill="FFFFFF"/>
        </w:rPr>
        <w:t>30</w:t>
      </w:r>
      <w:r w:rsidRPr="00892B22">
        <w:rPr>
          <w:rFonts w:cs="Times New Roman"/>
          <w:color w:val="222222"/>
          <w:szCs w:val="24"/>
          <w:shd w:val="clear" w:color="auto" w:fill="FFFFFF"/>
        </w:rPr>
        <w:t>(1), 157-165.</w:t>
      </w:r>
      <w:hyperlink r:id="rId14" w:history="1">
        <w:r w:rsidRPr="00892B22">
          <w:rPr>
            <w:rStyle w:val="Hyperlink"/>
            <w:rFonts w:cs="Times New Roman"/>
            <w:szCs w:val="24"/>
            <w:shd w:val="clear" w:color="auto" w:fill="FFFFFF"/>
          </w:rPr>
          <w:t>https://journals.sagepub.com/doi/full/10.1177/02601060221105744</w:t>
        </w:r>
      </w:hyperlink>
    </w:p>
    <w:p w14:paraId="35F3D738" w14:textId="77777777" w:rsidR="00A858AD" w:rsidRPr="00892B22" w:rsidRDefault="00A858AD" w:rsidP="00A858AD">
      <w:pPr>
        <w:rPr>
          <w:rFonts w:cs="Times New Roman"/>
          <w:color w:val="222222"/>
          <w:szCs w:val="24"/>
          <w:shd w:val="clear" w:color="auto" w:fill="FFFFFF"/>
        </w:rPr>
      </w:pPr>
      <w:proofErr w:type="spellStart"/>
      <w:r w:rsidRPr="00892B22">
        <w:rPr>
          <w:rFonts w:cs="Times New Roman"/>
          <w:color w:val="222222"/>
          <w:szCs w:val="24"/>
          <w:shd w:val="clear" w:color="auto" w:fill="FFFFFF"/>
        </w:rPr>
        <w:t>Mahony</w:t>
      </w:r>
      <w:proofErr w:type="spellEnd"/>
      <w:r w:rsidRPr="00892B22">
        <w:rPr>
          <w:rFonts w:cs="Times New Roman"/>
          <w:color w:val="222222"/>
          <w:szCs w:val="24"/>
          <w:shd w:val="clear" w:color="auto" w:fill="FFFFFF"/>
        </w:rPr>
        <w:t xml:space="preserve">, S. O., Collins, N., </w:t>
      </w:r>
      <w:proofErr w:type="spellStart"/>
      <w:r w:rsidRPr="00892B22">
        <w:rPr>
          <w:rFonts w:cs="Times New Roman"/>
          <w:color w:val="222222"/>
          <w:szCs w:val="24"/>
          <w:shd w:val="clear" w:color="auto" w:fill="FFFFFF"/>
        </w:rPr>
        <w:t>Gibney</w:t>
      </w:r>
      <w:proofErr w:type="spellEnd"/>
      <w:r w:rsidRPr="00892B22">
        <w:rPr>
          <w:rFonts w:cs="Times New Roman"/>
          <w:color w:val="222222"/>
          <w:szCs w:val="24"/>
          <w:shd w:val="clear" w:color="auto" w:fill="FFFFFF"/>
        </w:rPr>
        <w:t xml:space="preserve">, E. R., </w:t>
      </w:r>
      <w:r>
        <w:rPr>
          <w:rFonts w:cs="Times New Roman"/>
          <w:color w:val="222222"/>
          <w:szCs w:val="24"/>
          <w:shd w:val="clear" w:color="auto" w:fill="FFFFFF"/>
        </w:rPr>
        <w:t>and</w:t>
      </w:r>
      <w:r w:rsidRPr="00892B22">
        <w:rPr>
          <w:rFonts w:cs="Times New Roman"/>
          <w:color w:val="222222"/>
          <w:szCs w:val="24"/>
          <w:shd w:val="clear" w:color="auto" w:fill="FFFFFF"/>
        </w:rPr>
        <w:t xml:space="preserve"> Doyle, G. (2025). Supermarkets, do they make the healthy choice the easy choice? A review of the healthfulness of the supermarket food environment. </w:t>
      </w:r>
      <w:r w:rsidRPr="00892B22">
        <w:rPr>
          <w:rFonts w:cs="Times New Roman"/>
          <w:i/>
          <w:iCs/>
          <w:color w:val="222222"/>
          <w:szCs w:val="24"/>
          <w:shd w:val="clear" w:color="auto" w:fill="FFFFFF"/>
        </w:rPr>
        <w:t>Proceedings of the Nutrition Society</w:t>
      </w:r>
      <w:r w:rsidRPr="00892B22">
        <w:rPr>
          <w:rFonts w:cs="Times New Roman"/>
          <w:color w:val="222222"/>
          <w:szCs w:val="24"/>
          <w:shd w:val="clear" w:color="auto" w:fill="FFFFFF"/>
        </w:rPr>
        <w:t>, 1-31.</w:t>
      </w:r>
      <w:hyperlink r:id="rId15" w:history="1">
        <w:r w:rsidRPr="00892B22">
          <w:rPr>
            <w:rStyle w:val="Hyperlink"/>
            <w:rFonts w:cs="Times New Roman"/>
            <w:szCs w:val="24"/>
            <w:shd w:val="clear" w:color="auto" w:fill="FFFFFF"/>
          </w:rPr>
          <w:t>https://www.cambridge.org/core/journals/proceedings-of-the-nutrition-society/article/supermarkets-do-they-make-the-healthy-choice-the-easy-choice-a-review-of-the-healthfulness-of-the-supermarket-food-environment/ACA85577D478DCFBBD60DC48E8E50CFB</w:t>
        </w:r>
      </w:hyperlink>
    </w:p>
    <w:p w14:paraId="66945D87" w14:textId="77777777" w:rsidR="00A858AD" w:rsidRPr="00892B22" w:rsidRDefault="00A858AD" w:rsidP="00A858AD">
      <w:pPr>
        <w:rPr>
          <w:rFonts w:cs="Times New Roman"/>
          <w:color w:val="222222"/>
          <w:szCs w:val="24"/>
          <w:shd w:val="clear" w:color="auto" w:fill="FFFFFF"/>
        </w:rPr>
      </w:pPr>
      <w:proofErr w:type="spellStart"/>
      <w:r w:rsidRPr="00892B22">
        <w:rPr>
          <w:rFonts w:cs="Times New Roman"/>
          <w:color w:val="222222"/>
          <w:szCs w:val="24"/>
          <w:shd w:val="clear" w:color="auto" w:fill="FFFFFF"/>
        </w:rPr>
        <w:t>Mohebbi</w:t>
      </w:r>
      <w:proofErr w:type="spellEnd"/>
      <w:r w:rsidRPr="00892B22">
        <w:rPr>
          <w:rFonts w:cs="Times New Roman"/>
          <w:color w:val="222222"/>
          <w:szCs w:val="24"/>
          <w:shd w:val="clear" w:color="auto" w:fill="FFFFFF"/>
        </w:rPr>
        <w:t xml:space="preserve">, G., Hasan, A., </w:t>
      </w:r>
      <w:proofErr w:type="spellStart"/>
      <w:r w:rsidRPr="00892B22">
        <w:rPr>
          <w:rFonts w:cs="Times New Roman"/>
          <w:color w:val="222222"/>
          <w:szCs w:val="24"/>
          <w:shd w:val="clear" w:color="auto" w:fill="FFFFFF"/>
        </w:rPr>
        <w:t>Blay-Armah</w:t>
      </w:r>
      <w:proofErr w:type="spellEnd"/>
      <w:r w:rsidRPr="00892B22">
        <w:rPr>
          <w:rFonts w:cs="Times New Roman"/>
          <w:color w:val="222222"/>
          <w:szCs w:val="24"/>
          <w:shd w:val="clear" w:color="auto" w:fill="FFFFFF"/>
        </w:rPr>
        <w:t xml:space="preserve">, A., </w:t>
      </w:r>
      <w:proofErr w:type="spellStart"/>
      <w:r w:rsidRPr="00892B22">
        <w:rPr>
          <w:rFonts w:cs="Times New Roman"/>
          <w:color w:val="222222"/>
          <w:szCs w:val="24"/>
          <w:shd w:val="clear" w:color="auto" w:fill="FFFFFF"/>
        </w:rPr>
        <w:t>Bahadori-Jahromi</w:t>
      </w:r>
      <w:proofErr w:type="spellEnd"/>
      <w:r w:rsidRPr="00892B22">
        <w:rPr>
          <w:rFonts w:cs="Times New Roman"/>
          <w:color w:val="222222"/>
          <w:szCs w:val="24"/>
          <w:shd w:val="clear" w:color="auto" w:fill="FFFFFF"/>
        </w:rPr>
        <w:t xml:space="preserve">, A., </w:t>
      </w:r>
      <w:proofErr w:type="spellStart"/>
      <w:r w:rsidRPr="00892B22">
        <w:rPr>
          <w:rFonts w:cs="Times New Roman"/>
          <w:color w:val="222222"/>
          <w:szCs w:val="24"/>
          <w:shd w:val="clear" w:color="auto" w:fill="FFFFFF"/>
        </w:rPr>
        <w:t>Mylona</w:t>
      </w:r>
      <w:proofErr w:type="spellEnd"/>
      <w:r w:rsidRPr="00892B22">
        <w:rPr>
          <w:rFonts w:cs="Times New Roman"/>
          <w:color w:val="222222"/>
          <w:szCs w:val="24"/>
          <w:shd w:val="clear" w:color="auto" w:fill="FFFFFF"/>
        </w:rPr>
        <w:t xml:space="preserve">, A., </w:t>
      </w:r>
      <w:r>
        <w:rPr>
          <w:rFonts w:cs="Times New Roman"/>
          <w:color w:val="222222"/>
          <w:szCs w:val="24"/>
          <w:shd w:val="clear" w:color="auto" w:fill="FFFFFF"/>
        </w:rPr>
        <w:t>and</w:t>
      </w:r>
      <w:r w:rsidRPr="00892B22">
        <w:rPr>
          <w:rFonts w:cs="Times New Roman"/>
          <w:color w:val="222222"/>
          <w:szCs w:val="24"/>
          <w:shd w:val="clear" w:color="auto" w:fill="FFFFFF"/>
        </w:rPr>
        <w:t xml:space="preserve"> </w:t>
      </w:r>
      <w:proofErr w:type="spellStart"/>
      <w:r w:rsidRPr="00892B22">
        <w:rPr>
          <w:rFonts w:cs="Times New Roman"/>
          <w:color w:val="222222"/>
          <w:szCs w:val="24"/>
          <w:shd w:val="clear" w:color="auto" w:fill="FFFFFF"/>
        </w:rPr>
        <w:t>Barthorpe</w:t>
      </w:r>
      <w:proofErr w:type="spellEnd"/>
      <w:r w:rsidRPr="00892B22">
        <w:rPr>
          <w:rFonts w:cs="Times New Roman"/>
          <w:color w:val="222222"/>
          <w:szCs w:val="24"/>
          <w:shd w:val="clear" w:color="auto" w:fill="FFFFFF"/>
        </w:rPr>
        <w:t>, M. (2023). Comparative analysis of the whole life carbon of three construction methods of a UK-based supermarket. </w:t>
      </w:r>
      <w:r w:rsidRPr="00892B22">
        <w:rPr>
          <w:rFonts w:cs="Times New Roman"/>
          <w:i/>
          <w:iCs/>
          <w:color w:val="222222"/>
          <w:szCs w:val="24"/>
          <w:shd w:val="clear" w:color="auto" w:fill="FFFFFF"/>
        </w:rPr>
        <w:t xml:space="preserve">Building services engineering research </w:t>
      </w:r>
      <w:r>
        <w:rPr>
          <w:rFonts w:cs="Times New Roman"/>
          <w:i/>
          <w:iCs/>
          <w:color w:val="222222"/>
          <w:szCs w:val="24"/>
          <w:shd w:val="clear" w:color="auto" w:fill="FFFFFF"/>
        </w:rPr>
        <w:t>and</w:t>
      </w:r>
      <w:r w:rsidRPr="00892B22">
        <w:rPr>
          <w:rFonts w:cs="Times New Roman"/>
          <w:i/>
          <w:iCs/>
          <w:color w:val="222222"/>
          <w:szCs w:val="24"/>
          <w:shd w:val="clear" w:color="auto" w:fill="FFFFFF"/>
        </w:rPr>
        <w:t xml:space="preserve"> technology</w:t>
      </w:r>
      <w:r w:rsidRPr="00892B22">
        <w:rPr>
          <w:rFonts w:cs="Times New Roman"/>
          <w:color w:val="222222"/>
          <w:szCs w:val="24"/>
          <w:shd w:val="clear" w:color="auto" w:fill="FFFFFF"/>
        </w:rPr>
        <w:t>, </w:t>
      </w:r>
      <w:r w:rsidRPr="00892B22">
        <w:rPr>
          <w:rFonts w:cs="Times New Roman"/>
          <w:i/>
          <w:iCs/>
          <w:color w:val="222222"/>
          <w:szCs w:val="24"/>
          <w:shd w:val="clear" w:color="auto" w:fill="FFFFFF"/>
        </w:rPr>
        <w:t>44</w:t>
      </w:r>
      <w:r w:rsidRPr="00892B22">
        <w:rPr>
          <w:rFonts w:cs="Times New Roman"/>
          <w:color w:val="222222"/>
          <w:szCs w:val="24"/>
          <w:shd w:val="clear" w:color="auto" w:fill="FFFFFF"/>
        </w:rPr>
        <w:t>(3), 355-375.</w:t>
      </w:r>
      <w:hyperlink r:id="rId16" w:history="1">
        <w:r w:rsidRPr="00892B22">
          <w:rPr>
            <w:rStyle w:val="Hyperlink"/>
            <w:rFonts w:cs="Times New Roman"/>
            <w:szCs w:val="24"/>
            <w:shd w:val="clear" w:color="auto" w:fill="FFFFFF"/>
          </w:rPr>
          <w:t>https://journals.sagepub.com/doi/full/10.1177/01436244231161070</w:t>
        </w:r>
      </w:hyperlink>
    </w:p>
    <w:p w14:paraId="64D4EA3E" w14:textId="77777777" w:rsidR="00A858AD" w:rsidRPr="00892B22" w:rsidRDefault="00A858AD" w:rsidP="00A858AD">
      <w:pPr>
        <w:rPr>
          <w:rFonts w:cs="Times New Roman"/>
          <w:color w:val="222222"/>
          <w:szCs w:val="24"/>
          <w:shd w:val="clear" w:color="auto" w:fill="FFFFFF"/>
        </w:rPr>
      </w:pPr>
      <w:proofErr w:type="spellStart"/>
      <w:r w:rsidRPr="00892B22">
        <w:rPr>
          <w:rFonts w:cs="Times New Roman"/>
          <w:color w:val="222222"/>
          <w:szCs w:val="24"/>
          <w:shd w:val="clear" w:color="auto" w:fill="FFFFFF"/>
        </w:rPr>
        <w:t>Olarewaju</w:t>
      </w:r>
      <w:proofErr w:type="spellEnd"/>
      <w:r w:rsidRPr="00892B22">
        <w:rPr>
          <w:rFonts w:cs="Times New Roman"/>
          <w:color w:val="222222"/>
          <w:szCs w:val="24"/>
          <w:shd w:val="clear" w:color="auto" w:fill="FFFFFF"/>
        </w:rPr>
        <w:t xml:space="preserve">, T., Dani, S., </w:t>
      </w:r>
      <w:proofErr w:type="spellStart"/>
      <w:r w:rsidRPr="00892B22">
        <w:rPr>
          <w:rFonts w:cs="Times New Roman"/>
          <w:color w:val="222222"/>
          <w:szCs w:val="24"/>
          <w:shd w:val="clear" w:color="auto" w:fill="FFFFFF"/>
        </w:rPr>
        <w:t>Obeng-Fosu</w:t>
      </w:r>
      <w:proofErr w:type="spellEnd"/>
      <w:r w:rsidRPr="00892B22">
        <w:rPr>
          <w:rFonts w:cs="Times New Roman"/>
          <w:color w:val="222222"/>
          <w:szCs w:val="24"/>
          <w:shd w:val="clear" w:color="auto" w:fill="FFFFFF"/>
        </w:rPr>
        <w:t xml:space="preserve">, C., </w:t>
      </w:r>
      <w:proofErr w:type="spellStart"/>
      <w:r w:rsidRPr="00892B22">
        <w:rPr>
          <w:rFonts w:cs="Times New Roman"/>
          <w:color w:val="222222"/>
          <w:szCs w:val="24"/>
          <w:shd w:val="clear" w:color="auto" w:fill="FFFFFF"/>
        </w:rPr>
        <w:t>Olarewaju</w:t>
      </w:r>
      <w:proofErr w:type="spellEnd"/>
      <w:r w:rsidRPr="00892B22">
        <w:rPr>
          <w:rFonts w:cs="Times New Roman"/>
          <w:color w:val="222222"/>
          <w:szCs w:val="24"/>
          <w:shd w:val="clear" w:color="auto" w:fill="FFFFFF"/>
        </w:rPr>
        <w:t xml:space="preserve">, T., </w:t>
      </w:r>
      <w:r>
        <w:rPr>
          <w:rFonts w:cs="Times New Roman"/>
          <w:color w:val="222222"/>
          <w:szCs w:val="24"/>
          <w:shd w:val="clear" w:color="auto" w:fill="FFFFFF"/>
        </w:rPr>
        <w:t>and</w:t>
      </w:r>
      <w:r w:rsidRPr="00892B22">
        <w:rPr>
          <w:rFonts w:cs="Times New Roman"/>
          <w:color w:val="222222"/>
          <w:szCs w:val="24"/>
          <w:shd w:val="clear" w:color="auto" w:fill="FFFFFF"/>
        </w:rPr>
        <w:t xml:space="preserve"> Jabbar, A. (2024). The impact of climate action on the financial performance of food, grocery, and supermarket retailers in the UK. </w:t>
      </w:r>
      <w:r w:rsidRPr="00892B22">
        <w:rPr>
          <w:rFonts w:cs="Times New Roman"/>
          <w:i/>
          <w:iCs/>
          <w:color w:val="222222"/>
          <w:szCs w:val="24"/>
          <w:shd w:val="clear" w:color="auto" w:fill="FFFFFF"/>
        </w:rPr>
        <w:t>Sustainability</w:t>
      </w:r>
      <w:r w:rsidRPr="00892B22">
        <w:rPr>
          <w:rFonts w:cs="Times New Roman"/>
          <w:color w:val="222222"/>
          <w:szCs w:val="24"/>
          <w:shd w:val="clear" w:color="auto" w:fill="FFFFFF"/>
        </w:rPr>
        <w:t>, </w:t>
      </w:r>
      <w:r w:rsidRPr="00892B22">
        <w:rPr>
          <w:rFonts w:cs="Times New Roman"/>
          <w:i/>
          <w:iCs/>
          <w:color w:val="222222"/>
          <w:szCs w:val="24"/>
          <w:shd w:val="clear" w:color="auto" w:fill="FFFFFF"/>
        </w:rPr>
        <w:t>16</w:t>
      </w:r>
      <w:r w:rsidRPr="00892B22">
        <w:rPr>
          <w:rFonts w:cs="Times New Roman"/>
          <w:color w:val="222222"/>
          <w:szCs w:val="24"/>
          <w:shd w:val="clear" w:color="auto" w:fill="FFFFFF"/>
        </w:rPr>
        <w:t>(5), 1785.</w:t>
      </w:r>
      <w:hyperlink r:id="rId17" w:history="1">
        <w:r w:rsidRPr="00892B22">
          <w:rPr>
            <w:rStyle w:val="Hyperlink"/>
            <w:rFonts w:cs="Times New Roman"/>
            <w:szCs w:val="24"/>
            <w:shd w:val="clear" w:color="auto" w:fill="FFFFFF"/>
          </w:rPr>
          <w:t>https://www.mdpi.com/2071-1050/16/5/1785</w:t>
        </w:r>
      </w:hyperlink>
    </w:p>
    <w:p w14:paraId="572B436F" w14:textId="77777777" w:rsidR="00A858AD" w:rsidRPr="005B67E0" w:rsidRDefault="00A858AD" w:rsidP="00A858AD">
      <w:pPr>
        <w:rPr>
          <w:rFonts w:cs="Times New Roman"/>
          <w:color w:val="222222"/>
          <w:szCs w:val="24"/>
          <w:shd w:val="clear" w:color="auto" w:fill="FFFFFF"/>
        </w:rPr>
      </w:pPr>
      <w:proofErr w:type="spellStart"/>
      <w:r w:rsidRPr="00892B22">
        <w:rPr>
          <w:rFonts w:cs="Times New Roman"/>
          <w:color w:val="222222"/>
          <w:szCs w:val="24"/>
          <w:shd w:val="clear" w:color="auto" w:fill="FFFFFF"/>
        </w:rPr>
        <w:t>Piernas</w:t>
      </w:r>
      <w:proofErr w:type="spellEnd"/>
      <w:r w:rsidRPr="00892B22">
        <w:rPr>
          <w:rFonts w:cs="Times New Roman"/>
          <w:color w:val="222222"/>
          <w:szCs w:val="24"/>
          <w:shd w:val="clear" w:color="auto" w:fill="FFFFFF"/>
        </w:rPr>
        <w:t xml:space="preserve">, C., Harmer, G., </w:t>
      </w:r>
      <w:r>
        <w:rPr>
          <w:rFonts w:cs="Times New Roman"/>
          <w:color w:val="222222"/>
          <w:szCs w:val="24"/>
          <w:shd w:val="clear" w:color="auto" w:fill="FFFFFF"/>
        </w:rPr>
        <w:t>and</w:t>
      </w:r>
      <w:r w:rsidRPr="00892B22">
        <w:rPr>
          <w:rFonts w:cs="Times New Roman"/>
          <w:color w:val="222222"/>
          <w:szCs w:val="24"/>
          <w:shd w:val="clear" w:color="auto" w:fill="FFFFFF"/>
        </w:rPr>
        <w:t xml:space="preserve"> </w:t>
      </w:r>
      <w:proofErr w:type="spellStart"/>
      <w:r w:rsidRPr="00892B22">
        <w:rPr>
          <w:rFonts w:cs="Times New Roman"/>
          <w:color w:val="222222"/>
          <w:szCs w:val="24"/>
          <w:shd w:val="clear" w:color="auto" w:fill="FFFFFF"/>
        </w:rPr>
        <w:t>Jebb</w:t>
      </w:r>
      <w:proofErr w:type="spellEnd"/>
      <w:r w:rsidRPr="00892B22">
        <w:rPr>
          <w:rFonts w:cs="Times New Roman"/>
          <w:color w:val="222222"/>
          <w:szCs w:val="24"/>
          <w:shd w:val="clear" w:color="auto" w:fill="FFFFFF"/>
        </w:rPr>
        <w:t>, S. A. (2022). Removing seasonal confectionery from prominent store locations and purchasing behaviour within a major UK supermarket: Evaluation of a nonrandomised controlled intervention study. </w:t>
      </w:r>
      <w:r w:rsidRPr="005B67E0">
        <w:rPr>
          <w:rFonts w:cs="Times New Roman"/>
          <w:i/>
          <w:iCs/>
          <w:color w:val="222222"/>
          <w:szCs w:val="24"/>
          <w:shd w:val="clear" w:color="auto" w:fill="FFFFFF"/>
        </w:rPr>
        <w:t>PLoS Medicine</w:t>
      </w:r>
      <w:r w:rsidRPr="005B67E0">
        <w:rPr>
          <w:rFonts w:cs="Times New Roman"/>
          <w:color w:val="222222"/>
          <w:szCs w:val="24"/>
          <w:shd w:val="clear" w:color="auto" w:fill="FFFFFF"/>
        </w:rPr>
        <w:t>, </w:t>
      </w:r>
      <w:r w:rsidRPr="005B67E0">
        <w:rPr>
          <w:rFonts w:cs="Times New Roman"/>
          <w:i/>
          <w:iCs/>
          <w:color w:val="222222"/>
          <w:szCs w:val="24"/>
          <w:shd w:val="clear" w:color="auto" w:fill="FFFFFF"/>
        </w:rPr>
        <w:t>19</w:t>
      </w:r>
      <w:r w:rsidRPr="005B67E0">
        <w:rPr>
          <w:rFonts w:cs="Times New Roman"/>
          <w:color w:val="222222"/>
          <w:szCs w:val="24"/>
          <w:shd w:val="clear" w:color="auto" w:fill="FFFFFF"/>
        </w:rPr>
        <w:t>(3), e1003951.</w:t>
      </w:r>
      <w:hyperlink r:id="rId18" w:history="1">
        <w:r w:rsidRPr="005B67E0">
          <w:rPr>
            <w:rStyle w:val="Hyperlink"/>
            <w:rFonts w:cs="Times New Roman"/>
            <w:szCs w:val="24"/>
            <w:shd w:val="clear" w:color="auto" w:fill="FFFFFF"/>
          </w:rPr>
          <w:t>https://journals.plos.org/Plosmedicine/article?id=10.1371/journal.pmed.1003951</w:t>
        </w:r>
      </w:hyperlink>
    </w:p>
    <w:p w14:paraId="31C6DD48" w14:textId="77777777" w:rsidR="00A858AD" w:rsidRPr="00892B22" w:rsidRDefault="00A858AD" w:rsidP="00A858AD">
      <w:pPr>
        <w:rPr>
          <w:rFonts w:cs="Times New Roman"/>
          <w:color w:val="222222"/>
          <w:szCs w:val="24"/>
          <w:shd w:val="clear" w:color="auto" w:fill="FFFFFF"/>
        </w:rPr>
      </w:pPr>
      <w:proofErr w:type="spellStart"/>
      <w:r w:rsidRPr="00892B22">
        <w:rPr>
          <w:rFonts w:cs="Times New Roman"/>
          <w:color w:val="222222"/>
          <w:szCs w:val="24"/>
          <w:shd w:val="clear" w:color="auto" w:fill="FFFFFF"/>
        </w:rPr>
        <w:t>Placzek</w:t>
      </w:r>
      <w:proofErr w:type="spellEnd"/>
      <w:r w:rsidRPr="00892B22">
        <w:rPr>
          <w:rFonts w:cs="Times New Roman"/>
          <w:color w:val="222222"/>
          <w:szCs w:val="24"/>
          <w:shd w:val="clear" w:color="auto" w:fill="FFFFFF"/>
        </w:rPr>
        <w:t>, O. (2022). </w:t>
      </w:r>
      <w:r w:rsidRPr="00892B22">
        <w:rPr>
          <w:rFonts w:cs="Times New Roman"/>
          <w:i/>
          <w:iCs/>
          <w:color w:val="222222"/>
          <w:szCs w:val="24"/>
          <w:shd w:val="clear" w:color="auto" w:fill="FFFFFF"/>
        </w:rPr>
        <w:t>A micro-analysis of the influence of retail promotions on the healthiness of breakfast cereal purchases</w:t>
      </w:r>
      <w:r w:rsidRPr="00892B22">
        <w:rPr>
          <w:rFonts w:cs="Times New Roman"/>
          <w:color w:val="222222"/>
          <w:szCs w:val="24"/>
          <w:shd w:val="clear" w:color="auto" w:fill="FFFFFF"/>
        </w:rPr>
        <w:t> (Doctoral dissertation, Bournemouth University).</w:t>
      </w:r>
      <w:hyperlink r:id="rId19" w:history="1">
        <w:r w:rsidRPr="00892B22">
          <w:rPr>
            <w:rStyle w:val="Hyperlink"/>
            <w:rFonts w:cs="Times New Roman"/>
            <w:szCs w:val="24"/>
            <w:shd w:val="clear" w:color="auto" w:fill="FFFFFF"/>
          </w:rPr>
          <w:t>https://eprints.bournemouth.ac.uk/37067/</w:t>
        </w:r>
      </w:hyperlink>
    </w:p>
    <w:p w14:paraId="3523D279" w14:textId="77777777" w:rsidR="00A858AD" w:rsidRPr="00892B22" w:rsidRDefault="00A858AD" w:rsidP="00A858AD">
      <w:pPr>
        <w:rPr>
          <w:rFonts w:cs="Times New Roman"/>
          <w:color w:val="222222"/>
          <w:szCs w:val="24"/>
          <w:shd w:val="clear" w:color="auto" w:fill="FFFFFF"/>
        </w:rPr>
      </w:pPr>
      <w:proofErr w:type="spellStart"/>
      <w:r w:rsidRPr="00892B22">
        <w:rPr>
          <w:rFonts w:cs="Times New Roman"/>
          <w:color w:val="222222"/>
          <w:szCs w:val="24"/>
          <w:shd w:val="clear" w:color="auto" w:fill="FFFFFF"/>
        </w:rPr>
        <w:t>Ramanankonenana</w:t>
      </w:r>
      <w:proofErr w:type="spellEnd"/>
      <w:r w:rsidRPr="00892B22">
        <w:rPr>
          <w:rFonts w:cs="Times New Roman"/>
          <w:color w:val="222222"/>
          <w:szCs w:val="24"/>
          <w:shd w:val="clear" w:color="auto" w:fill="FFFFFF"/>
        </w:rPr>
        <w:t xml:space="preserve">, T., </w:t>
      </w:r>
      <w:r>
        <w:rPr>
          <w:rFonts w:cs="Times New Roman"/>
          <w:color w:val="222222"/>
          <w:szCs w:val="24"/>
          <w:shd w:val="clear" w:color="auto" w:fill="FFFFFF"/>
        </w:rPr>
        <w:t>and</w:t>
      </w:r>
      <w:r w:rsidRPr="00892B22">
        <w:rPr>
          <w:rFonts w:cs="Times New Roman"/>
          <w:color w:val="222222"/>
          <w:szCs w:val="24"/>
          <w:shd w:val="clear" w:color="auto" w:fill="FFFFFF"/>
        </w:rPr>
        <w:t xml:space="preserve"> </w:t>
      </w:r>
      <w:proofErr w:type="spellStart"/>
      <w:r w:rsidRPr="00892B22">
        <w:rPr>
          <w:rFonts w:cs="Times New Roman"/>
          <w:color w:val="222222"/>
          <w:szCs w:val="24"/>
          <w:shd w:val="clear" w:color="auto" w:fill="FFFFFF"/>
        </w:rPr>
        <w:t>Randriamamonjy</w:t>
      </w:r>
      <w:proofErr w:type="spellEnd"/>
      <w:r w:rsidRPr="00892B22">
        <w:rPr>
          <w:rFonts w:cs="Times New Roman"/>
          <w:color w:val="222222"/>
          <w:szCs w:val="24"/>
          <w:shd w:val="clear" w:color="auto" w:fill="FFFFFF"/>
        </w:rPr>
        <w:t xml:space="preserve">, L. H. (2023). Effect of sensory marketing in consumer </w:t>
      </w:r>
      <w:proofErr w:type="spellStart"/>
      <w:r w:rsidRPr="00892B22">
        <w:rPr>
          <w:rFonts w:cs="Times New Roman"/>
          <w:color w:val="222222"/>
          <w:szCs w:val="24"/>
          <w:shd w:val="clear" w:color="auto" w:fill="FFFFFF"/>
        </w:rPr>
        <w:t>behavior</w:t>
      </w:r>
      <w:proofErr w:type="spellEnd"/>
      <w:r w:rsidRPr="00892B22">
        <w:rPr>
          <w:rFonts w:cs="Times New Roman"/>
          <w:color w:val="222222"/>
          <w:szCs w:val="24"/>
          <w:shd w:val="clear" w:color="auto" w:fill="FFFFFF"/>
        </w:rPr>
        <w:t xml:space="preserve"> during the act of purchase: a case study of supermarkets. </w:t>
      </w:r>
      <w:r w:rsidRPr="00892B22">
        <w:rPr>
          <w:rFonts w:cs="Times New Roman"/>
          <w:i/>
          <w:iCs/>
          <w:color w:val="222222"/>
          <w:szCs w:val="24"/>
          <w:shd w:val="clear" w:color="auto" w:fill="FFFFFF"/>
        </w:rPr>
        <w:t>International Journal of Economics and Business Issues</w:t>
      </w:r>
      <w:r w:rsidRPr="00892B22">
        <w:rPr>
          <w:rFonts w:cs="Times New Roman"/>
          <w:color w:val="222222"/>
          <w:szCs w:val="24"/>
          <w:shd w:val="clear" w:color="auto" w:fill="FFFFFF"/>
        </w:rPr>
        <w:t>, </w:t>
      </w:r>
      <w:r w:rsidRPr="00892B22">
        <w:rPr>
          <w:rFonts w:cs="Times New Roman"/>
          <w:i/>
          <w:iCs/>
          <w:color w:val="222222"/>
          <w:szCs w:val="24"/>
          <w:shd w:val="clear" w:color="auto" w:fill="FFFFFF"/>
        </w:rPr>
        <w:t>2</w:t>
      </w:r>
      <w:r w:rsidRPr="00892B22">
        <w:rPr>
          <w:rFonts w:cs="Times New Roman"/>
          <w:color w:val="222222"/>
          <w:szCs w:val="24"/>
          <w:shd w:val="clear" w:color="auto" w:fill="FFFFFF"/>
        </w:rPr>
        <w:t>(2), 13-21.</w:t>
      </w:r>
      <w:hyperlink r:id="rId20" w:history="1">
        <w:r w:rsidRPr="00892B22">
          <w:rPr>
            <w:rStyle w:val="Hyperlink"/>
            <w:rFonts w:cs="Times New Roman"/>
            <w:szCs w:val="24"/>
            <w:shd w:val="clear" w:color="auto" w:fill="FFFFFF"/>
          </w:rPr>
          <w:t>https://www.ij-ebi.com/index.php/files/article/view/32</w:t>
        </w:r>
      </w:hyperlink>
    </w:p>
    <w:p w14:paraId="3A4E3217" w14:textId="77777777" w:rsidR="00A858AD" w:rsidRPr="00892B22" w:rsidRDefault="00A858AD" w:rsidP="00A858AD">
      <w:pPr>
        <w:rPr>
          <w:rFonts w:cs="Times New Roman"/>
          <w:color w:val="222222"/>
          <w:szCs w:val="24"/>
          <w:shd w:val="clear" w:color="auto" w:fill="FFFFFF"/>
        </w:rPr>
      </w:pPr>
      <w:r w:rsidRPr="00892B22">
        <w:rPr>
          <w:rFonts w:cs="Times New Roman"/>
          <w:color w:val="222222"/>
          <w:szCs w:val="24"/>
          <w:shd w:val="clear" w:color="auto" w:fill="FFFFFF"/>
        </w:rPr>
        <w:t>Rashid, C. A. (2023). PESTEL Analysis and Porter’s Five Forces as marketing tools to evaluate Morrison’s performance and strategy. </w:t>
      </w:r>
      <w:r w:rsidRPr="00892B22">
        <w:rPr>
          <w:rFonts w:cs="Times New Roman"/>
          <w:i/>
          <w:iCs/>
          <w:color w:val="222222"/>
          <w:szCs w:val="24"/>
          <w:shd w:val="clear" w:color="auto" w:fill="FFFFFF"/>
        </w:rPr>
        <w:t>Journal of Global Social Sciences</w:t>
      </w:r>
      <w:r w:rsidRPr="00892B22">
        <w:rPr>
          <w:rFonts w:cs="Times New Roman"/>
          <w:color w:val="222222"/>
          <w:szCs w:val="24"/>
          <w:shd w:val="clear" w:color="auto" w:fill="FFFFFF"/>
        </w:rPr>
        <w:t>, </w:t>
      </w:r>
      <w:r w:rsidRPr="00892B22">
        <w:rPr>
          <w:rFonts w:cs="Times New Roman"/>
          <w:i/>
          <w:iCs/>
          <w:color w:val="222222"/>
          <w:szCs w:val="24"/>
          <w:shd w:val="clear" w:color="auto" w:fill="FFFFFF"/>
        </w:rPr>
        <w:t>4</w:t>
      </w:r>
      <w:r w:rsidRPr="00892B22">
        <w:rPr>
          <w:rFonts w:cs="Times New Roman"/>
          <w:color w:val="222222"/>
          <w:szCs w:val="24"/>
          <w:shd w:val="clear" w:color="auto" w:fill="FFFFFF"/>
        </w:rPr>
        <w:t>(15), 75-83.</w:t>
      </w:r>
      <w:hyperlink r:id="rId21" w:history="1">
        <w:r w:rsidRPr="00892B22">
          <w:rPr>
            <w:rStyle w:val="Hyperlink"/>
            <w:rFonts w:cs="Times New Roman"/>
            <w:szCs w:val="24"/>
            <w:shd w:val="clear" w:color="auto" w:fill="FFFFFF"/>
          </w:rPr>
          <w:t>https://www.researchgate.net/profile/Chnar-Rashid/publication/373573995_PESTEL_Analysis_and_Porter's_Five_Forces_as_marketing_tools_to_evaluate_Morrison's_performance_and_strategy/links/64f8d23ce098013a83da1732/PESTEL-Analysis-and-Porters-Five-Forces-as-marketing-tools-to-evaluate-Morrisons-performance-and-strategy.pdf</w:t>
        </w:r>
      </w:hyperlink>
    </w:p>
    <w:p w14:paraId="64E476CB" w14:textId="77777777" w:rsidR="00A858AD" w:rsidRPr="00892B22" w:rsidRDefault="00A858AD" w:rsidP="00A858AD">
      <w:pPr>
        <w:rPr>
          <w:rFonts w:cs="Times New Roman"/>
          <w:color w:val="222222"/>
          <w:szCs w:val="24"/>
          <w:shd w:val="clear" w:color="auto" w:fill="FFFFFF"/>
        </w:rPr>
      </w:pPr>
      <w:proofErr w:type="spellStart"/>
      <w:r w:rsidRPr="00892B22">
        <w:rPr>
          <w:rFonts w:cs="Times New Roman"/>
          <w:color w:val="222222"/>
          <w:szCs w:val="24"/>
          <w:shd w:val="clear" w:color="auto" w:fill="FFFFFF"/>
        </w:rPr>
        <w:t>Samadzadeh</w:t>
      </w:r>
      <w:proofErr w:type="spellEnd"/>
      <w:r w:rsidRPr="00892B22">
        <w:rPr>
          <w:rFonts w:cs="Times New Roman"/>
          <w:color w:val="222222"/>
          <w:szCs w:val="24"/>
          <w:shd w:val="clear" w:color="auto" w:fill="FFFFFF"/>
        </w:rPr>
        <w:t>, M. (2024). Investigating Successful E-Commerce and Digital Marketing Strategies for Major Supermarkets in the UK.</w:t>
      </w:r>
      <w:hyperlink r:id="rId22" w:history="1">
        <w:r w:rsidRPr="00892B22">
          <w:rPr>
            <w:rStyle w:val="Hyperlink"/>
            <w:rFonts w:cs="Times New Roman"/>
            <w:szCs w:val="24"/>
            <w:shd w:val="clear" w:color="auto" w:fill="FFFFFF"/>
          </w:rPr>
          <w: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w:t>
        </w:r>
      </w:hyperlink>
    </w:p>
    <w:p w14:paraId="2BAE2CCE" w14:textId="77777777" w:rsidR="00A858AD" w:rsidRDefault="00A858AD" w:rsidP="00A858AD">
      <w:proofErr w:type="spellStart"/>
      <w:r w:rsidRPr="00892B22">
        <w:rPr>
          <w:rFonts w:cs="Times New Roman"/>
          <w:color w:val="222222"/>
          <w:szCs w:val="24"/>
          <w:shd w:val="clear" w:color="auto" w:fill="FFFFFF"/>
        </w:rPr>
        <w:t>Stylianou</w:t>
      </w:r>
      <w:proofErr w:type="spellEnd"/>
      <w:r w:rsidRPr="00892B22">
        <w:rPr>
          <w:rFonts w:cs="Times New Roman"/>
          <w:color w:val="222222"/>
          <w:szCs w:val="24"/>
          <w:shd w:val="clear" w:color="auto" w:fill="FFFFFF"/>
        </w:rPr>
        <w:t xml:space="preserve">, T., </w:t>
      </w:r>
      <w:r>
        <w:rPr>
          <w:rFonts w:cs="Times New Roman"/>
          <w:color w:val="222222"/>
          <w:szCs w:val="24"/>
          <w:shd w:val="clear" w:color="auto" w:fill="FFFFFF"/>
        </w:rPr>
        <w:t>and</w:t>
      </w:r>
      <w:r w:rsidRPr="00892B22">
        <w:rPr>
          <w:rFonts w:cs="Times New Roman"/>
          <w:color w:val="222222"/>
          <w:szCs w:val="24"/>
          <w:shd w:val="clear" w:color="auto" w:fill="FFFFFF"/>
        </w:rPr>
        <w:t xml:space="preserve"> </w:t>
      </w:r>
      <w:proofErr w:type="spellStart"/>
      <w:r w:rsidRPr="00892B22">
        <w:rPr>
          <w:rFonts w:cs="Times New Roman"/>
          <w:color w:val="222222"/>
          <w:szCs w:val="24"/>
          <w:shd w:val="clear" w:color="auto" w:fill="FFFFFF"/>
        </w:rPr>
        <w:t>Pantelidou</w:t>
      </w:r>
      <w:proofErr w:type="spellEnd"/>
      <w:r w:rsidRPr="00892B22">
        <w:rPr>
          <w:rFonts w:cs="Times New Roman"/>
          <w:color w:val="222222"/>
          <w:szCs w:val="24"/>
          <w:shd w:val="clear" w:color="auto" w:fill="FFFFFF"/>
        </w:rPr>
        <w:t xml:space="preserve">, A. (2025). Big data and consumer </w:t>
      </w:r>
      <w:proofErr w:type="spellStart"/>
      <w:r w:rsidRPr="00892B22">
        <w:rPr>
          <w:rFonts w:cs="Times New Roman"/>
          <w:color w:val="222222"/>
          <w:szCs w:val="24"/>
          <w:shd w:val="clear" w:color="auto" w:fill="FFFFFF"/>
        </w:rPr>
        <w:t>behavior</w:t>
      </w:r>
      <w:proofErr w:type="spellEnd"/>
      <w:r w:rsidRPr="00892B22">
        <w:rPr>
          <w:rFonts w:cs="Times New Roman"/>
          <w:color w:val="222222"/>
          <w:szCs w:val="24"/>
          <w:shd w:val="clear" w:color="auto" w:fill="FFFFFF"/>
        </w:rPr>
        <w:t>: A macroeconomic perspective through supermarket analytics. </w:t>
      </w:r>
      <w:r w:rsidRPr="00892B22">
        <w:rPr>
          <w:rFonts w:cs="Times New Roman"/>
          <w:i/>
          <w:iCs/>
          <w:color w:val="222222"/>
          <w:szCs w:val="24"/>
          <w:shd w:val="clear" w:color="auto" w:fill="FFFFFF"/>
        </w:rPr>
        <w:t>Quantitative Finance and Economics</w:t>
      </w:r>
      <w:r w:rsidRPr="00892B22">
        <w:rPr>
          <w:rFonts w:cs="Times New Roman"/>
          <w:color w:val="222222"/>
          <w:szCs w:val="24"/>
          <w:shd w:val="clear" w:color="auto" w:fill="FFFFFF"/>
        </w:rPr>
        <w:t>, </w:t>
      </w:r>
      <w:r w:rsidRPr="00892B22">
        <w:rPr>
          <w:rFonts w:cs="Times New Roman"/>
          <w:i/>
          <w:iCs/>
          <w:color w:val="222222"/>
          <w:szCs w:val="24"/>
          <w:shd w:val="clear" w:color="auto" w:fill="FFFFFF"/>
        </w:rPr>
        <w:t>9</w:t>
      </w:r>
      <w:r w:rsidRPr="00892B22">
        <w:rPr>
          <w:rFonts w:cs="Times New Roman"/>
          <w:color w:val="222222"/>
          <w:szCs w:val="24"/>
          <w:shd w:val="clear" w:color="auto" w:fill="FFFFFF"/>
        </w:rPr>
        <w:t>(3), 682.</w:t>
      </w:r>
      <w:hyperlink r:id="rId23" w:history="1">
        <w:r w:rsidRPr="00892B22">
          <w:rPr>
            <w:rStyle w:val="Hyperlink"/>
            <w:rFonts w:cs="Times New Roman"/>
            <w:szCs w:val="24"/>
            <w:shd w:val="clear" w:color="auto" w:fill="FFFFFF"/>
          </w:rPr>
          <w:t>https://www.aimspress.com/aimspress-data/qfe/2025/3/PDF/QFE-09-03-024.pdf</w:t>
        </w:r>
      </w:hyperlink>
    </w:p>
    <w:p w14:paraId="53F99342" w14:textId="77777777" w:rsidR="00650B5F" w:rsidRDefault="00650B5F" w:rsidP="00650B5F">
      <w:pPr>
        <w:pStyle w:val="NormalWeb"/>
        <w:spacing w:line="276" w:lineRule="auto"/>
        <w:jc w:val="both"/>
      </w:pPr>
    </w:p>
    <w:p w14:paraId="28931C33" w14:textId="77777777" w:rsidR="00892B22" w:rsidRPr="00BE1952" w:rsidRDefault="00892B22" w:rsidP="00650B5F">
      <w:pPr>
        <w:spacing w:line="276" w:lineRule="auto"/>
        <w:rPr>
          <w:rFonts w:cs="Times New Roman"/>
          <w:color w:val="222222"/>
          <w:szCs w:val="24"/>
          <w:shd w:val="clear" w:color="auto" w:fill="FFFFFF"/>
        </w:rPr>
      </w:pPr>
    </w:p>
    <w:p w14:paraId="2EADA679" w14:textId="77777777" w:rsidR="00FB658A" w:rsidRDefault="00FB658A" w:rsidP="00650B5F">
      <w:pPr>
        <w:spacing w:line="276" w:lineRule="auto"/>
      </w:pPr>
    </w:p>
    <w:sectPr w:rsidR="00FB658A" w:rsidSect="00536170">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2F271" w14:textId="77777777" w:rsidR="00390C28" w:rsidRDefault="00390C28" w:rsidP="005B56B6">
      <w:pPr>
        <w:spacing w:after="0" w:line="240" w:lineRule="auto"/>
      </w:pPr>
      <w:r>
        <w:separator/>
      </w:r>
    </w:p>
  </w:endnote>
  <w:endnote w:type="continuationSeparator" w:id="0">
    <w:p w14:paraId="26E36566" w14:textId="77777777" w:rsidR="00390C28" w:rsidRDefault="00390C28" w:rsidP="005B56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5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2856541"/>
      <w:docPartObj>
        <w:docPartGallery w:val="Page Numbers (Bottom of Page)"/>
        <w:docPartUnique/>
      </w:docPartObj>
    </w:sdtPr>
    <w:sdtEndPr>
      <w:rPr>
        <w:noProof/>
      </w:rPr>
    </w:sdtEndPr>
    <w:sdtContent>
      <w:p w14:paraId="093F72B5" w14:textId="77777777" w:rsidR="00536170" w:rsidRDefault="00200447">
        <w:pPr>
          <w:pStyle w:val="Footer"/>
          <w:jc w:val="right"/>
        </w:pPr>
        <w:r>
          <w:fldChar w:fldCharType="begin"/>
        </w:r>
        <w:r w:rsidR="00536170">
          <w:instrText xml:space="preserve"> PAGE   \* MERGEFORMAT </w:instrText>
        </w:r>
        <w:r>
          <w:fldChar w:fldCharType="separate"/>
        </w:r>
        <w:r w:rsidR="009A659E">
          <w:rPr>
            <w:noProof/>
          </w:rPr>
          <w:t>17</w:t>
        </w:r>
        <w:r>
          <w:rPr>
            <w:noProof/>
          </w:rPr>
          <w:fldChar w:fldCharType="end"/>
        </w:r>
      </w:p>
    </w:sdtContent>
  </w:sdt>
  <w:p w14:paraId="6220501C" w14:textId="77777777" w:rsidR="005B56B6" w:rsidRDefault="005B56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36C21" w14:textId="77777777" w:rsidR="00390C28" w:rsidRDefault="00390C28" w:rsidP="005B56B6">
      <w:pPr>
        <w:spacing w:after="0" w:line="240" w:lineRule="auto"/>
      </w:pPr>
      <w:r>
        <w:separator/>
      </w:r>
    </w:p>
  </w:footnote>
  <w:footnote w:type="continuationSeparator" w:id="0">
    <w:p w14:paraId="441ED4E7" w14:textId="77777777" w:rsidR="00390C28" w:rsidRDefault="00390C28" w:rsidP="005B56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E17"/>
    <w:rsid w:val="000371D9"/>
    <w:rsid w:val="000607D2"/>
    <w:rsid w:val="00071CE7"/>
    <w:rsid w:val="000729A0"/>
    <w:rsid w:val="0007430C"/>
    <w:rsid w:val="00074E34"/>
    <w:rsid w:val="000871F1"/>
    <w:rsid w:val="000D2BD7"/>
    <w:rsid w:val="0010329F"/>
    <w:rsid w:val="00115B76"/>
    <w:rsid w:val="001A15D2"/>
    <w:rsid w:val="001D141E"/>
    <w:rsid w:val="001E794D"/>
    <w:rsid w:val="00200447"/>
    <w:rsid w:val="00234F98"/>
    <w:rsid w:val="00247CC9"/>
    <w:rsid w:val="00253FDC"/>
    <w:rsid w:val="002B26E7"/>
    <w:rsid w:val="002B5148"/>
    <w:rsid w:val="002D4E17"/>
    <w:rsid w:val="00304774"/>
    <w:rsid w:val="00324C2E"/>
    <w:rsid w:val="00355597"/>
    <w:rsid w:val="003650D4"/>
    <w:rsid w:val="00390C28"/>
    <w:rsid w:val="003943C7"/>
    <w:rsid w:val="003A7F8D"/>
    <w:rsid w:val="004773B4"/>
    <w:rsid w:val="0048643A"/>
    <w:rsid w:val="00496B41"/>
    <w:rsid w:val="004A6652"/>
    <w:rsid w:val="0050402C"/>
    <w:rsid w:val="00536170"/>
    <w:rsid w:val="005A472F"/>
    <w:rsid w:val="005A703B"/>
    <w:rsid w:val="005B56B6"/>
    <w:rsid w:val="005B67E0"/>
    <w:rsid w:val="005E5722"/>
    <w:rsid w:val="00600B3A"/>
    <w:rsid w:val="00650B5F"/>
    <w:rsid w:val="00697EA9"/>
    <w:rsid w:val="007000A3"/>
    <w:rsid w:val="0070167C"/>
    <w:rsid w:val="0070321B"/>
    <w:rsid w:val="00711E49"/>
    <w:rsid w:val="00726A77"/>
    <w:rsid w:val="007329F7"/>
    <w:rsid w:val="00773DA5"/>
    <w:rsid w:val="007C3897"/>
    <w:rsid w:val="007D2B50"/>
    <w:rsid w:val="007E297E"/>
    <w:rsid w:val="00806087"/>
    <w:rsid w:val="00852914"/>
    <w:rsid w:val="00874011"/>
    <w:rsid w:val="00892B22"/>
    <w:rsid w:val="00927E6A"/>
    <w:rsid w:val="0095321B"/>
    <w:rsid w:val="0098114D"/>
    <w:rsid w:val="009A659E"/>
    <w:rsid w:val="009E07BE"/>
    <w:rsid w:val="00A065E0"/>
    <w:rsid w:val="00A404F8"/>
    <w:rsid w:val="00A71628"/>
    <w:rsid w:val="00A858AD"/>
    <w:rsid w:val="00AA0B69"/>
    <w:rsid w:val="00B03D98"/>
    <w:rsid w:val="00B25DEA"/>
    <w:rsid w:val="00BC7192"/>
    <w:rsid w:val="00BF6D41"/>
    <w:rsid w:val="00C55F92"/>
    <w:rsid w:val="00C825D3"/>
    <w:rsid w:val="00CA5B0D"/>
    <w:rsid w:val="00CF4457"/>
    <w:rsid w:val="00D15FFB"/>
    <w:rsid w:val="00D24296"/>
    <w:rsid w:val="00D512D7"/>
    <w:rsid w:val="00E033A0"/>
    <w:rsid w:val="00E633CF"/>
    <w:rsid w:val="00E96C83"/>
    <w:rsid w:val="00EA0ECB"/>
    <w:rsid w:val="00EB4183"/>
    <w:rsid w:val="00EF7D6D"/>
    <w:rsid w:val="00F35B51"/>
    <w:rsid w:val="00F419E7"/>
    <w:rsid w:val="00FA3413"/>
    <w:rsid w:val="00FB658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D09DB"/>
  <w15:docId w15:val="{6C34BDC4-D49A-41CD-91B8-044702335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170"/>
    <w:pPr>
      <w:spacing w:line="360" w:lineRule="auto"/>
      <w:jc w:val="both"/>
    </w:pPr>
    <w:rPr>
      <w:rFonts w:ascii="Arial" w:hAnsi="Arial"/>
      <w:sz w:val="24"/>
    </w:rPr>
  </w:style>
  <w:style w:type="paragraph" w:styleId="Heading1">
    <w:name w:val="heading 1"/>
    <w:basedOn w:val="Normal"/>
    <w:next w:val="Normal"/>
    <w:link w:val="Heading1Char"/>
    <w:uiPriority w:val="9"/>
    <w:qFormat/>
    <w:rsid w:val="00536170"/>
    <w:pPr>
      <w:keepNext/>
      <w:keepLines/>
      <w:spacing w:before="240" w:after="24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E5722"/>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5E5722"/>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943C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536170"/>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5E5722"/>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5E5722"/>
    <w:rPr>
      <w:rFonts w:ascii="Times New Roman" w:eastAsiaTheme="majorEastAsia" w:hAnsi="Times New Roman" w:cstheme="majorBidi"/>
      <w:b/>
      <w:bCs/>
      <w:i/>
      <w:sz w:val="24"/>
    </w:rPr>
  </w:style>
  <w:style w:type="table" w:customStyle="1" w:styleId="LightGrid1">
    <w:name w:val="Light Grid1"/>
    <w:basedOn w:val="TableNormal"/>
    <w:uiPriority w:val="62"/>
    <w:rsid w:val="00892B2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styleId="Hyperlink">
    <w:name w:val="Hyperlink"/>
    <w:basedOn w:val="DefaultParagraphFont"/>
    <w:uiPriority w:val="99"/>
    <w:unhideWhenUsed/>
    <w:rsid w:val="00892B22"/>
    <w:rPr>
      <w:color w:val="0000FF" w:themeColor="hyperlink"/>
      <w:u w:val="single"/>
    </w:rPr>
  </w:style>
  <w:style w:type="paragraph" w:styleId="BalloonText">
    <w:name w:val="Balloon Text"/>
    <w:basedOn w:val="Normal"/>
    <w:link w:val="BalloonTextChar"/>
    <w:uiPriority w:val="99"/>
    <w:semiHidden/>
    <w:unhideWhenUsed/>
    <w:rsid w:val="00892B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B22"/>
    <w:rPr>
      <w:rFonts w:ascii="Tahoma" w:hAnsi="Tahoma" w:cs="Tahoma"/>
      <w:sz w:val="16"/>
      <w:szCs w:val="16"/>
    </w:rPr>
  </w:style>
  <w:style w:type="paragraph" w:styleId="NormalWeb">
    <w:name w:val="Normal (Web)"/>
    <w:basedOn w:val="Normal"/>
    <w:uiPriority w:val="99"/>
    <w:semiHidden/>
    <w:unhideWhenUsed/>
    <w:rsid w:val="00650B5F"/>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650B5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50B5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650B5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650B5F"/>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5B56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6B6"/>
    <w:rPr>
      <w:rFonts w:ascii="Times New Roman" w:hAnsi="Times New Roman"/>
      <w:sz w:val="24"/>
    </w:rPr>
  </w:style>
  <w:style w:type="paragraph" w:styleId="Footer">
    <w:name w:val="footer"/>
    <w:basedOn w:val="Normal"/>
    <w:link w:val="FooterChar"/>
    <w:uiPriority w:val="99"/>
    <w:unhideWhenUsed/>
    <w:rsid w:val="005B56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6B6"/>
    <w:rPr>
      <w:rFonts w:ascii="Times New Roman" w:hAnsi="Times New Roman"/>
      <w:sz w:val="24"/>
    </w:rPr>
  </w:style>
  <w:style w:type="paragraph" w:styleId="TOCHeading">
    <w:name w:val="TOC Heading"/>
    <w:basedOn w:val="Heading1"/>
    <w:next w:val="Normal"/>
    <w:uiPriority w:val="39"/>
    <w:semiHidden/>
    <w:unhideWhenUsed/>
    <w:qFormat/>
    <w:rsid w:val="000607D2"/>
    <w:pPr>
      <w:spacing w:line="276"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0607D2"/>
    <w:pPr>
      <w:spacing w:after="100"/>
    </w:pPr>
  </w:style>
  <w:style w:type="paragraph" w:styleId="TOC2">
    <w:name w:val="toc 2"/>
    <w:basedOn w:val="Normal"/>
    <w:next w:val="Normal"/>
    <w:autoRedefine/>
    <w:uiPriority w:val="39"/>
    <w:unhideWhenUsed/>
    <w:rsid w:val="000607D2"/>
    <w:pPr>
      <w:spacing w:after="100"/>
      <w:ind w:left="240"/>
    </w:pPr>
  </w:style>
  <w:style w:type="paragraph" w:styleId="TOC3">
    <w:name w:val="toc 3"/>
    <w:basedOn w:val="Normal"/>
    <w:next w:val="Normal"/>
    <w:autoRedefine/>
    <w:uiPriority w:val="39"/>
    <w:unhideWhenUsed/>
    <w:rsid w:val="000607D2"/>
    <w:pPr>
      <w:spacing w:after="100"/>
      <w:ind w:left="480"/>
    </w:pPr>
  </w:style>
  <w:style w:type="character" w:customStyle="1" w:styleId="UnresolvedMention1">
    <w:name w:val="Unresolved Mention1"/>
    <w:basedOn w:val="DefaultParagraphFont"/>
    <w:uiPriority w:val="99"/>
    <w:semiHidden/>
    <w:unhideWhenUsed/>
    <w:rsid w:val="00536170"/>
    <w:rPr>
      <w:color w:val="605E5C"/>
      <w:shd w:val="clear" w:color="auto" w:fill="E1DFDD"/>
    </w:rPr>
  </w:style>
  <w:style w:type="character" w:styleId="FollowedHyperlink">
    <w:name w:val="FollowedHyperlink"/>
    <w:basedOn w:val="DefaultParagraphFont"/>
    <w:uiPriority w:val="99"/>
    <w:semiHidden/>
    <w:unhideWhenUsed/>
    <w:rsid w:val="00536170"/>
    <w:rPr>
      <w:color w:val="800080" w:themeColor="followedHyperlink"/>
      <w:u w:val="single"/>
    </w:rPr>
  </w:style>
  <w:style w:type="character" w:styleId="CommentReference">
    <w:name w:val="annotation reference"/>
    <w:basedOn w:val="DefaultParagraphFont"/>
    <w:uiPriority w:val="99"/>
    <w:semiHidden/>
    <w:unhideWhenUsed/>
    <w:rsid w:val="00536170"/>
    <w:rPr>
      <w:sz w:val="16"/>
      <w:szCs w:val="16"/>
    </w:rPr>
  </w:style>
  <w:style w:type="paragraph" w:styleId="CommentText">
    <w:name w:val="annotation text"/>
    <w:basedOn w:val="Normal"/>
    <w:link w:val="CommentTextChar"/>
    <w:uiPriority w:val="99"/>
    <w:unhideWhenUsed/>
    <w:rsid w:val="00536170"/>
    <w:pPr>
      <w:spacing w:line="240" w:lineRule="auto"/>
    </w:pPr>
    <w:rPr>
      <w:sz w:val="20"/>
      <w:szCs w:val="20"/>
    </w:rPr>
  </w:style>
  <w:style w:type="character" w:customStyle="1" w:styleId="CommentTextChar">
    <w:name w:val="Comment Text Char"/>
    <w:basedOn w:val="DefaultParagraphFont"/>
    <w:link w:val="CommentText"/>
    <w:uiPriority w:val="99"/>
    <w:rsid w:val="0053617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36170"/>
    <w:rPr>
      <w:b/>
      <w:bCs/>
    </w:rPr>
  </w:style>
  <w:style w:type="character" w:customStyle="1" w:styleId="CommentSubjectChar">
    <w:name w:val="Comment Subject Char"/>
    <w:basedOn w:val="CommentTextChar"/>
    <w:link w:val="CommentSubject"/>
    <w:uiPriority w:val="99"/>
    <w:semiHidden/>
    <w:rsid w:val="00536170"/>
    <w:rPr>
      <w:rFonts w:ascii="Arial" w:hAnsi="Arial"/>
      <w:b/>
      <w:bCs/>
      <w:sz w:val="20"/>
      <w:szCs w:val="20"/>
    </w:rPr>
  </w:style>
  <w:style w:type="table" w:customStyle="1" w:styleId="GridTable4-Accent51">
    <w:name w:val="Grid Table 4 - Accent 51"/>
    <w:basedOn w:val="TableNormal"/>
    <w:uiPriority w:val="49"/>
    <w:rsid w:val="00536170"/>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4-Accent11">
    <w:name w:val="Grid Table 4 - Accent 11"/>
    <w:basedOn w:val="TableNormal"/>
    <w:uiPriority w:val="49"/>
    <w:rsid w:val="00536170"/>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5Dark-Accent41">
    <w:name w:val="Grid Table 5 Dark - Accent 41"/>
    <w:basedOn w:val="TableNormal"/>
    <w:uiPriority w:val="50"/>
    <w:rsid w:val="0053617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2">
    <w:name w:val="Grid Table 4 Accent 2"/>
    <w:basedOn w:val="TableNormal"/>
    <w:uiPriority w:val="49"/>
    <w:rsid w:val="005B67E0"/>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01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orma.ncirl.ie/8506/" TargetMode="External"/><Relationship Id="rId18" Type="http://schemas.openxmlformats.org/officeDocument/2006/relationships/hyperlink" Target="https://journals.plos.org/Plosmedicine/article?id=10.1371/journal.pmed.100395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searchgate.net/profile/Chnar-Rashid/publication/373573995_PESTEL_Analysis_and_Porter's_Five_Forces_as_marketing_tools_to_evaluate_Morrison's_performance_and_strategy/links/64f8d23ce098013a83da1732/PESTEL-Analysis-and-Porters-Five-Forces-as-marketing-tools-to-evaluate-Morrisons-performance-and-strategy.pdf" TargetMode="External"/><Relationship Id="rId7" Type="http://schemas.openxmlformats.org/officeDocument/2006/relationships/image" Target="media/image1.png"/><Relationship Id="rId12" Type="http://schemas.openxmlformats.org/officeDocument/2006/relationships/hyperlink" Target="https://www.sciencedirect.com/science/article/pii/S2666784323000347" TargetMode="External"/><Relationship Id="rId17" Type="http://schemas.openxmlformats.org/officeDocument/2006/relationships/hyperlink" Target="https://www.mdpi.com/2071-1050/16/5/178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urnals.sagepub.com/doi/full/10.1177/01436244231161070" TargetMode="External"/><Relationship Id="rId20" Type="http://schemas.openxmlformats.org/officeDocument/2006/relationships/hyperlink" Target="https://www.ij-ebi.com/index.php/files/article/view/3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chart/19075/uk-supermarket-market-share/?srsltid=AfmBOorL6ivKAMq1Gstn7N5mbLIK0iwS8vQ28v1AbuBnsMchEqnvnaCV"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ambridge.org/core/journals/proceedings-of-the-nutrition-society/article/supermarkets-do-they-make-the-healthy-choice-the-easy-choice-a-review-of-the-healthfulness-of-the-supermarket-food-environment/ACA85577D478DCFBBD60DC48E8E50CFB" TargetMode="External"/><Relationship Id="rId23" Type="http://schemas.openxmlformats.org/officeDocument/2006/relationships/hyperlink" Target="https://www.aimspress.com/aimspress-data/qfe/2025/3/PDF/QFE-09-03-024.pdf" TargetMode="External"/><Relationship Id="rId10" Type="http://schemas.openxmlformats.org/officeDocument/2006/relationships/image" Target="media/image4.png"/><Relationship Id="rId19" Type="http://schemas.openxmlformats.org/officeDocument/2006/relationships/hyperlink" Target="https://eprints.bournemouth.ac.uk/3706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journals.sagepub.com/doi/full/10.1177/02601060221105744" TargetMode="External"/><Relationship Id="rId22" Type="http://schemas.openxmlformats.org/officeDocument/2006/relationships/hyperlink" Targe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CF7C0C-E3E1-46C0-8494-59262E2D96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4122</Words>
  <Characters>23497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HG DAS</dc:creator>
  <cp:lastModifiedBy>Maheshwari Mehta</cp:lastModifiedBy>
  <cp:revision>2</cp:revision>
  <dcterms:created xsi:type="dcterms:W3CDTF">2026-03-26T12:41:00Z</dcterms:created>
  <dcterms:modified xsi:type="dcterms:W3CDTF">2026-03-26T12:41:00Z</dcterms:modified>
</cp:coreProperties>
</file>