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themeColor="background1"/>
  <w:body>
    <w:p w:rsidR="00E060A5" w:rsidRPr="006F1204" w:rsidRDefault="00E060A5" w:rsidP="003811D7">
      <w:pPr>
        <w:jc w:val="center"/>
        <w:rPr>
          <w:rFonts w:cstheme="minorHAnsi"/>
          <w:sz w:val="24"/>
          <w:u w:val="single"/>
        </w:rPr>
      </w:pPr>
      <w:r w:rsidRPr="006F1204">
        <w:rPr>
          <w:rFonts w:cstheme="minorHAnsi"/>
          <w:sz w:val="24"/>
          <w:u w:val="single"/>
        </w:rPr>
        <w:t>Hieroglyphs, Texts and Society: AHAR5004 – Assessment 1</w:t>
      </w:r>
    </w:p>
    <w:p w:rsidR="003811D7" w:rsidRPr="006F1204" w:rsidRDefault="003811D7">
      <w:pPr>
        <w:rPr>
          <w:rFonts w:cstheme="minorHAnsi"/>
          <w:sz w:val="24"/>
        </w:rPr>
      </w:pPr>
    </w:p>
    <w:p w:rsidR="00D2379D" w:rsidRPr="00B252EC" w:rsidRDefault="00E060A5">
      <w:pPr>
        <w:rPr>
          <w:rFonts w:cstheme="minorHAnsi"/>
          <w:sz w:val="24"/>
        </w:rPr>
      </w:pPr>
      <w:r w:rsidRPr="00B252EC">
        <w:rPr>
          <w:rFonts w:cstheme="minorHAnsi"/>
          <w:sz w:val="24"/>
        </w:rPr>
        <w:t xml:space="preserve">Ancient Mesopotamia can be described </w:t>
      </w:r>
      <w:r w:rsidR="00534E71" w:rsidRPr="00B252EC">
        <w:rPr>
          <w:rFonts w:cstheme="minorHAnsi"/>
          <w:sz w:val="24"/>
        </w:rPr>
        <w:t xml:space="preserve">as being </w:t>
      </w:r>
      <w:r w:rsidRPr="00B252EC">
        <w:rPr>
          <w:rFonts w:cstheme="minorHAnsi"/>
          <w:sz w:val="24"/>
        </w:rPr>
        <w:t>home to some of the most famo</w:t>
      </w:r>
      <w:r w:rsidR="00534E71" w:rsidRPr="00B252EC">
        <w:rPr>
          <w:rFonts w:cstheme="minorHAnsi"/>
          <w:sz w:val="24"/>
        </w:rPr>
        <w:t xml:space="preserve">us works from the ancient world, and </w:t>
      </w:r>
      <w:r w:rsidRPr="00B252EC">
        <w:rPr>
          <w:rFonts w:cstheme="minorHAnsi"/>
          <w:sz w:val="24"/>
        </w:rPr>
        <w:t xml:space="preserve">‘the most famous work from ancient Mesopotamia </w:t>
      </w:r>
      <w:r w:rsidR="003811D7" w:rsidRPr="00B252EC">
        <w:rPr>
          <w:rFonts w:cstheme="minorHAnsi"/>
          <w:sz w:val="24"/>
        </w:rPr>
        <w:t>dates to the old Babylonian era- the monument known as the Codex of Hammurabi’</w:t>
      </w:r>
      <w:r w:rsidR="003811D7" w:rsidRPr="00B252EC">
        <w:rPr>
          <w:rStyle w:val="FootnoteReference"/>
          <w:rFonts w:cstheme="minorHAnsi"/>
          <w:sz w:val="24"/>
        </w:rPr>
        <w:footnoteReference w:id="1"/>
      </w:r>
      <w:r w:rsidR="00534E71" w:rsidRPr="00B252EC">
        <w:rPr>
          <w:rFonts w:cstheme="minorHAnsi"/>
          <w:sz w:val="24"/>
        </w:rPr>
        <w:t>. The C</w:t>
      </w:r>
      <w:r w:rsidR="00BE785F" w:rsidRPr="00B252EC">
        <w:rPr>
          <w:rFonts w:cstheme="minorHAnsi"/>
          <w:sz w:val="24"/>
        </w:rPr>
        <w:t>odex of Hammurabi</w:t>
      </w:r>
      <w:r w:rsidR="00534E71" w:rsidRPr="00B252EC">
        <w:rPr>
          <w:rFonts w:cstheme="minorHAnsi"/>
          <w:sz w:val="24"/>
        </w:rPr>
        <w:t>,</w:t>
      </w:r>
      <w:r w:rsidR="00BE785F" w:rsidRPr="00B252EC">
        <w:rPr>
          <w:rFonts w:cstheme="minorHAnsi"/>
          <w:sz w:val="24"/>
        </w:rPr>
        <w:t xml:space="preserve"> better known as Hammurabi’s Law Code, is partnered with</w:t>
      </w:r>
      <w:r w:rsidR="00632145" w:rsidRPr="00B252EC">
        <w:rPr>
          <w:rFonts w:cstheme="minorHAnsi"/>
          <w:sz w:val="24"/>
        </w:rPr>
        <w:t xml:space="preserve"> a significant </w:t>
      </w:r>
      <w:r w:rsidR="00632145" w:rsidRPr="006F1204">
        <w:rPr>
          <w:rFonts w:cstheme="minorHAnsi"/>
          <w:sz w:val="24"/>
        </w:rPr>
        <w:t xml:space="preserve">sculpture that tops the monument portraying the ‘God </w:t>
      </w:r>
      <w:r w:rsidR="00234E7E" w:rsidRPr="006F1204">
        <w:rPr>
          <w:rFonts w:cstheme="minorHAnsi"/>
          <w:sz w:val="24"/>
        </w:rPr>
        <w:t xml:space="preserve">Ṧamaṧ who was the God of Law </w:t>
      </w:r>
      <w:r w:rsidR="00A5432D" w:rsidRPr="006F1204">
        <w:rPr>
          <w:rFonts w:cstheme="minorHAnsi"/>
          <w:sz w:val="24"/>
        </w:rPr>
        <w:t xml:space="preserve">in Babylonia </w:t>
      </w:r>
      <w:r w:rsidR="00234E7E" w:rsidRPr="006F1204">
        <w:rPr>
          <w:rFonts w:cstheme="minorHAnsi"/>
          <w:sz w:val="24"/>
        </w:rPr>
        <w:t xml:space="preserve">whose children were called Justice and Right’. </w:t>
      </w:r>
      <w:r w:rsidR="00234E7E" w:rsidRPr="00B252EC">
        <w:rPr>
          <w:rFonts w:cstheme="minorHAnsi"/>
          <w:sz w:val="24"/>
        </w:rPr>
        <w:t>This can be seen as significant as elsewhere Hammurabi refers to himself as the darling of Ṧamaṧ.</w:t>
      </w:r>
      <w:r w:rsidR="00234E7E" w:rsidRPr="00B252EC">
        <w:rPr>
          <w:rStyle w:val="FootnoteReference"/>
          <w:rFonts w:cstheme="minorHAnsi"/>
          <w:sz w:val="24"/>
        </w:rPr>
        <w:footnoteReference w:id="2"/>
      </w:r>
      <w:r w:rsidR="00234E7E" w:rsidRPr="00B252EC">
        <w:rPr>
          <w:rFonts w:cstheme="minorHAnsi"/>
          <w:sz w:val="24"/>
        </w:rPr>
        <w:t xml:space="preserve"> The monument today </w:t>
      </w:r>
      <w:r w:rsidR="00632145" w:rsidRPr="00B252EC">
        <w:rPr>
          <w:rFonts w:cstheme="minorHAnsi"/>
          <w:sz w:val="24"/>
        </w:rPr>
        <w:t>can be seen in the Louvre in Paris, France. The</w:t>
      </w:r>
      <w:r w:rsidR="00A0712B" w:rsidRPr="00B252EC">
        <w:rPr>
          <w:rFonts w:cstheme="minorHAnsi"/>
          <w:sz w:val="24"/>
        </w:rPr>
        <w:t xml:space="preserve"> black ba</w:t>
      </w:r>
      <w:r w:rsidR="00632145" w:rsidRPr="00B252EC">
        <w:rPr>
          <w:rFonts w:cstheme="minorHAnsi"/>
          <w:sz w:val="24"/>
        </w:rPr>
        <w:t>salt monolithic pillar</w:t>
      </w:r>
      <w:r w:rsidR="00234E7E" w:rsidRPr="00B252EC">
        <w:rPr>
          <w:rFonts w:cstheme="minorHAnsi"/>
          <w:sz w:val="24"/>
        </w:rPr>
        <w:t xml:space="preserve"> which makes up Hammurabi’s Law Code</w:t>
      </w:r>
      <w:r w:rsidR="00A0712B" w:rsidRPr="00B252EC">
        <w:rPr>
          <w:rFonts w:cstheme="minorHAnsi"/>
          <w:sz w:val="24"/>
        </w:rPr>
        <w:t xml:space="preserve"> measures two and a quarter meters ta</w:t>
      </w:r>
      <w:r w:rsidR="00632145" w:rsidRPr="00B252EC">
        <w:rPr>
          <w:rFonts w:cstheme="minorHAnsi"/>
          <w:sz w:val="24"/>
        </w:rPr>
        <w:t>ll and seventy centimetres wide and can be seen to be socially and historically significant to the study of Ancient Mesopotamia</w:t>
      </w:r>
      <w:r w:rsidR="00A0712B" w:rsidRPr="00B252EC">
        <w:rPr>
          <w:rStyle w:val="FootnoteReference"/>
          <w:rFonts w:cstheme="minorHAnsi"/>
          <w:sz w:val="24"/>
        </w:rPr>
        <w:footnoteReference w:id="3"/>
      </w:r>
      <w:r w:rsidR="00A0712B" w:rsidRPr="00B252EC">
        <w:rPr>
          <w:rFonts w:cstheme="minorHAnsi"/>
          <w:sz w:val="24"/>
        </w:rPr>
        <w:t>.</w:t>
      </w:r>
    </w:p>
    <w:p w:rsidR="00347D85" w:rsidRPr="00B252EC" w:rsidRDefault="00234E7E" w:rsidP="00E16E48">
      <w:pPr>
        <w:rPr>
          <w:rFonts w:cstheme="minorHAnsi"/>
          <w:sz w:val="24"/>
        </w:rPr>
      </w:pPr>
      <w:r w:rsidRPr="00B252EC">
        <w:rPr>
          <w:rFonts w:cstheme="minorHAnsi"/>
          <w:sz w:val="24"/>
        </w:rPr>
        <w:t xml:space="preserve">The Codex </w:t>
      </w:r>
      <w:r w:rsidR="001026C6" w:rsidRPr="00B252EC">
        <w:rPr>
          <w:rFonts w:cstheme="minorHAnsi"/>
          <w:sz w:val="24"/>
        </w:rPr>
        <w:t>of Hammurabi was</w:t>
      </w:r>
      <w:r w:rsidRPr="00B252EC">
        <w:rPr>
          <w:rFonts w:cstheme="minorHAnsi"/>
          <w:sz w:val="24"/>
        </w:rPr>
        <w:t xml:space="preserve"> </w:t>
      </w:r>
      <w:r w:rsidR="00C14FC1" w:rsidRPr="00B252EC">
        <w:rPr>
          <w:rFonts w:cstheme="minorHAnsi"/>
          <w:sz w:val="24"/>
        </w:rPr>
        <w:t>discovered on an excavation</w:t>
      </w:r>
      <w:r w:rsidR="00370475" w:rsidRPr="00B252EC">
        <w:rPr>
          <w:rFonts w:cstheme="minorHAnsi"/>
          <w:sz w:val="24"/>
        </w:rPr>
        <w:t>, led</w:t>
      </w:r>
      <w:r w:rsidR="00C14FC1" w:rsidRPr="00B252EC">
        <w:rPr>
          <w:rFonts w:cstheme="minorHAnsi"/>
          <w:sz w:val="24"/>
        </w:rPr>
        <w:t xml:space="preserve"> by a French expedition team headed ‘by M. de Morgan at the great mound known as the Acropolis of Susa, between December 1901 and January 1902’</w:t>
      </w:r>
      <w:r w:rsidR="00C14FC1" w:rsidRPr="00B252EC">
        <w:rPr>
          <w:rStyle w:val="FootnoteReference"/>
          <w:rFonts w:cstheme="minorHAnsi"/>
          <w:sz w:val="24"/>
        </w:rPr>
        <w:footnoteReference w:id="4"/>
      </w:r>
      <w:r w:rsidR="00C14FC1" w:rsidRPr="00B252EC">
        <w:rPr>
          <w:rFonts w:cstheme="minorHAnsi"/>
          <w:sz w:val="24"/>
        </w:rPr>
        <w:t xml:space="preserve"> </w:t>
      </w:r>
      <w:r w:rsidR="001026C6" w:rsidRPr="00B252EC">
        <w:rPr>
          <w:rFonts w:cstheme="minorHAnsi"/>
          <w:sz w:val="24"/>
        </w:rPr>
        <w:t>although</w:t>
      </w:r>
      <w:r w:rsidR="00C14FC1" w:rsidRPr="00B252EC">
        <w:rPr>
          <w:rFonts w:cstheme="minorHAnsi"/>
          <w:sz w:val="24"/>
        </w:rPr>
        <w:t xml:space="preserve"> it was</w:t>
      </w:r>
      <w:r w:rsidR="001026C6" w:rsidRPr="00B252EC">
        <w:rPr>
          <w:rFonts w:cstheme="minorHAnsi"/>
          <w:sz w:val="24"/>
        </w:rPr>
        <w:t xml:space="preserve"> not </w:t>
      </w:r>
      <w:r w:rsidR="00C14FC1" w:rsidRPr="00B252EC">
        <w:rPr>
          <w:rFonts w:cstheme="minorHAnsi"/>
          <w:sz w:val="24"/>
        </w:rPr>
        <w:t xml:space="preserve">discovered in Babylonia were it was erected </w:t>
      </w:r>
      <w:r w:rsidR="001026C6" w:rsidRPr="00B252EC">
        <w:rPr>
          <w:rFonts w:cstheme="minorHAnsi"/>
          <w:sz w:val="24"/>
        </w:rPr>
        <w:t xml:space="preserve">but in Susa, the capital city of </w:t>
      </w:r>
      <w:r w:rsidR="00C14FC1" w:rsidRPr="00B252EC">
        <w:rPr>
          <w:rFonts w:cstheme="minorHAnsi"/>
          <w:sz w:val="24"/>
        </w:rPr>
        <w:t>Elam, a rival power to the east</w:t>
      </w:r>
      <w:r w:rsidR="001026C6" w:rsidRPr="00B252EC">
        <w:rPr>
          <w:rStyle w:val="FootnoteReference"/>
          <w:rFonts w:cstheme="minorHAnsi"/>
          <w:sz w:val="24"/>
        </w:rPr>
        <w:footnoteReference w:id="5"/>
      </w:r>
      <w:r w:rsidR="001026C6" w:rsidRPr="00B252EC">
        <w:rPr>
          <w:rFonts w:cstheme="minorHAnsi"/>
          <w:sz w:val="24"/>
        </w:rPr>
        <w:t>. It is believed that in the twelfth century, an ‘Elamite raiding part</w:t>
      </w:r>
      <w:r w:rsidR="00534E71" w:rsidRPr="00B252EC">
        <w:rPr>
          <w:rFonts w:cstheme="minorHAnsi"/>
          <w:sz w:val="24"/>
        </w:rPr>
        <w:t>y</w:t>
      </w:r>
      <w:r w:rsidR="001026C6" w:rsidRPr="00B252EC">
        <w:rPr>
          <w:rFonts w:cstheme="minorHAnsi"/>
          <w:sz w:val="24"/>
        </w:rPr>
        <w:t xml:space="preserve"> plundered several cities in northern </w:t>
      </w:r>
      <w:r w:rsidR="00EF24AD" w:rsidRPr="00B252EC">
        <w:rPr>
          <w:rFonts w:cstheme="minorHAnsi"/>
          <w:sz w:val="24"/>
        </w:rPr>
        <w:t>Babylonia</w:t>
      </w:r>
      <w:r w:rsidR="001026C6" w:rsidRPr="00B252EC">
        <w:rPr>
          <w:rFonts w:cstheme="minorHAnsi"/>
          <w:sz w:val="24"/>
        </w:rPr>
        <w:t>, and the Elamite king carried home and erected in his god’s temple Hammurabi’</w:t>
      </w:r>
      <w:r w:rsidR="00EF24AD" w:rsidRPr="00B252EC">
        <w:rPr>
          <w:rFonts w:cstheme="minorHAnsi"/>
          <w:sz w:val="24"/>
        </w:rPr>
        <w:t>s stele’</w:t>
      </w:r>
      <w:r w:rsidR="00EF24AD" w:rsidRPr="00B252EC">
        <w:rPr>
          <w:rStyle w:val="FootnoteReference"/>
          <w:rFonts w:cstheme="minorHAnsi"/>
          <w:sz w:val="24"/>
        </w:rPr>
        <w:footnoteReference w:id="6"/>
      </w:r>
      <w:r w:rsidR="00EF24AD" w:rsidRPr="00B252EC">
        <w:rPr>
          <w:rFonts w:cstheme="minorHAnsi"/>
          <w:sz w:val="24"/>
        </w:rPr>
        <w:t xml:space="preserve">. </w:t>
      </w:r>
      <w:r w:rsidR="00347D85" w:rsidRPr="00B252EC">
        <w:rPr>
          <w:rFonts w:cstheme="minorHAnsi"/>
          <w:sz w:val="24"/>
        </w:rPr>
        <w:t xml:space="preserve">However originally, the stele would have been displayed in Babylon; Hammurabi’s place of birth, where he most likely erected a temple to the god Ṧamaṧ, the god in which Hammurabi’s stele is dedicated to. Although it </w:t>
      </w:r>
      <w:r w:rsidR="00D91D8C" w:rsidRPr="00B252EC">
        <w:rPr>
          <w:rFonts w:cstheme="minorHAnsi"/>
          <w:sz w:val="24"/>
        </w:rPr>
        <w:t>can’t</w:t>
      </w:r>
      <w:r w:rsidR="00347D85" w:rsidRPr="00B252EC">
        <w:rPr>
          <w:rFonts w:cstheme="minorHAnsi"/>
          <w:sz w:val="24"/>
        </w:rPr>
        <w:t xml:space="preserve"> be stated for absolute certainty where the stele was erected in the t</w:t>
      </w:r>
      <w:r w:rsidR="00B252EC">
        <w:rPr>
          <w:rFonts w:cstheme="minorHAnsi"/>
          <w:sz w:val="24"/>
        </w:rPr>
        <w:t xml:space="preserve">emple and who had access to it: </w:t>
      </w:r>
      <w:r w:rsidR="00D91D8C" w:rsidRPr="00B252EC">
        <w:rPr>
          <w:rFonts w:cstheme="minorHAnsi"/>
          <w:sz w:val="24"/>
        </w:rPr>
        <w:t xml:space="preserve">from studying ancient Mesopotamia </w:t>
      </w:r>
      <w:r w:rsidR="00B252EC">
        <w:rPr>
          <w:rFonts w:cstheme="minorHAnsi"/>
          <w:sz w:val="24"/>
        </w:rPr>
        <w:t xml:space="preserve">we can suggest </w:t>
      </w:r>
      <w:r w:rsidR="00D91D8C" w:rsidRPr="00B252EC">
        <w:rPr>
          <w:rFonts w:cstheme="minorHAnsi"/>
          <w:sz w:val="24"/>
        </w:rPr>
        <w:t>looking at the fact that ancient writing systems such as cuneiform began in Mesopotamia in the 4</w:t>
      </w:r>
      <w:r w:rsidR="00D91D8C" w:rsidRPr="00B252EC">
        <w:rPr>
          <w:rFonts w:cstheme="minorHAnsi"/>
          <w:sz w:val="24"/>
          <w:vertAlign w:val="superscript"/>
        </w:rPr>
        <w:t>th</w:t>
      </w:r>
      <w:r w:rsidR="00D91D8C" w:rsidRPr="00B252EC">
        <w:rPr>
          <w:rFonts w:cstheme="minorHAnsi"/>
          <w:sz w:val="24"/>
        </w:rPr>
        <w:t xml:space="preserve"> millennium it can be suggested that the stele was publically displayed in the temple so that every individual could reference the laws in times of need. </w:t>
      </w:r>
    </w:p>
    <w:p w:rsidR="00E16E48" w:rsidRPr="00B252EC" w:rsidRDefault="00E16E48" w:rsidP="00E16E48">
      <w:pPr>
        <w:rPr>
          <w:rFonts w:cstheme="minorHAnsi"/>
          <w:sz w:val="24"/>
        </w:rPr>
      </w:pPr>
      <w:r w:rsidRPr="00B252EC">
        <w:rPr>
          <w:rFonts w:cstheme="minorHAnsi"/>
          <w:sz w:val="24"/>
        </w:rPr>
        <w:t xml:space="preserve">Hammurabi’s Law </w:t>
      </w:r>
      <w:r w:rsidR="007A491D" w:rsidRPr="00B252EC">
        <w:rPr>
          <w:rFonts w:cstheme="minorHAnsi"/>
          <w:sz w:val="24"/>
        </w:rPr>
        <w:t xml:space="preserve">Code is not only significant because it is remarkably well preserved but it also can be dated absolutely to around 2250 B.C.E </w:t>
      </w:r>
      <w:r w:rsidR="007A491D" w:rsidRPr="00B252EC">
        <w:rPr>
          <w:rStyle w:val="FootnoteReference"/>
          <w:rFonts w:cstheme="minorHAnsi"/>
          <w:sz w:val="24"/>
        </w:rPr>
        <w:footnoteReference w:id="7"/>
      </w:r>
      <w:r w:rsidR="007A491D" w:rsidRPr="00B252EC">
        <w:rPr>
          <w:rFonts w:cstheme="minorHAnsi"/>
          <w:sz w:val="24"/>
        </w:rPr>
        <w:t xml:space="preserve">. </w:t>
      </w:r>
      <w:r w:rsidR="00370475" w:rsidRPr="00B252EC">
        <w:rPr>
          <w:rFonts w:cstheme="minorHAnsi"/>
          <w:sz w:val="24"/>
        </w:rPr>
        <w:t>Therefore,</w:t>
      </w:r>
      <w:r w:rsidR="007A491D" w:rsidRPr="00B252EC">
        <w:rPr>
          <w:rFonts w:cstheme="minorHAnsi"/>
          <w:sz w:val="24"/>
        </w:rPr>
        <w:t xml:space="preserve"> this can answer one of the main </w:t>
      </w:r>
      <w:r w:rsidR="00370475" w:rsidRPr="00B252EC">
        <w:rPr>
          <w:rFonts w:cstheme="minorHAnsi"/>
          <w:sz w:val="24"/>
        </w:rPr>
        <w:t xml:space="preserve">queries surrounding this document, did Hammurabi himself write these laws. </w:t>
      </w:r>
      <w:r w:rsidR="00722021" w:rsidRPr="00B252EC">
        <w:rPr>
          <w:rFonts w:cstheme="minorHAnsi"/>
          <w:sz w:val="24"/>
        </w:rPr>
        <w:t xml:space="preserve">Although this question cannot be answered with absolute certainty, using the dating of Hammurabi’s reign which began in 1792 B.C.E and the dating of the monument which was 2250 B.C.E it </w:t>
      </w:r>
      <w:r w:rsidR="00722021" w:rsidRPr="00B252EC">
        <w:rPr>
          <w:rFonts w:cstheme="minorHAnsi"/>
          <w:sz w:val="24"/>
        </w:rPr>
        <w:lastRenderedPageBreak/>
        <w:t>can be suggested that although Hammurabi himself did not write this document, it was erected to honour the way in which he ruled the people of Babylonia</w:t>
      </w:r>
      <w:r w:rsidR="00A5432D" w:rsidRPr="00B252EC">
        <w:rPr>
          <w:rFonts w:cstheme="minorHAnsi"/>
          <w:sz w:val="24"/>
        </w:rPr>
        <w:t xml:space="preserve"> to be law abiding citizens</w:t>
      </w:r>
      <w:r w:rsidR="00722021" w:rsidRPr="00B252EC">
        <w:rPr>
          <w:rFonts w:cstheme="minorHAnsi"/>
          <w:sz w:val="24"/>
        </w:rPr>
        <w:t xml:space="preserve">. Due to increased trade and foreign relations, </w:t>
      </w:r>
      <w:r w:rsidR="00A5432D" w:rsidRPr="00B252EC">
        <w:rPr>
          <w:rFonts w:cstheme="minorHAnsi"/>
          <w:sz w:val="24"/>
        </w:rPr>
        <w:t>‘</w:t>
      </w:r>
      <w:r w:rsidR="00722021" w:rsidRPr="00B252EC">
        <w:rPr>
          <w:rFonts w:cstheme="minorHAnsi"/>
          <w:sz w:val="24"/>
        </w:rPr>
        <w:t>Babylonians seem to be the first people to develop an extensive legal system</w:t>
      </w:r>
      <w:r w:rsidR="00A5432D" w:rsidRPr="00B252EC">
        <w:rPr>
          <w:rFonts w:cstheme="minorHAnsi"/>
          <w:sz w:val="24"/>
        </w:rPr>
        <w:t>’.</w:t>
      </w:r>
      <w:r w:rsidR="00722021" w:rsidRPr="00B252EC">
        <w:rPr>
          <w:rStyle w:val="FootnoteReference"/>
          <w:rFonts w:cstheme="minorHAnsi"/>
          <w:sz w:val="24"/>
        </w:rPr>
        <w:footnoteReference w:id="8"/>
      </w:r>
      <w:r w:rsidR="00722021" w:rsidRPr="00B252EC">
        <w:rPr>
          <w:rFonts w:cstheme="minorHAnsi"/>
          <w:sz w:val="24"/>
        </w:rPr>
        <w:t xml:space="preserve"> </w:t>
      </w:r>
    </w:p>
    <w:p w:rsidR="001969BE" w:rsidRPr="00B252EC" w:rsidRDefault="00D1205D">
      <w:pPr>
        <w:rPr>
          <w:rFonts w:cstheme="minorHAnsi"/>
          <w:sz w:val="24"/>
        </w:rPr>
      </w:pPr>
      <w:r w:rsidRPr="00B252EC">
        <w:rPr>
          <w:rFonts w:cstheme="minorHAnsi"/>
          <w:sz w:val="24"/>
        </w:rPr>
        <w:t>Hammur</w:t>
      </w:r>
      <w:r w:rsidR="00EB7678" w:rsidRPr="00B252EC">
        <w:rPr>
          <w:rFonts w:cstheme="minorHAnsi"/>
          <w:sz w:val="24"/>
        </w:rPr>
        <w:t xml:space="preserve">abi himself can be stated to </w:t>
      </w:r>
      <w:r w:rsidRPr="00B252EC">
        <w:rPr>
          <w:rFonts w:cstheme="minorHAnsi"/>
          <w:sz w:val="24"/>
        </w:rPr>
        <w:t>have been a great ruler of Babylonia</w:t>
      </w:r>
      <w:r w:rsidR="001B7EDB" w:rsidRPr="00B252EC">
        <w:rPr>
          <w:rFonts w:cstheme="minorHAnsi"/>
          <w:sz w:val="24"/>
        </w:rPr>
        <w:t>, ‘when he came into power in 179</w:t>
      </w:r>
      <w:r w:rsidR="00534E71" w:rsidRPr="00B252EC">
        <w:rPr>
          <w:rFonts w:cstheme="minorHAnsi"/>
          <w:sz w:val="24"/>
        </w:rPr>
        <w:t>2 BCE, the land of Babylonia had</w:t>
      </w:r>
      <w:r w:rsidR="001B7EDB" w:rsidRPr="00B252EC">
        <w:rPr>
          <w:rFonts w:cstheme="minorHAnsi"/>
          <w:sz w:val="24"/>
        </w:rPr>
        <w:t xml:space="preserve"> seen two centuries of</w:t>
      </w:r>
      <w:r w:rsidR="006F1204" w:rsidRPr="00B252EC">
        <w:rPr>
          <w:rFonts w:cstheme="minorHAnsi"/>
          <w:sz w:val="24"/>
        </w:rPr>
        <w:t xml:space="preserve"> war</w:t>
      </w:r>
      <w:r w:rsidR="001B7EDB" w:rsidRPr="00B252EC">
        <w:rPr>
          <w:rFonts w:cstheme="minorHAnsi"/>
          <w:sz w:val="24"/>
        </w:rPr>
        <w:t xml:space="preserve"> and</w:t>
      </w:r>
      <w:r w:rsidR="006F1204" w:rsidRPr="00B252EC">
        <w:rPr>
          <w:rFonts w:cstheme="minorHAnsi"/>
          <w:sz w:val="24"/>
        </w:rPr>
        <w:t xml:space="preserve"> turmoil’</w:t>
      </w:r>
      <w:r w:rsidR="001B7EDB" w:rsidRPr="00B252EC">
        <w:rPr>
          <w:rStyle w:val="FootnoteReference"/>
          <w:rFonts w:cstheme="minorHAnsi"/>
          <w:sz w:val="24"/>
        </w:rPr>
        <w:footnoteReference w:id="9"/>
      </w:r>
      <w:r w:rsidR="001B7EDB" w:rsidRPr="00B252EC">
        <w:rPr>
          <w:rFonts w:cstheme="minorHAnsi"/>
          <w:sz w:val="24"/>
        </w:rPr>
        <w:t>. However ‘it was Hammurabi often referred to in texts as ‘the man of Babylon’ who unified the region after a string of brief but successful military campaigns’</w:t>
      </w:r>
      <w:r w:rsidR="001B7EDB" w:rsidRPr="00B252EC">
        <w:rPr>
          <w:rStyle w:val="FootnoteReference"/>
          <w:rFonts w:cstheme="minorHAnsi"/>
          <w:sz w:val="24"/>
        </w:rPr>
        <w:footnoteReference w:id="10"/>
      </w:r>
      <w:r w:rsidR="001B7EDB" w:rsidRPr="00B252EC">
        <w:rPr>
          <w:rFonts w:cstheme="minorHAnsi"/>
          <w:sz w:val="24"/>
        </w:rPr>
        <w:t xml:space="preserve">. </w:t>
      </w:r>
      <w:r w:rsidR="001026C6" w:rsidRPr="00B252EC">
        <w:rPr>
          <w:rFonts w:cstheme="minorHAnsi"/>
          <w:sz w:val="24"/>
        </w:rPr>
        <w:t>Hammurabi himself can be described as a just and law worthy ruler of Babylonia, It can be suggested that ‘the stele was publicised to its audience standards of justice while simultaneously preserving an enduring record of Hammurabi’s commitment to just ways of the land’</w:t>
      </w:r>
      <w:r w:rsidR="001026C6" w:rsidRPr="00B252EC">
        <w:rPr>
          <w:rStyle w:val="FootnoteReference"/>
          <w:rFonts w:cstheme="minorHAnsi"/>
          <w:sz w:val="24"/>
        </w:rPr>
        <w:footnoteReference w:id="11"/>
      </w:r>
      <w:r w:rsidR="00EF24AD" w:rsidRPr="00B252EC">
        <w:rPr>
          <w:rFonts w:cstheme="minorHAnsi"/>
          <w:sz w:val="24"/>
        </w:rPr>
        <w:t>.</w:t>
      </w:r>
    </w:p>
    <w:p w:rsidR="003A20C9" w:rsidRPr="00B252EC" w:rsidRDefault="00A5432D">
      <w:pPr>
        <w:rPr>
          <w:rFonts w:cstheme="minorHAnsi"/>
          <w:sz w:val="24"/>
        </w:rPr>
      </w:pPr>
      <w:r w:rsidRPr="00B252EC">
        <w:rPr>
          <w:rFonts w:cstheme="minorHAnsi"/>
          <w:sz w:val="24"/>
        </w:rPr>
        <w:t>Hammurabi’</w:t>
      </w:r>
      <w:r w:rsidR="008C037A" w:rsidRPr="00B252EC">
        <w:rPr>
          <w:rFonts w:cstheme="minorHAnsi"/>
          <w:sz w:val="24"/>
        </w:rPr>
        <w:t xml:space="preserve">s Law Code </w:t>
      </w:r>
      <w:r w:rsidR="004551A8" w:rsidRPr="00B252EC">
        <w:rPr>
          <w:rFonts w:cstheme="minorHAnsi"/>
          <w:sz w:val="24"/>
        </w:rPr>
        <w:t>in translation is made up of three hundred case studies which show ‘extensive examples of legal decisions’</w:t>
      </w:r>
      <w:r w:rsidR="004551A8" w:rsidRPr="00B252EC">
        <w:rPr>
          <w:rStyle w:val="FootnoteReference"/>
          <w:rFonts w:cstheme="minorHAnsi"/>
          <w:sz w:val="24"/>
        </w:rPr>
        <w:footnoteReference w:id="12"/>
      </w:r>
      <w:r w:rsidR="00EB7678" w:rsidRPr="00B252EC">
        <w:rPr>
          <w:rFonts w:cstheme="minorHAnsi"/>
          <w:sz w:val="24"/>
        </w:rPr>
        <w:t xml:space="preserve"> or </w:t>
      </w:r>
      <w:r w:rsidR="004551A8" w:rsidRPr="00B252EC">
        <w:rPr>
          <w:rFonts w:cstheme="minorHAnsi"/>
          <w:sz w:val="24"/>
        </w:rPr>
        <w:t>lega</w:t>
      </w:r>
      <w:r w:rsidR="008A1BA1" w:rsidRPr="00B252EC">
        <w:rPr>
          <w:rFonts w:cstheme="minorHAnsi"/>
          <w:sz w:val="24"/>
        </w:rPr>
        <w:t>l guidelines on what to do if</w:t>
      </w:r>
      <w:r w:rsidR="00EB7678" w:rsidRPr="00B252EC">
        <w:rPr>
          <w:rFonts w:cstheme="minorHAnsi"/>
          <w:sz w:val="24"/>
        </w:rPr>
        <w:t xml:space="preserve"> </w:t>
      </w:r>
      <w:r w:rsidR="004551A8" w:rsidRPr="00B252EC">
        <w:rPr>
          <w:rFonts w:cstheme="minorHAnsi"/>
          <w:sz w:val="24"/>
        </w:rPr>
        <w:t>certain situation</w:t>
      </w:r>
      <w:r w:rsidR="008A1BA1" w:rsidRPr="00B252EC">
        <w:rPr>
          <w:rFonts w:cstheme="minorHAnsi"/>
          <w:sz w:val="24"/>
        </w:rPr>
        <w:t>s arise</w:t>
      </w:r>
      <w:r w:rsidR="004551A8" w:rsidRPr="00B252EC">
        <w:rPr>
          <w:rFonts w:cstheme="minorHAnsi"/>
          <w:sz w:val="24"/>
        </w:rPr>
        <w:t>, rather than what we today would consider laws or a list of rules.</w:t>
      </w:r>
      <w:r w:rsidR="00005552" w:rsidRPr="00B252EC">
        <w:rPr>
          <w:rFonts w:cstheme="minorHAnsi"/>
          <w:sz w:val="24"/>
        </w:rPr>
        <w:t xml:space="preserve"> Moreover, looking at the specific extract of Hammurabi’s Law Code (laws 137- 152) we can clearly s</w:t>
      </w:r>
      <w:r w:rsidR="008A1BA1" w:rsidRPr="00B252EC">
        <w:rPr>
          <w:rFonts w:cstheme="minorHAnsi"/>
          <w:sz w:val="24"/>
        </w:rPr>
        <w:t>tate that these sections of law</w:t>
      </w:r>
      <w:r w:rsidR="00005552" w:rsidRPr="00B252EC">
        <w:rPr>
          <w:rFonts w:cstheme="minorHAnsi"/>
          <w:sz w:val="24"/>
        </w:rPr>
        <w:t xml:space="preserve"> surround topics such as</w:t>
      </w:r>
      <w:r w:rsidR="008A1BA1" w:rsidRPr="00B252EC">
        <w:rPr>
          <w:rFonts w:cstheme="minorHAnsi"/>
          <w:sz w:val="24"/>
        </w:rPr>
        <w:t xml:space="preserve"> household practice,</w:t>
      </w:r>
      <w:r w:rsidR="00005552" w:rsidRPr="00B252EC">
        <w:rPr>
          <w:rFonts w:cstheme="minorHAnsi"/>
          <w:sz w:val="24"/>
        </w:rPr>
        <w:t xml:space="preserve"> marriage</w:t>
      </w:r>
      <w:r w:rsidR="008A1BA1" w:rsidRPr="00B252EC">
        <w:rPr>
          <w:rFonts w:cstheme="minorHAnsi"/>
          <w:sz w:val="24"/>
        </w:rPr>
        <w:t xml:space="preserve"> contracts</w:t>
      </w:r>
      <w:r w:rsidR="00005552" w:rsidRPr="00B252EC">
        <w:rPr>
          <w:rFonts w:cstheme="minorHAnsi"/>
          <w:sz w:val="24"/>
        </w:rPr>
        <w:t>, divorce, wo</w:t>
      </w:r>
      <w:r w:rsidR="008A1BA1" w:rsidRPr="00B252EC">
        <w:rPr>
          <w:rFonts w:cstheme="minorHAnsi"/>
          <w:sz w:val="24"/>
        </w:rPr>
        <w:t>men and children. Further examination of</w:t>
      </w:r>
      <w:r w:rsidR="00005552" w:rsidRPr="00B252EC">
        <w:rPr>
          <w:rFonts w:cstheme="minorHAnsi"/>
          <w:sz w:val="24"/>
        </w:rPr>
        <w:t xml:space="preserve"> these laws </w:t>
      </w:r>
      <w:r w:rsidR="008A1BA1" w:rsidRPr="00B252EC">
        <w:rPr>
          <w:rFonts w:cstheme="minorHAnsi"/>
          <w:sz w:val="24"/>
        </w:rPr>
        <w:t>show women to be of less sociological importance than men</w:t>
      </w:r>
      <w:r w:rsidR="00005552" w:rsidRPr="00B252EC">
        <w:rPr>
          <w:rFonts w:cstheme="minorHAnsi"/>
          <w:sz w:val="24"/>
        </w:rPr>
        <w:t>,</w:t>
      </w:r>
      <w:r w:rsidR="00696E88" w:rsidRPr="00B252EC">
        <w:rPr>
          <w:rFonts w:cstheme="minorHAnsi"/>
          <w:sz w:val="24"/>
        </w:rPr>
        <w:t xml:space="preserve"> as ‘In Old Babylonian times a male line of decent was a principal ingredient in society, to have a son and heir was of great importance’</w:t>
      </w:r>
      <w:r w:rsidR="003A20C9" w:rsidRPr="00B252EC">
        <w:rPr>
          <w:rStyle w:val="FootnoteReference"/>
          <w:rFonts w:cstheme="minorHAnsi"/>
          <w:sz w:val="24"/>
        </w:rPr>
        <w:footnoteReference w:id="13"/>
      </w:r>
      <w:r w:rsidR="003A20C9" w:rsidRPr="00B252EC">
        <w:rPr>
          <w:rFonts w:cstheme="minorHAnsi"/>
          <w:sz w:val="24"/>
        </w:rPr>
        <w:t>.</w:t>
      </w:r>
    </w:p>
    <w:p w:rsidR="00A5432D" w:rsidRPr="00B252EC" w:rsidRDefault="003A20C9">
      <w:pPr>
        <w:rPr>
          <w:rFonts w:cstheme="minorHAnsi"/>
          <w:sz w:val="24"/>
        </w:rPr>
      </w:pPr>
      <w:r w:rsidRPr="00B252EC">
        <w:rPr>
          <w:rFonts w:cstheme="minorHAnsi"/>
          <w:sz w:val="24"/>
        </w:rPr>
        <w:t>I</w:t>
      </w:r>
      <w:r w:rsidR="008A1BA1" w:rsidRPr="00B252EC">
        <w:rPr>
          <w:rFonts w:cstheme="minorHAnsi"/>
          <w:sz w:val="24"/>
        </w:rPr>
        <w:t>n ancient Mesopotamian society women were seen in many aspects as property to be bought or sold rather than equal to men of the same social class.</w:t>
      </w:r>
      <w:r w:rsidR="00736420" w:rsidRPr="00B252EC">
        <w:rPr>
          <w:rFonts w:cstheme="minorHAnsi"/>
          <w:sz w:val="24"/>
        </w:rPr>
        <w:t xml:space="preserve"> For </w:t>
      </w:r>
      <w:r w:rsidR="005602BB" w:rsidRPr="00B252EC">
        <w:rPr>
          <w:rFonts w:cstheme="minorHAnsi"/>
          <w:sz w:val="24"/>
        </w:rPr>
        <w:t>instance</w:t>
      </w:r>
      <w:r w:rsidR="00736420" w:rsidRPr="00B252EC">
        <w:rPr>
          <w:rFonts w:cstheme="minorHAnsi"/>
          <w:sz w:val="24"/>
        </w:rPr>
        <w:t>, looking at laws 146 and 147, if a man take a wife and she give a maid servant to her husband, and that maid servant not borne children, her mistress may sell her for money.</w:t>
      </w:r>
      <w:r w:rsidR="005602BB" w:rsidRPr="00B252EC">
        <w:rPr>
          <w:rStyle w:val="FootnoteReference"/>
          <w:rFonts w:cstheme="minorHAnsi"/>
          <w:sz w:val="24"/>
        </w:rPr>
        <w:footnoteReference w:id="14"/>
      </w:r>
      <w:r w:rsidR="008A1BA1" w:rsidRPr="00B252EC">
        <w:rPr>
          <w:rFonts w:cstheme="minorHAnsi"/>
          <w:sz w:val="24"/>
        </w:rPr>
        <w:t xml:space="preserve"> </w:t>
      </w:r>
      <w:r w:rsidR="005602BB" w:rsidRPr="00B252EC">
        <w:rPr>
          <w:rFonts w:cstheme="minorHAnsi"/>
          <w:sz w:val="24"/>
        </w:rPr>
        <w:t>Moreover,</w:t>
      </w:r>
      <w:r w:rsidR="008A1BA1" w:rsidRPr="00B252EC">
        <w:rPr>
          <w:rFonts w:cstheme="minorHAnsi"/>
          <w:sz w:val="24"/>
        </w:rPr>
        <w:t xml:space="preserve"> it can be suggested that women in Ancient Mesopotamia were treated more equally than in many recent societies, however it can be stated that in</w:t>
      </w:r>
      <w:r w:rsidR="005602BB" w:rsidRPr="00B252EC">
        <w:rPr>
          <w:rFonts w:cstheme="minorHAnsi"/>
          <w:sz w:val="24"/>
        </w:rPr>
        <w:t xml:space="preserve"> many of these cases</w:t>
      </w:r>
      <w:r w:rsidR="008A1BA1" w:rsidRPr="00B252EC">
        <w:rPr>
          <w:rFonts w:cstheme="minorHAnsi"/>
          <w:sz w:val="24"/>
        </w:rPr>
        <w:t xml:space="preserve"> women did not receive full equality under Hammurabi’s Law Code. </w:t>
      </w:r>
      <w:r w:rsidR="004A33F7" w:rsidRPr="00B252EC">
        <w:rPr>
          <w:rStyle w:val="FootnoteReference"/>
          <w:rFonts w:cstheme="minorHAnsi"/>
          <w:sz w:val="24"/>
        </w:rPr>
        <w:footnoteReference w:id="15"/>
      </w:r>
      <w:r w:rsidR="00736420" w:rsidRPr="00B252EC">
        <w:t xml:space="preserve"> </w:t>
      </w:r>
      <w:r w:rsidR="00736420" w:rsidRPr="00B252EC">
        <w:rPr>
          <w:rFonts w:cstheme="minorHAnsi"/>
          <w:sz w:val="24"/>
        </w:rPr>
        <w:t xml:space="preserve">For example, ‘if a man take a wife and she do not present him with children and he set his face to take a concubine, that man may take a concubine and take her into his house. That concubine shall not rank with his wife.’  </w:t>
      </w:r>
      <w:r w:rsidR="00736420" w:rsidRPr="00B252EC">
        <w:rPr>
          <w:rStyle w:val="FootnoteReference"/>
          <w:rFonts w:cstheme="minorHAnsi"/>
          <w:sz w:val="24"/>
        </w:rPr>
        <w:footnoteReference w:id="16"/>
      </w:r>
      <w:r w:rsidR="005602BB" w:rsidRPr="00B252EC">
        <w:rPr>
          <w:rFonts w:cstheme="minorHAnsi"/>
          <w:sz w:val="24"/>
        </w:rPr>
        <w:t xml:space="preserve">. This suggests that </w:t>
      </w:r>
      <w:r w:rsidR="00B252EC" w:rsidRPr="00B252EC">
        <w:rPr>
          <w:rFonts w:cstheme="minorHAnsi"/>
          <w:sz w:val="24"/>
        </w:rPr>
        <w:t>although wome</w:t>
      </w:r>
      <w:r w:rsidR="005602BB" w:rsidRPr="00B252EC">
        <w:rPr>
          <w:rFonts w:cstheme="minorHAnsi"/>
          <w:sz w:val="24"/>
        </w:rPr>
        <w:t xml:space="preserve">n are seen as a lesser social class to men </w:t>
      </w:r>
      <w:r w:rsidR="00433034" w:rsidRPr="00B252EC">
        <w:rPr>
          <w:rFonts w:cstheme="minorHAnsi"/>
          <w:sz w:val="24"/>
        </w:rPr>
        <w:t>in</w:t>
      </w:r>
      <w:r w:rsidR="005602BB" w:rsidRPr="00B252EC">
        <w:rPr>
          <w:rFonts w:cstheme="minorHAnsi"/>
          <w:sz w:val="24"/>
        </w:rPr>
        <w:t xml:space="preserve"> society, when a man takes </w:t>
      </w:r>
      <w:r w:rsidR="00B252EC">
        <w:rPr>
          <w:rFonts w:cstheme="minorHAnsi"/>
          <w:sz w:val="24"/>
        </w:rPr>
        <w:t>a woma</w:t>
      </w:r>
      <w:r w:rsidR="00B6303C" w:rsidRPr="00B252EC">
        <w:rPr>
          <w:rFonts w:cstheme="minorHAnsi"/>
          <w:sz w:val="24"/>
        </w:rPr>
        <w:t>n</w:t>
      </w:r>
      <w:r w:rsidR="005602BB" w:rsidRPr="00B252EC">
        <w:rPr>
          <w:rFonts w:cstheme="minorHAnsi"/>
          <w:sz w:val="24"/>
        </w:rPr>
        <w:t xml:space="preserve"> to be his wife</w:t>
      </w:r>
      <w:r w:rsidR="00B252EC">
        <w:rPr>
          <w:rFonts w:cstheme="minorHAnsi"/>
          <w:sz w:val="24"/>
        </w:rPr>
        <w:t>,</w:t>
      </w:r>
      <w:r w:rsidR="005602BB" w:rsidRPr="00B252EC">
        <w:rPr>
          <w:rFonts w:cstheme="minorHAnsi"/>
          <w:sz w:val="24"/>
        </w:rPr>
        <w:t xml:space="preserve"> only in certain circumstances would any other women outrank her in her own household. </w:t>
      </w:r>
    </w:p>
    <w:p w:rsidR="003830AD" w:rsidRPr="00F50955" w:rsidRDefault="004A33F7">
      <w:pPr>
        <w:rPr>
          <w:rFonts w:cstheme="minorHAnsi"/>
          <w:sz w:val="24"/>
        </w:rPr>
      </w:pPr>
      <w:r w:rsidRPr="00B252EC">
        <w:rPr>
          <w:rFonts w:cstheme="minorHAnsi"/>
          <w:sz w:val="24"/>
        </w:rPr>
        <w:lastRenderedPageBreak/>
        <w:t>In ancient Mesopotamia it can be suggested women were treated more equa</w:t>
      </w:r>
      <w:r w:rsidR="005602BB" w:rsidRPr="00B252EC">
        <w:rPr>
          <w:rFonts w:cstheme="minorHAnsi"/>
          <w:sz w:val="24"/>
        </w:rPr>
        <w:t>lly</w:t>
      </w:r>
      <w:r w:rsidRPr="00B252EC">
        <w:rPr>
          <w:rFonts w:cstheme="minorHAnsi"/>
          <w:sz w:val="24"/>
        </w:rPr>
        <w:t>, as they did have certain rights that women in many other societies did not.</w:t>
      </w:r>
      <w:r w:rsidR="00433034" w:rsidRPr="00B252EC">
        <w:rPr>
          <w:rFonts w:cstheme="minorHAnsi"/>
          <w:sz w:val="24"/>
        </w:rPr>
        <w:t xml:space="preserve"> </w:t>
      </w:r>
      <w:r w:rsidR="00433034" w:rsidRPr="00F50955">
        <w:rPr>
          <w:rFonts w:cstheme="minorHAnsi"/>
          <w:sz w:val="24"/>
        </w:rPr>
        <w:t>According to Hammurabi’s Law Code, ‘marriages were monogamous with three simple expectations, if the wife became ill with disease, if the women could not bear children or the wife tried to obtain a divorce through public scandal’</w:t>
      </w:r>
      <w:r w:rsidR="00433034" w:rsidRPr="00F50955">
        <w:rPr>
          <w:rStyle w:val="FootnoteReference"/>
          <w:rFonts w:cstheme="minorHAnsi"/>
          <w:sz w:val="24"/>
        </w:rPr>
        <w:footnoteReference w:id="17"/>
      </w:r>
      <w:r w:rsidR="00B252EC" w:rsidRPr="00F50955">
        <w:rPr>
          <w:rFonts w:cstheme="minorHAnsi"/>
          <w:sz w:val="24"/>
        </w:rPr>
        <w:t xml:space="preserve">. </w:t>
      </w:r>
      <w:r w:rsidRPr="00F50955">
        <w:rPr>
          <w:rFonts w:cstheme="minorHAnsi"/>
          <w:sz w:val="24"/>
        </w:rPr>
        <w:t xml:space="preserve">In many of Hammurabi’s laws, men who take women to be their wives must look after them even after divorce, if that women </w:t>
      </w:r>
      <w:r w:rsidR="00F50955">
        <w:rPr>
          <w:rFonts w:cstheme="minorHAnsi"/>
          <w:sz w:val="24"/>
        </w:rPr>
        <w:t xml:space="preserve">had </w:t>
      </w:r>
      <w:r w:rsidR="0028071D" w:rsidRPr="00F50955">
        <w:rPr>
          <w:rFonts w:cstheme="minorHAnsi"/>
          <w:sz w:val="24"/>
        </w:rPr>
        <w:t>given</w:t>
      </w:r>
      <w:r w:rsidRPr="00F50955">
        <w:rPr>
          <w:rFonts w:cstheme="minorHAnsi"/>
          <w:sz w:val="24"/>
        </w:rPr>
        <w:t xml:space="preserve"> him children.  </w:t>
      </w:r>
    </w:p>
    <w:p w:rsidR="004A33F7" w:rsidRPr="00F50955" w:rsidRDefault="0028071D" w:rsidP="003F79A6">
      <w:pPr>
        <w:ind w:left="720"/>
        <w:jc w:val="both"/>
        <w:rPr>
          <w:rFonts w:cstheme="minorHAnsi"/>
          <w:sz w:val="24"/>
        </w:rPr>
      </w:pPr>
      <w:r w:rsidRPr="00F50955">
        <w:rPr>
          <w:rFonts w:cstheme="minorHAnsi"/>
          <w:sz w:val="24"/>
        </w:rPr>
        <w:t>‘if</w:t>
      </w:r>
      <w:r w:rsidR="003830AD" w:rsidRPr="00F50955">
        <w:rPr>
          <w:rFonts w:cstheme="minorHAnsi"/>
          <w:sz w:val="24"/>
        </w:rPr>
        <w:t xml:space="preserve"> a man set his face to put away a </w:t>
      </w:r>
      <w:r w:rsidR="00F50955">
        <w:rPr>
          <w:rFonts w:cstheme="minorHAnsi"/>
          <w:sz w:val="24"/>
        </w:rPr>
        <w:t>woman</w:t>
      </w:r>
      <w:r w:rsidR="003830AD" w:rsidRPr="00F50955">
        <w:rPr>
          <w:rFonts w:cstheme="minorHAnsi"/>
          <w:sz w:val="24"/>
        </w:rPr>
        <w:t xml:space="preserve"> has borne him children, or a wife who has presented him with children, he shall return to that wo</w:t>
      </w:r>
      <w:r w:rsidR="003F79A6" w:rsidRPr="00F50955">
        <w:rPr>
          <w:rFonts w:cstheme="minorHAnsi"/>
          <w:sz w:val="24"/>
        </w:rPr>
        <w:t>man her dowry and shall give to</w:t>
      </w:r>
      <w:r w:rsidR="003830AD" w:rsidRPr="00F50955">
        <w:rPr>
          <w:rFonts w:cstheme="minorHAnsi"/>
          <w:sz w:val="24"/>
        </w:rPr>
        <w:t xml:space="preserve"> her the income of field, garden and goods and she shall bring</w:t>
      </w:r>
      <w:r w:rsidR="003F79A6" w:rsidRPr="00F50955">
        <w:rPr>
          <w:rFonts w:cstheme="minorHAnsi"/>
          <w:sz w:val="24"/>
        </w:rPr>
        <w:t xml:space="preserve"> up her children; from the time </w:t>
      </w:r>
      <w:r w:rsidR="003830AD" w:rsidRPr="00F50955">
        <w:rPr>
          <w:rFonts w:cstheme="minorHAnsi"/>
          <w:sz w:val="24"/>
        </w:rPr>
        <w:t xml:space="preserve">that her children are grown up, from whatever is given to her </w:t>
      </w:r>
      <w:r w:rsidR="003F79A6" w:rsidRPr="00F50955">
        <w:rPr>
          <w:rFonts w:cstheme="minorHAnsi"/>
          <w:sz w:val="24"/>
        </w:rPr>
        <w:t xml:space="preserve">children they shall give to her </w:t>
      </w:r>
      <w:r w:rsidR="003830AD" w:rsidRPr="00F50955">
        <w:rPr>
          <w:rFonts w:cstheme="minorHAnsi"/>
          <w:sz w:val="24"/>
        </w:rPr>
        <w:t>a portion corresponding to that of a son, the man of her choice may marry her’</w:t>
      </w:r>
      <w:r w:rsidR="003F79A6" w:rsidRPr="00F50955">
        <w:rPr>
          <w:rStyle w:val="FootnoteReference"/>
          <w:rFonts w:cstheme="minorHAnsi"/>
          <w:sz w:val="24"/>
        </w:rPr>
        <w:footnoteReference w:id="18"/>
      </w:r>
    </w:p>
    <w:p w:rsidR="0000422A" w:rsidRPr="00F50955" w:rsidRDefault="00A44212" w:rsidP="003F79A6">
      <w:pPr>
        <w:jc w:val="both"/>
        <w:rPr>
          <w:rFonts w:cstheme="minorHAnsi"/>
          <w:sz w:val="24"/>
        </w:rPr>
      </w:pPr>
      <w:r w:rsidRPr="00F50955">
        <w:rPr>
          <w:rFonts w:cstheme="minorHAnsi"/>
          <w:sz w:val="24"/>
        </w:rPr>
        <w:t>This law suggests that although</w:t>
      </w:r>
      <w:r w:rsidR="003F79A6" w:rsidRPr="00F50955">
        <w:rPr>
          <w:rFonts w:cstheme="minorHAnsi"/>
          <w:sz w:val="24"/>
        </w:rPr>
        <w:t xml:space="preserve"> the husband no longer wants the woman to be his wife he has the responsibility to provide for her and her child</w:t>
      </w:r>
      <w:r w:rsidR="000342DC" w:rsidRPr="00F50955">
        <w:rPr>
          <w:rFonts w:cstheme="minorHAnsi"/>
          <w:sz w:val="24"/>
        </w:rPr>
        <w:t>ren, he must also return to her, her dowry which</w:t>
      </w:r>
      <w:r w:rsidR="003F79A6" w:rsidRPr="00F50955">
        <w:rPr>
          <w:rFonts w:cstheme="minorHAnsi"/>
          <w:sz w:val="24"/>
        </w:rPr>
        <w:t xml:space="preserve"> she </w:t>
      </w:r>
      <w:r w:rsidR="000342DC" w:rsidRPr="00F50955">
        <w:rPr>
          <w:rFonts w:cstheme="minorHAnsi"/>
          <w:sz w:val="24"/>
        </w:rPr>
        <w:t>came to his house with</w:t>
      </w:r>
      <w:r w:rsidR="003F79A6" w:rsidRPr="00F50955">
        <w:rPr>
          <w:rFonts w:cstheme="minorHAnsi"/>
          <w:sz w:val="24"/>
        </w:rPr>
        <w:t xml:space="preserve">. </w:t>
      </w:r>
      <w:r w:rsidR="00696E88" w:rsidRPr="00F50955">
        <w:rPr>
          <w:rFonts w:cstheme="minorHAnsi"/>
          <w:sz w:val="24"/>
        </w:rPr>
        <w:t>Furthermore, another law that suggests that even if a husband does no longer want his wife, he mus</w:t>
      </w:r>
      <w:r w:rsidR="000342DC" w:rsidRPr="00F50955">
        <w:rPr>
          <w:rFonts w:cstheme="minorHAnsi"/>
          <w:sz w:val="24"/>
        </w:rPr>
        <w:t xml:space="preserve">t still take care of her </w:t>
      </w:r>
      <w:r w:rsidR="00696E88" w:rsidRPr="00F50955">
        <w:rPr>
          <w:rFonts w:cstheme="minorHAnsi"/>
          <w:sz w:val="24"/>
        </w:rPr>
        <w:t>‘if a man take a wife and she becomes afflicted with disease and if he set his face to take another he may. His wife, he shall not put away she shall remain in the house and he shall maintain her as long as she lives</w:t>
      </w:r>
      <w:r w:rsidRPr="00F50955">
        <w:rPr>
          <w:rFonts w:cstheme="minorHAnsi"/>
          <w:sz w:val="24"/>
        </w:rPr>
        <w:t>.</w:t>
      </w:r>
      <w:r w:rsidR="00696E88" w:rsidRPr="00F50955">
        <w:rPr>
          <w:rFonts w:cstheme="minorHAnsi"/>
          <w:sz w:val="24"/>
        </w:rPr>
        <w:t xml:space="preserve">’ </w:t>
      </w:r>
      <w:r w:rsidR="00696E88" w:rsidRPr="00F50955">
        <w:rPr>
          <w:rStyle w:val="FootnoteReference"/>
          <w:rFonts w:cstheme="minorHAnsi"/>
          <w:sz w:val="24"/>
        </w:rPr>
        <w:footnoteReference w:id="19"/>
      </w:r>
    </w:p>
    <w:p w:rsidR="00433034" w:rsidRPr="00F50955" w:rsidRDefault="00433034" w:rsidP="003F79A6">
      <w:pPr>
        <w:jc w:val="both"/>
        <w:rPr>
          <w:rFonts w:cstheme="minorHAnsi"/>
          <w:sz w:val="24"/>
        </w:rPr>
      </w:pPr>
      <w:r w:rsidRPr="00F50955">
        <w:rPr>
          <w:rFonts w:cstheme="minorHAnsi"/>
          <w:sz w:val="24"/>
        </w:rPr>
        <w:t xml:space="preserve">Women </w:t>
      </w:r>
      <w:r w:rsidR="008A7045" w:rsidRPr="00F50955">
        <w:rPr>
          <w:rFonts w:cstheme="minorHAnsi"/>
          <w:sz w:val="24"/>
        </w:rPr>
        <w:t>in A</w:t>
      </w:r>
      <w:r w:rsidRPr="00F50955">
        <w:rPr>
          <w:rFonts w:cstheme="minorHAnsi"/>
          <w:sz w:val="24"/>
        </w:rPr>
        <w:t xml:space="preserve">ncient Mesopotamia can be </w:t>
      </w:r>
      <w:r w:rsidR="00A44212" w:rsidRPr="00F50955">
        <w:rPr>
          <w:rFonts w:cstheme="minorHAnsi"/>
          <w:sz w:val="24"/>
        </w:rPr>
        <w:t>stated to have many roles within society, the primary role of a women was to bear children for her husband, if she could not give her husband children she may provide a slave woman to her husband.’</w:t>
      </w:r>
      <w:r w:rsidR="00A44212" w:rsidRPr="00F50955">
        <w:rPr>
          <w:rStyle w:val="FootnoteReference"/>
          <w:rFonts w:cstheme="minorHAnsi"/>
          <w:sz w:val="24"/>
        </w:rPr>
        <w:footnoteReference w:id="20"/>
      </w:r>
      <w:r w:rsidR="00A44212" w:rsidRPr="00F50955">
        <w:rPr>
          <w:rFonts w:cstheme="minorHAnsi"/>
          <w:sz w:val="24"/>
        </w:rPr>
        <w:t xml:space="preserve"> Another primary role that was given to women within society was to take care of her children, be respectful to her husband </w:t>
      </w:r>
      <w:r w:rsidR="00A038A5" w:rsidRPr="00F50955">
        <w:rPr>
          <w:rFonts w:cstheme="minorHAnsi"/>
          <w:sz w:val="24"/>
        </w:rPr>
        <w:t xml:space="preserve">and to see to </w:t>
      </w:r>
      <w:r w:rsidR="00F50955">
        <w:rPr>
          <w:rFonts w:cstheme="minorHAnsi"/>
          <w:sz w:val="24"/>
        </w:rPr>
        <w:t>the upkeep of her household, and</w:t>
      </w:r>
      <w:r w:rsidR="008A7045" w:rsidRPr="00F50955">
        <w:rPr>
          <w:rFonts w:cstheme="minorHAnsi"/>
          <w:sz w:val="24"/>
        </w:rPr>
        <w:t xml:space="preserve"> if a women was to disregard these laws ‘if she have not been a careful mistress, have gadded about, have neglected her house, and have belittled her husband, they shall throw that women into the water’</w:t>
      </w:r>
      <w:r w:rsidR="000927C2" w:rsidRPr="00F50955">
        <w:rPr>
          <w:rFonts w:cstheme="minorHAnsi"/>
          <w:sz w:val="24"/>
        </w:rPr>
        <w:t>.</w:t>
      </w:r>
      <w:r w:rsidR="008A7045" w:rsidRPr="00F50955">
        <w:rPr>
          <w:rStyle w:val="FootnoteReference"/>
          <w:rFonts w:cstheme="minorHAnsi"/>
          <w:sz w:val="24"/>
        </w:rPr>
        <w:footnoteReference w:id="21"/>
      </w:r>
      <w:r w:rsidR="000927C2" w:rsidRPr="00F50955">
        <w:rPr>
          <w:rFonts w:cstheme="minorHAnsi"/>
          <w:sz w:val="24"/>
        </w:rPr>
        <w:t xml:space="preserve"> This sugg</w:t>
      </w:r>
      <w:r w:rsidR="0000422A" w:rsidRPr="00F50955">
        <w:rPr>
          <w:rFonts w:cstheme="minorHAnsi"/>
          <w:sz w:val="24"/>
        </w:rPr>
        <w:t xml:space="preserve">ests that although women in Mesopotamia do play an important role in contributing to society, women are also disposable and replaceable. </w:t>
      </w:r>
    </w:p>
    <w:p w:rsidR="000E03B0" w:rsidRPr="00F50955" w:rsidRDefault="0000422A">
      <w:pPr>
        <w:rPr>
          <w:rFonts w:cstheme="minorHAnsi"/>
          <w:sz w:val="24"/>
        </w:rPr>
      </w:pPr>
      <w:r w:rsidRPr="00F50955">
        <w:rPr>
          <w:rFonts w:cstheme="minorHAnsi"/>
          <w:sz w:val="24"/>
        </w:rPr>
        <w:t xml:space="preserve">Within Hammurabi’s Law Code women do in certain aspects have rights and responsibilities that are their own, however within laws 141 and </w:t>
      </w:r>
      <w:r w:rsidR="0038396E" w:rsidRPr="00F50955">
        <w:rPr>
          <w:rFonts w:cstheme="minorHAnsi"/>
          <w:sz w:val="24"/>
        </w:rPr>
        <w:t>142 regarding divorce, a man must only say ‘I have put her away’</w:t>
      </w:r>
      <w:r w:rsidR="0038396E" w:rsidRPr="00F50955">
        <w:rPr>
          <w:rStyle w:val="FootnoteReference"/>
          <w:rFonts w:cstheme="minorHAnsi"/>
          <w:sz w:val="24"/>
        </w:rPr>
        <w:footnoteReference w:id="22"/>
      </w:r>
      <w:r w:rsidR="0038396E" w:rsidRPr="00F50955">
        <w:rPr>
          <w:rFonts w:cstheme="minorHAnsi"/>
          <w:sz w:val="24"/>
        </w:rPr>
        <w:t xml:space="preserve"> and he may divorce his wife. However, if a woman says ‘thou shall not have me’</w:t>
      </w:r>
      <w:r w:rsidR="0038396E" w:rsidRPr="00F50955">
        <w:rPr>
          <w:rStyle w:val="FootnoteReference"/>
          <w:rFonts w:cstheme="minorHAnsi"/>
          <w:sz w:val="24"/>
        </w:rPr>
        <w:footnoteReference w:id="23"/>
      </w:r>
      <w:r w:rsidR="0038396E" w:rsidRPr="00F50955">
        <w:rPr>
          <w:rFonts w:cstheme="minorHAnsi"/>
          <w:sz w:val="24"/>
        </w:rPr>
        <w:t xml:space="preserve"> an investigation will begin, only then ‘if her husband has </w:t>
      </w:r>
      <w:r w:rsidR="00F50955">
        <w:rPr>
          <w:rFonts w:cstheme="minorHAnsi"/>
          <w:sz w:val="24"/>
        </w:rPr>
        <w:t xml:space="preserve">been </w:t>
      </w:r>
      <w:r w:rsidR="0038396E" w:rsidRPr="00F50955">
        <w:rPr>
          <w:rFonts w:cstheme="minorHAnsi"/>
          <w:sz w:val="24"/>
        </w:rPr>
        <w:t>belittling her she will receive her dowry and shall go to her father’s house’</w:t>
      </w:r>
      <w:r w:rsidR="0038396E" w:rsidRPr="00F50955">
        <w:rPr>
          <w:rStyle w:val="FootnoteReference"/>
          <w:rFonts w:cstheme="minorHAnsi"/>
          <w:sz w:val="24"/>
        </w:rPr>
        <w:footnoteReference w:id="24"/>
      </w:r>
      <w:r w:rsidR="0038396E" w:rsidRPr="00F50955">
        <w:rPr>
          <w:rFonts w:cstheme="minorHAnsi"/>
          <w:sz w:val="24"/>
        </w:rPr>
        <w:t xml:space="preserve">. </w:t>
      </w:r>
      <w:r w:rsidR="00C10B01" w:rsidRPr="00F50955">
        <w:rPr>
          <w:rFonts w:cstheme="minorHAnsi"/>
          <w:sz w:val="24"/>
        </w:rPr>
        <w:t xml:space="preserve">When looking at life for </w:t>
      </w:r>
      <w:r w:rsidR="00C10B01" w:rsidRPr="00F50955">
        <w:rPr>
          <w:rFonts w:cstheme="minorHAnsi"/>
          <w:sz w:val="24"/>
        </w:rPr>
        <w:lastRenderedPageBreak/>
        <w:t>women in Mesopotamia with regard to Hammurabi’s Law Code as a</w:t>
      </w:r>
      <w:r w:rsidR="00F50955">
        <w:rPr>
          <w:rFonts w:cstheme="minorHAnsi"/>
          <w:sz w:val="24"/>
        </w:rPr>
        <w:t xml:space="preserve"> whole we can confirm that although</w:t>
      </w:r>
      <w:r w:rsidR="00C10B01" w:rsidRPr="00F50955">
        <w:rPr>
          <w:rFonts w:cstheme="minorHAnsi"/>
          <w:sz w:val="24"/>
        </w:rPr>
        <w:t xml:space="preserve"> woman receive more equality than many other societies in modern day. However, looking at this extract from Hammurabi’s Law Code, significant evidence can be seen to suggest that women were socially less important than men and furthermore are replaceable and disposable</w:t>
      </w:r>
      <w:r w:rsidR="00F50955">
        <w:rPr>
          <w:rFonts w:cstheme="minorHAnsi"/>
          <w:sz w:val="24"/>
        </w:rPr>
        <w:t>,</w:t>
      </w:r>
      <w:r w:rsidR="00C10B01" w:rsidRPr="00F50955">
        <w:rPr>
          <w:rFonts w:cstheme="minorHAnsi"/>
          <w:sz w:val="24"/>
        </w:rPr>
        <w:t xml:space="preserve"> if and when the men or husband see fit. </w:t>
      </w:r>
    </w:p>
    <w:p w:rsidR="001F35D7" w:rsidRPr="00F50955" w:rsidRDefault="001F35D7">
      <w:pPr>
        <w:rPr>
          <w:rFonts w:cstheme="minorHAnsi"/>
          <w:sz w:val="24"/>
          <w:highlight w:val="yellow"/>
        </w:rPr>
      </w:pPr>
      <w:r w:rsidRPr="00F50955">
        <w:rPr>
          <w:rFonts w:cstheme="minorHAnsi"/>
          <w:sz w:val="24"/>
        </w:rPr>
        <w:t>In modern day antiquity Hammurabi’s Law Code, is suggested to be one of the most famous objects from ancient Mesopotamia although it is not the oldest</w:t>
      </w:r>
      <w:r w:rsidR="00F50955">
        <w:rPr>
          <w:rFonts w:cstheme="minorHAnsi"/>
          <w:sz w:val="24"/>
        </w:rPr>
        <w:t xml:space="preserve"> law code</w:t>
      </w:r>
      <w:r w:rsidRPr="00F50955">
        <w:rPr>
          <w:rFonts w:cstheme="minorHAnsi"/>
          <w:sz w:val="24"/>
        </w:rPr>
        <w:t>. The Code of Ur-Nammu was the first complete law code in the world, Ur-Nammu was the first king of</w:t>
      </w:r>
      <w:r w:rsidR="00F50955" w:rsidRPr="00F50955">
        <w:rPr>
          <w:rFonts w:cstheme="minorHAnsi"/>
          <w:sz w:val="24"/>
        </w:rPr>
        <w:t xml:space="preserve"> the third dynasty of Ur in Sum</w:t>
      </w:r>
      <w:r w:rsidRPr="00F50955">
        <w:rPr>
          <w:rFonts w:cstheme="minorHAnsi"/>
          <w:sz w:val="24"/>
        </w:rPr>
        <w:t xml:space="preserve">er. The code is made up of 40 paragraphs that state </w:t>
      </w:r>
      <w:r w:rsidR="001200B9" w:rsidRPr="00F50955">
        <w:rPr>
          <w:rFonts w:cstheme="minorHAnsi"/>
          <w:sz w:val="24"/>
        </w:rPr>
        <w:t>‘</w:t>
      </w:r>
      <w:r w:rsidRPr="00F50955">
        <w:rPr>
          <w:rFonts w:cstheme="minorHAnsi"/>
          <w:sz w:val="24"/>
        </w:rPr>
        <w:t>a crime and the relevant punishment that would be administered by the state through the will of the gods.’</w:t>
      </w:r>
      <w:r w:rsidR="001200B9" w:rsidRPr="00F50955">
        <w:rPr>
          <w:rStyle w:val="FootnoteReference"/>
          <w:rFonts w:cstheme="minorHAnsi"/>
          <w:sz w:val="24"/>
        </w:rPr>
        <w:footnoteReference w:id="25"/>
      </w:r>
      <w:r w:rsidR="00CF13FE" w:rsidRPr="00F50955">
        <w:rPr>
          <w:rFonts w:cstheme="minorHAnsi"/>
          <w:sz w:val="24"/>
        </w:rPr>
        <w:t xml:space="preserve"> This can suggest that although the laws within Hammurabi’s Law Code are original in writing</w:t>
      </w:r>
      <w:r w:rsidR="00C72595" w:rsidRPr="00F50955">
        <w:rPr>
          <w:rFonts w:cstheme="minorHAnsi"/>
          <w:sz w:val="24"/>
        </w:rPr>
        <w:t xml:space="preserve">, </w:t>
      </w:r>
      <w:r w:rsidR="00CF13FE" w:rsidRPr="00F50955">
        <w:rPr>
          <w:rFonts w:cstheme="minorHAnsi"/>
          <w:sz w:val="24"/>
        </w:rPr>
        <w:t xml:space="preserve">that </w:t>
      </w:r>
      <w:r w:rsidR="00C72595" w:rsidRPr="00F50955">
        <w:rPr>
          <w:rFonts w:cstheme="minorHAnsi"/>
          <w:sz w:val="24"/>
        </w:rPr>
        <w:t xml:space="preserve">the </w:t>
      </w:r>
      <w:r w:rsidR="004F594E" w:rsidRPr="00F50955">
        <w:rPr>
          <w:rFonts w:cstheme="minorHAnsi"/>
          <w:sz w:val="24"/>
        </w:rPr>
        <w:t xml:space="preserve">inspiration for his law code could have been taken from previous work in Ancient Mesopotamia. </w:t>
      </w:r>
    </w:p>
    <w:p w:rsidR="00B71E5A" w:rsidRPr="00F50955" w:rsidRDefault="00B71E5A">
      <w:pPr>
        <w:rPr>
          <w:rFonts w:cstheme="minorHAnsi"/>
          <w:sz w:val="24"/>
        </w:rPr>
      </w:pPr>
      <w:r w:rsidRPr="00F50955">
        <w:rPr>
          <w:rFonts w:cstheme="minorHAnsi"/>
          <w:sz w:val="24"/>
        </w:rPr>
        <w:t xml:space="preserve">In conclusion, this extract of Hammurabi’s Law code can tell us many things about life as a whole in ancient Mesopotamia, it can provide insight into the life of women and the social structure of society. Women as a whole social class were treated poorly compared to those of men, however within the civilisations surrounding Mesopotamia at this time the women were cared for and provided for by their husbands. Looking at the document as a whole it can provide relevant insight into political and economic history of Ancient Mesopotamia, nonetheless looking at this specific extract gives us a mostly social view of the ancient world. </w:t>
      </w:r>
      <w:r w:rsidR="009671E9" w:rsidRPr="00F50955">
        <w:rPr>
          <w:rFonts w:cstheme="minorHAnsi"/>
          <w:sz w:val="24"/>
        </w:rPr>
        <w:t xml:space="preserve">It however can be used as a reliable historical source when constructing a history of Ancient Mesopotamia. </w:t>
      </w:r>
    </w:p>
    <w:p w:rsidR="009671E9" w:rsidRPr="00F50955" w:rsidRDefault="00F50955">
      <w:pPr>
        <w:rPr>
          <w:rFonts w:cstheme="minorHAnsi"/>
          <w:sz w:val="24"/>
        </w:rPr>
      </w:pPr>
      <w:r>
        <w:rPr>
          <w:rFonts w:cstheme="minorHAnsi"/>
          <w:sz w:val="24"/>
        </w:rPr>
        <w:t>Final Word Count: 2085</w:t>
      </w:r>
      <w:r w:rsidR="009671E9" w:rsidRPr="00F50955">
        <w:rPr>
          <w:rFonts w:cstheme="minorHAnsi"/>
          <w:sz w:val="24"/>
        </w:rPr>
        <w:t xml:space="preserve"> Words </w:t>
      </w:r>
    </w:p>
    <w:p w:rsidR="000E03B0" w:rsidRPr="00F50955" w:rsidRDefault="000E03B0">
      <w:pPr>
        <w:rPr>
          <w:rFonts w:cstheme="minorHAnsi"/>
          <w:sz w:val="24"/>
        </w:rPr>
      </w:pPr>
    </w:p>
    <w:p w:rsidR="00EC2A69" w:rsidRDefault="00EC2A69" w:rsidP="00EC2A69">
      <w:pPr>
        <w:jc w:val="center"/>
        <w:rPr>
          <w:rFonts w:cstheme="minorHAnsi"/>
          <w:sz w:val="24"/>
          <w:u w:val="single"/>
        </w:rPr>
      </w:pPr>
      <w:r>
        <w:rPr>
          <w:rFonts w:cstheme="minorHAnsi"/>
          <w:sz w:val="24"/>
          <w:u w:val="single"/>
        </w:rPr>
        <w:t xml:space="preserve">Bibliography </w:t>
      </w:r>
    </w:p>
    <w:p w:rsidR="00343339" w:rsidRPr="007D08DC" w:rsidRDefault="00343339" w:rsidP="007D08DC">
      <w:pPr>
        <w:pStyle w:val="ListParagraph"/>
        <w:numPr>
          <w:ilvl w:val="0"/>
          <w:numId w:val="2"/>
        </w:numPr>
        <w:rPr>
          <w:rFonts w:cstheme="minorHAnsi"/>
          <w:sz w:val="24"/>
        </w:rPr>
      </w:pPr>
      <w:r w:rsidRPr="007D08DC">
        <w:rPr>
          <w:rFonts w:cstheme="minorHAnsi"/>
          <w:sz w:val="24"/>
        </w:rPr>
        <w:t xml:space="preserve">Bahrani. Z. ‘Mesopotamia: Ancient Art and Architecture’ (Thames &amp; Hudson Ltd, London 2017) </w:t>
      </w:r>
    </w:p>
    <w:p w:rsidR="00343339" w:rsidRPr="007D08DC" w:rsidRDefault="00343339" w:rsidP="007D08DC">
      <w:pPr>
        <w:pStyle w:val="ListParagraph"/>
        <w:numPr>
          <w:ilvl w:val="0"/>
          <w:numId w:val="2"/>
        </w:numPr>
        <w:rPr>
          <w:rFonts w:cstheme="minorHAnsi"/>
          <w:sz w:val="24"/>
        </w:rPr>
      </w:pPr>
      <w:r w:rsidRPr="007D08DC">
        <w:rPr>
          <w:rFonts w:cstheme="minorHAnsi"/>
          <w:sz w:val="24"/>
        </w:rPr>
        <w:t xml:space="preserve">Cook. A. S ‘The Laws of Moses and The code of Hammurabi’ (Cosimo Classics, New York 2010) </w:t>
      </w:r>
      <w:bookmarkStart w:id="2" w:name="_GoBack"/>
      <w:bookmarkEnd w:id="2"/>
    </w:p>
    <w:p w:rsidR="00343339" w:rsidRPr="007D08DC" w:rsidRDefault="00343339" w:rsidP="007D08DC">
      <w:pPr>
        <w:pStyle w:val="ListParagraph"/>
        <w:numPr>
          <w:ilvl w:val="0"/>
          <w:numId w:val="2"/>
        </w:numPr>
        <w:rPr>
          <w:rFonts w:cstheme="minorHAnsi"/>
          <w:sz w:val="24"/>
        </w:rPr>
      </w:pPr>
      <w:r w:rsidRPr="007D08DC">
        <w:rPr>
          <w:rFonts w:cstheme="minorHAnsi"/>
          <w:sz w:val="24"/>
        </w:rPr>
        <w:t>Kent. F. C ‘The Recently Discovered Civil Code of Hammurabi’ (The Biblical World, Vol 21 No.3, The University of Chicago Press) Available at URL: https://www.jstor.org/stable/pdf/3141207.pdf</w:t>
      </w:r>
    </w:p>
    <w:p w:rsidR="00EC2A69" w:rsidRPr="007D08DC" w:rsidRDefault="00EC2A69" w:rsidP="007D08DC">
      <w:pPr>
        <w:pStyle w:val="ListParagraph"/>
        <w:numPr>
          <w:ilvl w:val="0"/>
          <w:numId w:val="2"/>
        </w:numPr>
        <w:rPr>
          <w:rFonts w:cstheme="minorHAnsi"/>
          <w:sz w:val="24"/>
        </w:rPr>
      </w:pPr>
      <w:r w:rsidRPr="007D08DC">
        <w:rPr>
          <w:rFonts w:cstheme="minorHAnsi"/>
          <w:sz w:val="24"/>
        </w:rPr>
        <w:t>Mark. J. J ‘Ur-Nammu’, Ancient History Encyclopaedia, June 2014 (available at www.ancient.eu/Ur-Nammu/) [accessed on 14/11/17]</w:t>
      </w:r>
    </w:p>
    <w:p w:rsidR="00A0712B" w:rsidRPr="007D08DC" w:rsidRDefault="00EC2A69" w:rsidP="007D08DC">
      <w:pPr>
        <w:pStyle w:val="ListParagraph"/>
        <w:numPr>
          <w:ilvl w:val="0"/>
          <w:numId w:val="2"/>
        </w:numPr>
        <w:rPr>
          <w:rFonts w:cstheme="minorHAnsi"/>
          <w:sz w:val="24"/>
        </w:rPr>
      </w:pPr>
      <w:r w:rsidRPr="007D08DC">
        <w:rPr>
          <w:rFonts w:cstheme="minorHAnsi"/>
          <w:sz w:val="24"/>
        </w:rPr>
        <w:t>Postgate. J. N. ‘Early Mesopotamia: Society and Economy at the Dawn of History’ (</w:t>
      </w:r>
      <w:r w:rsidR="00343339" w:rsidRPr="007D08DC">
        <w:rPr>
          <w:rFonts w:cstheme="minorHAnsi"/>
          <w:sz w:val="24"/>
        </w:rPr>
        <w:t xml:space="preserve">Routledge, London 1992) </w:t>
      </w:r>
    </w:p>
    <w:p w:rsidR="00EC2A69" w:rsidRPr="007D08DC" w:rsidRDefault="00EC2A69" w:rsidP="007D08DC">
      <w:pPr>
        <w:pStyle w:val="ListParagraph"/>
        <w:numPr>
          <w:ilvl w:val="0"/>
          <w:numId w:val="2"/>
        </w:numPr>
        <w:rPr>
          <w:rFonts w:cstheme="minorHAnsi"/>
          <w:sz w:val="24"/>
        </w:rPr>
      </w:pPr>
      <w:r w:rsidRPr="007D08DC">
        <w:rPr>
          <w:rFonts w:cstheme="minorHAnsi"/>
          <w:sz w:val="24"/>
        </w:rPr>
        <w:lastRenderedPageBreak/>
        <w:t>Slanski. E. K. ‘The Law of Hammurabi and Its Audience’ (Yale Journal of Law and Human</w:t>
      </w:r>
      <w:r w:rsidR="00343339" w:rsidRPr="007D08DC">
        <w:rPr>
          <w:rFonts w:cstheme="minorHAnsi"/>
          <w:sz w:val="24"/>
        </w:rPr>
        <w:t>ities: Vol 24, Article 3)</w:t>
      </w:r>
      <w:r w:rsidRPr="007D08DC">
        <w:rPr>
          <w:rFonts w:cstheme="minorHAnsi"/>
          <w:sz w:val="24"/>
        </w:rPr>
        <w:t xml:space="preserve"> </w:t>
      </w:r>
      <w:r w:rsidR="00343339" w:rsidRPr="007D08DC">
        <w:rPr>
          <w:rFonts w:cstheme="minorHAnsi"/>
          <w:sz w:val="24"/>
        </w:rPr>
        <w:t>Available</w:t>
      </w:r>
      <w:r w:rsidRPr="007D08DC">
        <w:rPr>
          <w:rFonts w:cstheme="minorHAnsi"/>
          <w:sz w:val="24"/>
        </w:rPr>
        <w:t xml:space="preserve"> at URL: </w:t>
      </w:r>
      <w:hyperlink r:id="rId8" w:history="1">
        <w:r w:rsidR="00D931CF" w:rsidRPr="007D08DC">
          <w:rPr>
            <w:rStyle w:val="Hyperlink"/>
            <w:rFonts w:cstheme="minorHAnsi"/>
            <w:sz w:val="24"/>
            <w:u w:val="none"/>
          </w:rPr>
          <w:t>http://digitalcommons.law.yale.edu/yjlh/vol24/iss1/3</w:t>
        </w:r>
      </w:hyperlink>
    </w:p>
    <w:p w:rsidR="00343339" w:rsidRPr="007D08DC" w:rsidRDefault="00343339" w:rsidP="007D08DC">
      <w:pPr>
        <w:pStyle w:val="ListParagraph"/>
        <w:numPr>
          <w:ilvl w:val="0"/>
          <w:numId w:val="2"/>
        </w:numPr>
        <w:rPr>
          <w:rFonts w:cstheme="minorHAnsi"/>
          <w:sz w:val="24"/>
        </w:rPr>
      </w:pPr>
      <w:r w:rsidRPr="007D08DC">
        <w:rPr>
          <w:rFonts w:cstheme="minorHAnsi"/>
          <w:sz w:val="24"/>
        </w:rPr>
        <w:t xml:space="preserve">Tetlow. M. E. ‘Women, Crime and Punishment in Ancient Law and Society: Volume 1, The Ancient Near East’ (Bloomsbury Publishing, New York 2004) </w:t>
      </w:r>
    </w:p>
    <w:sectPr w:rsidR="00343339" w:rsidRPr="007D08DC" w:rsidSect="000342DC">
      <w:headerReference w:type="default" r:id="rId9"/>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94299" w:rsidRDefault="00B94299" w:rsidP="00E060A5">
      <w:pPr>
        <w:spacing w:after="0" w:line="240" w:lineRule="auto"/>
      </w:pPr>
      <w:r>
        <w:separator/>
      </w:r>
    </w:p>
  </w:endnote>
  <w:endnote w:type="continuationSeparator" w:id="0">
    <w:p w:rsidR="00B94299" w:rsidRDefault="00B94299" w:rsidP="00E060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94299" w:rsidRDefault="00B94299" w:rsidP="00E060A5">
      <w:pPr>
        <w:spacing w:after="0" w:line="240" w:lineRule="auto"/>
      </w:pPr>
      <w:r>
        <w:separator/>
      </w:r>
    </w:p>
  </w:footnote>
  <w:footnote w:type="continuationSeparator" w:id="0">
    <w:p w:rsidR="00B94299" w:rsidRDefault="00B94299" w:rsidP="00E060A5">
      <w:pPr>
        <w:spacing w:after="0" w:line="240" w:lineRule="auto"/>
      </w:pPr>
      <w:r>
        <w:continuationSeparator/>
      </w:r>
    </w:p>
  </w:footnote>
  <w:footnote w:id="1">
    <w:p w:rsidR="003811D7" w:rsidRDefault="003811D7">
      <w:pPr>
        <w:pStyle w:val="FootnoteText"/>
      </w:pPr>
      <w:r>
        <w:rPr>
          <w:rStyle w:val="FootnoteReference"/>
        </w:rPr>
        <w:footnoteRef/>
      </w:r>
      <w:r>
        <w:t xml:space="preserve"> Bahrani. Z. ‘Mesopotamia: Ancient Art and Architecture’ (Thames &amp; Hudson Ltd, London 2017) Page 179</w:t>
      </w:r>
    </w:p>
  </w:footnote>
  <w:footnote w:id="2">
    <w:p w:rsidR="00234E7E" w:rsidRDefault="00234E7E">
      <w:pPr>
        <w:pStyle w:val="FootnoteText"/>
      </w:pPr>
      <w:r>
        <w:rPr>
          <w:rStyle w:val="FootnoteReference"/>
        </w:rPr>
        <w:footnoteRef/>
      </w:r>
      <w:r>
        <w:t xml:space="preserve"> Cook. A. S ‘The Laws of Moses and The code of Hammurabi’ (</w:t>
      </w:r>
      <w:r w:rsidRPr="00234E7E">
        <w:t xml:space="preserve">Cosimo Classics, </w:t>
      </w:r>
      <w:r>
        <w:t xml:space="preserve">New York </w:t>
      </w:r>
      <w:r w:rsidRPr="00234E7E">
        <w:t>2010</w:t>
      </w:r>
      <w:r>
        <w:t>) Page 6</w:t>
      </w:r>
    </w:p>
  </w:footnote>
  <w:footnote w:id="3">
    <w:p w:rsidR="00A0712B" w:rsidRDefault="00A0712B">
      <w:pPr>
        <w:pStyle w:val="FootnoteText"/>
      </w:pPr>
      <w:r>
        <w:rPr>
          <w:rStyle w:val="FootnoteReference"/>
        </w:rPr>
        <w:footnoteRef/>
      </w:r>
      <w:r>
        <w:t xml:space="preserve"> Slanski. E. K. ‘The Law of Hammurabi and Its Audience’ (Yale Journal of Law and Humanities: Vol 24, Article 3) Page 5/6. </w:t>
      </w:r>
      <w:r w:rsidR="007A491D">
        <w:t>Available</w:t>
      </w:r>
      <w:r>
        <w:t xml:space="preserve"> at URL: </w:t>
      </w:r>
      <w:hyperlink r:id="rId1" w:history="1">
        <w:r w:rsidRPr="004B2AE1">
          <w:rPr>
            <w:rStyle w:val="Hyperlink"/>
          </w:rPr>
          <w:t>http://digitalcommons.law.yale.edu/yjlh/vol24/iss1/3</w:t>
        </w:r>
      </w:hyperlink>
      <w:r>
        <w:t xml:space="preserve"> </w:t>
      </w:r>
    </w:p>
  </w:footnote>
  <w:footnote w:id="4">
    <w:p w:rsidR="00C14FC1" w:rsidRDefault="00C14FC1">
      <w:pPr>
        <w:pStyle w:val="FootnoteText"/>
      </w:pPr>
      <w:r>
        <w:rPr>
          <w:rStyle w:val="FootnoteReference"/>
        </w:rPr>
        <w:footnoteRef/>
      </w:r>
      <w:r>
        <w:t xml:space="preserve"> </w:t>
      </w:r>
      <w:r w:rsidRPr="00C14FC1">
        <w:t>Cook. A. S ‘The Laws of Moses and The code of Hammurabi’ (Cosimo</w:t>
      </w:r>
      <w:r>
        <w:t xml:space="preserve"> Classics, New York 2010) Page 4</w:t>
      </w:r>
    </w:p>
  </w:footnote>
  <w:footnote w:id="5">
    <w:p w:rsidR="001026C6" w:rsidRPr="001026C6" w:rsidRDefault="001026C6" w:rsidP="001026C6">
      <w:pPr>
        <w:pStyle w:val="FootnoteText"/>
      </w:pPr>
      <w:r>
        <w:rPr>
          <w:rStyle w:val="FootnoteReference"/>
        </w:rPr>
        <w:footnoteRef/>
      </w:r>
      <w:r>
        <w:t xml:space="preserve"> </w:t>
      </w:r>
      <w:r w:rsidRPr="001026C6">
        <w:t>Slanski. E. K. ‘The Law of Hammurabi and Its Audience’ (Yale Journal of Law and Humani</w:t>
      </w:r>
      <w:r>
        <w:t xml:space="preserve">ties: Vol 24, Article 3) Page </w:t>
      </w:r>
      <w:r w:rsidRPr="001026C6">
        <w:t xml:space="preserve">6. </w:t>
      </w:r>
      <w:r w:rsidR="007A491D" w:rsidRPr="001026C6">
        <w:t>Available</w:t>
      </w:r>
      <w:r w:rsidRPr="001026C6">
        <w:t xml:space="preserve"> at URL: http://digitalcommons.law.yale.edu/yjlh/vol24/iss1/3</w:t>
      </w:r>
    </w:p>
  </w:footnote>
  <w:footnote w:id="6">
    <w:p w:rsidR="00EF24AD" w:rsidRPr="00EF24AD" w:rsidRDefault="00EF24AD" w:rsidP="00EF24AD">
      <w:pPr>
        <w:pStyle w:val="FootnoteText"/>
      </w:pPr>
      <w:r>
        <w:rPr>
          <w:rStyle w:val="FootnoteReference"/>
        </w:rPr>
        <w:footnoteRef/>
      </w:r>
      <w:r>
        <w:t xml:space="preserve"> </w:t>
      </w:r>
      <w:r w:rsidRPr="00EF24AD">
        <w:t>Slanski. E. K. ‘The Law of Hammurabi and Its Audience’ (Yale Journal of Law and Humani</w:t>
      </w:r>
      <w:r>
        <w:t xml:space="preserve">ties: Vol 24, Article 3) Page </w:t>
      </w:r>
      <w:r w:rsidRPr="00EF24AD">
        <w:t xml:space="preserve">6. </w:t>
      </w:r>
      <w:r w:rsidR="007A491D" w:rsidRPr="00EF24AD">
        <w:t>Available</w:t>
      </w:r>
      <w:r w:rsidRPr="00EF24AD">
        <w:t xml:space="preserve"> at URL: http://digitalcommons.law.yale.edu/yjlh/vol24/iss1/3</w:t>
      </w:r>
    </w:p>
  </w:footnote>
  <w:footnote w:id="7">
    <w:p w:rsidR="007A491D" w:rsidRDefault="007A491D">
      <w:pPr>
        <w:pStyle w:val="FootnoteText"/>
      </w:pPr>
      <w:r>
        <w:rPr>
          <w:rStyle w:val="FootnoteReference"/>
        </w:rPr>
        <w:footnoteRef/>
      </w:r>
      <w:r>
        <w:t xml:space="preserve"> Kent. F. C ‘The Recently Discovered Civil Code of Hammurabi’ (The Biblical World, Vol 21 No.3, The University of Chicago Press) Page 176. Available at URL: </w:t>
      </w:r>
      <w:hyperlink r:id="rId2" w:history="1">
        <w:r w:rsidRPr="00D70681">
          <w:rPr>
            <w:rStyle w:val="Hyperlink"/>
          </w:rPr>
          <w:t>https://www.jstor.org/stable/pdf/3141207.pdf</w:t>
        </w:r>
      </w:hyperlink>
      <w:r>
        <w:t xml:space="preserve"> </w:t>
      </w:r>
    </w:p>
  </w:footnote>
  <w:footnote w:id="8">
    <w:p w:rsidR="00722021" w:rsidRPr="00A5432D" w:rsidRDefault="00722021" w:rsidP="00A5432D">
      <w:pPr>
        <w:pStyle w:val="FootnoteText"/>
      </w:pPr>
      <w:r>
        <w:rPr>
          <w:rStyle w:val="FootnoteReference"/>
        </w:rPr>
        <w:footnoteRef/>
      </w:r>
      <w:r>
        <w:t xml:space="preserve"> </w:t>
      </w:r>
      <w:r w:rsidR="00A5432D" w:rsidRPr="00A5432D">
        <w:t>Kent. F. C ‘The Recently Discovered Civil Code of Hammurabi’ (The Biblical World, Vol 21 No.3, The Unive</w:t>
      </w:r>
      <w:r w:rsidR="00A5432D">
        <w:t>rsity of Chicago Press) Page 177</w:t>
      </w:r>
      <w:r w:rsidR="00A5432D" w:rsidRPr="00A5432D">
        <w:t>. Available at URL: https://www.jstor.org/stable/pdf/3141207.pdf</w:t>
      </w:r>
    </w:p>
  </w:footnote>
  <w:footnote w:id="9">
    <w:p w:rsidR="001B7EDB" w:rsidRDefault="001B7EDB">
      <w:pPr>
        <w:pStyle w:val="FootnoteText"/>
      </w:pPr>
      <w:r>
        <w:rPr>
          <w:rStyle w:val="FootnoteReference"/>
        </w:rPr>
        <w:footnoteRef/>
      </w:r>
      <w:r>
        <w:t xml:space="preserve"> </w:t>
      </w:r>
      <w:r w:rsidRPr="001B7EDB">
        <w:t>Bahrani. Z. ‘Mesopotamia: Ancient Art and Architecture’ (Thames &amp; H</w:t>
      </w:r>
      <w:r>
        <w:t>udson Ltd, London 2017) Page 177</w:t>
      </w:r>
    </w:p>
  </w:footnote>
  <w:footnote w:id="10">
    <w:p w:rsidR="001B7EDB" w:rsidRDefault="001B7EDB">
      <w:pPr>
        <w:pStyle w:val="FootnoteText"/>
      </w:pPr>
      <w:r>
        <w:rPr>
          <w:rStyle w:val="FootnoteReference"/>
        </w:rPr>
        <w:footnoteRef/>
      </w:r>
      <w:r>
        <w:t xml:space="preserve"> </w:t>
      </w:r>
      <w:r w:rsidRPr="001B7EDB">
        <w:t>Bahrani. Z. ‘Mesopotamia: Ancient Art and Architecture’ (Thames &amp; H</w:t>
      </w:r>
      <w:r>
        <w:t>udson Ltd, London 2017) Page 177</w:t>
      </w:r>
    </w:p>
  </w:footnote>
  <w:footnote w:id="11">
    <w:p w:rsidR="001026C6" w:rsidRPr="001026C6" w:rsidRDefault="001026C6" w:rsidP="001026C6">
      <w:pPr>
        <w:pStyle w:val="FootnoteText"/>
      </w:pPr>
      <w:r>
        <w:rPr>
          <w:rStyle w:val="FootnoteReference"/>
        </w:rPr>
        <w:footnoteRef/>
      </w:r>
      <w:r>
        <w:t xml:space="preserve"> </w:t>
      </w:r>
      <w:r w:rsidRPr="001026C6">
        <w:t>Slanski. E. K. ‘The Law of Hammurabi and Its Audience’ (Yale Journal of Law and Humanit</w:t>
      </w:r>
      <w:r>
        <w:t>ies: Vol 24, Article 3) Page 1</w:t>
      </w:r>
      <w:r w:rsidRPr="001026C6">
        <w:t xml:space="preserve">. </w:t>
      </w:r>
      <w:r w:rsidR="00B6303C" w:rsidRPr="001026C6">
        <w:t>Available</w:t>
      </w:r>
      <w:r w:rsidRPr="001026C6">
        <w:t xml:space="preserve"> at URL: http://digitalcommons.law.yale.edu/yjlh/vol24/iss1/3</w:t>
      </w:r>
    </w:p>
  </w:footnote>
  <w:footnote w:id="12">
    <w:p w:rsidR="004551A8" w:rsidRDefault="004551A8">
      <w:pPr>
        <w:pStyle w:val="FootnoteText"/>
      </w:pPr>
      <w:r>
        <w:rPr>
          <w:rStyle w:val="FootnoteReference"/>
        </w:rPr>
        <w:footnoteRef/>
      </w:r>
      <w:r>
        <w:t xml:space="preserve"> </w:t>
      </w:r>
      <w:r w:rsidRPr="004551A8">
        <w:t>Bahrani. Z. ‘Mesopotamia: Ancient Art and Architecture’ (Thames &amp; Hudson Ltd, London 2017) Page 177</w:t>
      </w:r>
    </w:p>
  </w:footnote>
  <w:footnote w:id="13">
    <w:p w:rsidR="003A20C9" w:rsidRDefault="003A20C9">
      <w:pPr>
        <w:pStyle w:val="FootnoteText"/>
      </w:pPr>
      <w:r>
        <w:rPr>
          <w:rStyle w:val="FootnoteReference"/>
        </w:rPr>
        <w:footnoteRef/>
      </w:r>
      <w:r>
        <w:t xml:space="preserve"> </w:t>
      </w:r>
      <w:r w:rsidRPr="003A20C9">
        <w:t>Postgate. J. N. ‘Early Mesopotamia: Society and Economy at the Dawn of History’ (</w:t>
      </w:r>
      <w:r>
        <w:t xml:space="preserve">Routledge, London 1992) Page 92 </w:t>
      </w:r>
    </w:p>
  </w:footnote>
  <w:footnote w:id="14">
    <w:p w:rsidR="005602BB" w:rsidRDefault="005602BB">
      <w:pPr>
        <w:pStyle w:val="FootnoteText"/>
      </w:pPr>
      <w:r>
        <w:rPr>
          <w:rStyle w:val="FootnoteReference"/>
        </w:rPr>
        <w:footnoteRef/>
      </w:r>
      <w:r>
        <w:t xml:space="preserve"> </w:t>
      </w:r>
      <w:r w:rsidR="008A7045">
        <w:t xml:space="preserve">Laws 146 and 147 </w:t>
      </w:r>
      <w:r w:rsidR="008A7045">
        <w:tab/>
      </w:r>
      <w:r w:rsidR="008A7045">
        <w:tab/>
      </w:r>
    </w:p>
  </w:footnote>
  <w:footnote w:id="15">
    <w:p w:rsidR="004A33F7" w:rsidRDefault="004A33F7">
      <w:pPr>
        <w:pStyle w:val="FootnoteText"/>
      </w:pPr>
      <w:r>
        <w:rPr>
          <w:rStyle w:val="FootnoteReference"/>
        </w:rPr>
        <w:footnoteRef/>
      </w:r>
      <w:r>
        <w:t xml:space="preserve"> </w:t>
      </w:r>
      <w:bookmarkStart w:id="0" w:name="OLE_LINK1"/>
      <w:bookmarkStart w:id="1" w:name="OLE_LINK2"/>
      <w:r>
        <w:t>Postgate. J. N. ‘Early Mesopotamia: Society and Economy at the Dawn of History’ (Routledge, London 1992) Page 105</w:t>
      </w:r>
      <w:bookmarkEnd w:id="0"/>
      <w:bookmarkEnd w:id="1"/>
    </w:p>
  </w:footnote>
  <w:footnote w:id="16">
    <w:p w:rsidR="00736420" w:rsidRDefault="00736420">
      <w:pPr>
        <w:pStyle w:val="FootnoteText"/>
      </w:pPr>
      <w:r>
        <w:rPr>
          <w:rStyle w:val="FootnoteReference"/>
        </w:rPr>
        <w:footnoteRef/>
      </w:r>
      <w:r>
        <w:t xml:space="preserve"> </w:t>
      </w:r>
      <w:r w:rsidR="008A7045">
        <w:t>Laws 145</w:t>
      </w:r>
    </w:p>
  </w:footnote>
  <w:footnote w:id="17">
    <w:p w:rsidR="00433034" w:rsidRDefault="00433034">
      <w:pPr>
        <w:pStyle w:val="FootnoteText"/>
      </w:pPr>
      <w:r>
        <w:rPr>
          <w:rStyle w:val="FootnoteReference"/>
        </w:rPr>
        <w:footnoteRef/>
      </w:r>
      <w:r>
        <w:t xml:space="preserve"> Tetlow. M. E. ‘Women, Crime and Punishment in Ancient Law and Society: Volume 1, The Ancient Near East’ (Bloomsbury Publishing, New York 2004) Page 56</w:t>
      </w:r>
    </w:p>
  </w:footnote>
  <w:footnote w:id="18">
    <w:p w:rsidR="003F79A6" w:rsidRDefault="003F79A6">
      <w:pPr>
        <w:pStyle w:val="FootnoteText"/>
      </w:pPr>
      <w:r>
        <w:rPr>
          <w:rStyle w:val="FootnoteReference"/>
        </w:rPr>
        <w:footnoteRef/>
      </w:r>
      <w:r>
        <w:t xml:space="preserve"> </w:t>
      </w:r>
      <w:r w:rsidR="008A7045">
        <w:t>Law 137</w:t>
      </w:r>
      <w:r w:rsidR="008A7045">
        <w:tab/>
      </w:r>
      <w:r w:rsidR="008A7045">
        <w:tab/>
      </w:r>
    </w:p>
  </w:footnote>
  <w:footnote w:id="19">
    <w:p w:rsidR="00696E88" w:rsidRDefault="00696E88">
      <w:pPr>
        <w:pStyle w:val="FootnoteText"/>
      </w:pPr>
      <w:r>
        <w:rPr>
          <w:rStyle w:val="FootnoteReference"/>
        </w:rPr>
        <w:footnoteRef/>
      </w:r>
      <w:r>
        <w:t xml:space="preserve"> </w:t>
      </w:r>
      <w:r w:rsidR="008A7045">
        <w:t>Law 148</w:t>
      </w:r>
    </w:p>
  </w:footnote>
  <w:footnote w:id="20">
    <w:p w:rsidR="00A44212" w:rsidRDefault="00A44212">
      <w:pPr>
        <w:pStyle w:val="FootnoteText"/>
      </w:pPr>
      <w:r>
        <w:rPr>
          <w:rStyle w:val="FootnoteReference"/>
        </w:rPr>
        <w:footnoteRef/>
      </w:r>
      <w:r>
        <w:t xml:space="preserve"> </w:t>
      </w:r>
      <w:r w:rsidRPr="00A44212">
        <w:t>Tetlow. M. E. ‘Women, Crime and Punishment in Ancient Law and Society: Volume 1, The Ancient Near East’ (Bloomsbury Publishing, New York 2004) Page 56</w:t>
      </w:r>
    </w:p>
  </w:footnote>
  <w:footnote w:id="21">
    <w:p w:rsidR="008A7045" w:rsidRDefault="008A7045">
      <w:pPr>
        <w:pStyle w:val="FootnoteText"/>
      </w:pPr>
      <w:r>
        <w:rPr>
          <w:rStyle w:val="FootnoteReference"/>
        </w:rPr>
        <w:footnoteRef/>
      </w:r>
      <w:r>
        <w:t xml:space="preserve"> Law 143</w:t>
      </w:r>
    </w:p>
  </w:footnote>
  <w:footnote w:id="22">
    <w:p w:rsidR="0038396E" w:rsidRDefault="0038396E">
      <w:pPr>
        <w:pStyle w:val="FootnoteText"/>
      </w:pPr>
      <w:r>
        <w:rPr>
          <w:rStyle w:val="FootnoteReference"/>
        </w:rPr>
        <w:footnoteRef/>
      </w:r>
      <w:r>
        <w:t xml:space="preserve"> Law 141</w:t>
      </w:r>
    </w:p>
  </w:footnote>
  <w:footnote w:id="23">
    <w:p w:rsidR="0038396E" w:rsidRDefault="0038396E">
      <w:pPr>
        <w:pStyle w:val="FootnoteText"/>
      </w:pPr>
      <w:r>
        <w:rPr>
          <w:rStyle w:val="FootnoteReference"/>
        </w:rPr>
        <w:footnoteRef/>
      </w:r>
      <w:r>
        <w:t xml:space="preserve"> Law 142</w:t>
      </w:r>
    </w:p>
  </w:footnote>
  <w:footnote w:id="24">
    <w:p w:rsidR="0038396E" w:rsidRDefault="0038396E">
      <w:pPr>
        <w:pStyle w:val="FootnoteText"/>
      </w:pPr>
      <w:r>
        <w:rPr>
          <w:rStyle w:val="FootnoteReference"/>
        </w:rPr>
        <w:footnoteRef/>
      </w:r>
      <w:r>
        <w:t xml:space="preserve"> Law 142</w:t>
      </w:r>
    </w:p>
  </w:footnote>
  <w:footnote w:id="25">
    <w:p w:rsidR="001200B9" w:rsidRDefault="001200B9">
      <w:pPr>
        <w:pStyle w:val="FootnoteText"/>
      </w:pPr>
      <w:r>
        <w:rPr>
          <w:rStyle w:val="FootnoteReference"/>
        </w:rPr>
        <w:footnoteRef/>
      </w:r>
      <w:r>
        <w:t xml:space="preserve"> </w:t>
      </w:r>
      <w:r w:rsidR="00CF13FE">
        <w:t xml:space="preserve">Mark. J. J ‘Ur-Nammu’, Ancient History Encyclopaedia, June 2014 (available at </w:t>
      </w:r>
      <w:hyperlink r:id="rId3" w:history="1">
        <w:r w:rsidR="00CF13FE" w:rsidRPr="009D1C97">
          <w:rPr>
            <w:rStyle w:val="Hyperlink"/>
          </w:rPr>
          <w:t>www.ancient.eu/Ur-Nammu/</w:t>
        </w:r>
      </w:hyperlink>
      <w:r w:rsidR="00CF13FE">
        <w:t xml:space="preserve">) [accessed on 14/11/17]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060A5" w:rsidRDefault="00E060A5">
    <w:pPr>
      <w:pStyle w:val="Header"/>
    </w:pPr>
    <w:r>
      <w:t>1600196</w:t>
    </w:r>
    <w:r>
      <w:ptab w:relativeTo="margin" w:alignment="center" w:leader="none"/>
    </w:r>
    <w:r>
      <w:t>AHAR5004</w:t>
    </w:r>
    <w:r>
      <w:ptab w:relativeTo="margin" w:alignment="right" w:leader="none"/>
    </w:r>
    <w:r>
      <w:t xml:space="preserve">Assessment 1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BD1799"/>
    <w:multiLevelType w:val="hybridMultilevel"/>
    <w:tmpl w:val="0206E9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39B6BBF"/>
    <w:multiLevelType w:val="hybridMultilevel"/>
    <w:tmpl w:val="97005C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60A5"/>
    <w:rsid w:val="0000422A"/>
    <w:rsid w:val="00005552"/>
    <w:rsid w:val="000342DC"/>
    <w:rsid w:val="00054E0F"/>
    <w:rsid w:val="000927C2"/>
    <w:rsid w:val="000E03B0"/>
    <w:rsid w:val="000E4FF9"/>
    <w:rsid w:val="000E70A9"/>
    <w:rsid w:val="000F1E02"/>
    <w:rsid w:val="001026C6"/>
    <w:rsid w:val="001147F2"/>
    <w:rsid w:val="001200B9"/>
    <w:rsid w:val="0013116E"/>
    <w:rsid w:val="001969BE"/>
    <w:rsid w:val="001A3AA6"/>
    <w:rsid w:val="001B7EDB"/>
    <w:rsid w:val="001C1F38"/>
    <w:rsid w:val="001F35D7"/>
    <w:rsid w:val="00234E7E"/>
    <w:rsid w:val="0028071D"/>
    <w:rsid w:val="00286BDE"/>
    <w:rsid w:val="002B04AF"/>
    <w:rsid w:val="002D586E"/>
    <w:rsid w:val="00341B7A"/>
    <w:rsid w:val="00343339"/>
    <w:rsid w:val="00347D85"/>
    <w:rsid w:val="00367487"/>
    <w:rsid w:val="00370475"/>
    <w:rsid w:val="003811D7"/>
    <w:rsid w:val="003830AD"/>
    <w:rsid w:val="0038396E"/>
    <w:rsid w:val="003A20C9"/>
    <w:rsid w:val="003C73A1"/>
    <w:rsid w:val="003D477F"/>
    <w:rsid w:val="003F79A6"/>
    <w:rsid w:val="00433034"/>
    <w:rsid w:val="004551A8"/>
    <w:rsid w:val="004568AE"/>
    <w:rsid w:val="004A33F7"/>
    <w:rsid w:val="004F594E"/>
    <w:rsid w:val="00534E71"/>
    <w:rsid w:val="005602BB"/>
    <w:rsid w:val="00632145"/>
    <w:rsid w:val="00653B4A"/>
    <w:rsid w:val="00696E88"/>
    <w:rsid w:val="006F1204"/>
    <w:rsid w:val="00722021"/>
    <w:rsid w:val="00734146"/>
    <w:rsid w:val="00736420"/>
    <w:rsid w:val="00747B98"/>
    <w:rsid w:val="00781E4C"/>
    <w:rsid w:val="007A491D"/>
    <w:rsid w:val="007D08DC"/>
    <w:rsid w:val="008A1BA1"/>
    <w:rsid w:val="008A7045"/>
    <w:rsid w:val="008C037A"/>
    <w:rsid w:val="008C691A"/>
    <w:rsid w:val="008D534C"/>
    <w:rsid w:val="009671E9"/>
    <w:rsid w:val="00996A64"/>
    <w:rsid w:val="00A038A5"/>
    <w:rsid w:val="00A0712B"/>
    <w:rsid w:val="00A44212"/>
    <w:rsid w:val="00A5062F"/>
    <w:rsid w:val="00A5432D"/>
    <w:rsid w:val="00A65B95"/>
    <w:rsid w:val="00A871C8"/>
    <w:rsid w:val="00B22D13"/>
    <w:rsid w:val="00B252EC"/>
    <w:rsid w:val="00B6303C"/>
    <w:rsid w:val="00B71E5A"/>
    <w:rsid w:val="00B94299"/>
    <w:rsid w:val="00BE22E2"/>
    <w:rsid w:val="00BE785F"/>
    <w:rsid w:val="00BF64E6"/>
    <w:rsid w:val="00C01DF4"/>
    <w:rsid w:val="00C10B01"/>
    <w:rsid w:val="00C14FC1"/>
    <w:rsid w:val="00C40F8B"/>
    <w:rsid w:val="00C61EA7"/>
    <w:rsid w:val="00C72595"/>
    <w:rsid w:val="00C860CD"/>
    <w:rsid w:val="00CF13FE"/>
    <w:rsid w:val="00D0022E"/>
    <w:rsid w:val="00D1205D"/>
    <w:rsid w:val="00D2379D"/>
    <w:rsid w:val="00D27B37"/>
    <w:rsid w:val="00D403F4"/>
    <w:rsid w:val="00D91D8C"/>
    <w:rsid w:val="00D931CF"/>
    <w:rsid w:val="00DD5A41"/>
    <w:rsid w:val="00DF7D66"/>
    <w:rsid w:val="00E060A5"/>
    <w:rsid w:val="00E16E48"/>
    <w:rsid w:val="00E24053"/>
    <w:rsid w:val="00E53D94"/>
    <w:rsid w:val="00E55A68"/>
    <w:rsid w:val="00EA3BF4"/>
    <w:rsid w:val="00EB7678"/>
    <w:rsid w:val="00EC2A69"/>
    <w:rsid w:val="00EF24AD"/>
    <w:rsid w:val="00F21A38"/>
    <w:rsid w:val="00F50955"/>
    <w:rsid w:val="00F578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8B4F0D"/>
  <w15:chartTrackingRefBased/>
  <w15:docId w15:val="{921B7C47-689C-4F94-BD77-5115A357CC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060A5"/>
    <w:pPr>
      <w:tabs>
        <w:tab w:val="center" w:pos="4513"/>
        <w:tab w:val="right" w:pos="9026"/>
      </w:tabs>
      <w:spacing w:after="0" w:line="240" w:lineRule="auto"/>
    </w:pPr>
  </w:style>
  <w:style w:type="character" w:customStyle="1" w:styleId="HeaderChar">
    <w:name w:val="Header Char"/>
    <w:basedOn w:val="DefaultParagraphFont"/>
    <w:link w:val="Header"/>
    <w:uiPriority w:val="99"/>
    <w:rsid w:val="00E060A5"/>
  </w:style>
  <w:style w:type="paragraph" w:styleId="Footer">
    <w:name w:val="footer"/>
    <w:basedOn w:val="Normal"/>
    <w:link w:val="FooterChar"/>
    <w:uiPriority w:val="99"/>
    <w:unhideWhenUsed/>
    <w:rsid w:val="00E060A5"/>
    <w:pPr>
      <w:tabs>
        <w:tab w:val="center" w:pos="4513"/>
        <w:tab w:val="right" w:pos="9026"/>
      </w:tabs>
      <w:spacing w:after="0" w:line="240" w:lineRule="auto"/>
    </w:pPr>
  </w:style>
  <w:style w:type="character" w:customStyle="1" w:styleId="FooterChar">
    <w:name w:val="Footer Char"/>
    <w:basedOn w:val="DefaultParagraphFont"/>
    <w:link w:val="Footer"/>
    <w:uiPriority w:val="99"/>
    <w:rsid w:val="00E060A5"/>
  </w:style>
  <w:style w:type="paragraph" w:styleId="FootnoteText">
    <w:name w:val="footnote text"/>
    <w:basedOn w:val="Normal"/>
    <w:link w:val="FootnoteTextChar"/>
    <w:uiPriority w:val="99"/>
    <w:semiHidden/>
    <w:unhideWhenUsed/>
    <w:rsid w:val="003811D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3811D7"/>
    <w:rPr>
      <w:sz w:val="20"/>
      <w:szCs w:val="20"/>
    </w:rPr>
  </w:style>
  <w:style w:type="character" w:styleId="FootnoteReference">
    <w:name w:val="footnote reference"/>
    <w:basedOn w:val="DefaultParagraphFont"/>
    <w:uiPriority w:val="99"/>
    <w:semiHidden/>
    <w:unhideWhenUsed/>
    <w:rsid w:val="003811D7"/>
    <w:rPr>
      <w:vertAlign w:val="superscript"/>
    </w:rPr>
  </w:style>
  <w:style w:type="character" w:styleId="Hyperlink">
    <w:name w:val="Hyperlink"/>
    <w:basedOn w:val="DefaultParagraphFont"/>
    <w:uiPriority w:val="99"/>
    <w:unhideWhenUsed/>
    <w:rsid w:val="00A0712B"/>
    <w:rPr>
      <w:color w:val="0563C1" w:themeColor="hyperlink"/>
      <w:u w:val="single"/>
    </w:rPr>
  </w:style>
  <w:style w:type="paragraph" w:styleId="ListParagraph">
    <w:name w:val="List Paragraph"/>
    <w:basedOn w:val="Normal"/>
    <w:uiPriority w:val="34"/>
    <w:qFormat/>
    <w:rsid w:val="00EC2A6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digitalcommons.law.yale.edu/yjlh/vol24/iss1/3"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footnotes.xml.rels><?xml version="1.0" encoding="UTF-8" standalone="yes"?>
<Relationships xmlns="http://schemas.openxmlformats.org/package/2006/relationships"><Relationship Id="rId3" Type="http://schemas.openxmlformats.org/officeDocument/2006/relationships/hyperlink" Target="http://www.ancient.eu/Ur-Nammu/" TargetMode="External"/><Relationship Id="rId2" Type="http://schemas.openxmlformats.org/officeDocument/2006/relationships/hyperlink" Target="https://www.jstor.org/stable/pdf/3141207.pdf" TargetMode="External"/><Relationship Id="rId1" Type="http://schemas.openxmlformats.org/officeDocument/2006/relationships/hyperlink" Target="http://digitalcommons.law.yale.edu/yjlh/vol24/iss1/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887088-D864-449B-BBED-1A2C8A771E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564</TotalTime>
  <Pages>5</Pages>
  <Words>1609</Words>
  <Characters>9176</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10764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Shannon Farnon (1600196)</dc:creator>
  <cp:keywords/>
  <dc:description/>
  <cp:lastModifiedBy>shannon farnon</cp:lastModifiedBy>
  <cp:revision>54</cp:revision>
  <dcterms:created xsi:type="dcterms:W3CDTF">2017-11-02T15:56:00Z</dcterms:created>
  <dcterms:modified xsi:type="dcterms:W3CDTF">2017-11-14T20:34:00Z</dcterms:modified>
</cp:coreProperties>
</file>