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color w:val="5B9BD5" w:themeColor="accent1"/>
          <w:sz w:val="24"/>
          <w:szCs w:val="24"/>
          <w:lang w:val="en-GB" w:eastAsia="en-US"/>
        </w:rPr>
        <w:id w:val="-1214036605"/>
        <w:docPartObj>
          <w:docPartGallery w:val="Cover Pages"/>
          <w:docPartUnique/>
        </w:docPartObj>
      </w:sdtPr>
      <w:sdtEndPr>
        <w:rPr>
          <w:color w:val="auto"/>
        </w:rPr>
      </w:sdtEndPr>
      <w:sdtContent>
        <w:p w14:paraId="21FDD849" w14:textId="3177CBCB" w:rsidR="00A1570D" w:rsidRDefault="00A1570D">
          <w:pPr>
            <w:pStyle w:val="NoSpacing"/>
            <w:spacing w:before="1540" w:after="240"/>
            <w:jc w:val="center"/>
            <w:rPr>
              <w:color w:val="5B9BD5" w:themeColor="accent1"/>
            </w:rPr>
          </w:pPr>
          <w:r>
            <w:rPr>
              <w:noProof/>
              <w:color w:val="5B9BD5" w:themeColor="accent1"/>
              <w:lang w:eastAsia="en-US"/>
            </w:rPr>
            <w:drawing>
              <wp:inline distT="0" distB="0" distL="0" distR="0" wp14:anchorId="20B91B32" wp14:editId="785519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7FA405D5F5C61F46B0037AC21AB45D5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5F3207" w14:textId="04968156" w:rsidR="00A1570D" w:rsidRPr="00E859DD" w:rsidRDefault="0002536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000000" w:themeColor="text1"/>
                  <w:sz w:val="80"/>
                  <w:szCs w:val="80"/>
                </w:rPr>
              </w:pPr>
              <w:r>
                <w:rPr>
                  <w:rFonts w:asciiTheme="majorHAnsi" w:eastAsiaTheme="majorEastAsia" w:hAnsiTheme="majorHAnsi" w:cstheme="majorBidi"/>
                  <w:caps/>
                  <w:color w:val="000000" w:themeColor="text1"/>
                  <w:sz w:val="72"/>
                  <w:szCs w:val="72"/>
                </w:rPr>
                <w:t>Alexander’s great legacy</w:t>
              </w:r>
            </w:p>
          </w:sdtContent>
        </w:sdt>
        <w:sdt>
          <w:sdtPr>
            <w:rPr>
              <w:color w:val="000000" w:themeColor="tex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390EF14A" w14:textId="0796BBDC" w:rsidR="00A1570D" w:rsidRPr="00E859DD" w:rsidRDefault="006E29F4">
              <w:pPr>
                <w:pStyle w:val="NoSpacing"/>
                <w:jc w:val="center"/>
                <w:rPr>
                  <w:color w:val="000000" w:themeColor="text1"/>
                  <w:sz w:val="28"/>
                  <w:szCs w:val="28"/>
                </w:rPr>
              </w:pPr>
              <w:r>
                <w:rPr>
                  <w:color w:val="000000" w:themeColor="text1"/>
                  <w:sz w:val="28"/>
                  <w:szCs w:val="28"/>
                </w:rPr>
                <w:t>A Discussion of Alexander’s Kingly Accomplishments and</w:t>
              </w:r>
              <w:r w:rsidR="005466E3">
                <w:rPr>
                  <w:color w:val="000000" w:themeColor="text1"/>
                  <w:sz w:val="28"/>
                  <w:szCs w:val="28"/>
                </w:rPr>
                <w:t xml:space="preserve"> of Those</w:t>
              </w:r>
              <w:r>
                <w:rPr>
                  <w:color w:val="000000" w:themeColor="text1"/>
                  <w:sz w:val="28"/>
                  <w:szCs w:val="28"/>
                </w:rPr>
                <w:t xml:space="preserve"> Left Behind</w:t>
              </w:r>
            </w:p>
          </w:sdtContent>
        </w:sdt>
        <w:p w14:paraId="0D4B66F2" w14:textId="61CCF9F3" w:rsidR="00A1570D" w:rsidRDefault="00A1570D">
          <w:pPr>
            <w:pStyle w:val="NoSpacing"/>
            <w:spacing w:before="480"/>
            <w:jc w:val="center"/>
            <w:rPr>
              <w:color w:val="5B9BD5" w:themeColor="accent1"/>
            </w:rPr>
          </w:pPr>
          <w:r>
            <w:rPr>
              <w:noProof/>
              <w:color w:val="5B9BD5" w:themeColor="accent1"/>
              <w:lang w:eastAsia="en-US"/>
            </w:rPr>
            <w:drawing>
              <wp:inline distT="0" distB="0" distL="0" distR="0" wp14:anchorId="0FE1C1CB" wp14:editId="7F639B0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3E56B5D" w14:textId="2DA71F2C" w:rsidR="00A1570D" w:rsidRDefault="009D32B3">
          <w:r>
            <w:rPr>
              <w:noProof/>
              <w:color w:val="5B9BD5" w:themeColor="accent1"/>
              <w:lang w:val="en-US"/>
            </w:rPr>
            <mc:AlternateContent>
              <mc:Choice Requires="wps">
                <w:drawing>
                  <wp:anchor distT="0" distB="0" distL="114300" distR="114300" simplePos="0" relativeHeight="251659264" behindDoc="0" locked="0" layoutInCell="1" allowOverlap="1" wp14:anchorId="73BAFA92" wp14:editId="4E365B56">
                    <wp:simplePos x="0" y="0"/>
                    <wp:positionH relativeFrom="margin">
                      <wp:posOffset>89013</wp:posOffset>
                    </wp:positionH>
                    <wp:positionV relativeFrom="page">
                      <wp:posOffset>4915639</wp:posOffset>
                    </wp:positionV>
                    <wp:extent cx="5943600" cy="4000396"/>
                    <wp:effectExtent l="0" t="0" r="0" b="13335"/>
                    <wp:wrapNone/>
                    <wp:docPr id="142" name="Text Box 142"/>
                    <wp:cNvGraphicFramePr/>
                    <a:graphic xmlns:a="http://schemas.openxmlformats.org/drawingml/2006/main">
                      <a:graphicData uri="http://schemas.microsoft.com/office/word/2010/wordprocessingShape">
                        <wps:wsp>
                          <wps:cNvSpPr txBox="1"/>
                          <wps:spPr>
                            <a:xfrm>
                              <a:off x="0" y="0"/>
                              <a:ext cx="5943600" cy="40003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3CAA3E" w14:textId="3D469731" w:rsidR="00284A37" w:rsidRDefault="00E859DD">
                                <w:pPr>
                                  <w:pStyle w:val="NoSpacing"/>
                                  <w:spacing w:after="40"/>
                                  <w:jc w:val="center"/>
                                  <w:rPr>
                                    <w:caps/>
                                    <w:sz w:val="28"/>
                                    <w:szCs w:val="28"/>
                                  </w:rPr>
                                </w:pPr>
                                <w:r w:rsidRPr="00E859DD">
                                  <w:rPr>
                                    <w:caps/>
                                    <w:sz w:val="28"/>
                                    <w:szCs w:val="28"/>
                                  </w:rPr>
                                  <w:t>Dis</w:t>
                                </w:r>
                                <w:r w:rsidR="00284A37">
                                  <w:rPr>
                                    <w:caps/>
                                    <w:sz w:val="28"/>
                                    <w:szCs w:val="28"/>
                                  </w:rPr>
                                  <w:t>sertation submitted to the Unive</w:t>
                                </w:r>
                                <w:r w:rsidRPr="00E859DD">
                                  <w:rPr>
                                    <w:caps/>
                                    <w:sz w:val="28"/>
                                    <w:szCs w:val="28"/>
                                  </w:rPr>
                                  <w:t>rsity of Wales trininty saint david in fulfullment of a b.a. (hons) in ancient history</w:t>
                                </w:r>
                              </w:p>
                              <w:p w14:paraId="58231302" w14:textId="77777777" w:rsidR="00284A37" w:rsidRDefault="00284A37">
                                <w:pPr>
                                  <w:pStyle w:val="NoSpacing"/>
                                  <w:spacing w:after="40"/>
                                  <w:jc w:val="center"/>
                                  <w:rPr>
                                    <w:caps/>
                                    <w:sz w:val="28"/>
                                    <w:szCs w:val="28"/>
                                  </w:rPr>
                                </w:pPr>
                              </w:p>
                              <w:p w14:paraId="549D1642" w14:textId="77777777" w:rsidR="00284A37" w:rsidRDefault="00284A37">
                                <w:pPr>
                                  <w:pStyle w:val="NoSpacing"/>
                                  <w:spacing w:after="40"/>
                                  <w:jc w:val="center"/>
                                  <w:rPr>
                                    <w:caps/>
                                    <w:sz w:val="28"/>
                                    <w:szCs w:val="28"/>
                                  </w:rPr>
                                </w:pPr>
                              </w:p>
                              <w:p w14:paraId="243F3C0A" w14:textId="77777777" w:rsidR="00284A37" w:rsidRPr="00284A37" w:rsidRDefault="00284A37">
                                <w:pPr>
                                  <w:pStyle w:val="NoSpacing"/>
                                  <w:spacing w:after="40"/>
                                  <w:jc w:val="center"/>
                                  <w:rPr>
                                    <w:caps/>
                                    <w:sz w:val="28"/>
                                    <w:szCs w:val="28"/>
                                  </w:rPr>
                                </w:pPr>
                              </w:p>
                              <w:p w14:paraId="21B3AD27" w14:textId="77777777" w:rsidR="00E859DD" w:rsidRDefault="00E859DD">
                                <w:pPr>
                                  <w:pStyle w:val="NoSpacing"/>
                                  <w:spacing w:after="40"/>
                                  <w:jc w:val="center"/>
                                  <w:rPr>
                                    <w:caps/>
                                    <w:color w:val="5B9BD5" w:themeColor="accent1"/>
                                    <w:sz w:val="28"/>
                                    <w:szCs w:val="28"/>
                                  </w:rPr>
                                </w:pPr>
                              </w:p>
                              <w:p w14:paraId="2C2D14FB" w14:textId="76E1D4ED" w:rsidR="00EE2E2A" w:rsidRPr="00E859DD" w:rsidRDefault="00241E47">
                                <w:pPr>
                                  <w:pStyle w:val="NoSpacing"/>
                                  <w:spacing w:after="40"/>
                                  <w:jc w:val="center"/>
                                  <w:rPr>
                                    <w:caps/>
                                    <w:sz w:val="28"/>
                                    <w:szCs w:val="28"/>
                                  </w:rPr>
                                </w:pPr>
                                <w:r>
                                  <w:rPr>
                                    <w:caps/>
                                    <w:sz w:val="28"/>
                                    <w:szCs w:val="28"/>
                                  </w:rPr>
                                  <w:t xml:space="preserve">Jordan P. Kinnicutt </w:t>
                                </w:r>
                                <w:r w:rsidR="00EE2E2A" w:rsidRPr="00E859DD">
                                  <w:rPr>
                                    <w:caps/>
                                    <w:sz w:val="28"/>
                                    <w:szCs w:val="28"/>
                                  </w:rPr>
                                  <w:t>1600613</w:t>
                                </w:r>
                              </w:p>
                              <w:p w14:paraId="05067BE0" w14:textId="77777777" w:rsidR="00E859DD" w:rsidRDefault="00E859DD">
                                <w:pPr>
                                  <w:pStyle w:val="NoSpacing"/>
                                  <w:spacing w:after="40"/>
                                  <w:jc w:val="center"/>
                                  <w:rPr>
                                    <w:caps/>
                                    <w:color w:val="5B9BD5" w:themeColor="accent1"/>
                                    <w:sz w:val="28"/>
                                    <w:szCs w:val="28"/>
                                  </w:rPr>
                                </w:pPr>
                              </w:p>
                              <w:p w14:paraId="28EF1EF4" w14:textId="77777777" w:rsidR="00284A37" w:rsidRDefault="00284A37">
                                <w:pPr>
                                  <w:pStyle w:val="NoSpacing"/>
                                  <w:spacing w:after="40"/>
                                  <w:jc w:val="center"/>
                                  <w:rPr>
                                    <w:caps/>
                                    <w:color w:val="5B9BD5" w:themeColor="accent1"/>
                                    <w:sz w:val="28"/>
                                    <w:szCs w:val="28"/>
                                  </w:rPr>
                                </w:pPr>
                              </w:p>
                              <w:p w14:paraId="59869D87" w14:textId="77777777" w:rsidR="00E859DD" w:rsidRDefault="00E859DD">
                                <w:pPr>
                                  <w:pStyle w:val="NoSpacing"/>
                                  <w:spacing w:after="40"/>
                                  <w:jc w:val="center"/>
                                  <w:rPr>
                                    <w:caps/>
                                    <w:color w:val="5B9BD5" w:themeColor="accent1"/>
                                    <w:sz w:val="28"/>
                                    <w:szCs w:val="28"/>
                                  </w:rPr>
                                </w:pPr>
                              </w:p>
                              <w:p w14:paraId="588A999A" w14:textId="3447A5A5" w:rsidR="00EE2E2A" w:rsidRDefault="00FF1E1A">
                                <w:pPr>
                                  <w:pStyle w:val="NoSpacing"/>
                                  <w:jc w:val="center"/>
                                  <w:rPr>
                                    <w:color w:val="5B9BD5" w:themeColor="accent1"/>
                                  </w:rPr>
                                </w:pPr>
                                <w:sdt>
                                  <w:sdtPr>
                                    <w:rPr>
                                      <w:caps/>
                                      <w:color w:val="5B9BD5" w:themeColor="accent1"/>
                                    </w:rPr>
                                    <w:alias w:val="Company"/>
                                    <w:tag w:val=""/>
                                    <w:id w:val="1069383205"/>
                                    <w:showingPlcHdr/>
                                    <w:dataBinding w:prefixMappings="xmlns:ns0='http://schemas.openxmlformats.org/officeDocument/2006/extended-properties' " w:xpath="/ns0:Properties[1]/ns0:Company[1]" w:storeItemID="{6668398D-A668-4E3E-A5EB-62B293D839F1}"/>
                                    <w:text/>
                                  </w:sdtPr>
                                  <w:sdtEndPr/>
                                  <w:sdtContent>
                                    <w:r w:rsidR="00E859DD">
                                      <w:rPr>
                                        <w:caps/>
                                        <w:color w:val="5B9BD5" w:themeColor="accent1"/>
                                      </w:rPr>
                                      <w:t xml:space="preserve">     </w:t>
                                    </w:r>
                                  </w:sdtContent>
                                </w:sdt>
                              </w:p>
                              <w:p w14:paraId="5833A088" w14:textId="7BDC81FE" w:rsidR="00EE2E2A" w:rsidRDefault="00FF1E1A">
                                <w:pPr>
                                  <w:pStyle w:val="NoSpacing"/>
                                  <w:jc w:val="center"/>
                                  <w:rPr>
                                    <w:sz w:val="28"/>
                                    <w:szCs w:val="28"/>
                                  </w:rPr>
                                </w:pPr>
                                <w:sdt>
                                  <w:sdtPr>
                                    <w:rPr>
                                      <w:sz w:val="28"/>
                                      <w:szCs w:val="28"/>
                                    </w:rPr>
                                    <w:alias w:val="Address"/>
                                    <w:tag w:val=""/>
                                    <w:id w:val="-1091853948"/>
                                    <w:dataBinding w:prefixMappings="xmlns:ns0='http://schemas.microsoft.com/office/2006/coverPageProps' " w:xpath="/ns0:CoverPageProperties[1]/ns0:CompanyAddress[1]" w:storeItemID="{55AF091B-3C7A-41E3-B477-F2FDAA23CFDA}"/>
                                    <w:text/>
                                  </w:sdtPr>
                                  <w:sdtEndPr/>
                                  <w:sdtContent>
                                    <w:r w:rsidR="00EE2E2A" w:rsidRPr="00284A37">
                                      <w:rPr>
                                        <w:sz w:val="28"/>
                                        <w:szCs w:val="28"/>
                                      </w:rPr>
                                      <w:t xml:space="preserve"> May 2020</w:t>
                                    </w:r>
                                  </w:sdtContent>
                                </w:sdt>
                              </w:p>
                              <w:p w14:paraId="165ACA49" w14:textId="77777777" w:rsidR="00E653FD" w:rsidRDefault="00E653FD">
                                <w:pPr>
                                  <w:pStyle w:val="NoSpacing"/>
                                  <w:jc w:val="center"/>
                                  <w:rPr>
                                    <w:sz w:val="28"/>
                                    <w:szCs w:val="28"/>
                                  </w:rPr>
                                </w:pPr>
                              </w:p>
                              <w:p w14:paraId="178B1B26" w14:textId="77777777" w:rsidR="00E653FD" w:rsidRDefault="00E653FD">
                                <w:pPr>
                                  <w:pStyle w:val="NoSpacing"/>
                                  <w:jc w:val="center"/>
                                  <w:rPr>
                                    <w:sz w:val="28"/>
                                    <w:szCs w:val="28"/>
                                  </w:rPr>
                                </w:pPr>
                              </w:p>
                              <w:p w14:paraId="34060E9A" w14:textId="77777777" w:rsidR="00E0743A" w:rsidRDefault="00E0743A">
                                <w:pPr>
                                  <w:pStyle w:val="NoSpacing"/>
                                  <w:jc w:val="center"/>
                                  <w:rPr>
                                    <w:sz w:val="28"/>
                                    <w:szCs w:val="28"/>
                                  </w:rPr>
                                </w:pPr>
                              </w:p>
                              <w:p w14:paraId="4E9D2DFC" w14:textId="77777777" w:rsidR="00E653FD" w:rsidRPr="00284A37" w:rsidRDefault="00E653FD">
                                <w:pPr>
                                  <w:pStyle w:val="NoSpacing"/>
                                  <w:jc w:val="center"/>
                                  <w:rPr>
                                    <w:sz w:val="28"/>
                                    <w:szCs w:val="28"/>
                                  </w:rPr>
                                </w:pPr>
                              </w:p>
                              <w:p w14:paraId="555098F2" w14:textId="1011FC95" w:rsidR="00284A37" w:rsidRPr="00E0743A" w:rsidRDefault="00E653FD">
                                <w:pPr>
                                  <w:pStyle w:val="NoSpacing"/>
                                  <w:jc w:val="center"/>
                                  <w:rPr>
                                    <w:sz w:val="28"/>
                                    <w:szCs w:val="28"/>
                                  </w:rPr>
                                </w:pPr>
                                <w:r w:rsidRPr="00E0743A">
                                  <w:rPr>
                                    <w:sz w:val="28"/>
                                    <w:szCs w:val="28"/>
                                  </w:rPr>
                                  <w:t>Word Count:</w:t>
                                </w:r>
                                <w:r w:rsidR="00E71D02">
                                  <w:rPr>
                                    <w:sz w:val="28"/>
                                    <w:szCs w:val="28"/>
                                  </w:rPr>
                                  <w:t xml:space="preserve"> 7,769</w:t>
                                </w:r>
                                <w:r w:rsidRPr="00E0743A">
                                  <w:rPr>
                                    <w:sz w:val="28"/>
                                    <w:szCs w:val="28"/>
                                  </w:rPr>
                                  <w:t xml:space="preserve"> </w:t>
                                </w:r>
                              </w:p>
                              <w:p w14:paraId="6B5ADAEC" w14:textId="77777777" w:rsidR="00284A37" w:rsidRDefault="00284A37">
                                <w:pPr>
                                  <w:pStyle w:val="NoSpacing"/>
                                  <w:jc w:val="center"/>
                                </w:pPr>
                              </w:p>
                              <w:p w14:paraId="609C5163" w14:textId="77777777" w:rsidR="00284A37" w:rsidRPr="00E859DD" w:rsidRDefault="00284A37">
                                <w:pPr>
                                  <w:pStyle w:val="NoSpacing"/>
                                  <w:jc w:val="cente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3BAFA92" id="_x0000_t202" coordsize="21600,21600" o:spt="202" path="m0,0l0,21600,21600,21600,21600,0xe">
                    <v:stroke joinstyle="miter"/>
                    <v:path gradientshapeok="t" o:connecttype="rect"/>
                  </v:shapetype>
                  <v:shape id="Text Box 142" o:spid="_x0000_s1026" type="#_x0000_t202" style="position:absolute;margin-left:7pt;margin-top:387.05pt;width:468pt;height:31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" filled="f" stroked="f" strokeweight=".5pt">
                    <v:textbox inset="0,0,0,0">
                      <w:txbxContent>
                        <w:p w14:paraId="393CAA3E" w14:textId="3D469731" w:rsidR="00284A37" w:rsidRDefault="00E859DD">
                          <w:pPr>
                            <w:pStyle w:val="NoSpacing"/>
                            <w:spacing w:after="40"/>
                            <w:jc w:val="center"/>
                            <w:rPr>
                              <w:caps/>
                              <w:sz w:val="28"/>
                              <w:szCs w:val="28"/>
                            </w:rPr>
                          </w:pPr>
                          <w:r w:rsidRPr="00E859DD">
                            <w:rPr>
                              <w:caps/>
                              <w:sz w:val="28"/>
                              <w:szCs w:val="28"/>
                            </w:rPr>
                            <w:t>Dis</w:t>
                          </w:r>
                          <w:r w:rsidR="00284A37">
                            <w:rPr>
                              <w:caps/>
                              <w:sz w:val="28"/>
                              <w:szCs w:val="28"/>
                            </w:rPr>
                            <w:t>sertation submitted to the Unive</w:t>
                          </w:r>
                          <w:r w:rsidRPr="00E859DD">
                            <w:rPr>
                              <w:caps/>
                              <w:sz w:val="28"/>
                              <w:szCs w:val="28"/>
                            </w:rPr>
                            <w:t>rsity of Wales trininty saint david in fulfullment of a b.a. (hons) in ancient history</w:t>
                          </w:r>
                        </w:p>
                        <w:p w14:paraId="58231302" w14:textId="77777777" w:rsidR="00284A37" w:rsidRDefault="00284A37">
                          <w:pPr>
                            <w:pStyle w:val="NoSpacing"/>
                            <w:spacing w:after="40"/>
                            <w:jc w:val="center"/>
                            <w:rPr>
                              <w:caps/>
                              <w:sz w:val="28"/>
                              <w:szCs w:val="28"/>
                            </w:rPr>
                          </w:pPr>
                        </w:p>
                        <w:p w14:paraId="549D1642" w14:textId="77777777" w:rsidR="00284A37" w:rsidRDefault="00284A37">
                          <w:pPr>
                            <w:pStyle w:val="NoSpacing"/>
                            <w:spacing w:after="40"/>
                            <w:jc w:val="center"/>
                            <w:rPr>
                              <w:caps/>
                              <w:sz w:val="28"/>
                              <w:szCs w:val="28"/>
                            </w:rPr>
                          </w:pPr>
                        </w:p>
                        <w:p w14:paraId="243F3C0A" w14:textId="77777777" w:rsidR="00284A37" w:rsidRPr="00284A37" w:rsidRDefault="00284A37">
                          <w:pPr>
                            <w:pStyle w:val="NoSpacing"/>
                            <w:spacing w:after="40"/>
                            <w:jc w:val="center"/>
                            <w:rPr>
                              <w:caps/>
                              <w:sz w:val="28"/>
                              <w:szCs w:val="28"/>
                            </w:rPr>
                          </w:pPr>
                        </w:p>
                        <w:p w14:paraId="21B3AD27" w14:textId="77777777" w:rsidR="00E859DD" w:rsidRDefault="00E859DD">
                          <w:pPr>
                            <w:pStyle w:val="NoSpacing"/>
                            <w:spacing w:after="40"/>
                            <w:jc w:val="center"/>
                            <w:rPr>
                              <w:caps/>
                              <w:color w:val="5B9BD5" w:themeColor="accent1"/>
                              <w:sz w:val="28"/>
                              <w:szCs w:val="28"/>
                            </w:rPr>
                          </w:pPr>
                        </w:p>
                        <w:p w14:paraId="2C2D14FB" w14:textId="76E1D4ED" w:rsidR="00EE2E2A" w:rsidRPr="00E859DD" w:rsidRDefault="00241E47">
                          <w:pPr>
                            <w:pStyle w:val="NoSpacing"/>
                            <w:spacing w:after="40"/>
                            <w:jc w:val="center"/>
                            <w:rPr>
                              <w:caps/>
                              <w:sz w:val="28"/>
                              <w:szCs w:val="28"/>
                            </w:rPr>
                          </w:pPr>
                          <w:r>
                            <w:rPr>
                              <w:caps/>
                              <w:sz w:val="28"/>
                              <w:szCs w:val="28"/>
                            </w:rPr>
                            <w:t xml:space="preserve">Jordan P. Kinnicutt </w:t>
                          </w:r>
                          <w:r w:rsidR="00EE2E2A" w:rsidRPr="00E859DD">
                            <w:rPr>
                              <w:caps/>
                              <w:sz w:val="28"/>
                              <w:szCs w:val="28"/>
                            </w:rPr>
                            <w:t>1600613</w:t>
                          </w:r>
                        </w:p>
                        <w:p w14:paraId="05067BE0" w14:textId="77777777" w:rsidR="00E859DD" w:rsidRDefault="00E859DD">
                          <w:pPr>
                            <w:pStyle w:val="NoSpacing"/>
                            <w:spacing w:after="40"/>
                            <w:jc w:val="center"/>
                            <w:rPr>
                              <w:caps/>
                              <w:color w:val="5B9BD5" w:themeColor="accent1"/>
                              <w:sz w:val="28"/>
                              <w:szCs w:val="28"/>
                            </w:rPr>
                          </w:pPr>
                        </w:p>
                        <w:p w14:paraId="28EF1EF4" w14:textId="77777777" w:rsidR="00284A37" w:rsidRDefault="00284A37">
                          <w:pPr>
                            <w:pStyle w:val="NoSpacing"/>
                            <w:spacing w:after="40"/>
                            <w:jc w:val="center"/>
                            <w:rPr>
                              <w:caps/>
                              <w:color w:val="5B9BD5" w:themeColor="accent1"/>
                              <w:sz w:val="28"/>
                              <w:szCs w:val="28"/>
                            </w:rPr>
                          </w:pPr>
                        </w:p>
                        <w:p w14:paraId="59869D87" w14:textId="77777777" w:rsidR="00E859DD" w:rsidRDefault="00E859DD">
                          <w:pPr>
                            <w:pStyle w:val="NoSpacing"/>
                            <w:spacing w:after="40"/>
                            <w:jc w:val="center"/>
                            <w:rPr>
                              <w:caps/>
                              <w:color w:val="5B9BD5" w:themeColor="accent1"/>
                              <w:sz w:val="28"/>
                              <w:szCs w:val="28"/>
                            </w:rPr>
                          </w:pPr>
                        </w:p>
                        <w:p w14:paraId="588A999A" w14:textId="3447A5A5" w:rsidR="00EE2E2A" w:rsidRDefault="00FF1E1A">
                          <w:pPr>
                            <w:pStyle w:val="NoSpacing"/>
                            <w:jc w:val="center"/>
                            <w:rPr>
                              <w:color w:val="5B9BD5" w:themeColor="accent1"/>
                            </w:rPr>
                          </w:pPr>
                          <w:sdt>
                            <w:sdtPr>
                              <w:rPr>
                                <w:caps/>
                                <w:color w:val="5B9BD5" w:themeColor="accent1"/>
                              </w:rPr>
                              <w:alias w:val="Company"/>
                              <w:tag w:val=""/>
                              <w:id w:val="1069383205"/>
                              <w:showingPlcHdr/>
                              <w:dataBinding w:prefixMappings="xmlns:ns0='http://schemas.openxmlformats.org/officeDocument/2006/extended-properties' " w:xpath="/ns0:Properties[1]/ns0:Company[1]" w:storeItemID="{6668398D-A668-4E3E-A5EB-62B293D839F1}"/>
                              <w:text/>
                            </w:sdtPr>
                            <w:sdtEndPr/>
                            <w:sdtContent>
                              <w:r w:rsidR="00E859DD">
                                <w:rPr>
                                  <w:caps/>
                                  <w:color w:val="5B9BD5" w:themeColor="accent1"/>
                                </w:rPr>
                                <w:t xml:space="preserve">     </w:t>
                              </w:r>
                            </w:sdtContent>
                          </w:sdt>
                        </w:p>
                        <w:p w14:paraId="5833A088" w14:textId="7BDC81FE" w:rsidR="00EE2E2A" w:rsidRDefault="00FF1E1A">
                          <w:pPr>
                            <w:pStyle w:val="NoSpacing"/>
                            <w:jc w:val="center"/>
                            <w:rPr>
                              <w:sz w:val="28"/>
                              <w:szCs w:val="28"/>
                            </w:rPr>
                          </w:pPr>
                          <w:sdt>
                            <w:sdtPr>
                              <w:rPr>
                                <w:sz w:val="28"/>
                                <w:szCs w:val="28"/>
                              </w:rPr>
                              <w:alias w:val="Address"/>
                              <w:tag w:val=""/>
                              <w:id w:val="-1091853948"/>
                              <w:dataBinding w:prefixMappings="xmlns:ns0='http://schemas.microsoft.com/office/2006/coverPageProps' " w:xpath="/ns0:CoverPageProperties[1]/ns0:CompanyAddress[1]" w:storeItemID="{55AF091B-3C7A-41E3-B477-F2FDAA23CFDA}"/>
                              <w:text/>
                            </w:sdtPr>
                            <w:sdtEndPr/>
                            <w:sdtContent>
                              <w:r w:rsidR="00EE2E2A" w:rsidRPr="00284A37">
                                <w:rPr>
                                  <w:sz w:val="28"/>
                                  <w:szCs w:val="28"/>
                                </w:rPr>
                                <w:t xml:space="preserve"> May 2020</w:t>
                              </w:r>
                            </w:sdtContent>
                          </w:sdt>
                        </w:p>
                        <w:p w14:paraId="165ACA49" w14:textId="77777777" w:rsidR="00E653FD" w:rsidRDefault="00E653FD">
                          <w:pPr>
                            <w:pStyle w:val="NoSpacing"/>
                            <w:jc w:val="center"/>
                            <w:rPr>
                              <w:sz w:val="28"/>
                              <w:szCs w:val="28"/>
                            </w:rPr>
                          </w:pPr>
                        </w:p>
                        <w:p w14:paraId="178B1B26" w14:textId="77777777" w:rsidR="00E653FD" w:rsidRDefault="00E653FD">
                          <w:pPr>
                            <w:pStyle w:val="NoSpacing"/>
                            <w:jc w:val="center"/>
                            <w:rPr>
                              <w:sz w:val="28"/>
                              <w:szCs w:val="28"/>
                            </w:rPr>
                          </w:pPr>
                        </w:p>
                        <w:p w14:paraId="34060E9A" w14:textId="77777777" w:rsidR="00E0743A" w:rsidRDefault="00E0743A">
                          <w:pPr>
                            <w:pStyle w:val="NoSpacing"/>
                            <w:jc w:val="center"/>
                            <w:rPr>
                              <w:sz w:val="28"/>
                              <w:szCs w:val="28"/>
                            </w:rPr>
                          </w:pPr>
                        </w:p>
                        <w:p w14:paraId="4E9D2DFC" w14:textId="77777777" w:rsidR="00E653FD" w:rsidRPr="00284A37" w:rsidRDefault="00E653FD">
                          <w:pPr>
                            <w:pStyle w:val="NoSpacing"/>
                            <w:jc w:val="center"/>
                            <w:rPr>
                              <w:sz w:val="28"/>
                              <w:szCs w:val="28"/>
                            </w:rPr>
                          </w:pPr>
                        </w:p>
                        <w:p w14:paraId="555098F2" w14:textId="1011FC95" w:rsidR="00284A37" w:rsidRPr="00E0743A" w:rsidRDefault="00E653FD">
                          <w:pPr>
                            <w:pStyle w:val="NoSpacing"/>
                            <w:jc w:val="center"/>
                            <w:rPr>
                              <w:sz w:val="28"/>
                              <w:szCs w:val="28"/>
                            </w:rPr>
                          </w:pPr>
                          <w:r w:rsidRPr="00E0743A">
                            <w:rPr>
                              <w:sz w:val="28"/>
                              <w:szCs w:val="28"/>
                            </w:rPr>
                            <w:t>Word Count:</w:t>
                          </w:r>
                          <w:r w:rsidR="00E71D02">
                            <w:rPr>
                              <w:sz w:val="28"/>
                              <w:szCs w:val="28"/>
                            </w:rPr>
                            <w:t xml:space="preserve"> 7,769</w:t>
                          </w:r>
                          <w:r w:rsidRPr="00E0743A">
                            <w:rPr>
                              <w:sz w:val="28"/>
                              <w:szCs w:val="28"/>
                            </w:rPr>
                            <w:t xml:space="preserve"> </w:t>
                          </w:r>
                        </w:p>
                        <w:p w14:paraId="6B5ADAEC" w14:textId="77777777" w:rsidR="00284A37" w:rsidRDefault="00284A37">
                          <w:pPr>
                            <w:pStyle w:val="NoSpacing"/>
                            <w:jc w:val="center"/>
                          </w:pPr>
                        </w:p>
                        <w:p w14:paraId="609C5163" w14:textId="77777777" w:rsidR="00284A37" w:rsidRPr="00E859DD" w:rsidRDefault="00284A37">
                          <w:pPr>
                            <w:pStyle w:val="NoSpacing"/>
                            <w:jc w:val="center"/>
                          </w:pPr>
                        </w:p>
                      </w:txbxContent>
                    </v:textbox>
                    <w10:wrap anchorx="margin" anchory="page"/>
                  </v:shape>
                </w:pict>
              </mc:Fallback>
            </mc:AlternateContent>
          </w:r>
          <w:r w:rsidR="00A1570D">
            <w:br w:type="page"/>
          </w:r>
        </w:p>
      </w:sdtContent>
    </w:sdt>
    <w:sdt>
      <w:sdtPr>
        <w:id w:val="-109507428"/>
        <w:docPartObj>
          <w:docPartGallery w:val="Table of Contents"/>
          <w:docPartUnique/>
        </w:docPartObj>
      </w:sdtPr>
      <w:sdtEndPr>
        <w:rPr>
          <w:rFonts w:ascii="Times New Roman" w:eastAsiaTheme="minorHAnsi" w:hAnsi="Times New Roman" w:cs="Times New Roman"/>
          <w:bCs w:val="0"/>
          <w:noProof/>
          <w:color w:val="auto"/>
          <w:sz w:val="24"/>
          <w:szCs w:val="24"/>
          <w:lang w:val="en-GB"/>
        </w:rPr>
      </w:sdtEndPr>
      <w:sdtContent>
        <w:p w14:paraId="450E5AB6" w14:textId="791A3056" w:rsidR="004D6C8D" w:rsidRDefault="004D6C8D">
          <w:pPr>
            <w:pStyle w:val="TOCHeading"/>
          </w:pPr>
          <w:r>
            <w:t>Table of Contents</w:t>
          </w:r>
        </w:p>
        <w:p w14:paraId="38E48AEC" w14:textId="77777777" w:rsidR="004D36FC" w:rsidRDefault="004D6C8D">
          <w:pPr>
            <w:pStyle w:val="TOC1"/>
            <w:tabs>
              <w:tab w:val="right" w:pos="9350"/>
            </w:tabs>
            <w:rPr>
              <w:rFonts w:eastAsiaTheme="minorEastAsia" w:cstheme="minorBidi"/>
              <w:b w:val="0"/>
              <w:bCs w:val="0"/>
              <w:noProof/>
              <w:sz w:val="24"/>
              <w:szCs w:val="24"/>
              <w:lang w:val="en-US"/>
            </w:rPr>
          </w:pPr>
          <w:r>
            <w:fldChar w:fldCharType="begin"/>
          </w:r>
          <w:r>
            <w:instrText xml:space="preserve"> TOC \o "1-3" \h \z \u </w:instrText>
          </w:r>
          <w:r>
            <w:fldChar w:fldCharType="separate"/>
          </w:r>
          <w:hyperlink w:anchor="_Toc40100581" w:history="1">
            <w:r w:rsidR="004D36FC" w:rsidRPr="004F5063">
              <w:rPr>
                <w:rStyle w:val="Hyperlink"/>
                <w:noProof/>
              </w:rPr>
              <w:t>Chapter One: Alexander’s Effectiveness</w:t>
            </w:r>
            <w:r w:rsidR="004D36FC">
              <w:rPr>
                <w:noProof/>
                <w:webHidden/>
              </w:rPr>
              <w:tab/>
            </w:r>
            <w:r w:rsidR="004D36FC">
              <w:rPr>
                <w:noProof/>
                <w:webHidden/>
              </w:rPr>
              <w:fldChar w:fldCharType="begin"/>
            </w:r>
            <w:r w:rsidR="004D36FC">
              <w:rPr>
                <w:noProof/>
                <w:webHidden/>
              </w:rPr>
              <w:instrText xml:space="preserve"> PAGEREF _Toc40100581 \h </w:instrText>
            </w:r>
            <w:r w:rsidR="004D36FC">
              <w:rPr>
                <w:noProof/>
                <w:webHidden/>
              </w:rPr>
            </w:r>
            <w:r w:rsidR="004D36FC">
              <w:rPr>
                <w:noProof/>
                <w:webHidden/>
              </w:rPr>
              <w:fldChar w:fldCharType="separate"/>
            </w:r>
            <w:r w:rsidR="004D36FC">
              <w:rPr>
                <w:noProof/>
                <w:webHidden/>
              </w:rPr>
              <w:t>2</w:t>
            </w:r>
            <w:r w:rsidR="004D36FC">
              <w:rPr>
                <w:noProof/>
                <w:webHidden/>
              </w:rPr>
              <w:fldChar w:fldCharType="end"/>
            </w:r>
          </w:hyperlink>
        </w:p>
        <w:p w14:paraId="32B2530E"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2" w:history="1">
            <w:r w:rsidRPr="004F5063">
              <w:rPr>
                <w:rStyle w:val="Hyperlink"/>
                <w:noProof/>
              </w:rPr>
              <w:t>Chapter Two: Alexander’s Conflicting Methods</w:t>
            </w:r>
            <w:r>
              <w:rPr>
                <w:noProof/>
                <w:webHidden/>
              </w:rPr>
              <w:tab/>
            </w:r>
            <w:r>
              <w:rPr>
                <w:noProof/>
                <w:webHidden/>
              </w:rPr>
              <w:fldChar w:fldCharType="begin"/>
            </w:r>
            <w:r>
              <w:rPr>
                <w:noProof/>
                <w:webHidden/>
              </w:rPr>
              <w:instrText xml:space="preserve"> PAGEREF _Toc40100582 \h </w:instrText>
            </w:r>
            <w:r>
              <w:rPr>
                <w:noProof/>
                <w:webHidden/>
              </w:rPr>
            </w:r>
            <w:r>
              <w:rPr>
                <w:noProof/>
                <w:webHidden/>
              </w:rPr>
              <w:fldChar w:fldCharType="separate"/>
            </w:r>
            <w:r>
              <w:rPr>
                <w:noProof/>
                <w:webHidden/>
              </w:rPr>
              <w:t>7</w:t>
            </w:r>
            <w:r>
              <w:rPr>
                <w:noProof/>
                <w:webHidden/>
              </w:rPr>
              <w:fldChar w:fldCharType="end"/>
            </w:r>
          </w:hyperlink>
        </w:p>
        <w:p w14:paraId="7E291952"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3" w:history="1">
            <w:r w:rsidRPr="004F5063">
              <w:rPr>
                <w:rStyle w:val="Hyperlink"/>
                <w:noProof/>
              </w:rPr>
              <w:t>Chapter Three: Alexander’s Impact</w:t>
            </w:r>
            <w:r>
              <w:rPr>
                <w:noProof/>
                <w:webHidden/>
              </w:rPr>
              <w:tab/>
            </w:r>
            <w:r>
              <w:rPr>
                <w:noProof/>
                <w:webHidden/>
              </w:rPr>
              <w:fldChar w:fldCharType="begin"/>
            </w:r>
            <w:r>
              <w:rPr>
                <w:noProof/>
                <w:webHidden/>
              </w:rPr>
              <w:instrText xml:space="preserve"> PAGEREF _Toc40100583 \h </w:instrText>
            </w:r>
            <w:r>
              <w:rPr>
                <w:noProof/>
                <w:webHidden/>
              </w:rPr>
            </w:r>
            <w:r>
              <w:rPr>
                <w:noProof/>
                <w:webHidden/>
              </w:rPr>
              <w:fldChar w:fldCharType="separate"/>
            </w:r>
            <w:r>
              <w:rPr>
                <w:noProof/>
                <w:webHidden/>
              </w:rPr>
              <w:t>9</w:t>
            </w:r>
            <w:r>
              <w:rPr>
                <w:noProof/>
                <w:webHidden/>
              </w:rPr>
              <w:fldChar w:fldCharType="end"/>
            </w:r>
          </w:hyperlink>
        </w:p>
        <w:p w14:paraId="09BD6BCF"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4" w:history="1">
            <w:r w:rsidRPr="004F5063">
              <w:rPr>
                <w:rStyle w:val="Hyperlink"/>
                <w:noProof/>
              </w:rPr>
              <w:t>Chapter Four: The Love for Alexander</w:t>
            </w:r>
            <w:r>
              <w:rPr>
                <w:noProof/>
                <w:webHidden/>
              </w:rPr>
              <w:tab/>
            </w:r>
            <w:r>
              <w:rPr>
                <w:noProof/>
                <w:webHidden/>
              </w:rPr>
              <w:fldChar w:fldCharType="begin"/>
            </w:r>
            <w:r>
              <w:rPr>
                <w:noProof/>
                <w:webHidden/>
              </w:rPr>
              <w:instrText xml:space="preserve"> PAGEREF _Toc40100584 \h </w:instrText>
            </w:r>
            <w:r>
              <w:rPr>
                <w:noProof/>
                <w:webHidden/>
              </w:rPr>
            </w:r>
            <w:r>
              <w:rPr>
                <w:noProof/>
                <w:webHidden/>
              </w:rPr>
              <w:fldChar w:fldCharType="separate"/>
            </w:r>
            <w:r>
              <w:rPr>
                <w:noProof/>
                <w:webHidden/>
              </w:rPr>
              <w:t>11</w:t>
            </w:r>
            <w:r>
              <w:rPr>
                <w:noProof/>
                <w:webHidden/>
              </w:rPr>
              <w:fldChar w:fldCharType="end"/>
            </w:r>
          </w:hyperlink>
        </w:p>
        <w:p w14:paraId="42DD91FB"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5" w:history="1">
            <w:r w:rsidRPr="004F5063">
              <w:rPr>
                <w:rStyle w:val="Hyperlink"/>
                <w:noProof/>
              </w:rPr>
              <w:t>Chapter Five: The Problem with Sources</w:t>
            </w:r>
            <w:r>
              <w:rPr>
                <w:noProof/>
                <w:webHidden/>
              </w:rPr>
              <w:tab/>
            </w:r>
            <w:r>
              <w:rPr>
                <w:noProof/>
                <w:webHidden/>
              </w:rPr>
              <w:fldChar w:fldCharType="begin"/>
            </w:r>
            <w:r>
              <w:rPr>
                <w:noProof/>
                <w:webHidden/>
              </w:rPr>
              <w:instrText xml:space="preserve"> PAGEREF _Toc40100585 \h </w:instrText>
            </w:r>
            <w:r>
              <w:rPr>
                <w:noProof/>
                <w:webHidden/>
              </w:rPr>
            </w:r>
            <w:r>
              <w:rPr>
                <w:noProof/>
                <w:webHidden/>
              </w:rPr>
              <w:fldChar w:fldCharType="separate"/>
            </w:r>
            <w:r>
              <w:rPr>
                <w:noProof/>
                <w:webHidden/>
              </w:rPr>
              <w:t>13</w:t>
            </w:r>
            <w:r>
              <w:rPr>
                <w:noProof/>
                <w:webHidden/>
              </w:rPr>
              <w:fldChar w:fldCharType="end"/>
            </w:r>
          </w:hyperlink>
        </w:p>
        <w:p w14:paraId="49362359"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6" w:history="1">
            <w:r w:rsidRPr="004F5063">
              <w:rPr>
                <w:rStyle w:val="Hyperlink"/>
                <w:noProof/>
              </w:rPr>
              <w:t>Chapter Six: Regarding Modern Admiration</w:t>
            </w:r>
            <w:r>
              <w:rPr>
                <w:noProof/>
                <w:webHidden/>
              </w:rPr>
              <w:tab/>
            </w:r>
            <w:r>
              <w:rPr>
                <w:noProof/>
                <w:webHidden/>
              </w:rPr>
              <w:fldChar w:fldCharType="begin"/>
            </w:r>
            <w:r>
              <w:rPr>
                <w:noProof/>
                <w:webHidden/>
              </w:rPr>
              <w:instrText xml:space="preserve"> PAGEREF _Toc40100586 \h </w:instrText>
            </w:r>
            <w:r>
              <w:rPr>
                <w:noProof/>
                <w:webHidden/>
              </w:rPr>
            </w:r>
            <w:r>
              <w:rPr>
                <w:noProof/>
                <w:webHidden/>
              </w:rPr>
              <w:fldChar w:fldCharType="separate"/>
            </w:r>
            <w:r>
              <w:rPr>
                <w:noProof/>
                <w:webHidden/>
              </w:rPr>
              <w:t>15</w:t>
            </w:r>
            <w:r>
              <w:rPr>
                <w:noProof/>
                <w:webHidden/>
              </w:rPr>
              <w:fldChar w:fldCharType="end"/>
            </w:r>
          </w:hyperlink>
        </w:p>
        <w:p w14:paraId="3CF6ED04"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7" w:history="1">
            <w:r w:rsidRPr="004F5063">
              <w:rPr>
                <w:rStyle w:val="Hyperlink"/>
                <w:noProof/>
              </w:rPr>
              <w:t>Chapter Seven: The Hatred for Alexander</w:t>
            </w:r>
            <w:r>
              <w:rPr>
                <w:noProof/>
                <w:webHidden/>
              </w:rPr>
              <w:tab/>
            </w:r>
            <w:r>
              <w:rPr>
                <w:noProof/>
                <w:webHidden/>
              </w:rPr>
              <w:fldChar w:fldCharType="begin"/>
            </w:r>
            <w:r>
              <w:rPr>
                <w:noProof/>
                <w:webHidden/>
              </w:rPr>
              <w:instrText xml:space="preserve"> PAGEREF _Toc40100587 \h </w:instrText>
            </w:r>
            <w:r>
              <w:rPr>
                <w:noProof/>
                <w:webHidden/>
              </w:rPr>
            </w:r>
            <w:r>
              <w:rPr>
                <w:noProof/>
                <w:webHidden/>
              </w:rPr>
              <w:fldChar w:fldCharType="separate"/>
            </w:r>
            <w:r>
              <w:rPr>
                <w:noProof/>
                <w:webHidden/>
              </w:rPr>
              <w:t>17</w:t>
            </w:r>
            <w:r>
              <w:rPr>
                <w:noProof/>
                <w:webHidden/>
              </w:rPr>
              <w:fldChar w:fldCharType="end"/>
            </w:r>
          </w:hyperlink>
        </w:p>
        <w:p w14:paraId="67EF8A91"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8" w:history="1">
            <w:r w:rsidRPr="004F5063">
              <w:rPr>
                <w:rStyle w:val="Hyperlink"/>
                <w:noProof/>
              </w:rPr>
              <w:t>Chapter Eight: Religious Ramifications</w:t>
            </w:r>
            <w:r>
              <w:rPr>
                <w:noProof/>
                <w:webHidden/>
              </w:rPr>
              <w:tab/>
            </w:r>
            <w:r>
              <w:rPr>
                <w:noProof/>
                <w:webHidden/>
              </w:rPr>
              <w:fldChar w:fldCharType="begin"/>
            </w:r>
            <w:r>
              <w:rPr>
                <w:noProof/>
                <w:webHidden/>
              </w:rPr>
              <w:instrText xml:space="preserve"> PAGEREF _Toc40100588 \h </w:instrText>
            </w:r>
            <w:r>
              <w:rPr>
                <w:noProof/>
                <w:webHidden/>
              </w:rPr>
            </w:r>
            <w:r>
              <w:rPr>
                <w:noProof/>
                <w:webHidden/>
              </w:rPr>
              <w:fldChar w:fldCharType="separate"/>
            </w:r>
            <w:r>
              <w:rPr>
                <w:noProof/>
                <w:webHidden/>
              </w:rPr>
              <w:t>19</w:t>
            </w:r>
            <w:r>
              <w:rPr>
                <w:noProof/>
                <w:webHidden/>
              </w:rPr>
              <w:fldChar w:fldCharType="end"/>
            </w:r>
          </w:hyperlink>
        </w:p>
        <w:p w14:paraId="6BA3CDE4" w14:textId="77777777" w:rsidR="004D36FC" w:rsidRDefault="004D36FC">
          <w:pPr>
            <w:pStyle w:val="TOC1"/>
            <w:tabs>
              <w:tab w:val="right" w:pos="9350"/>
            </w:tabs>
            <w:rPr>
              <w:rFonts w:eastAsiaTheme="minorEastAsia" w:cstheme="minorBidi"/>
              <w:b w:val="0"/>
              <w:bCs w:val="0"/>
              <w:noProof/>
              <w:sz w:val="24"/>
              <w:szCs w:val="24"/>
              <w:lang w:val="en-US"/>
            </w:rPr>
          </w:pPr>
          <w:hyperlink w:anchor="_Toc40100589" w:history="1">
            <w:r w:rsidRPr="004F5063">
              <w:rPr>
                <w:rStyle w:val="Hyperlink"/>
                <w:noProof/>
              </w:rPr>
              <w:t>Chapter Nine: Alexander’s Attempts at Assimilation</w:t>
            </w:r>
            <w:r>
              <w:rPr>
                <w:noProof/>
                <w:webHidden/>
              </w:rPr>
              <w:tab/>
            </w:r>
            <w:r>
              <w:rPr>
                <w:noProof/>
                <w:webHidden/>
              </w:rPr>
              <w:fldChar w:fldCharType="begin"/>
            </w:r>
            <w:r>
              <w:rPr>
                <w:noProof/>
                <w:webHidden/>
              </w:rPr>
              <w:instrText xml:space="preserve"> PAGEREF _Toc40100589 \h </w:instrText>
            </w:r>
            <w:r>
              <w:rPr>
                <w:noProof/>
                <w:webHidden/>
              </w:rPr>
            </w:r>
            <w:r>
              <w:rPr>
                <w:noProof/>
                <w:webHidden/>
              </w:rPr>
              <w:fldChar w:fldCharType="separate"/>
            </w:r>
            <w:r>
              <w:rPr>
                <w:noProof/>
                <w:webHidden/>
              </w:rPr>
              <w:t>21</w:t>
            </w:r>
            <w:r>
              <w:rPr>
                <w:noProof/>
                <w:webHidden/>
              </w:rPr>
              <w:fldChar w:fldCharType="end"/>
            </w:r>
          </w:hyperlink>
        </w:p>
        <w:p w14:paraId="061E8F47" w14:textId="77777777" w:rsidR="004D36FC" w:rsidRDefault="004D36FC">
          <w:pPr>
            <w:pStyle w:val="TOC1"/>
            <w:tabs>
              <w:tab w:val="right" w:pos="9350"/>
            </w:tabs>
            <w:rPr>
              <w:rFonts w:eastAsiaTheme="minorEastAsia" w:cstheme="minorBidi"/>
              <w:b w:val="0"/>
              <w:bCs w:val="0"/>
              <w:noProof/>
              <w:sz w:val="24"/>
              <w:szCs w:val="24"/>
              <w:lang w:val="en-US"/>
            </w:rPr>
          </w:pPr>
          <w:hyperlink w:anchor="_Toc40100590" w:history="1">
            <w:r w:rsidRPr="004F5063">
              <w:rPr>
                <w:rStyle w:val="Hyperlink"/>
                <w:noProof/>
              </w:rPr>
              <w:t>Chapter Ten: Motivation Behind Modern Historians</w:t>
            </w:r>
            <w:r>
              <w:rPr>
                <w:noProof/>
                <w:webHidden/>
              </w:rPr>
              <w:tab/>
            </w:r>
            <w:r>
              <w:rPr>
                <w:noProof/>
                <w:webHidden/>
              </w:rPr>
              <w:fldChar w:fldCharType="begin"/>
            </w:r>
            <w:r>
              <w:rPr>
                <w:noProof/>
                <w:webHidden/>
              </w:rPr>
              <w:instrText xml:space="preserve"> PAGEREF _Toc40100590 \h </w:instrText>
            </w:r>
            <w:r>
              <w:rPr>
                <w:noProof/>
                <w:webHidden/>
              </w:rPr>
            </w:r>
            <w:r>
              <w:rPr>
                <w:noProof/>
                <w:webHidden/>
              </w:rPr>
              <w:fldChar w:fldCharType="separate"/>
            </w:r>
            <w:r>
              <w:rPr>
                <w:noProof/>
                <w:webHidden/>
              </w:rPr>
              <w:t>22</w:t>
            </w:r>
            <w:r>
              <w:rPr>
                <w:noProof/>
                <w:webHidden/>
              </w:rPr>
              <w:fldChar w:fldCharType="end"/>
            </w:r>
          </w:hyperlink>
        </w:p>
        <w:p w14:paraId="5D6B5C8D" w14:textId="77777777" w:rsidR="004D36FC" w:rsidRDefault="004D36FC">
          <w:pPr>
            <w:pStyle w:val="TOC1"/>
            <w:tabs>
              <w:tab w:val="right" w:pos="9350"/>
            </w:tabs>
            <w:rPr>
              <w:rFonts w:eastAsiaTheme="minorEastAsia" w:cstheme="minorBidi"/>
              <w:b w:val="0"/>
              <w:bCs w:val="0"/>
              <w:noProof/>
              <w:sz w:val="24"/>
              <w:szCs w:val="24"/>
              <w:lang w:val="en-US"/>
            </w:rPr>
          </w:pPr>
          <w:hyperlink w:anchor="_Toc40100591" w:history="1">
            <w:r w:rsidRPr="004F5063">
              <w:rPr>
                <w:rStyle w:val="Hyperlink"/>
                <w:noProof/>
              </w:rPr>
              <w:t>Chapter Eleven: The Globalization of Alexander</w:t>
            </w:r>
            <w:r>
              <w:rPr>
                <w:noProof/>
                <w:webHidden/>
              </w:rPr>
              <w:tab/>
            </w:r>
            <w:r>
              <w:rPr>
                <w:noProof/>
                <w:webHidden/>
              </w:rPr>
              <w:fldChar w:fldCharType="begin"/>
            </w:r>
            <w:r>
              <w:rPr>
                <w:noProof/>
                <w:webHidden/>
              </w:rPr>
              <w:instrText xml:space="preserve"> PAGEREF _Toc40100591 \h </w:instrText>
            </w:r>
            <w:r>
              <w:rPr>
                <w:noProof/>
                <w:webHidden/>
              </w:rPr>
            </w:r>
            <w:r>
              <w:rPr>
                <w:noProof/>
                <w:webHidden/>
              </w:rPr>
              <w:fldChar w:fldCharType="separate"/>
            </w:r>
            <w:r>
              <w:rPr>
                <w:noProof/>
                <w:webHidden/>
              </w:rPr>
              <w:t>23</w:t>
            </w:r>
            <w:r>
              <w:rPr>
                <w:noProof/>
                <w:webHidden/>
              </w:rPr>
              <w:fldChar w:fldCharType="end"/>
            </w:r>
          </w:hyperlink>
        </w:p>
        <w:p w14:paraId="7ACA6B2E" w14:textId="77777777" w:rsidR="004D36FC" w:rsidRDefault="004D36FC">
          <w:pPr>
            <w:pStyle w:val="TOC1"/>
            <w:tabs>
              <w:tab w:val="right" w:pos="9350"/>
            </w:tabs>
            <w:rPr>
              <w:rFonts w:eastAsiaTheme="minorEastAsia" w:cstheme="minorBidi"/>
              <w:b w:val="0"/>
              <w:bCs w:val="0"/>
              <w:noProof/>
              <w:sz w:val="24"/>
              <w:szCs w:val="24"/>
              <w:lang w:val="en-US"/>
            </w:rPr>
          </w:pPr>
          <w:hyperlink w:anchor="_Toc40100592" w:history="1">
            <w:r w:rsidRPr="004F5063">
              <w:rPr>
                <w:rStyle w:val="Hyperlink"/>
                <w:noProof/>
              </w:rPr>
              <w:t>Chapter Twelve: Concluding Thoughts</w:t>
            </w:r>
            <w:r>
              <w:rPr>
                <w:noProof/>
                <w:webHidden/>
              </w:rPr>
              <w:tab/>
            </w:r>
            <w:r>
              <w:rPr>
                <w:noProof/>
                <w:webHidden/>
              </w:rPr>
              <w:fldChar w:fldCharType="begin"/>
            </w:r>
            <w:r>
              <w:rPr>
                <w:noProof/>
                <w:webHidden/>
              </w:rPr>
              <w:instrText xml:space="preserve"> PAGEREF _Toc40100592 \h </w:instrText>
            </w:r>
            <w:r>
              <w:rPr>
                <w:noProof/>
                <w:webHidden/>
              </w:rPr>
            </w:r>
            <w:r>
              <w:rPr>
                <w:noProof/>
                <w:webHidden/>
              </w:rPr>
              <w:fldChar w:fldCharType="separate"/>
            </w:r>
            <w:r>
              <w:rPr>
                <w:noProof/>
                <w:webHidden/>
              </w:rPr>
              <w:t>26</w:t>
            </w:r>
            <w:r>
              <w:rPr>
                <w:noProof/>
                <w:webHidden/>
              </w:rPr>
              <w:fldChar w:fldCharType="end"/>
            </w:r>
          </w:hyperlink>
        </w:p>
        <w:p w14:paraId="427EBB5F" w14:textId="77777777" w:rsidR="004D36FC" w:rsidRDefault="004D36FC">
          <w:pPr>
            <w:pStyle w:val="TOC1"/>
            <w:tabs>
              <w:tab w:val="right" w:pos="9350"/>
            </w:tabs>
            <w:rPr>
              <w:rFonts w:eastAsiaTheme="minorEastAsia" w:cstheme="minorBidi"/>
              <w:b w:val="0"/>
              <w:bCs w:val="0"/>
              <w:noProof/>
              <w:sz w:val="24"/>
              <w:szCs w:val="24"/>
              <w:lang w:val="en-US"/>
            </w:rPr>
          </w:pPr>
          <w:hyperlink w:anchor="_Toc40100593" w:history="1">
            <w:r w:rsidRPr="004F5063">
              <w:rPr>
                <w:rStyle w:val="Hyperlink"/>
                <w:noProof/>
              </w:rPr>
              <w:t>Bibliography</w:t>
            </w:r>
            <w:r>
              <w:rPr>
                <w:noProof/>
                <w:webHidden/>
              </w:rPr>
              <w:tab/>
            </w:r>
            <w:r>
              <w:rPr>
                <w:noProof/>
                <w:webHidden/>
              </w:rPr>
              <w:fldChar w:fldCharType="begin"/>
            </w:r>
            <w:r>
              <w:rPr>
                <w:noProof/>
                <w:webHidden/>
              </w:rPr>
              <w:instrText xml:space="preserve"> PAGEREF _Toc40100593 \h </w:instrText>
            </w:r>
            <w:r>
              <w:rPr>
                <w:noProof/>
                <w:webHidden/>
              </w:rPr>
            </w:r>
            <w:r>
              <w:rPr>
                <w:noProof/>
                <w:webHidden/>
              </w:rPr>
              <w:fldChar w:fldCharType="separate"/>
            </w:r>
            <w:r>
              <w:rPr>
                <w:noProof/>
                <w:webHidden/>
              </w:rPr>
              <w:t>27</w:t>
            </w:r>
            <w:r>
              <w:rPr>
                <w:noProof/>
                <w:webHidden/>
              </w:rPr>
              <w:fldChar w:fldCharType="end"/>
            </w:r>
          </w:hyperlink>
        </w:p>
        <w:p w14:paraId="52BADD32" w14:textId="7BF174C9" w:rsidR="004D6C8D" w:rsidRDefault="004D6C8D" w:rsidP="004D6C8D">
          <w:r>
            <w:rPr>
              <w:b/>
              <w:noProof/>
            </w:rPr>
            <w:fldChar w:fldCharType="end"/>
          </w:r>
        </w:p>
      </w:sdtContent>
    </w:sdt>
    <w:p w14:paraId="0C7EA269" w14:textId="77777777" w:rsidR="00947F2F" w:rsidRDefault="00947F2F" w:rsidP="001811CE">
      <w:pPr>
        <w:jc w:val="center"/>
        <w:rPr>
          <w:b/>
          <w:sz w:val="28"/>
          <w:szCs w:val="28"/>
          <w:u w:val="single"/>
        </w:rPr>
      </w:pPr>
    </w:p>
    <w:p w14:paraId="19BB03D7" w14:textId="269EF9DE" w:rsidR="001811CE" w:rsidRDefault="004D6C8D" w:rsidP="004D6C8D">
      <w:pPr>
        <w:pStyle w:val="Heading1"/>
        <w:jc w:val="center"/>
      </w:pPr>
      <w:bookmarkStart w:id="0" w:name="_Toc40100581"/>
      <w:r>
        <w:t>Chapter One: Alexander’s Effectiveness</w:t>
      </w:r>
      <w:bookmarkEnd w:id="0"/>
    </w:p>
    <w:p w14:paraId="27E15A1D" w14:textId="77777777" w:rsidR="001811CE" w:rsidRDefault="001811CE" w:rsidP="004D6C8D">
      <w:pPr>
        <w:pStyle w:val="Heading1"/>
      </w:pPr>
    </w:p>
    <w:p w14:paraId="0B4AC80E" w14:textId="5E5D1537" w:rsidR="001811CE" w:rsidRDefault="00DD4996" w:rsidP="00D75C59">
      <w:pPr>
        <w:spacing w:line="480" w:lineRule="auto"/>
      </w:pPr>
      <w:r>
        <w:tab/>
        <w:t>Following the assassination of Philip II, Alexander the Great was pronounced king of Macedon in July 336 BC.</w:t>
      </w:r>
      <w:r w:rsidR="00D01576">
        <w:rPr>
          <w:rStyle w:val="FootnoteReference"/>
        </w:rPr>
        <w:footnoteReference w:id="1"/>
      </w:r>
      <w:r w:rsidR="00EB601F">
        <w:t xml:space="preserve"> His</w:t>
      </w:r>
      <w:r w:rsidR="00056789">
        <w:t xml:space="preserve"> </w:t>
      </w:r>
      <w:r w:rsidR="000D04C9">
        <w:t xml:space="preserve">empire allowed for significant trade routes from East to West to be opened, expanding </w:t>
      </w:r>
      <w:r w:rsidR="009335CF">
        <w:t>Hellen</w:t>
      </w:r>
      <w:r w:rsidR="00D318A0">
        <w:t>ist</w:t>
      </w:r>
      <w:r w:rsidR="009335CF">
        <w:t>ic</w:t>
      </w:r>
      <w:r w:rsidR="000D04C9">
        <w:t xml:space="preserve"> influence across the world. </w:t>
      </w:r>
      <w:r w:rsidR="00845289">
        <w:t xml:space="preserve">For one man to be able to achieve such accomplishments during his short reign is incredibly impressive. </w:t>
      </w:r>
      <w:r w:rsidR="00F35648">
        <w:t xml:space="preserve">However, this is not a mind-set that is universally shared, nor is it universally appreciated. </w:t>
      </w:r>
      <w:r w:rsidR="00AE71D1">
        <w:t>Although</w:t>
      </w:r>
      <w:r w:rsidR="00A11B98">
        <w:t xml:space="preserve"> the moniker, “</w:t>
      </w:r>
      <w:r w:rsidR="00A42BC7">
        <w:t xml:space="preserve">the </w:t>
      </w:r>
      <w:r w:rsidR="00A11B98">
        <w:t xml:space="preserve">Great” is given to Alexander today, there are many </w:t>
      </w:r>
      <w:r w:rsidR="00096C06">
        <w:t>who</w:t>
      </w:r>
      <w:r w:rsidR="00A11B98">
        <w:t xml:space="preserve"> view him as a murderous pir</w:t>
      </w:r>
      <w:r w:rsidR="00F26D8A">
        <w:t>ate who tore across the world with</w:t>
      </w:r>
      <w:r w:rsidR="00A11B98">
        <w:t xml:space="preserve"> greed and destruction. </w:t>
      </w:r>
      <w:r w:rsidR="00BC6771">
        <w:t>A common issue when studying Alexander is that of source availability and reliability, with many historians writing hundreds of years following his death.</w:t>
      </w:r>
      <w:r w:rsidR="00D15035">
        <w:t xml:space="preserve"> The question of location is also brought to attention, as </w:t>
      </w:r>
      <w:r w:rsidR="00CB3268">
        <w:t xml:space="preserve">geography had a significant impact </w:t>
      </w:r>
      <w:r w:rsidR="00CB3268">
        <w:lastRenderedPageBreak/>
        <w:t>on the treatment received by those in Al</w:t>
      </w:r>
      <w:r w:rsidR="00DE0F45">
        <w:t>exander’s empire, which surely a</w:t>
      </w:r>
      <w:r w:rsidR="00CB3268">
        <w:t xml:space="preserve">ffected historians writing in later years. </w:t>
      </w:r>
      <w:r w:rsidR="002423EA">
        <w:t>I aim to embrace these challenges, utilize them to further the study of Alexander the Great, and allow them</w:t>
      </w:r>
      <w:r w:rsidR="00247831">
        <w:t xml:space="preserve"> to be a part of the whole </w:t>
      </w:r>
      <w:proofErr w:type="spellStart"/>
      <w:r w:rsidR="00247831">
        <w:t>mise</w:t>
      </w:r>
      <w:proofErr w:type="spellEnd"/>
      <w:r w:rsidR="00247831">
        <w:t xml:space="preserve"> </w:t>
      </w:r>
      <w:proofErr w:type="spellStart"/>
      <w:r w:rsidR="00247831">
        <w:t>en</w:t>
      </w:r>
      <w:proofErr w:type="spellEnd"/>
      <w:r w:rsidR="00247831">
        <w:t xml:space="preserve"> </w:t>
      </w:r>
      <w:proofErr w:type="spellStart"/>
      <w:r w:rsidR="00247831">
        <w:t>sc</w:t>
      </w:r>
      <w:proofErr w:type="spellEnd"/>
      <w:r w:rsidR="00247831" w:rsidRPr="00247831">
        <w:rPr>
          <w:lang w:val="en-US"/>
        </w:rPr>
        <w:t>è</w:t>
      </w:r>
      <w:r w:rsidR="00247831">
        <w:t>ne</w:t>
      </w:r>
      <w:r w:rsidR="002423EA">
        <w:t xml:space="preserve"> of Alexander’s legacy. </w:t>
      </w:r>
      <w:r w:rsidR="001F6DF4">
        <w:t>My overall goal is to view a broad range of opinions</w:t>
      </w:r>
      <w:r w:rsidR="000D1D48">
        <w:t xml:space="preserve"> and documentation</w:t>
      </w:r>
      <w:r w:rsidR="001F6DF4">
        <w:t xml:space="preserve"> regarding Alexander’s reign and empire to gain a sense of his lasting impact a</w:t>
      </w:r>
      <w:r w:rsidR="00A077EB">
        <w:t>s a king and his</w:t>
      </w:r>
      <w:r w:rsidR="00DE0F45">
        <w:t>torical figure across the world; n</w:t>
      </w:r>
      <w:r w:rsidR="008D162B">
        <w:t>ot only this, but to gain an understanding of how Alexander served those in his emp</w:t>
      </w:r>
      <w:r w:rsidR="00235D54">
        <w:t>ire and his abilities as a king, not just</w:t>
      </w:r>
      <w:r w:rsidR="00F16AC1">
        <w:t xml:space="preserve"> as</w:t>
      </w:r>
      <w:r w:rsidR="00235D54">
        <w:t xml:space="preserve"> a conqueror. </w:t>
      </w:r>
    </w:p>
    <w:p w14:paraId="2AF7CA9D" w14:textId="0AEDE1A9" w:rsidR="00633BF1" w:rsidRDefault="00573655" w:rsidP="00D75C59">
      <w:pPr>
        <w:spacing w:line="480" w:lineRule="auto"/>
      </w:pPr>
      <w:r>
        <w:tab/>
      </w:r>
      <w:r w:rsidR="003A7568">
        <w:t>While i</w:t>
      </w:r>
      <w:r w:rsidR="0046603B">
        <w:t>nvestigating</w:t>
      </w:r>
      <w:r w:rsidR="003D1EE2">
        <w:t xml:space="preserve"> Al</w:t>
      </w:r>
      <w:r w:rsidR="0065281A">
        <w:t>exander’s objectives in general</w:t>
      </w:r>
      <w:r w:rsidR="003D1EE2">
        <w:t xml:space="preserve"> it is difficult, if not impossible, to know if his goals were realistic or achievable at all. The idea of one person ruling the</w:t>
      </w:r>
      <w:r w:rsidR="0049492A">
        <w:t xml:space="preserve"> entire world i</w:t>
      </w:r>
      <w:r w:rsidR="003D1EE2">
        <w:t>s an unimaginable concept.</w:t>
      </w:r>
      <w:r w:rsidR="00D25B33">
        <w:t xml:space="preserve"> Hindsight is a wonderful thing</w:t>
      </w:r>
      <w:r w:rsidR="00D16575">
        <w:t xml:space="preserve"> and l</w:t>
      </w:r>
      <w:r w:rsidR="0046603B">
        <w:t>ooking back at what Alexander attempted to do, it is almost too easy to realize that it was destined to fail. That being said, he certainly changed the world, at the very least raising the bar for future would-be conquerors. His cultural impact cannot be understated, both with the cities he founded and influenced, and with the thoughts his name provokes to this day.</w:t>
      </w:r>
    </w:p>
    <w:p w14:paraId="27A29690" w14:textId="500A194C" w:rsidR="00054CBD" w:rsidRDefault="00BC4542" w:rsidP="00D75C59">
      <w:pPr>
        <w:spacing w:line="480" w:lineRule="auto"/>
      </w:pPr>
      <w:r>
        <w:tab/>
      </w:r>
      <w:r w:rsidR="00054CBD">
        <w:t xml:space="preserve">The impact that Alexander the Great has made on the world is </w:t>
      </w:r>
      <w:r w:rsidR="00C47F8F">
        <w:t>everlasting</w:t>
      </w:r>
      <w:r w:rsidR="00054CBD">
        <w:t xml:space="preserve">. Even </w:t>
      </w:r>
      <w:r w:rsidR="00745B43">
        <w:t>those</w:t>
      </w:r>
      <w:r w:rsidR="00054CBD">
        <w:t xml:space="preserve"> who have little to no knowledge of the ancient world have heard of him. A survey conducted in America in 1976 found that more people had heard of Alexander the Great than</w:t>
      </w:r>
      <w:r w:rsidR="00C474F4">
        <w:t xml:space="preserve"> of</w:t>
      </w:r>
      <w:r w:rsidR="00054CBD">
        <w:t xml:space="preserve"> Thomas Jefferson.</w:t>
      </w:r>
      <w:r w:rsidR="00054CBD">
        <w:rPr>
          <w:rStyle w:val="FootnoteReference"/>
        </w:rPr>
        <w:footnoteReference w:id="2"/>
      </w:r>
      <w:r w:rsidR="00054CBD">
        <w:t xml:space="preserve"> This is particularly meaningful </w:t>
      </w:r>
      <w:r w:rsidR="00056BB0">
        <w:t>taking into consideration how</w:t>
      </w:r>
      <w:r w:rsidR="00054CBD">
        <w:t xml:space="preserve"> I know from personal experience the fact that American schools spend a shockingly limited amount of time teaching the history of any nation other than the United States. With this awareness of Alexander comes a breadth of interest that threatens to separate truth from legends. His </w:t>
      </w:r>
      <w:r w:rsidR="001D32BB">
        <w:t>designation</w:t>
      </w:r>
      <w:r w:rsidR="00054CBD">
        <w:t xml:space="preserve"> of, “the Great” immediately places a positive connotation in the minds of those hearing about him, whether </w:t>
      </w:r>
      <w:r w:rsidR="00054CBD">
        <w:lastRenderedPageBreak/>
        <w:t>background information is known on him or not. Whatever reason an academic may have for being interested in Alexander, it i</w:t>
      </w:r>
      <w:r w:rsidR="00C835B2">
        <w:t xml:space="preserve">s reasonable to draw the conclusion that those researching him for the first time may expect to find tales of his greatness, if only to discover why he has been dubbed in such a way. </w:t>
      </w:r>
    </w:p>
    <w:p w14:paraId="6617AB0F" w14:textId="43C0DA26" w:rsidR="008C1067" w:rsidRDefault="008C1067" w:rsidP="008C1067">
      <w:pPr>
        <w:spacing w:line="480" w:lineRule="auto"/>
      </w:pPr>
      <w:r>
        <w:tab/>
      </w:r>
      <w:r>
        <w:t>Plutarch expressed that Alexander truly wished to create a world of equality and a sense of brotherhood. Described as a true student of philosophy, Alexander sought to find a commonality amongst those in his empire. Primarily, an empire where no single race or group of people is superior to any other, and the only ones considered to be “foreign” were those who were wicked.</w:t>
      </w:r>
      <w:r>
        <w:rPr>
          <w:rStyle w:val="FootnoteReference"/>
        </w:rPr>
        <w:footnoteReference w:id="3"/>
      </w:r>
      <w:r w:rsidR="00645EF2">
        <w:t xml:space="preserve"> Plutarch also mentioned</w:t>
      </w:r>
      <w:r>
        <w:t xml:space="preserve"> the other side of this viewpoint, though it is unclear whether he intended it in a wholly derogatory way. When</w:t>
      </w:r>
      <w:r w:rsidR="00B16A7F">
        <w:t xml:space="preserve"> he expressed</w:t>
      </w:r>
      <w:r>
        <w:t xml:space="preserve"> that Alexander aimed for a world with one government, with one rule being a commo</w:t>
      </w:r>
      <w:r w:rsidR="00B16A7F">
        <w:t>n source of light, he mentioned</w:t>
      </w:r>
      <w:r>
        <w:t>, “that part of the world which has not looked upon Alexander has remained without sunlight.”</w:t>
      </w:r>
      <w:r>
        <w:rPr>
          <w:rStyle w:val="FootnoteReference"/>
        </w:rPr>
        <w:footnoteReference w:id="4"/>
      </w:r>
      <w:r>
        <w:t xml:space="preserve"> It is unclear whether such was Plutarch’s opinion of Alexander or if it was Alexander’s opinion of himself.</w:t>
      </w:r>
    </w:p>
    <w:p w14:paraId="350A4ACC" w14:textId="22503F25" w:rsidR="008C1067" w:rsidRDefault="008C1067" w:rsidP="008C1067">
      <w:pPr>
        <w:spacing w:line="480" w:lineRule="auto"/>
      </w:pPr>
      <w:r>
        <w:tab/>
        <w:t xml:space="preserve">While spreading the idea of an empire with equality, Alexander also keenly spread </w:t>
      </w:r>
      <w:r w:rsidR="004936CC">
        <w:t>Hellenistic</w:t>
      </w:r>
      <w:r>
        <w:t xml:space="preserve"> culture and often disregarded non-</w:t>
      </w:r>
      <w:r w:rsidR="004936CC">
        <w:t>Hellenic</w:t>
      </w:r>
      <w:r>
        <w:t xml:space="preserve"> customs. The doing away with traditional local customs, such as inter-family marriages in Persia, would have greatly affected the contentment of Alexander’s non-</w:t>
      </w:r>
      <w:r w:rsidR="004936CC">
        <w:t>Hellenic</w:t>
      </w:r>
      <w:r>
        <w:t xml:space="preserve"> subjects. After enough incidents such as this and after enough time, a strong resistance and anti-</w:t>
      </w:r>
      <w:r w:rsidR="004936CC">
        <w:t>Hellenic</w:t>
      </w:r>
      <w:r>
        <w:t xml:space="preserve"> mentality grew throughout Alexander’s empire.</w:t>
      </w:r>
      <w:r>
        <w:rPr>
          <w:rStyle w:val="FootnoteReference"/>
        </w:rPr>
        <w:footnoteReference w:id="5"/>
      </w:r>
    </w:p>
    <w:p w14:paraId="66E4409C" w14:textId="1879190F" w:rsidR="008C1067" w:rsidRDefault="008C1067" w:rsidP="008C1067">
      <w:pPr>
        <w:spacing w:line="480" w:lineRule="auto"/>
      </w:pPr>
      <w:r>
        <w:lastRenderedPageBreak/>
        <w:tab/>
        <w:t xml:space="preserve"> Throughout his reign, Alexander never stopped campaigning, choosing instead to be constantly on the move and attempting to expand.  Due to this ambition, the administration was made incredibly difficult, both for his subjects and his administrators. Due to the size of the Persian Empire, Alexander utilized satraps in order to rule individual smaller areas within the Empire. Alexander chose to appoint satraps from influential</w:t>
      </w:r>
      <w:r w:rsidR="008F0AE5">
        <w:t xml:space="preserve"> Persian</w:t>
      </w:r>
      <w:r>
        <w:t xml:space="preserve"> families to gain their favour and to continue to engage in Persian culture. In theory, appointing a Persian satrap would also allow any negative feedback to be taken care of directly and personally with the comfort of a local administrator.</w:t>
      </w:r>
      <w:r>
        <w:rPr>
          <w:rStyle w:val="FootnoteReference"/>
        </w:rPr>
        <w:footnoteReference w:id="6"/>
      </w:r>
    </w:p>
    <w:p w14:paraId="5D8F8BF8" w14:textId="57AC4780" w:rsidR="008C1067" w:rsidRDefault="008C1067" w:rsidP="008C1067">
      <w:pPr>
        <w:spacing w:line="480" w:lineRule="auto"/>
      </w:pPr>
      <w:r>
        <w:tab/>
        <w:t xml:space="preserve"> Where Persians were proven to be either disloyal or ineffective, Macedonians were sometimes appointed as satrap in their stead. A notable example of this being </w:t>
      </w:r>
      <w:proofErr w:type="spellStart"/>
      <w:r>
        <w:t>Peucestas</w:t>
      </w:r>
      <w:proofErr w:type="spellEnd"/>
      <w:r>
        <w:t xml:space="preserve">, a Macedonian appointed satrap of Persis. </w:t>
      </w:r>
      <w:proofErr w:type="spellStart"/>
      <w:r>
        <w:t>Peucestas</w:t>
      </w:r>
      <w:proofErr w:type="spellEnd"/>
      <w:r>
        <w:t xml:space="preserve"> proved himself to be the only Macedonian satrap</w:t>
      </w:r>
      <w:r w:rsidR="00CE7F18">
        <w:t xml:space="preserve"> who</w:t>
      </w:r>
      <w:r>
        <w:t xml:space="preserve"> attempt</w:t>
      </w:r>
      <w:r w:rsidR="00CE7F18">
        <w:t>ed</w:t>
      </w:r>
      <w:r>
        <w:t xml:space="preserve"> to assimilate himself to Persian culture by learning their language and adorning their clothes. This behaviour was praised by Alexander and greatly appreciated by the Persians in his satrapy.</w:t>
      </w:r>
      <w:r>
        <w:rPr>
          <w:rStyle w:val="FootnoteReference"/>
        </w:rPr>
        <w:footnoteReference w:id="7"/>
      </w:r>
      <w:r>
        <w:t xml:space="preserve"> Local satraps throughout Alexander’s empire were largely untrustworthy, </w:t>
      </w:r>
      <w:r w:rsidR="00954F99">
        <w:t>and often revolted</w:t>
      </w:r>
      <w:r>
        <w:t xml:space="preserve"> when Alexander and the bulk of his army were away on campaign. Many locations would feign obedience when Alexander was present, only to return to their old ways upon Alexander’s departure. Examples of this behaviour include</w:t>
      </w:r>
      <w:r w:rsidR="004E76D7">
        <w:t>d</w:t>
      </w:r>
      <w:r>
        <w:t xml:space="preserve"> Bactria where </w:t>
      </w:r>
      <w:proofErr w:type="spellStart"/>
      <w:r>
        <w:t>Artabazus</w:t>
      </w:r>
      <w:proofErr w:type="spellEnd"/>
      <w:r>
        <w:t xml:space="preserve"> resigned from his post, </w:t>
      </w:r>
      <w:proofErr w:type="spellStart"/>
      <w:r>
        <w:t>Taxiles</w:t>
      </w:r>
      <w:proofErr w:type="spellEnd"/>
      <w:r>
        <w:t xml:space="preserve"> in the Indus, and </w:t>
      </w:r>
      <w:proofErr w:type="spellStart"/>
      <w:r>
        <w:t>Porus</w:t>
      </w:r>
      <w:proofErr w:type="spellEnd"/>
      <w:r>
        <w:t xml:space="preserve"> in India.</w:t>
      </w:r>
      <w:r>
        <w:rPr>
          <w:rStyle w:val="FootnoteReference"/>
        </w:rPr>
        <w:footnoteReference w:id="8"/>
      </w:r>
      <w:r>
        <w:t xml:space="preserve"> On top of ruling with satraps, Alexander also intended on widely founding cities and transporting people across his the world to bring his empire to, “a common unity and to friendship by intermarriages and family </w:t>
      </w:r>
      <w:r>
        <w:lastRenderedPageBreak/>
        <w:t>ties.”</w:t>
      </w:r>
      <w:r>
        <w:rPr>
          <w:rStyle w:val="FootnoteReference"/>
        </w:rPr>
        <w:footnoteReference w:id="9"/>
      </w:r>
      <w:r>
        <w:t xml:space="preserve"> He would place garrisons in those cities where he faced the most resistance in his empire. The garrisons were also there to assist with effective trade and communications.</w:t>
      </w:r>
      <w:r>
        <w:rPr>
          <w:rStyle w:val="FootnoteReference"/>
        </w:rPr>
        <w:footnoteReference w:id="10"/>
      </w:r>
      <w:r w:rsidRPr="0000630F">
        <w:t xml:space="preserve"> </w:t>
      </w:r>
      <w:r>
        <w:t xml:space="preserve">That is not to say Alexander was not also faced with opposition and betrayal amongst his own senior staff. For example, he faced betrayal from his officers Bessus and </w:t>
      </w:r>
      <w:proofErr w:type="spellStart"/>
      <w:r>
        <w:t>Spitamenes</w:t>
      </w:r>
      <w:proofErr w:type="spellEnd"/>
      <w:r>
        <w:t>. The latter of which drove Alexander into lengthy guerrilla warfare, stunting Alexander’s progress and preventing him from reaching the Ganges and invading Arabia.</w:t>
      </w:r>
      <w:r>
        <w:rPr>
          <w:rStyle w:val="FootnoteReference"/>
        </w:rPr>
        <w:footnoteReference w:id="11"/>
      </w:r>
    </w:p>
    <w:p w14:paraId="66F98720" w14:textId="77777777" w:rsidR="008C1067" w:rsidRDefault="008C1067" w:rsidP="008C1067">
      <w:pPr>
        <w:spacing w:line="480" w:lineRule="auto"/>
      </w:pPr>
      <w:r>
        <w:tab/>
        <w:t>As per determining Alexander’s success as a king, it is nearly an impossible task, as modern notions of a “good” king almost definitely do not align with ancient notions, if there were any. If wealth was indicative of a successful king, Alexander certain achieved that. If a constant, attentive presence was desired of a king, Alexander assuredly failed. C. Bradford Welles agrees that the task of breaking down Alexander’s rule to determine its effectiveness is necessary. His conclusion is that to accurately assess Alexander’s achievements we must analyse them in regards to, “what extent, if at all, did Alexander’s intentions and accomplishments influence his successors: that is, history.”</w:t>
      </w:r>
      <w:r>
        <w:rPr>
          <w:rStyle w:val="FootnoteReference"/>
        </w:rPr>
        <w:footnoteReference w:id="12"/>
      </w:r>
      <w:r>
        <w:t xml:space="preserve"> Therefore, looking beyond those who simply fought for control of the land Alexander gained, and into those who bought into Alexander’s ideas and hoped for the same world he did. This is a challenging task due to the inconsistencies in Alexander’s rule. It is unlikely that Alexander was using a kingly roadmap, as his personal heroes were the violent and ambitious Achilles and Heracles, hardly pinnacles of respectful leadership. It can be questioned whether Alexander even </w:t>
      </w:r>
      <w:r w:rsidRPr="00687C6D">
        <w:rPr>
          <w:i/>
        </w:rPr>
        <w:t>wanted</w:t>
      </w:r>
      <w:r>
        <w:t xml:space="preserve"> to be regarded as a great leader </w:t>
      </w:r>
      <w:r>
        <w:lastRenderedPageBreak/>
        <w:t>or if he was simply handed a means to attempt to be regarded in the same camp as his mythic heroes.</w:t>
      </w:r>
    </w:p>
    <w:p w14:paraId="3BE48A32" w14:textId="5ADEEC4C" w:rsidR="004D6C8D" w:rsidRDefault="004D6C8D" w:rsidP="004D6C8D">
      <w:pPr>
        <w:pStyle w:val="Heading1"/>
        <w:jc w:val="center"/>
      </w:pPr>
      <w:bookmarkStart w:id="1" w:name="_Toc40100582"/>
      <w:r>
        <w:t>Chapter Two: Alexander’s Conflicting Methods</w:t>
      </w:r>
      <w:bookmarkEnd w:id="1"/>
    </w:p>
    <w:p w14:paraId="2D7FB0FF" w14:textId="77777777" w:rsidR="004D6C8D" w:rsidRPr="004D6C8D" w:rsidRDefault="004D6C8D" w:rsidP="004D6C8D"/>
    <w:p w14:paraId="0DC1D542" w14:textId="0333F0BF" w:rsidR="008C1067" w:rsidRDefault="008C1067" w:rsidP="008C1067">
      <w:pPr>
        <w:spacing w:line="480" w:lineRule="auto"/>
      </w:pPr>
      <w:r>
        <w:tab/>
        <w:t xml:space="preserve">Being unable to ever know what Alexander wanted and aimed for, we can look at his individual conflicting actions. He sought a world with equality so he donned Persian clothes and yet he did away with their institutions. It seems he was accepting only of the cultural facets he personally enjoyed. He spread </w:t>
      </w:r>
      <w:r w:rsidR="006B59C9">
        <w:t>Hellenistic</w:t>
      </w:r>
      <w:r>
        <w:t xml:space="preserve"> culture under the pretense that no race was superior to any other, while promoting </w:t>
      </w:r>
      <w:r w:rsidR="006B59C9">
        <w:t>Hellenic</w:t>
      </w:r>
      <w:r>
        <w:t xml:space="preserve"> fundamentals above all else. Alexander’s actions mirrored both the normal Greek view of spreading their culture and the cosmopolitan views of the Roman Empire.</w:t>
      </w:r>
      <w:r>
        <w:rPr>
          <w:rStyle w:val="FootnoteReference"/>
        </w:rPr>
        <w:footnoteReference w:id="13"/>
      </w:r>
      <w:r>
        <w:t xml:space="preserve"> Alexander’s apparent primary goal as a king was to bring about the world under one rule and one government, one that could succeed after his death.</w:t>
      </w:r>
      <w:r>
        <w:rPr>
          <w:rStyle w:val="FootnoteReference"/>
        </w:rPr>
        <w:footnoteReference w:id="14"/>
      </w:r>
      <w:r>
        <w:t xml:space="preserve"> In that matter, he utterly failed when it came to his successors. The simple fact that his empire was so severely fractured upon his death is evidence enough that his intentions and accomplishments did not influence his successors in that respect. Conquest and expansion also seemed to take a backseat to Alexander’s successors, bringing into question the true influence he had on them. It is true that his Diadochi were distracted with fighting amongst themselves, however they were fighting for land already in Alexander’s empire, rather than attempting to expand individually.</w:t>
      </w:r>
      <w:r>
        <w:rPr>
          <w:rStyle w:val="FootnoteReference"/>
        </w:rPr>
        <w:footnoteReference w:id="15"/>
      </w:r>
    </w:p>
    <w:p w14:paraId="601EF767" w14:textId="77777777" w:rsidR="008C1067" w:rsidRDefault="008C1067" w:rsidP="008C1067">
      <w:pPr>
        <w:spacing w:line="480" w:lineRule="auto"/>
      </w:pPr>
      <w:r>
        <w:tab/>
        <w:t xml:space="preserve">Keeping Alexander’s abilities as a king in mind, we must take into account the lasting legacy of his empire.  We may be able to agree that his goals were fairly unattainable and that his empire was doomed to fail. However, we need to investigate what actions, if any, Alexander </w:t>
      </w:r>
      <w:r>
        <w:lastRenderedPageBreak/>
        <w:t>took to allow his empire to succeed after his death. His first failing in this respect was solidifying an heir. Alexander married, however he did not produce a suitable heir as his wife Roxane was pregnant upon Alexander’s death.</w:t>
      </w:r>
      <w:r>
        <w:rPr>
          <w:rStyle w:val="FootnoteReference"/>
        </w:rPr>
        <w:footnoteReference w:id="16"/>
      </w:r>
      <w:r>
        <w:t xml:space="preserve"> That being said, achieving a genetic heir was not necessarily the only thing required to ensure his successor. Regicide was a common occurrence in Macedonia and was often used to determine the next ruler. While our modern-day notion of the monarchy is that of a severely protected, iron-clad institution, that was far from the case in Macedonia. The eldest child of the </w:t>
      </w:r>
      <w:proofErr w:type="spellStart"/>
      <w:r>
        <w:t>Argead</w:t>
      </w:r>
      <w:proofErr w:type="spellEnd"/>
      <w:r>
        <w:t xml:space="preserve"> line was often chosen as king, however this was not guaranteed, and almost certainly an impossibility if the heir was a minor. By this logic, Alexander would not have succeeded in producing an heir for years after his death, and that is assuming his fellow men would be happy to leave Roxana in peace until their son was of age.</w:t>
      </w:r>
      <w:r>
        <w:rPr>
          <w:rStyle w:val="FootnoteReference"/>
        </w:rPr>
        <w:footnoteReference w:id="17"/>
      </w:r>
    </w:p>
    <w:p w14:paraId="1F060DA0" w14:textId="77777777" w:rsidR="008C1067" w:rsidRPr="00182513" w:rsidRDefault="008C1067" w:rsidP="008C1067">
      <w:pPr>
        <w:spacing w:line="480" w:lineRule="auto"/>
        <w:rPr>
          <w:color w:val="000000" w:themeColor="text1"/>
        </w:rPr>
      </w:pPr>
      <w:r>
        <w:tab/>
        <w:t xml:space="preserve"> Assuming Alexander was aware of these risks, one would hope that he would have a range for when it is meant to succeed him instead of his child. The issue of his heir was a point of contention, with his last words being unclear. </w:t>
      </w:r>
      <w:proofErr w:type="spellStart"/>
      <w:r>
        <w:t>Diodorus</w:t>
      </w:r>
      <w:proofErr w:type="spellEnd"/>
      <w:r>
        <w:t xml:space="preserve"> </w:t>
      </w:r>
      <w:proofErr w:type="spellStart"/>
      <w:r>
        <w:t>Siculus</w:t>
      </w:r>
      <w:proofErr w:type="spellEnd"/>
      <w:r>
        <w:t xml:space="preserve"> stated that he spoke, “to the strongest” when asked who he left his kingdom to.</w:t>
      </w:r>
      <w:r>
        <w:rPr>
          <w:rStyle w:val="FootnoteReference"/>
        </w:rPr>
        <w:footnoteReference w:id="18"/>
      </w:r>
      <w:r>
        <w:t xml:space="preserve"> Similarly, Arrian stated that he said, “to the best,”</w:t>
      </w:r>
      <w:r>
        <w:rPr>
          <w:rStyle w:val="FootnoteReference"/>
        </w:rPr>
        <w:footnoteReference w:id="19"/>
      </w:r>
      <w:r>
        <w:t xml:space="preserve"> however it is possible that he was actually saying, “to Craterus,” a similar sounding word in Greek.</w:t>
      </w:r>
      <w:r>
        <w:rPr>
          <w:rStyle w:val="FootnoteReference"/>
        </w:rPr>
        <w:footnoteReference w:id="20"/>
      </w:r>
      <w:r>
        <w:t xml:space="preserve"> Further to support the theory of Craterus as his successor, Alexander provided him with a Will of sorts, or instructions he expected Craterus carry out.</w:t>
      </w:r>
      <w:r>
        <w:rPr>
          <w:rStyle w:val="FootnoteReference"/>
        </w:rPr>
        <w:footnoteReference w:id="21"/>
      </w:r>
      <w:r>
        <w:t xml:space="preserve"> We cannot know if these instructions were given to Craterus simply as tasks to be achieved immediately, as plans for after Alexander’s death, or as a hint of Alexander’s intended heir. Nevertheless, most of the requests </w:t>
      </w:r>
      <w:r>
        <w:lastRenderedPageBreak/>
        <w:t>were not carried out due to their extravagance and economical irresponsibility.</w:t>
      </w:r>
      <w:r>
        <w:rPr>
          <w:rStyle w:val="FootnoteReference"/>
        </w:rPr>
        <w:footnoteReference w:id="22"/>
      </w:r>
      <w:r>
        <w:t xml:space="preserve"> Included in Alexander’s instructions was the completion of the pyre of Hephaestion, as well as other designs by Alexander which </w:t>
      </w:r>
      <w:proofErr w:type="spellStart"/>
      <w:r>
        <w:t>Perdiccas</w:t>
      </w:r>
      <w:proofErr w:type="spellEnd"/>
      <w:r>
        <w:t xml:space="preserve"> brought to the common assembly of Macedonians for consideration. Among those designs were temples to be built in Delos, Delphi, and Dodona, as well as one thousand warships larger than triremes, a road along the coast of Libya, and a tomb for his father Philip which could rival even the greatest pyramid in Egypt. The common assembly ultimately decided that while they had no ill wishes regarding Alexander’s legacy and requests, the intended projects were too costly and extravagant to carry out.</w:t>
      </w:r>
      <w:r>
        <w:rPr>
          <w:rStyle w:val="FootnoteReference"/>
        </w:rPr>
        <w:footnoteReference w:id="23"/>
      </w:r>
    </w:p>
    <w:p w14:paraId="4645797C" w14:textId="77777777" w:rsidR="008C1067" w:rsidRDefault="008C1067" w:rsidP="008C1067">
      <w:pPr>
        <w:spacing w:line="480" w:lineRule="auto"/>
      </w:pPr>
      <w:r>
        <w:tab/>
        <w:t>A common occurrence I have come across during research is Alexander’s lack of economical prowess, or at least a lack of any concrete economical plan for his empire. It appears his main focus was more about expanding his empire rather than truly reigning over the land and territories he already had. Satraps collected taxes while the post of Imperial Treasurer was created by 331 BC.</w:t>
      </w:r>
      <w:r>
        <w:rPr>
          <w:rStyle w:val="FootnoteReference"/>
        </w:rPr>
        <w:footnoteReference w:id="24"/>
      </w:r>
      <w:r>
        <w:t xml:space="preserve"> Arrian suggested that Alexander was simply insatiable when it came to gaining possessions, or territories to reign over, as it were. His future plans always seemed to be that of expansion or grand ideas of what he hoped his empire would become. This led to the thought that fighting may have been the only thing he was truly great at.</w:t>
      </w:r>
      <w:r>
        <w:rPr>
          <w:rStyle w:val="FootnoteReference"/>
        </w:rPr>
        <w:footnoteReference w:id="25"/>
      </w:r>
      <w:r>
        <w:t xml:space="preserve"> </w:t>
      </w:r>
    </w:p>
    <w:p w14:paraId="351C1732" w14:textId="19321A54" w:rsidR="004D6C8D" w:rsidRDefault="004D6C8D" w:rsidP="004D6C8D">
      <w:pPr>
        <w:pStyle w:val="Heading1"/>
        <w:jc w:val="center"/>
      </w:pPr>
      <w:bookmarkStart w:id="2" w:name="_Toc40100583"/>
      <w:r>
        <w:t>Chapter Three: Alexander’s Impact</w:t>
      </w:r>
      <w:bookmarkEnd w:id="2"/>
    </w:p>
    <w:p w14:paraId="34D63814" w14:textId="77777777" w:rsidR="004D6C8D" w:rsidRPr="004D6C8D" w:rsidRDefault="004D6C8D" w:rsidP="004D6C8D"/>
    <w:p w14:paraId="72525306" w14:textId="00F74D4C" w:rsidR="008C1067" w:rsidRDefault="008C1067" w:rsidP="008C1067">
      <w:pPr>
        <w:spacing w:line="480" w:lineRule="auto"/>
      </w:pPr>
      <w:r>
        <w:tab/>
        <w:t xml:space="preserve">Alexander’s impact on history in general cannot be overstated. By destroying the Persian Empire and spreading </w:t>
      </w:r>
      <w:r w:rsidR="006B59C9">
        <w:t>Hellenic</w:t>
      </w:r>
      <w:r>
        <w:t xml:space="preserve"> culture, he ensured that neither group would ever be the same. That is not to say that Alexander is entirely to credit for the influences and changes between </w:t>
      </w:r>
      <w:r w:rsidR="006B59C9">
        <w:lastRenderedPageBreak/>
        <w:t>Hellenistic</w:t>
      </w:r>
      <w:r>
        <w:t xml:space="preserve"> and Asian culture. The two had a long history of interaction well before Alexander was born and would have continued with or without him. When looking back into Alexander’s regime and time in Persia, we can see the effects he had. It is easy to assume that his death would have carried quite an impact across the empire, but this was not necessarily the case. Asia and Egypt were all but uncaring following the news of Alexander’s death. They simply waited to discover who the next monarch to follow him would be.</w:t>
      </w:r>
      <w:r>
        <w:rPr>
          <w:rStyle w:val="FootnoteReference"/>
        </w:rPr>
        <w:footnoteReference w:id="26"/>
      </w:r>
    </w:p>
    <w:p w14:paraId="5B480A3C" w14:textId="77777777" w:rsidR="008C1067" w:rsidRDefault="008C1067" w:rsidP="008C1067">
      <w:pPr>
        <w:spacing w:line="480" w:lineRule="auto"/>
      </w:pPr>
      <w:r>
        <w:tab/>
        <w:t xml:space="preserve"> A significant impact that Alexander made was the use of the title “king” in the Greek world. Similar positions were held and recognized in Greek culture, however it was vastly different to our understanding of the office today. To ancient Greeks, kings were more closely considered to be generals or archons. The term was more of a description of office rather than a title. While Alexander’s use of the word is not important per se, its subsequent use in western culture is certainly indicative of his general influence.</w:t>
      </w:r>
      <w:r>
        <w:rPr>
          <w:rStyle w:val="FootnoteReference"/>
        </w:rPr>
        <w:footnoteReference w:id="27"/>
      </w:r>
    </w:p>
    <w:p w14:paraId="75A6BBE1" w14:textId="7BFC8355" w:rsidR="008C1067" w:rsidRDefault="008C1067" w:rsidP="00441A4F">
      <w:pPr>
        <w:spacing w:line="480" w:lineRule="auto"/>
      </w:pPr>
      <w:r>
        <w:tab/>
        <w:t xml:space="preserve"> As for the immediate impact and attitude towards Alexander following his death, we can investigate into the ruler-cults that rose in his wake. It is well-documented Alexander believed he was the son of Zeus and descended from the heroes Achilles and Heracles.</w:t>
      </w:r>
      <w:r>
        <w:rPr>
          <w:rStyle w:val="FootnoteReference"/>
        </w:rPr>
        <w:footnoteReference w:id="28"/>
      </w:r>
      <w:r>
        <w:t xml:space="preserve"> Not only did Alexander believe this status was true, but his subjects in Egypt believed it as well, as was confirmed when he took his place as pharaoh. Due to this, in the eyes of Egyptians, Alexander was god himself.</w:t>
      </w:r>
      <w:r>
        <w:rPr>
          <w:rStyle w:val="FootnoteReference"/>
        </w:rPr>
        <w:footnoteReference w:id="29"/>
      </w:r>
      <w:r>
        <w:t xml:space="preserve"> It is therefore no surprise that Ptolemy in Egypt was quick to establish the cult of Alexander. Concerning his divination, Alexander’s officers were quick to confirm their devotion, stating that Alexander did not die, but “departed from among men.”</w:t>
      </w:r>
      <w:r>
        <w:rPr>
          <w:rStyle w:val="FootnoteReference"/>
        </w:rPr>
        <w:footnoteReference w:id="30"/>
      </w:r>
      <w:r>
        <w:t xml:space="preserve"> His divination in </w:t>
      </w:r>
      <w:r>
        <w:lastRenderedPageBreak/>
        <w:t>their eyes was twofold. Not only was Alexander “confirmed” to be descended from Zeus, but he achieved godlike qualities and accomplishments during his life.</w:t>
      </w:r>
      <w:r>
        <w:rPr>
          <w:rStyle w:val="FootnoteReference"/>
        </w:rPr>
        <w:footnoteReference w:id="31"/>
      </w:r>
      <w:r>
        <w:t xml:space="preserve"> These lasting impacts in Greek culture and society, in addition to the positive natured act of worship, allows us to assume that a very favourable opinion was held across much of the Greek world in regards to Alexander.</w:t>
      </w:r>
    </w:p>
    <w:p w14:paraId="6C89A661" w14:textId="44447075" w:rsidR="00333A7C" w:rsidRDefault="00333A7C" w:rsidP="00333A7C">
      <w:pPr>
        <w:pStyle w:val="Heading1"/>
        <w:jc w:val="center"/>
      </w:pPr>
      <w:bookmarkStart w:id="3" w:name="_Toc40100584"/>
      <w:r>
        <w:t>Chapter Four: The Love for Alexander</w:t>
      </w:r>
      <w:bookmarkEnd w:id="3"/>
    </w:p>
    <w:p w14:paraId="77C0C72E" w14:textId="77777777" w:rsidR="00333A7C" w:rsidRPr="00333A7C" w:rsidRDefault="00333A7C" w:rsidP="00333A7C"/>
    <w:p w14:paraId="61F5A286" w14:textId="6FE5D940" w:rsidR="00EA796D" w:rsidRDefault="00EA796D" w:rsidP="00EA796D">
      <w:pPr>
        <w:spacing w:line="480" w:lineRule="auto"/>
      </w:pPr>
      <w:r>
        <w:tab/>
      </w:r>
      <w:r w:rsidR="00F9523C">
        <w:t>Not just in Greece</w:t>
      </w:r>
      <w:r>
        <w:t>,</w:t>
      </w:r>
      <w:r w:rsidR="00F9523C">
        <w:t xml:space="preserve"> there is evidence to suggest that Alexander was loved by many of his Persian subjects as well throughout history.</w:t>
      </w:r>
      <w:r>
        <w:t xml:space="preserve"> Alexander is portrayed </w:t>
      </w:r>
      <w:r w:rsidR="00FB0B62">
        <w:t>incredibly</w:t>
      </w:r>
      <w:r>
        <w:t xml:space="preserve"> positively in the Iranian poetic epic </w:t>
      </w:r>
      <w:proofErr w:type="spellStart"/>
      <w:r>
        <w:rPr>
          <w:i/>
        </w:rPr>
        <w:t>Shahnameh</w:t>
      </w:r>
      <w:proofErr w:type="spellEnd"/>
      <w:r>
        <w:rPr>
          <w:i/>
        </w:rPr>
        <w:t xml:space="preserve"> </w:t>
      </w:r>
      <w:r>
        <w:t xml:space="preserve">‘The Book of Kings’ by </w:t>
      </w:r>
      <w:proofErr w:type="spellStart"/>
      <w:r>
        <w:t>Ferdowski</w:t>
      </w:r>
      <w:proofErr w:type="spellEnd"/>
      <w:r>
        <w:t xml:space="preserve">. Alexander, known in the text as </w:t>
      </w:r>
      <w:proofErr w:type="spellStart"/>
      <w:r>
        <w:t>Sekandar</w:t>
      </w:r>
      <w:proofErr w:type="spellEnd"/>
      <w:r>
        <w:t>, is depicted in this Persian tradition as a leader, “based above all on a detailed geographical and cosmographical knowledge.”</w:t>
      </w:r>
      <w:r>
        <w:rPr>
          <w:rStyle w:val="FootnoteReference"/>
        </w:rPr>
        <w:footnoteReference w:id="32"/>
      </w:r>
      <w:r>
        <w:t xml:space="preserve"> With scientists and philosophers in his court, Alexander is heavily idealised in certain Persian representations as a perfect combination of power and knowledge. His death is described as an intensely emotional, turbulent affair, with philosopher </w:t>
      </w:r>
      <w:proofErr w:type="spellStart"/>
      <w:r>
        <w:t>Artestalis</w:t>
      </w:r>
      <w:proofErr w:type="spellEnd"/>
      <w:r>
        <w:t xml:space="preserve"> asking, “Where are your intelligence, knowledge, and foresight, now that a narrow coffin is your resting place?” </w:t>
      </w:r>
      <w:proofErr w:type="spellStart"/>
      <w:r>
        <w:t>Ferdowski</w:t>
      </w:r>
      <w:proofErr w:type="spellEnd"/>
      <w:r>
        <w:t xml:space="preserve"> goes on to reflect upon death and what it meant for </w:t>
      </w:r>
      <w:proofErr w:type="spellStart"/>
      <w:r>
        <w:t>Sekandar</w:t>
      </w:r>
      <w:proofErr w:type="spellEnd"/>
      <w:r>
        <w:t xml:space="preserve"> and the world he left:</w:t>
      </w:r>
    </w:p>
    <w:p w14:paraId="7DCD6E46" w14:textId="77777777" w:rsidR="007216FC" w:rsidRDefault="007216FC" w:rsidP="00EA796D">
      <w:pPr>
        <w:spacing w:line="480" w:lineRule="auto"/>
      </w:pPr>
    </w:p>
    <w:p w14:paraId="2768C945" w14:textId="77777777" w:rsidR="00EA796D" w:rsidRDefault="00EA796D" w:rsidP="00EA796D">
      <w:r>
        <w:tab/>
      </w:r>
    </w:p>
    <w:p w14:paraId="79FE26B1" w14:textId="77777777" w:rsidR="00EA796D" w:rsidRDefault="00EA796D" w:rsidP="00EA796D">
      <w:r>
        <w:tab/>
        <w:t xml:space="preserve">He sought things that no man has ever sought, and what remains of him within the circle </w:t>
      </w:r>
    </w:p>
    <w:p w14:paraId="261F5135" w14:textId="77777777" w:rsidR="00EA796D" w:rsidRDefault="00EA796D" w:rsidP="00EA796D">
      <w:pPr>
        <w:ind w:left="720"/>
      </w:pPr>
      <w:r>
        <w:t xml:space="preserve">of the horizon is words, nothing more. Words are the better portion, since they do not decay as an old building decays in the snow and rain. I have finished with </w:t>
      </w:r>
      <w:proofErr w:type="spellStart"/>
      <w:r>
        <w:t>Sekandar</w:t>
      </w:r>
      <w:proofErr w:type="spellEnd"/>
      <w:r>
        <w:t xml:space="preserve"> now, and with the barrier that he built; may our days be fortunate and prosperous.</w:t>
      </w:r>
    </w:p>
    <w:p w14:paraId="1A7B304E" w14:textId="77777777" w:rsidR="00EA796D" w:rsidRDefault="00EA796D" w:rsidP="00EA796D">
      <w:pPr>
        <w:ind w:left="720"/>
        <w:jc w:val="right"/>
      </w:pPr>
      <w:r>
        <w:t>(</w:t>
      </w:r>
      <w:proofErr w:type="spellStart"/>
      <w:r>
        <w:t>Ferdowski</w:t>
      </w:r>
      <w:proofErr w:type="spellEnd"/>
      <w:r>
        <w:t>, 2016, pp. 528)</w:t>
      </w:r>
      <w:r>
        <w:tab/>
      </w:r>
    </w:p>
    <w:p w14:paraId="02F8CFD8" w14:textId="77777777" w:rsidR="00EA796D" w:rsidRDefault="00EA796D" w:rsidP="00EA796D"/>
    <w:p w14:paraId="1E4A4B17" w14:textId="77777777" w:rsidR="00EA796D" w:rsidRDefault="00EA796D" w:rsidP="00EA796D">
      <w:pPr>
        <w:spacing w:line="480" w:lineRule="auto"/>
      </w:pPr>
      <w:r>
        <w:lastRenderedPageBreak/>
        <w:tab/>
        <w:t xml:space="preserve">In the Persian composition </w:t>
      </w:r>
      <w:proofErr w:type="spellStart"/>
      <w:r>
        <w:rPr>
          <w:i/>
        </w:rPr>
        <w:t>Sarafname</w:t>
      </w:r>
      <w:proofErr w:type="spellEnd"/>
      <w:r>
        <w:rPr>
          <w:i/>
        </w:rPr>
        <w:t xml:space="preserve">, </w:t>
      </w:r>
      <w:r>
        <w:t>he is depicted in such a way that he may be used as inspiration for future sovereigns. This work goes so far as to say that texts concerning Alexander could be repurposed and used as roadmaps, both literally and figuratively. Literally meaning that some of the accounts of Alexander’s travels contained such helpful information concerning the distances between cities that maps could be made from his accounts.</w:t>
      </w:r>
      <w:r>
        <w:rPr>
          <w:rStyle w:val="FootnoteReference"/>
        </w:rPr>
        <w:footnoteReference w:id="33"/>
      </w:r>
      <w:r>
        <w:t xml:space="preserve"> Figuratively meaning that Alexander saw so much of the world, had so many experiences, and met so many different people that his adventures could be composited into a brilliant overview of what the world has to offer.</w:t>
      </w:r>
    </w:p>
    <w:p w14:paraId="232F7EFC" w14:textId="689FECD2" w:rsidR="00EA796D" w:rsidRDefault="00EA796D" w:rsidP="00EA796D">
      <w:pPr>
        <w:spacing w:line="480" w:lineRule="auto"/>
      </w:pPr>
      <w:r>
        <w:tab/>
        <w:t xml:space="preserve">The </w:t>
      </w:r>
      <w:r>
        <w:rPr>
          <w:i/>
        </w:rPr>
        <w:t xml:space="preserve">Alexander Romance </w:t>
      </w:r>
      <w:r>
        <w:t xml:space="preserve">was spread with many versions in Latin, Arabic, French, and other various languages aside from its original Greek. It paints Alexander in a very positive light depicting him as a fearless warrior, accomplished general, and as an extremely wise, fearless king and conqueror.  Not only these descriptions, but his input in the cultures he conquered was considered to be wholly positive, spreading </w:t>
      </w:r>
      <w:r w:rsidR="006B59C9">
        <w:t>Hellenistic</w:t>
      </w:r>
      <w:r>
        <w:t xml:space="preserve"> ideals, arts, and philosophies.  On the other hand, those he conquered outside of Greece had a far more negative view of Alexander’s actions.  In order to spread those </w:t>
      </w:r>
      <w:r w:rsidR="006B59C9">
        <w:t>Hellenic</w:t>
      </w:r>
      <w:r>
        <w:t xml:space="preserve"> ideals, many already in the territories Alexander set his sights on were killed and their land was taken away.</w:t>
      </w:r>
      <w:r>
        <w:rPr>
          <w:rStyle w:val="FootnoteReference"/>
        </w:rPr>
        <w:footnoteReference w:id="34"/>
      </w:r>
    </w:p>
    <w:p w14:paraId="70275AEB" w14:textId="77777777" w:rsidR="00EA796D" w:rsidRDefault="00EA796D" w:rsidP="00EA796D">
      <w:r>
        <w:tab/>
      </w:r>
    </w:p>
    <w:p w14:paraId="30D7CD40" w14:textId="77777777" w:rsidR="00EA796D" w:rsidRDefault="00EA796D" w:rsidP="00EA796D">
      <w:r>
        <w:tab/>
        <w:t>“What thou meanest by seizing the whole earth; but because I do it with a petty ship, I am</w:t>
      </w:r>
    </w:p>
    <w:p w14:paraId="61E9EF08" w14:textId="77777777" w:rsidR="00EA796D" w:rsidRDefault="00EA796D" w:rsidP="00EA796D">
      <w:r>
        <w:tab/>
        <w:t xml:space="preserve">called a robber, whilst thou who does it with a great fleet are styled emperor.” </w:t>
      </w:r>
    </w:p>
    <w:p w14:paraId="6683FD7D" w14:textId="77777777" w:rsidR="00EA796D" w:rsidRDefault="00EA796D" w:rsidP="00EA796D">
      <w:pPr>
        <w:jc w:val="right"/>
      </w:pPr>
      <w:r>
        <w:t xml:space="preserve">(Augustine, </w:t>
      </w:r>
      <w:r>
        <w:rPr>
          <w:i/>
        </w:rPr>
        <w:t xml:space="preserve">City of God, </w:t>
      </w:r>
      <w:r>
        <w:t xml:space="preserve">4.4) </w:t>
      </w:r>
    </w:p>
    <w:p w14:paraId="6DCA506F" w14:textId="77777777" w:rsidR="002371C7" w:rsidRDefault="00EA796D" w:rsidP="002371C7">
      <w:r>
        <w:tab/>
        <w:t xml:space="preserve"> </w:t>
      </w:r>
    </w:p>
    <w:p w14:paraId="595332FA" w14:textId="17C365DE" w:rsidR="00EA796D" w:rsidRDefault="002371C7" w:rsidP="00520690">
      <w:pPr>
        <w:spacing w:line="480" w:lineRule="auto"/>
      </w:pPr>
      <w:r>
        <w:tab/>
      </w:r>
      <w:r w:rsidR="00EA796D">
        <w:t xml:space="preserve">Arrian, a Greek historian writing the second century CE, spent a large amount of time explaining how and why Alexander was an ideal general and man. He is described as, “… very handsome…  the most courageous, most zealous for honour and danger… most brilliant to seize </w:t>
      </w:r>
      <w:r w:rsidR="00EA796D">
        <w:lastRenderedPageBreak/>
        <w:t>on the right course of action… most masterly and marshalling an army… most reliable in keeping promises… most generous in benefit of others.”</w:t>
      </w:r>
      <w:r w:rsidR="00EA796D">
        <w:rPr>
          <w:rStyle w:val="FootnoteReference"/>
        </w:rPr>
        <w:footnoteReference w:id="35"/>
      </w:r>
      <w:r w:rsidR="00EA796D">
        <w:t xml:space="preserve"> Keeping in mind that in the ancient world, manliness was affiliated with excelling in times of war, it is no surprise that Alexander was considered exemplary.</w:t>
      </w:r>
      <w:r w:rsidR="00EA796D">
        <w:rPr>
          <w:rStyle w:val="FootnoteReference"/>
        </w:rPr>
        <w:footnoteReference w:id="36"/>
      </w:r>
      <w:r w:rsidR="00EA796D">
        <w:t xml:space="preserve"> These mind-sets contributed to works such as the </w:t>
      </w:r>
      <w:r w:rsidR="00EA796D">
        <w:rPr>
          <w:i/>
        </w:rPr>
        <w:t>Alexander R</w:t>
      </w:r>
      <w:r w:rsidR="00EA796D" w:rsidRPr="00412EA4">
        <w:rPr>
          <w:i/>
        </w:rPr>
        <w:t>omance</w:t>
      </w:r>
      <w:r w:rsidR="00EA796D">
        <w:rPr>
          <w:i/>
        </w:rPr>
        <w:t>,</w:t>
      </w:r>
      <w:r w:rsidR="00EA796D">
        <w:t xml:space="preserve"> which goes above and beyond to depict Alexander as a near super human being. While the </w:t>
      </w:r>
      <w:r w:rsidR="00EA796D">
        <w:rPr>
          <w:i/>
        </w:rPr>
        <w:t>Alexander R</w:t>
      </w:r>
      <w:r w:rsidR="00EA796D" w:rsidRPr="00412EA4">
        <w:rPr>
          <w:i/>
        </w:rPr>
        <w:t>omance</w:t>
      </w:r>
      <w:r w:rsidR="00EA796D">
        <w:t xml:space="preserve"> cannot sufficiently be used as historical source, it is certainly valuable to paint a picture of the climate of opinions held in regards to Alexander. Alexander continued to be used as the image of manliness further in history. He is portrayed as the ultimate hero by Second Sophistic authors. He was also used as a propaganda device promoting patriotic war ideologies in late antiquity.</w:t>
      </w:r>
      <w:r w:rsidR="00EA796D">
        <w:rPr>
          <w:rStyle w:val="FootnoteReference"/>
        </w:rPr>
        <w:footnoteReference w:id="37"/>
      </w:r>
    </w:p>
    <w:p w14:paraId="67D78FDD" w14:textId="77777777" w:rsidR="00EA796D" w:rsidRDefault="00EA796D" w:rsidP="00EA796D">
      <w:pPr>
        <w:spacing w:line="480" w:lineRule="auto"/>
      </w:pPr>
      <w:r>
        <w:tab/>
        <w:t xml:space="preserve">In </w:t>
      </w:r>
      <w:r>
        <w:rPr>
          <w:i/>
        </w:rPr>
        <w:t xml:space="preserve">Against the Galileans </w:t>
      </w:r>
      <w:r>
        <w:t>by Julian written around 361-363 CE, it is stated that Christian commanders aren’t as adept as pagan generals. He goes so far as to state that leaders such as Alexander and Julius Caesar are inherently more manly, as are their followers.</w:t>
      </w:r>
      <w:r>
        <w:rPr>
          <w:rStyle w:val="FootnoteReference"/>
        </w:rPr>
        <w:footnoteReference w:id="38"/>
      </w:r>
      <w:r>
        <w:t xml:space="preserve"> However, the primary of time comes into play in regards to Arrian and the </w:t>
      </w:r>
      <w:r>
        <w:rPr>
          <w:i/>
        </w:rPr>
        <w:t>Alexander R</w:t>
      </w:r>
      <w:r w:rsidRPr="0066347C">
        <w:rPr>
          <w:i/>
        </w:rPr>
        <w:t>omanc</w:t>
      </w:r>
      <w:r>
        <w:rPr>
          <w:i/>
        </w:rPr>
        <w:t>e.</w:t>
      </w:r>
      <w:r>
        <w:t xml:space="preserve"> While Arrian was writing in the second century CE, the Greek version of the </w:t>
      </w:r>
      <w:r>
        <w:rPr>
          <w:i/>
        </w:rPr>
        <w:t>Alexander R</w:t>
      </w:r>
      <w:r w:rsidRPr="0066347C">
        <w:rPr>
          <w:i/>
        </w:rPr>
        <w:t>omance</w:t>
      </w:r>
      <w:r>
        <w:t xml:space="preserve"> is datable to third century CE at the earliest. Both of these being hundreds of years following Alexander’s death.</w:t>
      </w:r>
      <w:r>
        <w:rPr>
          <w:rStyle w:val="FootnoteReference"/>
        </w:rPr>
        <w:footnoteReference w:id="39"/>
      </w:r>
    </w:p>
    <w:p w14:paraId="2328FAA6" w14:textId="7F82896D" w:rsidR="008A7184" w:rsidRDefault="008A7184" w:rsidP="008A7184">
      <w:pPr>
        <w:pStyle w:val="Heading1"/>
        <w:jc w:val="center"/>
      </w:pPr>
      <w:bookmarkStart w:id="4" w:name="_Toc40100585"/>
      <w:r>
        <w:t>Chapter Five: The Problem with Sources</w:t>
      </w:r>
      <w:bookmarkEnd w:id="4"/>
    </w:p>
    <w:p w14:paraId="762483C0" w14:textId="77777777" w:rsidR="008A7184" w:rsidRPr="008A7184" w:rsidRDefault="008A7184" w:rsidP="008A7184"/>
    <w:p w14:paraId="53B6F277" w14:textId="77777777" w:rsidR="00EA796D" w:rsidRDefault="00EA796D" w:rsidP="00EA796D">
      <w:pPr>
        <w:spacing w:line="480" w:lineRule="auto"/>
      </w:pPr>
      <w:r>
        <w:lastRenderedPageBreak/>
        <w:tab/>
        <w:t xml:space="preserve">When researching Babylonian perspectives regarding Alexander’s reign, it became evident that conflicting accounts of events have occurred. Van der </w:t>
      </w:r>
      <w:proofErr w:type="spellStart"/>
      <w:r>
        <w:t>Spek</w:t>
      </w:r>
      <w:proofErr w:type="spellEnd"/>
      <w:r>
        <w:t xml:space="preserve"> acknowledges that our understanding of the role of a historian simply did not exist in Babylon. Instead, the documentation of events was collected as if for a database, full of logic and considered to be science. Babylonians placed a high amount of focus on astronomy and documented stars and constellations extensively. Their chronicles were so thorough that constellations were used in combination with daily events, as so that the weather on a certain day could be identifiable in accordance with the night sky. The constellations, winds, and lunar cycles were all used to determine omens to assist in predicting the future. The factual manner in which these records were written and kept was unique in that there was a particular detachment evident in their language. There was no recognizable emotion attached, instead their history was simply a collection of data as part of a general Babylonian wisdom.</w:t>
      </w:r>
      <w:r>
        <w:rPr>
          <w:rStyle w:val="FootnoteReference"/>
        </w:rPr>
        <w:footnoteReference w:id="40"/>
      </w:r>
    </w:p>
    <w:p w14:paraId="2C80AFA0" w14:textId="7821193B" w:rsidR="00EA796D" w:rsidRDefault="00EA796D" w:rsidP="00EA796D">
      <w:pPr>
        <w:spacing w:line="480" w:lineRule="auto"/>
      </w:pPr>
      <w:r>
        <w:tab/>
        <w:t>It is with all of these facts in mind that the Babylonian account of the Battle of Gaugamela in 331 BC</w:t>
      </w:r>
      <w:r>
        <w:rPr>
          <w:rStyle w:val="FootnoteReference"/>
        </w:rPr>
        <w:footnoteReference w:id="41"/>
      </w:r>
      <w:r>
        <w:t xml:space="preserve"> is all the more fascinating. The inscription states, “opposite each</w:t>
      </w:r>
      <w:r w:rsidR="00CE2213">
        <w:t xml:space="preserve"> </w:t>
      </w:r>
      <w:r>
        <w:t>other they fought and a heavy defeat of the troops [of the king he inflicted] / the king, his troops deserted him and to their cities.”</w:t>
      </w:r>
      <w:r>
        <w:rPr>
          <w:rStyle w:val="FootnoteReference"/>
        </w:rPr>
        <w:footnoteReference w:id="42"/>
      </w:r>
      <w:r>
        <w:t xml:space="preserve"> For clarification, “the king” referred to in these inscriptions is Darius III.</w:t>
      </w:r>
      <w:r>
        <w:rPr>
          <w:rStyle w:val="FootnoteReference"/>
        </w:rPr>
        <w:footnoteReference w:id="43"/>
      </w:r>
      <w:r>
        <w:t xml:space="preserve"> This recount of the events at the Battle of Gaugamela comes as a stark contract to the Greek description. Arrian stated, “Darius, nervous as he had been all along, saw nothing but terrors all around, he was himself the first to turn and ride away.”</w:t>
      </w:r>
      <w:r>
        <w:rPr>
          <w:rStyle w:val="FootnoteReference"/>
        </w:rPr>
        <w:footnoteReference w:id="44"/>
      </w:r>
      <w:r>
        <w:t xml:space="preserve"> We can only speculate as to why such details were changed, if done so consciously, in the retelling of events. Time may play </w:t>
      </w:r>
      <w:r>
        <w:lastRenderedPageBreak/>
        <w:t>a factor, as the Babylonian records were documented a mere two weeks following the battle,</w:t>
      </w:r>
      <w:r>
        <w:rPr>
          <w:rStyle w:val="FootnoteReference"/>
        </w:rPr>
        <w:footnoteReference w:id="45"/>
      </w:r>
      <w:r>
        <w:t xml:space="preserve"> whereas Arrian was writing hundreds of years later.</w:t>
      </w:r>
    </w:p>
    <w:p w14:paraId="1F83EBC9" w14:textId="13620711" w:rsidR="00EA796D" w:rsidRDefault="00EA796D" w:rsidP="00441A4F">
      <w:pPr>
        <w:spacing w:line="480" w:lineRule="auto"/>
      </w:pPr>
      <w:r>
        <w:tab/>
        <w:t xml:space="preserve">I will allow benefit of the doubt which suggests that Arrian did not purposefully alter details of the event, but suggest the Babylonian account is perhaps the more accurate description. Based off of what we know regarding Babylonian “history” – that is, their data collecting – it does not seem as though they would have a reason to fabricate the details of the battle. One reason for this is the fact that these notes were not intended for public consumption, but rather as tools for scientific study in regards to the omens that may be discovered through them. Another reason is respective of the detached nature of their data collecting. Since events were considered more to be facts than history, there were no inherent emotions connected to them. We can never be certain, however there is certainly evidence to suggest that this is truly the most accurate account of Gaugamela where Darius III and his army’s actions are concerned. The difference in accounts of the battle is significant in the way Darius III is portrayed. In </w:t>
      </w:r>
      <w:proofErr w:type="spellStart"/>
      <w:r>
        <w:t>Arrian’s</w:t>
      </w:r>
      <w:proofErr w:type="spellEnd"/>
      <w:r>
        <w:t xml:space="preserve"> version, Darius is described to be a coward who fled and abandoned his army, thus demonstrating with more clarity that Alexander had more courage and honour. In the Babylonian version, Darius’s dignity is kept intact which is more in line with the type of figure one may imagine as the former king of the Persian Empire. </w:t>
      </w:r>
    </w:p>
    <w:p w14:paraId="4DDF163B" w14:textId="69FB753D" w:rsidR="008A7184" w:rsidRDefault="008A7184" w:rsidP="008A7184">
      <w:pPr>
        <w:pStyle w:val="Heading1"/>
        <w:jc w:val="center"/>
      </w:pPr>
      <w:bookmarkStart w:id="5" w:name="_Toc40100586"/>
      <w:r>
        <w:t>Chapter Six: Regarding Modern Admiration</w:t>
      </w:r>
      <w:bookmarkEnd w:id="5"/>
    </w:p>
    <w:p w14:paraId="0264A430" w14:textId="77777777" w:rsidR="008A7184" w:rsidRPr="008A7184" w:rsidRDefault="008A7184" w:rsidP="008A7184"/>
    <w:p w14:paraId="0D0C17B4" w14:textId="04CC17C8" w:rsidR="004453AB" w:rsidRDefault="00054CBD" w:rsidP="00D75C59">
      <w:pPr>
        <w:spacing w:line="480" w:lineRule="auto"/>
      </w:pPr>
      <w:r>
        <w:tab/>
        <w:t xml:space="preserve"> In modern times, it is easy to glorify the actions of men such as Alexander and observe the perspective that brutal tactics were a means to an end for him to achieve his grand empire. When a subject becomes sufficiently interesting, </w:t>
      </w:r>
      <w:r w:rsidR="00260704">
        <w:t>those curious</w:t>
      </w:r>
      <w:r>
        <w:t xml:space="preserve"> tend to adopt a morbid curiosity </w:t>
      </w:r>
      <w:r>
        <w:lastRenderedPageBreak/>
        <w:t>concerning the behaviour of the subject, and either forget, or push aside the fact that real people</w:t>
      </w:r>
      <w:r w:rsidR="00E72171">
        <w:t xml:space="preserve"> actually</w:t>
      </w:r>
      <w:r>
        <w:t xml:space="preserve"> suffered at their hands. </w:t>
      </w:r>
      <w:r w:rsidR="00E72171">
        <w:t>Another</w:t>
      </w:r>
      <w:r>
        <w:t xml:space="preserve"> example of this phenomenon</w:t>
      </w:r>
      <w:r w:rsidR="00E72171">
        <w:t>, albeit one born of different circumstances,</w:t>
      </w:r>
      <w:r>
        <w:t xml:space="preserve"> is that of</w:t>
      </w:r>
      <w:r w:rsidR="00E72171">
        <w:t xml:space="preserve"> notorious serial killer</w:t>
      </w:r>
      <w:r>
        <w:t xml:space="preserve"> Ted Bundy. Either via the 2019 Netflix documentary </w:t>
      </w:r>
      <w:r>
        <w:rPr>
          <w:i/>
        </w:rPr>
        <w:t xml:space="preserve">Conversations with a Killer: The Ted Bundy Tapes </w:t>
      </w:r>
      <w:r>
        <w:t xml:space="preserve">or the 2019 film </w:t>
      </w:r>
      <w:r>
        <w:rPr>
          <w:i/>
        </w:rPr>
        <w:t xml:space="preserve">Extremely Wicked, Shockingly Evil and Vile, </w:t>
      </w:r>
      <w:r>
        <w:t xml:space="preserve">both directed by Joe </w:t>
      </w:r>
      <w:proofErr w:type="spellStart"/>
      <w:r>
        <w:t>Berlinger</w:t>
      </w:r>
      <w:proofErr w:type="spellEnd"/>
      <w:r>
        <w:t>, the world was enraptured. Finding him extremely interesting, many people disregarded the</w:t>
      </w:r>
      <w:r w:rsidR="009033B1">
        <w:t xml:space="preserve"> horrific</w:t>
      </w:r>
      <w:r>
        <w:t xml:space="preserve"> reality of the death he left in his wake, choosing instead to regard him as a fascinating figure for studying. One aspect of fascination is the fact that the average person cannot comprehend doing such things, which makes those who can all the more interesting. While the analogy of</w:t>
      </w:r>
      <w:r w:rsidR="000E0CA6">
        <w:t xml:space="preserve"> a</w:t>
      </w:r>
      <w:r>
        <w:t xml:space="preserve"> serial killer is not necessarily appropriate for Alexander, there are certainly similarities in the modern reception. For Alexander, it is much easier to overlook the victims of his reign. Often times, brutality and destruction by a king in war were not only accepted, but studied</w:t>
      </w:r>
      <w:r w:rsidR="006A2A4B">
        <w:t xml:space="preserve"> in order</w:t>
      </w:r>
      <w:r>
        <w:t xml:space="preserve"> to analyse and</w:t>
      </w:r>
      <w:r w:rsidR="006A2A4B">
        <w:t xml:space="preserve"> even</w:t>
      </w:r>
      <w:r>
        <w:t xml:space="preserve"> repeat their effectiveness</w:t>
      </w:r>
      <w:r w:rsidR="00DA0F9A">
        <w:t>.</w:t>
      </w:r>
      <w:r w:rsidR="00DA0F9A">
        <w:rPr>
          <w:rStyle w:val="FootnoteReference"/>
        </w:rPr>
        <w:footnoteReference w:id="46"/>
      </w:r>
      <w:r>
        <w:t xml:space="preserve"> </w:t>
      </w:r>
    </w:p>
    <w:p w14:paraId="3178D73C" w14:textId="21E47101" w:rsidR="004453AB" w:rsidRDefault="004453AB" w:rsidP="00B222B7">
      <w:r>
        <w:tab/>
        <w:t xml:space="preserve">But yet whether those times of Alexander are judged to be praiseworthy because of the </w:t>
      </w:r>
      <w:r>
        <w:tab/>
        <w:t xml:space="preserve">bravery with which the whole world was seized rather than to be abhorred on account of </w:t>
      </w:r>
      <w:r>
        <w:tab/>
        <w:t>the ruin by which the whole world was overturned</w:t>
      </w:r>
      <w:r w:rsidR="00B222B7">
        <w:t xml:space="preserve">, many, indeed, will be found who </w:t>
      </w:r>
      <w:r w:rsidR="00B222B7">
        <w:tab/>
        <w:t xml:space="preserve">judge these times praiseworthy because they themselves have overcome many obstacles </w:t>
      </w:r>
      <w:r w:rsidR="00B222B7">
        <w:tab/>
        <w:t>and regard the miseries of others their own good fortune.</w:t>
      </w:r>
    </w:p>
    <w:p w14:paraId="69C9386C" w14:textId="0612D08E" w:rsidR="00B222B7" w:rsidRPr="00A47B74" w:rsidRDefault="00BC35AD" w:rsidP="00B222B7">
      <w:pPr>
        <w:jc w:val="right"/>
      </w:pPr>
      <w:r>
        <w:t xml:space="preserve">(Paulus Orosius, </w:t>
      </w:r>
      <w:r w:rsidR="00A47B74">
        <w:rPr>
          <w:i/>
        </w:rPr>
        <w:t xml:space="preserve">Seven Books of History Against the Pagans, </w:t>
      </w:r>
      <w:r w:rsidR="00B8084C">
        <w:t>3.20)</w:t>
      </w:r>
    </w:p>
    <w:p w14:paraId="53CFE677" w14:textId="77777777" w:rsidR="00B222B7" w:rsidRDefault="00B222B7" w:rsidP="00B222B7"/>
    <w:p w14:paraId="2376E782" w14:textId="3BA3496E" w:rsidR="00054CBD" w:rsidRDefault="00126CE4" w:rsidP="00D75C59">
      <w:pPr>
        <w:spacing w:line="480" w:lineRule="auto"/>
      </w:pPr>
      <w:r>
        <w:tab/>
      </w:r>
      <w:r w:rsidR="00054CBD">
        <w:t>The primary distinction needs to be made that Alexander was not in fact fighting in a war, but rather chose to instigate destruction for the purposes of glory, legacy, and conquest. This significant factor surely shines a much more negative light on Alexander, whose actions were not strictly speaking necessary or warranted.</w:t>
      </w:r>
      <w:r w:rsidR="005D19B4">
        <w:t xml:space="preserve"> </w:t>
      </w:r>
      <w:r w:rsidR="00147A6F">
        <w:t>The greed, insatiability, and power hungry ego of Alexander has long been documented.</w:t>
      </w:r>
      <w:r w:rsidR="00054CBD">
        <w:t xml:space="preserve"> It is simple to understand the benefits that his </w:t>
      </w:r>
      <w:r w:rsidR="00054CBD">
        <w:lastRenderedPageBreak/>
        <w:t xml:space="preserve">campaigns would have brought to the Macedonians and Greeks in his empire, however the territories that were acquired were done so through the blood of innumerable innocents. </w:t>
      </w:r>
    </w:p>
    <w:p w14:paraId="6ECDA104" w14:textId="6142869B" w:rsidR="008A7184" w:rsidRDefault="008A7184" w:rsidP="008A7184">
      <w:pPr>
        <w:pStyle w:val="Heading1"/>
        <w:jc w:val="center"/>
      </w:pPr>
      <w:bookmarkStart w:id="6" w:name="_Toc40100587"/>
      <w:r>
        <w:t>Chapter Seven: The Hatred for Alexander</w:t>
      </w:r>
      <w:bookmarkEnd w:id="6"/>
    </w:p>
    <w:p w14:paraId="61A710F6" w14:textId="77777777" w:rsidR="008A7184" w:rsidRPr="008A7184" w:rsidRDefault="008A7184" w:rsidP="008A7184"/>
    <w:p w14:paraId="183BC753" w14:textId="2E4DD537" w:rsidR="00E80E4C" w:rsidRDefault="00054CBD" w:rsidP="00D75C59">
      <w:pPr>
        <w:spacing w:line="480" w:lineRule="auto"/>
      </w:pPr>
      <w:r>
        <w:tab/>
        <w:t>Keeping these facts in mind, the discovery of many negative opinions and representations of Alexander does not come as a surprise.</w:t>
      </w:r>
      <w:r w:rsidR="000E622E" w:rsidRPr="000E622E">
        <w:t xml:space="preserve"> </w:t>
      </w:r>
      <w:r w:rsidR="000E622E">
        <w:t>There are two primary camps of thought speaking about Alexander. The first of which are those who portray him as a cultural anthropologist, an eager advocate for social and philosophical expansion and development. The second camp contains those who view Alexander as a murderous opportunist who used cultural advancement at a convenient excuse for genocide.</w:t>
      </w:r>
      <w:r>
        <w:t xml:space="preserve"> Described in the</w:t>
      </w:r>
      <w:r w:rsidR="00866DA6">
        <w:t xml:space="preserve"> Christian</w:t>
      </w:r>
      <w:r>
        <w:t xml:space="preserve"> Holy Bible, Alexander is presented as a goat with a horn between its eyes, the king of Greece. In the story, the goat viciously attacks and tramples a</w:t>
      </w:r>
      <w:r w:rsidR="00D431E6">
        <w:t xml:space="preserve"> ram with two horns</w:t>
      </w:r>
      <w:r>
        <w:t>,</w:t>
      </w:r>
      <w:r w:rsidR="00D431E6">
        <w:t xml:space="preserve"> representing</w:t>
      </w:r>
      <w:r>
        <w:t xml:space="preserve"> the kings of Media and Persia, until the ram is defeated and powerless to defend itself. The goat’s power then continued to grow until it reached its height, at which point his horn broke off and four new horns grew in its place. The four horns represented the new, albeit less powerful </w:t>
      </w:r>
      <w:r w:rsidR="00D26EB7">
        <w:t>kingdoms that rose in place of the</w:t>
      </w:r>
      <w:r>
        <w:t xml:space="preserve"> singular nation</w:t>
      </w:r>
      <w:r w:rsidR="00D26EB7">
        <w:t xml:space="preserve"> that once stood</w:t>
      </w:r>
      <w:r>
        <w:t>.</w:t>
      </w:r>
      <w:r>
        <w:rPr>
          <w:rStyle w:val="FootnoteReference"/>
        </w:rPr>
        <w:footnoteReference w:id="47"/>
      </w:r>
    </w:p>
    <w:p w14:paraId="39981D46" w14:textId="77777777" w:rsidR="00054CBD" w:rsidRDefault="00054CBD" w:rsidP="00D75C59">
      <w:pPr>
        <w:spacing w:line="480" w:lineRule="auto"/>
      </w:pPr>
      <w:r>
        <w:tab/>
        <w:t xml:space="preserve">Reflective of this brutal treatment of Media and Persia as described in the Bible, Zoroastrian tradition assigned Alexander the moniker of </w:t>
      </w:r>
      <w:proofErr w:type="spellStart"/>
      <w:r w:rsidRPr="00610A1F">
        <w:rPr>
          <w:i/>
        </w:rPr>
        <w:t>Guzastag</w:t>
      </w:r>
      <w:proofErr w:type="spellEnd"/>
      <w:r>
        <w:t xml:space="preserve">, meaning “the Accursed.” He was known as an evil-destined and raging villain. Such labels had previously been applied only to </w:t>
      </w:r>
      <w:proofErr w:type="spellStart"/>
      <w:r>
        <w:t>Angra</w:t>
      </w:r>
      <w:proofErr w:type="spellEnd"/>
      <w:r>
        <w:t xml:space="preserve"> </w:t>
      </w:r>
      <w:proofErr w:type="spellStart"/>
      <w:r>
        <w:t>Mainyu</w:t>
      </w:r>
      <w:proofErr w:type="spellEnd"/>
      <w:r>
        <w:t>, the “hostile spirit” and the personification of evil according to Zoroastrianism.</w:t>
      </w:r>
      <w:r>
        <w:rPr>
          <w:rStyle w:val="FootnoteReference"/>
        </w:rPr>
        <w:footnoteReference w:id="48"/>
      </w:r>
      <w:r>
        <w:t xml:space="preserve"> Zoroastrian tradition also claims that Alexander performed extremely </w:t>
      </w:r>
      <w:r>
        <w:lastRenderedPageBreak/>
        <w:t>sacrilegious acts such as killing priests and destroying sacred fires. Such an insult to their religion would not easily be forgiven.</w:t>
      </w:r>
      <w:r>
        <w:rPr>
          <w:rStyle w:val="FootnoteReference"/>
        </w:rPr>
        <w:footnoteReference w:id="49"/>
      </w:r>
    </w:p>
    <w:p w14:paraId="226E28CC" w14:textId="5E2EDC5E" w:rsidR="00BF1711" w:rsidRDefault="00054CBD" w:rsidP="00A9592B">
      <w:pPr>
        <w:spacing w:line="480" w:lineRule="auto"/>
      </w:pPr>
      <w:r>
        <w:tab/>
        <w:t xml:space="preserve">Spanish </w:t>
      </w:r>
      <w:r w:rsidR="00243BD5">
        <w:t>historian</w:t>
      </w:r>
      <w:r>
        <w:t xml:space="preserve"> Paulus Orosius offers additional extreme opinions concerning the c</w:t>
      </w:r>
      <w:r w:rsidR="00400DF4">
        <w:t>haracter of Alexander. Orosius’</w:t>
      </w:r>
      <w:r>
        <w:t xml:space="preserve"> work, </w:t>
      </w:r>
      <w:r>
        <w:rPr>
          <w:i/>
        </w:rPr>
        <w:t xml:space="preserve">Seven Books of History Against the Pagans, </w:t>
      </w:r>
      <w:r>
        <w:t>written in the fifth century CE, states in no uncertain terms that Alexander was a, “whirlpool of evils and most horrible hurricane sweeping the East.”</w:t>
      </w:r>
      <w:r>
        <w:rPr>
          <w:rStyle w:val="FootnoteReference"/>
        </w:rPr>
        <w:footnoteReference w:id="50"/>
      </w:r>
      <w:r>
        <w:t xml:space="preserve"> According to Orosius, this wickedness did not begin with Alexander but also included his father Philip who </w:t>
      </w:r>
      <w:r w:rsidR="00121810">
        <w:t>“</w:t>
      </w:r>
      <w:r>
        <w:t>accumulated evil</w:t>
      </w:r>
      <w:r w:rsidR="00121810">
        <w:t>”</w:t>
      </w:r>
      <w:r>
        <w:t xml:space="preserve"> while in control of the Macedonians.</w:t>
      </w:r>
      <w:r>
        <w:rPr>
          <w:rStyle w:val="FootnoteReference"/>
        </w:rPr>
        <w:footnoteReference w:id="51"/>
      </w:r>
      <w:r>
        <w:t xml:space="preserve"> The mutilation of Greece at the hands of Philip is outlined at length, sparing no expense for the brutal, hostile ways in which Philip crushed its liberties. Greece, which had been treated as an ally until that point, was invaded as an enemy, being met with ferocity and destruction. Philip was said to be elated by the overthrowing of his allies and the murder of his</w:t>
      </w:r>
      <w:r w:rsidR="00E25E36">
        <w:t xml:space="preserve"> own</w:t>
      </w:r>
      <w:r>
        <w:t xml:space="preserve"> family</w:t>
      </w:r>
      <w:r w:rsidR="000E4B6F">
        <w:t>, thus proving his wickedness fu</w:t>
      </w:r>
      <w:r w:rsidR="00E25E36">
        <w:t>r</w:t>
      </w:r>
      <w:r w:rsidR="000E4B6F">
        <w:t>ther</w:t>
      </w:r>
      <w:r>
        <w:t>.</w:t>
      </w:r>
      <w:r>
        <w:rPr>
          <w:rStyle w:val="FootnoteReference"/>
        </w:rPr>
        <w:footnoteReference w:id="52"/>
      </w:r>
      <w:r>
        <w:t xml:space="preserve"> Orosius expresses a lack of surprise that Alexander would be as malicious as he was, keeping his father in mind. Even so, he shares a moment of admiration for Alexander’s courage and ability to accomplish the empire he did with such a small force.</w:t>
      </w:r>
      <w:r>
        <w:rPr>
          <w:rStyle w:val="FootnoteReference"/>
        </w:rPr>
        <w:footnoteReference w:id="53"/>
      </w:r>
      <w:r>
        <w:t xml:space="preserve"> What follows in his account is a series of words such as, “frenzy,” “slaying,” and, “nefarious.” Furthermore, he reduces Alexander to nothing more than </w:t>
      </w:r>
      <w:r w:rsidR="00B50243">
        <w:t>a monster in his description, “B</w:t>
      </w:r>
      <w:r>
        <w:t>ut Alexander, insatiable for human blood, whether of enemies or even allies, was always thirsting for fresh bloodshed.”</w:t>
      </w:r>
      <w:r>
        <w:rPr>
          <w:rStyle w:val="FootnoteReference"/>
        </w:rPr>
        <w:footnoteReference w:id="54"/>
      </w:r>
      <w:r>
        <w:t xml:space="preserve"> He was portrayed as inhuman until his death when, “still thirsting for blood, he drank poison, his wicked appetite being punished.”</w:t>
      </w:r>
      <w:r>
        <w:rPr>
          <w:rStyle w:val="FootnoteReference"/>
        </w:rPr>
        <w:footnoteReference w:id="55"/>
      </w:r>
    </w:p>
    <w:p w14:paraId="6D7E54B1" w14:textId="52D058D3" w:rsidR="00AC7C64" w:rsidRDefault="00AC7C64" w:rsidP="00AC7C64">
      <w:pPr>
        <w:pStyle w:val="Heading1"/>
        <w:jc w:val="center"/>
      </w:pPr>
      <w:bookmarkStart w:id="7" w:name="_Toc40100588"/>
      <w:r>
        <w:lastRenderedPageBreak/>
        <w:t xml:space="preserve">Chapter </w:t>
      </w:r>
      <w:r w:rsidR="00770F42">
        <w:t>Eight</w:t>
      </w:r>
      <w:r>
        <w:t>: Religious Ramifications</w:t>
      </w:r>
      <w:bookmarkEnd w:id="7"/>
    </w:p>
    <w:p w14:paraId="2283FBAB" w14:textId="77777777" w:rsidR="00AC7C64" w:rsidRPr="00AC7C64" w:rsidRDefault="00AC7C64" w:rsidP="00AC7C64"/>
    <w:p w14:paraId="7EC13CD5" w14:textId="1033452B" w:rsidR="00582876" w:rsidRDefault="00582876" w:rsidP="00A9592B">
      <w:pPr>
        <w:spacing w:line="480" w:lineRule="auto"/>
        <w:rPr>
          <w:color w:val="000000" w:themeColor="text1"/>
        </w:rPr>
      </w:pPr>
      <w:r>
        <w:rPr>
          <w:color w:val="FF0000"/>
        </w:rPr>
        <w:tab/>
      </w:r>
      <w:r w:rsidR="00405426">
        <w:rPr>
          <w:color w:val="000000" w:themeColor="text1"/>
        </w:rPr>
        <w:t xml:space="preserve">Andy T. Fear points out the fact that Orosius had deep ideological and theological motives behind his work. The title of his composition, </w:t>
      </w:r>
      <w:r w:rsidR="00405426">
        <w:rPr>
          <w:i/>
          <w:color w:val="000000" w:themeColor="text1"/>
        </w:rPr>
        <w:t xml:space="preserve">Seven Books of History Against the Pagans, </w:t>
      </w:r>
      <w:r w:rsidR="00BF637B">
        <w:rPr>
          <w:color w:val="000000" w:themeColor="text1"/>
        </w:rPr>
        <w:t>being a clue into his mind-set</w:t>
      </w:r>
      <w:r w:rsidR="00EA77C3">
        <w:rPr>
          <w:color w:val="000000" w:themeColor="text1"/>
        </w:rPr>
        <w:t>;</w:t>
      </w:r>
      <w:r w:rsidR="00BF637B">
        <w:rPr>
          <w:color w:val="000000" w:themeColor="text1"/>
        </w:rPr>
        <w:t xml:space="preserve"> </w:t>
      </w:r>
      <w:r w:rsidR="006E632C">
        <w:rPr>
          <w:color w:val="000000" w:themeColor="text1"/>
        </w:rPr>
        <w:t>his aim was to express how the world is better off as Christian than it was as pagan.</w:t>
      </w:r>
      <w:r w:rsidR="007F69A0">
        <w:rPr>
          <w:color w:val="000000" w:themeColor="text1"/>
        </w:rPr>
        <w:t xml:space="preserve"> </w:t>
      </w:r>
      <w:r w:rsidR="006D7501">
        <w:rPr>
          <w:color w:val="000000" w:themeColor="text1"/>
        </w:rPr>
        <w:t>This was made evident in how Philip, amongst others</w:t>
      </w:r>
      <w:r w:rsidR="007B661E">
        <w:rPr>
          <w:rStyle w:val="FootnoteReference"/>
          <w:color w:val="000000" w:themeColor="text1"/>
        </w:rPr>
        <w:footnoteReference w:id="56"/>
      </w:r>
      <w:r w:rsidR="006D7501">
        <w:rPr>
          <w:color w:val="000000" w:themeColor="text1"/>
        </w:rPr>
        <w:t xml:space="preserve">, was included in his critique. </w:t>
      </w:r>
      <w:r w:rsidR="00C72AD4">
        <w:rPr>
          <w:color w:val="000000" w:themeColor="text1"/>
        </w:rPr>
        <w:t>He was indicating that paganism</w:t>
      </w:r>
      <w:r w:rsidR="009E4CE0">
        <w:rPr>
          <w:color w:val="000000" w:themeColor="text1"/>
        </w:rPr>
        <w:t xml:space="preserve"> in general is base and unholy and led to long lasting and immeasurable suffering in the past. </w:t>
      </w:r>
      <w:r w:rsidR="00DA674E">
        <w:rPr>
          <w:color w:val="000000" w:themeColor="text1"/>
        </w:rPr>
        <w:t>Further to the point, Alexander himself proved to be a point of contention in his overall g</w:t>
      </w:r>
      <w:r w:rsidR="00020990">
        <w:rPr>
          <w:color w:val="000000" w:themeColor="text1"/>
        </w:rPr>
        <w:t>oals. As was discussed previously</w:t>
      </w:r>
      <w:r w:rsidR="00DA674E">
        <w:rPr>
          <w:color w:val="000000" w:themeColor="text1"/>
        </w:rPr>
        <w:t xml:space="preserve">, Plutarch </w:t>
      </w:r>
      <w:r w:rsidR="00E34B2E">
        <w:rPr>
          <w:color w:val="000000" w:themeColor="text1"/>
        </w:rPr>
        <w:t>exclaimed</w:t>
      </w:r>
      <w:r w:rsidR="00DA674E">
        <w:rPr>
          <w:color w:val="000000" w:themeColor="text1"/>
        </w:rPr>
        <w:t xml:space="preserve"> that Alexander’s true goal as a conqueror and a ruler was to unify the world under one government and one rule. </w:t>
      </w:r>
      <w:r w:rsidR="00A85E27">
        <w:rPr>
          <w:color w:val="000000" w:themeColor="text1"/>
        </w:rPr>
        <w:t>This was undoubtedly unacceptable to Orosius who advocated for the Christian model for world history.</w:t>
      </w:r>
      <w:r w:rsidR="00BC1B22">
        <w:rPr>
          <w:rStyle w:val="FootnoteReference"/>
          <w:color w:val="000000" w:themeColor="text1"/>
        </w:rPr>
        <w:footnoteReference w:id="57"/>
      </w:r>
      <w:r w:rsidR="006C5786">
        <w:rPr>
          <w:color w:val="000000" w:themeColor="text1"/>
        </w:rPr>
        <w:t xml:space="preserve"> Significantly, Orosius proceeded to compare Alexander with Queen </w:t>
      </w:r>
      <w:proofErr w:type="spellStart"/>
      <w:r w:rsidR="006C5786">
        <w:rPr>
          <w:color w:val="000000" w:themeColor="text1"/>
        </w:rPr>
        <w:t>Semiramis</w:t>
      </w:r>
      <w:proofErr w:type="spellEnd"/>
      <w:r w:rsidR="006C5786">
        <w:rPr>
          <w:color w:val="000000" w:themeColor="text1"/>
        </w:rPr>
        <w:t xml:space="preserve"> </w:t>
      </w:r>
      <w:r w:rsidR="00BA4BB2">
        <w:rPr>
          <w:color w:val="000000" w:themeColor="text1"/>
        </w:rPr>
        <w:t>of Babylon, the kingdom which Christians consider</w:t>
      </w:r>
      <w:r w:rsidR="006D7D9C">
        <w:rPr>
          <w:color w:val="000000" w:themeColor="text1"/>
        </w:rPr>
        <w:t>ed</w:t>
      </w:r>
      <w:r w:rsidR="00BA4BB2">
        <w:rPr>
          <w:color w:val="000000" w:themeColor="text1"/>
        </w:rPr>
        <w:t xml:space="preserve"> to be the archetypal evil</w:t>
      </w:r>
      <w:r w:rsidR="003770D7">
        <w:rPr>
          <w:color w:val="000000" w:themeColor="text1"/>
        </w:rPr>
        <w:t xml:space="preserve"> of the ancient world</w:t>
      </w:r>
      <w:r w:rsidR="00BA4BB2">
        <w:rPr>
          <w:color w:val="000000" w:themeColor="text1"/>
        </w:rPr>
        <w:t>.</w:t>
      </w:r>
      <w:r w:rsidR="00563573">
        <w:rPr>
          <w:rStyle w:val="FootnoteReference"/>
          <w:color w:val="000000" w:themeColor="text1"/>
        </w:rPr>
        <w:footnoteReference w:id="58"/>
      </w:r>
      <w:r w:rsidR="00BA4BB2">
        <w:rPr>
          <w:color w:val="000000" w:themeColor="text1"/>
        </w:rPr>
        <w:t xml:space="preserve"> </w:t>
      </w:r>
      <w:r w:rsidR="00ED4B40">
        <w:rPr>
          <w:color w:val="000000" w:themeColor="text1"/>
        </w:rPr>
        <w:t>The comparison is made in regards to their treatment of India, with both rulers wreaking more havoc and death than any other at the time of writing.</w:t>
      </w:r>
      <w:r w:rsidR="0054372D">
        <w:rPr>
          <w:color w:val="000000" w:themeColor="text1"/>
        </w:rPr>
        <w:t xml:space="preserve"> Orosius was careful to localise India as a point of fo</w:t>
      </w:r>
      <w:r w:rsidR="00630996">
        <w:rPr>
          <w:color w:val="000000" w:themeColor="text1"/>
        </w:rPr>
        <w:t>cus, bringing Christian versus p</w:t>
      </w:r>
      <w:r w:rsidR="0054372D">
        <w:rPr>
          <w:color w:val="000000" w:themeColor="text1"/>
        </w:rPr>
        <w:t>agan arguments to the forefront.</w:t>
      </w:r>
      <w:r w:rsidR="00630996">
        <w:rPr>
          <w:color w:val="000000" w:themeColor="text1"/>
        </w:rPr>
        <w:t xml:space="preserve"> The pagan argument was that Christianity offered nothing of note, while the Christian argument was that pagans produced their wisdom and ideologies from God whether knowingly or not.</w:t>
      </w:r>
      <w:r w:rsidR="00D96593">
        <w:rPr>
          <w:rStyle w:val="FootnoteReference"/>
          <w:color w:val="000000" w:themeColor="text1"/>
        </w:rPr>
        <w:footnoteReference w:id="59"/>
      </w:r>
      <w:r w:rsidR="00D46CD1">
        <w:rPr>
          <w:color w:val="000000" w:themeColor="text1"/>
        </w:rPr>
        <w:t xml:space="preserve"> </w:t>
      </w:r>
    </w:p>
    <w:p w14:paraId="4EFCC77C" w14:textId="22991C0B" w:rsidR="00D46CD1" w:rsidRDefault="00D46CD1" w:rsidP="00A9592B">
      <w:pPr>
        <w:spacing w:line="480" w:lineRule="auto"/>
        <w:rPr>
          <w:color w:val="000000" w:themeColor="text1"/>
        </w:rPr>
      </w:pPr>
      <w:r>
        <w:rPr>
          <w:color w:val="000000" w:themeColor="text1"/>
        </w:rPr>
        <w:tab/>
        <w:t>The naked philosophers, ‘</w:t>
      </w:r>
      <w:proofErr w:type="spellStart"/>
      <w:r>
        <w:rPr>
          <w:color w:val="000000" w:themeColor="text1"/>
        </w:rPr>
        <w:t>Gymnosophists</w:t>
      </w:r>
      <w:proofErr w:type="spellEnd"/>
      <w:r w:rsidR="00645C99">
        <w:rPr>
          <w:color w:val="000000" w:themeColor="text1"/>
        </w:rPr>
        <w:t>,</w:t>
      </w:r>
      <w:r>
        <w:rPr>
          <w:color w:val="000000" w:themeColor="text1"/>
        </w:rPr>
        <w:t xml:space="preserve">’ of India were also </w:t>
      </w:r>
      <w:r w:rsidR="00084A24">
        <w:rPr>
          <w:color w:val="000000" w:themeColor="text1"/>
        </w:rPr>
        <w:t>an</w:t>
      </w:r>
      <w:r w:rsidR="00FB7DED">
        <w:rPr>
          <w:color w:val="000000" w:themeColor="text1"/>
        </w:rPr>
        <w:t xml:space="preserve"> interesting aspect of argument</w:t>
      </w:r>
      <w:r w:rsidR="00084A24">
        <w:rPr>
          <w:color w:val="000000" w:themeColor="text1"/>
        </w:rPr>
        <w:t xml:space="preserve"> as Alexander engaged them in a battle of wits</w:t>
      </w:r>
      <w:r w:rsidR="00F74A0C">
        <w:rPr>
          <w:color w:val="000000" w:themeColor="text1"/>
        </w:rPr>
        <w:t>.</w:t>
      </w:r>
      <w:r w:rsidR="00F74A0C">
        <w:rPr>
          <w:rStyle w:val="FootnoteReference"/>
          <w:color w:val="000000" w:themeColor="text1"/>
        </w:rPr>
        <w:footnoteReference w:id="60"/>
      </w:r>
      <w:r w:rsidR="009511A3">
        <w:rPr>
          <w:color w:val="000000" w:themeColor="text1"/>
        </w:rPr>
        <w:t xml:space="preserve"> Following </w:t>
      </w:r>
      <w:r w:rsidR="00B51401">
        <w:rPr>
          <w:color w:val="000000" w:themeColor="text1"/>
        </w:rPr>
        <w:t xml:space="preserve">the questioning, Alexander offered gifts to those whose answers he was impressed by. The </w:t>
      </w:r>
      <w:proofErr w:type="spellStart"/>
      <w:r w:rsidR="00B51401">
        <w:rPr>
          <w:color w:val="000000" w:themeColor="text1"/>
        </w:rPr>
        <w:t>gymnosophists</w:t>
      </w:r>
      <w:proofErr w:type="spellEnd"/>
      <w:r w:rsidR="00B51401">
        <w:rPr>
          <w:color w:val="000000" w:themeColor="text1"/>
        </w:rPr>
        <w:t xml:space="preserve"> then requested </w:t>
      </w:r>
      <w:r w:rsidR="00B51401">
        <w:rPr>
          <w:color w:val="000000" w:themeColor="text1"/>
        </w:rPr>
        <w:lastRenderedPageBreak/>
        <w:t xml:space="preserve">immortality, which Alexander regret he could not offer them due to himself being mortal, and further mentioned a spirit which ruled his senses. </w:t>
      </w:r>
      <w:r w:rsidR="006D3199">
        <w:rPr>
          <w:color w:val="000000" w:themeColor="text1"/>
        </w:rPr>
        <w:t xml:space="preserve">His statement regarding a spirit has since sparked a debate amongst Christians over the world. Eastern Christian traditions view this as evidence that Alexander was being motivated by the will of God. </w:t>
      </w:r>
      <w:r w:rsidR="009F3E97">
        <w:rPr>
          <w:color w:val="000000" w:themeColor="text1"/>
        </w:rPr>
        <w:t xml:space="preserve">However, Western Christian tradition views the interaction in a much more negative light for Alexander, who seemingly admitted to not being in control of himself or his actions. </w:t>
      </w:r>
      <w:r w:rsidR="00235178">
        <w:rPr>
          <w:color w:val="000000" w:themeColor="text1"/>
        </w:rPr>
        <w:t>Further to that point, Fear states that, “his admission of mortality shows the futility of the pursuit of earthly glory.”</w:t>
      </w:r>
      <w:r w:rsidR="00235178">
        <w:rPr>
          <w:rStyle w:val="FootnoteReference"/>
          <w:color w:val="000000" w:themeColor="text1"/>
        </w:rPr>
        <w:footnoteReference w:id="61"/>
      </w:r>
      <w:r w:rsidR="00BE2842">
        <w:rPr>
          <w:color w:val="000000" w:themeColor="text1"/>
        </w:rPr>
        <w:t xml:space="preserve"> </w:t>
      </w:r>
    </w:p>
    <w:p w14:paraId="159224C3" w14:textId="5C8B4D68" w:rsidR="00BE2842" w:rsidRDefault="00BE2842" w:rsidP="00A9592B">
      <w:pPr>
        <w:spacing w:line="480" w:lineRule="auto"/>
        <w:rPr>
          <w:color w:val="000000" w:themeColor="text1"/>
        </w:rPr>
      </w:pPr>
      <w:r>
        <w:rPr>
          <w:color w:val="000000" w:themeColor="text1"/>
        </w:rPr>
        <w:tab/>
        <w:t>An additional Christian text</w:t>
      </w:r>
      <w:r w:rsidR="00BA5FC0">
        <w:rPr>
          <w:color w:val="000000" w:themeColor="text1"/>
        </w:rPr>
        <w:t xml:space="preserve"> containing commentary on Alexander is that of </w:t>
      </w:r>
      <w:r w:rsidR="00BA5FC0">
        <w:rPr>
          <w:i/>
          <w:color w:val="000000" w:themeColor="text1"/>
        </w:rPr>
        <w:t xml:space="preserve">On the Races of India and the Brahmans </w:t>
      </w:r>
      <w:r w:rsidR="00BA5FC0">
        <w:rPr>
          <w:color w:val="000000" w:themeColor="text1"/>
        </w:rPr>
        <w:t xml:space="preserve">by </w:t>
      </w:r>
      <w:proofErr w:type="spellStart"/>
      <w:r w:rsidR="00BA5FC0">
        <w:rPr>
          <w:color w:val="000000" w:themeColor="text1"/>
        </w:rPr>
        <w:t>Palladius</w:t>
      </w:r>
      <w:proofErr w:type="spellEnd"/>
      <w:r w:rsidR="00BA5FC0">
        <w:rPr>
          <w:color w:val="000000" w:themeColor="text1"/>
        </w:rPr>
        <w:t xml:space="preserve">, a bishop writing in the late 300s CE. </w:t>
      </w:r>
      <w:r w:rsidR="00C4680F">
        <w:rPr>
          <w:color w:val="000000" w:themeColor="text1"/>
        </w:rPr>
        <w:t>In this text, Alexander is depicted as a fool who thinks himself a god and lacks self-control. A lack of self-control, hedonism, and excessive pride were all qualities that Alexander was accused of having, and all of which are condemned by Christian</w:t>
      </w:r>
      <w:r w:rsidR="008D56C6">
        <w:rPr>
          <w:color w:val="000000" w:themeColor="text1"/>
        </w:rPr>
        <w:t>ity.</w:t>
      </w:r>
      <w:r w:rsidR="008D56C6">
        <w:rPr>
          <w:rStyle w:val="FootnoteReference"/>
          <w:color w:val="000000" w:themeColor="text1"/>
        </w:rPr>
        <w:footnoteReference w:id="62"/>
      </w:r>
      <w:r w:rsidR="005C7129">
        <w:rPr>
          <w:color w:val="000000" w:themeColor="text1"/>
        </w:rPr>
        <w:t xml:space="preserve"> With this in consid</w:t>
      </w:r>
      <w:r w:rsidR="00B53DE5">
        <w:rPr>
          <w:color w:val="000000" w:themeColor="text1"/>
        </w:rPr>
        <w:t>eration, the source of Orosius’</w:t>
      </w:r>
      <w:r w:rsidR="005C7129">
        <w:rPr>
          <w:color w:val="000000" w:themeColor="text1"/>
        </w:rPr>
        <w:t xml:space="preserve"> bias appears more clear. </w:t>
      </w:r>
    </w:p>
    <w:p w14:paraId="3FC1A22B" w14:textId="2D866CD4" w:rsidR="002451C5" w:rsidRDefault="002451C5" w:rsidP="00A9592B">
      <w:pPr>
        <w:spacing w:line="480" w:lineRule="auto"/>
      </w:pPr>
      <w:r>
        <w:rPr>
          <w:color w:val="000000" w:themeColor="text1"/>
        </w:rPr>
        <w:tab/>
      </w:r>
      <w:r>
        <w:t>In a Jewish folktale, Alexander meets a figure called the Faraway King. In this story, the Faraway King is essentially the king at the end of the world, who Alexander encounters on a quest. This story depicts interactions in which it is established that Alexander simply wishes to observe the culture he has found and view their ways. The “Faraway” culture thrived on virtue, wisdom, and happiness. It is then revealed that Alexander truly wanted the wealth land offered and was willing to kill for it. The point is made that while Alexander’s empire was incredibly wealth, his true legacy is that of destruction and death.</w:t>
      </w:r>
      <w:r>
        <w:rPr>
          <w:rStyle w:val="FootnoteReference"/>
        </w:rPr>
        <w:footnoteReference w:id="63"/>
      </w:r>
      <w:r>
        <w:t xml:space="preserve"> Rubenstein poses the question: would </w:t>
      </w:r>
      <w:r>
        <w:lastRenderedPageBreak/>
        <w:t>you rather live in the exceedingly wealthy empire of Alexander, or the virtuous kingdom Faraway?</w:t>
      </w:r>
      <w:r>
        <w:rPr>
          <w:rStyle w:val="FootnoteReference"/>
        </w:rPr>
        <w:footnoteReference w:id="64"/>
      </w:r>
    </w:p>
    <w:p w14:paraId="62837923" w14:textId="4B544D47" w:rsidR="009D0985" w:rsidRDefault="009D0985" w:rsidP="009D0985">
      <w:pPr>
        <w:pStyle w:val="Heading1"/>
        <w:jc w:val="center"/>
      </w:pPr>
      <w:bookmarkStart w:id="8" w:name="_Toc40100589"/>
      <w:r>
        <w:t>Chapter Nine: Alexander’s Attempts at Assimilation</w:t>
      </w:r>
      <w:bookmarkEnd w:id="8"/>
    </w:p>
    <w:p w14:paraId="67D757E8" w14:textId="77777777" w:rsidR="009D0985" w:rsidRPr="009D0985" w:rsidRDefault="009D0985" w:rsidP="009D0985"/>
    <w:p w14:paraId="2F56B8A0" w14:textId="003DCE88" w:rsidR="0013542B" w:rsidRDefault="0013542B" w:rsidP="00D75C59">
      <w:pPr>
        <w:spacing w:line="480" w:lineRule="auto"/>
      </w:pPr>
      <w:r>
        <w:tab/>
        <w:t xml:space="preserve">Persians almost certainly would have been less happy with Alexander than the Greeks were during his reign. Alexander perhaps could have put forth more of an effort to assimilate to Persian culture or at least to work to understand their culture and keep it intact. From a modern standpoint, </w:t>
      </w:r>
      <w:r w:rsidR="008D243B">
        <w:t>communities around the world</w:t>
      </w:r>
      <w:r w:rsidR="007F0874">
        <w:t xml:space="preserve"> </w:t>
      </w:r>
      <w:r>
        <w:t>have expressed dissatisfaction regarding efforts made by some (certainly not all) immigrants. The primary issue that arises is that of language and the opinion that those moving to a country should always make the effort to learn the language of the country they are moving to.  While the concept of immigration and conquerors are vastly different, the unhappiness can certainly be understood if the most basic efforts are not made. Those are quite inconsequential opinions and tend to not lead to harsh actions or words, but it is understandable that many subjects across Alexander’s empire, both Greek and non-Greek, would have hated him.</w:t>
      </w:r>
      <w:r>
        <w:tab/>
      </w:r>
    </w:p>
    <w:p w14:paraId="6871A5AB" w14:textId="370FC470" w:rsidR="00005178" w:rsidRDefault="00005178" w:rsidP="00D75C59">
      <w:pPr>
        <w:spacing w:line="480" w:lineRule="auto"/>
      </w:pPr>
      <w:r>
        <w:tab/>
        <w:t>Alexander used local tradition in order to solidify his reign in locations around the world. The most blatant use of this is perhaps that of the Gordian Knot which, upon unravelling - or cutting, in Alexander’s case -  deemed the victor Lord of Asia.</w:t>
      </w:r>
      <w:r>
        <w:rPr>
          <w:rStyle w:val="FootnoteReference"/>
        </w:rPr>
        <w:footnoteReference w:id="65"/>
      </w:r>
      <w:r>
        <w:t xml:space="preserve"> Others, however, balk at this action, refusing to view it as respect for the local culture. Robert Graves interprets Alexander’s cutting of the knot as a brutal act which places power of the sword above religion.</w:t>
      </w:r>
      <w:r>
        <w:rPr>
          <w:rStyle w:val="FootnoteReference"/>
        </w:rPr>
        <w:footnoteReference w:id="66"/>
      </w:r>
      <w:r w:rsidR="00D33166">
        <w:t xml:space="preserve"> </w:t>
      </w:r>
      <w:r>
        <w:t xml:space="preserve">In addition to this local tradition, Alexander noted the importance of divine parentage in order to secure </w:t>
      </w:r>
      <w:r>
        <w:lastRenderedPageBreak/>
        <w:t>reign over Egypt. Alexander then went to the Oracle of Ammon who confirmed that Alexander was the son of Zeus.</w:t>
      </w:r>
      <w:r>
        <w:rPr>
          <w:rStyle w:val="FootnoteReference"/>
        </w:rPr>
        <w:footnoteReference w:id="67"/>
      </w:r>
    </w:p>
    <w:p w14:paraId="3EBD98D4" w14:textId="66F0B087" w:rsidR="00005178" w:rsidRDefault="00005178" w:rsidP="00D75C59">
      <w:pPr>
        <w:spacing w:line="480" w:lineRule="auto"/>
      </w:pPr>
      <w:r>
        <w:tab/>
        <w:t xml:space="preserve"> Ian Worthington points out the importance of remembering Alexander’s empire wasn’t wholly peaceful in its size and time together. During Alexander’s reign, he was met with constant opposition throughout his empire, often from rulers who felt their own power was at risk. This is perhaps why local traditions were so important to Alexander. In the example of the Gordian Knot, it was convenient for him to state that his rule over Asia was prophesised to attempt to appease naysayers. Despite this, Worthington makes the very clear and understandable statement, “no one likes to be conquered.”</w:t>
      </w:r>
      <w:r>
        <w:rPr>
          <w:rStyle w:val="FootnoteReference"/>
        </w:rPr>
        <w:footnoteReference w:id="68"/>
      </w:r>
    </w:p>
    <w:p w14:paraId="14C8503F" w14:textId="1F98482D" w:rsidR="00A531F8" w:rsidRDefault="00A531F8" w:rsidP="00A531F8">
      <w:pPr>
        <w:pStyle w:val="Heading1"/>
        <w:jc w:val="center"/>
      </w:pPr>
      <w:bookmarkStart w:id="9" w:name="_Toc40100590"/>
      <w:r>
        <w:t>Chapter Ten: Motivation Behind Modern Historians</w:t>
      </w:r>
      <w:bookmarkEnd w:id="9"/>
    </w:p>
    <w:p w14:paraId="63BB32CA" w14:textId="77777777" w:rsidR="00A531F8" w:rsidRPr="00A531F8" w:rsidRDefault="00A531F8" w:rsidP="00A531F8"/>
    <w:p w14:paraId="26FA0B52" w14:textId="61910DB9" w:rsidR="00A531F8" w:rsidRDefault="003D5B07" w:rsidP="00D75C59">
      <w:pPr>
        <w:spacing w:line="480" w:lineRule="auto"/>
      </w:pPr>
      <w:r>
        <w:tab/>
        <w:t>Modern historians are constantly seeking answers to the question of whether it is truly warranted to call Alexander great</w:t>
      </w:r>
      <w:r w:rsidR="00F91ACD">
        <w:t>.</w:t>
      </w:r>
      <w:r w:rsidR="00846312">
        <w:rPr>
          <w:rStyle w:val="FootnoteReference"/>
        </w:rPr>
        <w:footnoteReference w:id="69"/>
      </w:r>
      <w:r>
        <w:t xml:space="preserve"> </w:t>
      </w:r>
      <w:r w:rsidR="00FF0EB0">
        <w:t xml:space="preserve">On the surface, it may be easy to make the assumption that it is a West versus East issue, with Westerners being much more in favour of Alexander and his actions. We see now that this is simply not true and that some of the greatest documented praises have come from those whose land he conquered in the East. </w:t>
      </w:r>
      <w:r w:rsidR="00A24EF6">
        <w:t>Scholar Brooke Allen suggests that it is that very discord that continues to pique our interest in Alexander today.</w:t>
      </w:r>
      <w:r w:rsidR="00510A77">
        <w:rPr>
          <w:rStyle w:val="FootnoteReference"/>
        </w:rPr>
        <w:footnoteReference w:id="70"/>
      </w:r>
      <w:r w:rsidR="001D71DB">
        <w:t xml:space="preserve"> </w:t>
      </w:r>
      <w:r w:rsidR="008A50AB">
        <w:t xml:space="preserve">It is fascinating that </w:t>
      </w:r>
      <w:r w:rsidR="00614DD2">
        <w:t>for</w:t>
      </w:r>
      <w:r w:rsidR="008A50AB">
        <w:t xml:space="preserve"> some he is known as “the Great”</w:t>
      </w:r>
      <w:r w:rsidR="00614DD2">
        <w:t xml:space="preserve"> while for</w:t>
      </w:r>
      <w:r w:rsidR="008A50AB">
        <w:t xml:space="preserve"> others he is known as “the Accursed.” </w:t>
      </w:r>
      <w:r w:rsidR="00AA6560">
        <w:t xml:space="preserve">When it comes to depictions of Alexander over the centuries and into more modern times, </w:t>
      </w:r>
      <w:r w:rsidR="00E50291">
        <w:t xml:space="preserve">extremely </w:t>
      </w:r>
      <w:r w:rsidR="00E50291">
        <w:lastRenderedPageBreak/>
        <w:t xml:space="preserve">polarizing opinions can still be found. </w:t>
      </w:r>
      <w:r w:rsidR="001224EC">
        <w:t>He has been incredibly romanticised over the years, with authors sometimes going so far as to write him as the feature in romance novels and epics, “very much as Alexander himself would have wanted.”</w:t>
      </w:r>
      <w:r w:rsidR="001224EC">
        <w:rPr>
          <w:rStyle w:val="FootnoteReference"/>
        </w:rPr>
        <w:footnoteReference w:id="71"/>
      </w:r>
      <w:r w:rsidR="00851269">
        <w:t xml:space="preserve"> Contrary to that point, </w:t>
      </w:r>
      <w:r w:rsidR="00B00C45">
        <w:t>Alexander has also been designated as comparable to Hitler and Stalin, and condemned to Dante’s seventh circle of Hell</w:t>
      </w:r>
      <w:r w:rsidR="00E94AD5">
        <w:t>.</w:t>
      </w:r>
      <w:r w:rsidR="00E94AD5">
        <w:rPr>
          <w:rStyle w:val="FootnoteReference"/>
        </w:rPr>
        <w:footnoteReference w:id="72"/>
      </w:r>
    </w:p>
    <w:p w14:paraId="70B254F3" w14:textId="69B41811" w:rsidR="00CE65D2" w:rsidRDefault="00CE65D2" w:rsidP="00D75C59">
      <w:pPr>
        <w:spacing w:line="480" w:lineRule="auto"/>
      </w:pPr>
      <w:r>
        <w:tab/>
        <w:t>It would appear that as time goes on, historians are taking a more negative approach towards Alexander. It seems as though the longer Alexander is considered “the Great,” the more people have come forward to attempt to argue that fact. An explanation for this may be the inherent political, ethical</w:t>
      </w:r>
      <w:r w:rsidR="00C25AB7">
        <w:t xml:space="preserve">, and moral </w:t>
      </w:r>
      <w:r w:rsidR="00C47D3E">
        <w:t>ramifications</w:t>
      </w:r>
      <w:r w:rsidR="00C25AB7">
        <w:t xml:space="preserve">, as it is a challenge to express an admiration for a man such as Alexander without being condemned for the apparent acceptance of his murderous nature. </w:t>
      </w:r>
      <w:r w:rsidR="00BE7AF7">
        <w:t xml:space="preserve">This perhaps relates to the comparisons to Hitler and Stalin, who are </w:t>
      </w:r>
      <w:r w:rsidR="00A671FE">
        <w:t>considered</w:t>
      </w:r>
      <w:r w:rsidR="00BE7AF7">
        <w:t xml:space="preserve"> to be terrible men. </w:t>
      </w:r>
      <w:r w:rsidR="00A671FE">
        <w:t>In</w:t>
      </w:r>
      <w:r w:rsidR="00F6491B">
        <w:t xml:space="preserve"> many countries around the world, one would be</w:t>
      </w:r>
      <w:r w:rsidR="00D97BA1">
        <w:t xml:space="preserve"> vilified for designating either leader as “</w:t>
      </w:r>
      <w:r w:rsidR="00107DD1">
        <w:t>the Great.</w:t>
      </w:r>
      <w:r w:rsidR="00D97BA1">
        <w:t>”</w:t>
      </w:r>
      <w:r w:rsidR="002B69A1">
        <w:t xml:space="preserve"> That being said, I do not find that morality should be brought into question when researching history</w:t>
      </w:r>
      <w:r w:rsidR="00107DD1">
        <w:t>, as it is our duty to investigate the truth regardless of what that may be.</w:t>
      </w:r>
    </w:p>
    <w:p w14:paraId="7AF32052" w14:textId="1B003F75" w:rsidR="002C1D30" w:rsidRDefault="002C1D30" w:rsidP="002C1D30">
      <w:pPr>
        <w:pStyle w:val="Heading1"/>
        <w:jc w:val="center"/>
      </w:pPr>
      <w:bookmarkStart w:id="10" w:name="_Toc40100591"/>
      <w:r>
        <w:t>Chapter Eleven: The Globalization of Alexander</w:t>
      </w:r>
      <w:bookmarkEnd w:id="10"/>
    </w:p>
    <w:p w14:paraId="5C2BE515" w14:textId="77777777" w:rsidR="002C1D30" w:rsidRPr="002C1D30" w:rsidRDefault="002C1D30" w:rsidP="002C1D30"/>
    <w:p w14:paraId="561FE379" w14:textId="77777777" w:rsidR="0028283E" w:rsidRDefault="007A6A80" w:rsidP="00D75C59">
      <w:pPr>
        <w:spacing w:line="480" w:lineRule="auto"/>
      </w:pPr>
      <w:r>
        <w:tab/>
        <w:t>Hugh Liebert poses an incredibly interesting distinction in regards to either Alexander’s true goal, or his true effect on history. By stepping away from the idea of domination, we may instead view Alexander and his “globalization.” That is, his ability to transcend nations, cults, ideals, and opinions and instead to simply be known as an expansive force.</w:t>
      </w:r>
      <w:r w:rsidR="00CC7DC5">
        <w:rPr>
          <w:rStyle w:val="FootnoteReference"/>
        </w:rPr>
        <w:footnoteReference w:id="73"/>
      </w:r>
      <w:r w:rsidR="006B47D2">
        <w:t xml:space="preserve"> </w:t>
      </w:r>
      <w:r w:rsidR="006B47D2" w:rsidRPr="009972A8">
        <w:t xml:space="preserve">Liebert’s </w:t>
      </w:r>
      <w:r w:rsidR="006B47D2" w:rsidRPr="009972A8">
        <w:lastRenderedPageBreak/>
        <w:t>perspective is one which I relate most similarly to my own and my personal reasons for the study of Alexander the Great.</w:t>
      </w:r>
      <w:r w:rsidR="006B47D2">
        <w:t xml:space="preserve"> </w:t>
      </w:r>
      <w:r w:rsidR="0028283E">
        <w:t>He presents that globalization may be viewed in such a way:</w:t>
      </w:r>
    </w:p>
    <w:p w14:paraId="15A7E9C6" w14:textId="77777777" w:rsidR="0028283E" w:rsidRDefault="0028283E" w:rsidP="0028283E">
      <w:r>
        <w:tab/>
        <w:t xml:space="preserve">A blurring of exclusive and inclusive identities, as when national and human allegiances </w:t>
      </w:r>
      <w:r>
        <w:tab/>
      </w:r>
    </w:p>
    <w:p w14:paraId="72483631" w14:textId="3250EDCA" w:rsidR="007A6A80" w:rsidRDefault="0028283E" w:rsidP="0028283E">
      <w:r>
        <w:tab/>
        <w:t xml:space="preserve">become intertwined, and of multiple exclusive identities, as when distinct national </w:t>
      </w:r>
      <w:r>
        <w:tab/>
        <w:t xml:space="preserve">identities overlap. It is this form of globalization, I suggest, that best accounts for the </w:t>
      </w:r>
      <w:r>
        <w:tab/>
        <w:t>varied political ramifications of expansion</w:t>
      </w:r>
      <w:r w:rsidR="006370C6">
        <w:t xml:space="preserve">; and it is this form of globalization that can be </w:t>
      </w:r>
      <w:r w:rsidR="006370C6">
        <w:tab/>
        <w:t xml:space="preserve">traced not only to the last twenty years or so of political history, but ultimately to the </w:t>
      </w:r>
      <w:r w:rsidR="006370C6">
        <w:tab/>
        <w:t>ancient world.</w:t>
      </w:r>
    </w:p>
    <w:p w14:paraId="31E0F1F1" w14:textId="4A0B8E28" w:rsidR="00EB7AED" w:rsidRDefault="00EB7AED" w:rsidP="00EB7AED">
      <w:pPr>
        <w:jc w:val="right"/>
      </w:pPr>
      <w:r>
        <w:t>(Liebert, 2011, pp. 537)</w:t>
      </w:r>
    </w:p>
    <w:p w14:paraId="5AC35E68" w14:textId="77777777" w:rsidR="000F197F" w:rsidRDefault="000F197F" w:rsidP="00EB7AED">
      <w:pPr>
        <w:jc w:val="right"/>
      </w:pPr>
    </w:p>
    <w:p w14:paraId="2385D1F6" w14:textId="49217EB3" w:rsidR="00FC3F46" w:rsidRDefault="00EB7AED" w:rsidP="00EB7AED">
      <w:pPr>
        <w:spacing w:line="480" w:lineRule="auto"/>
      </w:pPr>
      <w:r>
        <w:tab/>
      </w:r>
      <w:r w:rsidR="000F197F">
        <w:t>With this methodology in mind, Alexander turns into a type of product for global consumption, with research being driven by supply and demand</w:t>
      </w:r>
      <w:r w:rsidR="00F96D3E">
        <w:t xml:space="preserve"> and market necessity. </w:t>
      </w:r>
      <w:r w:rsidR="00C54CD8">
        <w:t xml:space="preserve">Research </w:t>
      </w:r>
      <w:r w:rsidR="00045B8C">
        <w:t xml:space="preserve">and opinions </w:t>
      </w:r>
      <w:r w:rsidR="007806CA">
        <w:t>become</w:t>
      </w:r>
      <w:r w:rsidR="00C54CD8">
        <w:t xml:space="preserve"> no longer about geographical location, nations and their history, or political or moral investigation, but instead </w:t>
      </w:r>
      <w:r w:rsidR="00045B8C">
        <w:t>they are</w:t>
      </w:r>
      <w:r w:rsidR="00C54CD8">
        <w:t xml:space="preserve"> about </w:t>
      </w:r>
      <w:r w:rsidR="004B75BD">
        <w:t xml:space="preserve">filling a gap in pre-existing </w:t>
      </w:r>
      <w:r w:rsidR="005A1141">
        <w:t>data</w:t>
      </w:r>
      <w:r w:rsidR="004B75BD">
        <w:t>.</w:t>
      </w:r>
      <w:r w:rsidR="00C31F42">
        <w:t xml:space="preserve"> Further to the point,</w:t>
      </w:r>
      <w:r w:rsidR="005A1141">
        <w:t xml:space="preserve"> </w:t>
      </w:r>
      <w:r w:rsidR="00C31F42">
        <w:t>the information that can be gathered concerning Alexander becomes public domain that does not separate opinion based on where someone was born or the stories they may have</w:t>
      </w:r>
      <w:r w:rsidR="00391881">
        <w:t xml:space="preserve"> been</w:t>
      </w:r>
      <w:r w:rsidR="00C31F42">
        <w:t xml:space="preserve"> told. </w:t>
      </w:r>
      <w:r w:rsidR="00C364F5">
        <w:t>That being said, globalization refers to a global market and community that emerges when the idea of individual nations and ideals is done away with, and we are instead viewed as “citizens of the world.”</w:t>
      </w:r>
      <w:r w:rsidR="00C364F5">
        <w:rPr>
          <w:rStyle w:val="FootnoteReference"/>
        </w:rPr>
        <w:footnoteReference w:id="74"/>
      </w:r>
      <w:r w:rsidR="00A85642">
        <w:t xml:space="preserve"> Without </w:t>
      </w:r>
      <w:r w:rsidR="00C9656E">
        <w:t>attempting to separate figures such as Alexander from being held down by national identities, we allow a negative context to be used unfairly against him</w:t>
      </w:r>
      <w:r w:rsidR="00BA3C85">
        <w:t xml:space="preserve"> by others</w:t>
      </w:r>
      <w:r w:rsidR="00C9656E">
        <w:t>.</w:t>
      </w:r>
      <w:r w:rsidR="00BA3C85">
        <w:t xml:space="preserve"> Alexander has been seen by Europeans as “the best of the West”</w:t>
      </w:r>
      <w:r w:rsidR="00BA3C85">
        <w:rPr>
          <w:rStyle w:val="FootnoteReference"/>
        </w:rPr>
        <w:footnoteReference w:id="75"/>
      </w:r>
      <w:r w:rsidR="00BA3C85">
        <w:t xml:space="preserve"> </w:t>
      </w:r>
      <w:r w:rsidR="00AC47DC">
        <w:t xml:space="preserve">which can all too easily be perceived as </w:t>
      </w:r>
      <w:r w:rsidR="003F049D">
        <w:t>anti-East</w:t>
      </w:r>
      <w:r w:rsidR="00036819">
        <w:t>, as we know Alexander worked to spread Hellenistic culture throughout the former Persian Empire.</w:t>
      </w:r>
      <w:r w:rsidR="00E24C0D">
        <w:t xml:space="preserve"> Similarly, Alexander was dubbed the “greatest hero of the pagan world”</w:t>
      </w:r>
      <w:r w:rsidR="00E24C0D">
        <w:rPr>
          <w:rStyle w:val="FootnoteReference"/>
        </w:rPr>
        <w:footnoteReference w:id="76"/>
      </w:r>
      <w:r w:rsidR="00610BBD">
        <w:t xml:space="preserve"> which could have contributed to a more firm anti-Christian agenda.</w:t>
      </w:r>
    </w:p>
    <w:p w14:paraId="3A6888BA" w14:textId="1BB107E6" w:rsidR="00FA473A" w:rsidRDefault="00FA473A" w:rsidP="00EB7AED">
      <w:pPr>
        <w:spacing w:line="480" w:lineRule="auto"/>
      </w:pPr>
      <w:r>
        <w:lastRenderedPageBreak/>
        <w:tab/>
        <w:t xml:space="preserve">The concept of patriotism or a strong sense of national identity can be a hindrance to study, as they may also bring forth an unwarranted sense of obligation when it comes to the opinions of conquerors. </w:t>
      </w:r>
      <w:r w:rsidR="002A1E1B">
        <w:t xml:space="preserve">Those in the West may feel that are “supposed” to admire Alexander for the empire he achieved, which those in the East may feel the opposite. Both of these ways of thinking are harmful, as the evidence suggests that there are well documented conflicting opinions originating from both camps. </w:t>
      </w:r>
      <w:r w:rsidR="004E2166">
        <w:t xml:space="preserve">Liebert goes further into this concept, </w:t>
      </w:r>
      <w:r w:rsidR="00831053">
        <w:t xml:space="preserve">suggesting that the idea of national identity is only truly formed after a time of crisis. </w:t>
      </w:r>
      <w:r w:rsidR="009F54DA">
        <w:t>He states that crises develop patriots, civil wars, and humanitarians that had not necessarily appea</w:t>
      </w:r>
      <w:r w:rsidR="0031586C">
        <w:t>red beforehand</w:t>
      </w:r>
      <w:r w:rsidR="009F54DA">
        <w:t xml:space="preserve">. </w:t>
      </w:r>
      <w:r w:rsidR="00727393">
        <w:t xml:space="preserve">It is because of this phenomenon that he suggests that national identity is determined </w:t>
      </w:r>
      <w:r w:rsidR="00727393">
        <w:rPr>
          <w:i/>
        </w:rPr>
        <w:t>post facto</w:t>
      </w:r>
      <w:r w:rsidR="00C9060F">
        <w:rPr>
          <w:i/>
        </w:rPr>
        <w:t>,</w:t>
      </w:r>
      <w:r w:rsidR="00504C9B">
        <w:rPr>
          <w:rStyle w:val="FootnoteReference"/>
          <w:i/>
        </w:rPr>
        <w:footnoteReference w:id="77"/>
      </w:r>
      <w:r w:rsidR="00727393">
        <w:t xml:space="preserve"> sometimes even</w:t>
      </w:r>
      <w:r>
        <w:t xml:space="preserve"> </w:t>
      </w:r>
      <w:r w:rsidR="00C9060F">
        <w:t xml:space="preserve">hundreds of years following whatever crisis is being debated. </w:t>
      </w:r>
      <w:r w:rsidR="00B758B5">
        <w:t>Due to this, it is possible that opinions of Alexander may be skewed</w:t>
      </w:r>
      <w:r w:rsidR="007A0DE0">
        <w:t xml:space="preserve"> across the world</w:t>
      </w:r>
      <w:r w:rsidR="00B758B5">
        <w:t xml:space="preserve"> </w:t>
      </w:r>
      <w:r w:rsidR="00486804">
        <w:t xml:space="preserve">before a decent amount of information is known of him at all. </w:t>
      </w:r>
      <w:r w:rsidR="001D7A73">
        <w:t>Modern day racism may fundamentally play a part in this, as is seen by reactions to Muslims across America.</w:t>
      </w:r>
      <w:r w:rsidR="00214121">
        <w:t xml:space="preserve"> Following the terrorist attacks of September 11</w:t>
      </w:r>
      <w:r w:rsidR="00214121" w:rsidRPr="00214121">
        <w:rPr>
          <w:vertAlign w:val="superscript"/>
        </w:rPr>
        <w:t>th</w:t>
      </w:r>
      <w:r w:rsidR="00214121">
        <w:t xml:space="preserve">, </w:t>
      </w:r>
      <w:r w:rsidR="00D915CD">
        <w:t>an influx of</w:t>
      </w:r>
      <w:r w:rsidR="00905A28">
        <w:t xml:space="preserve"> patriotism swept across the United States.</w:t>
      </w:r>
      <w:r w:rsidR="00406282">
        <w:rPr>
          <w:rStyle w:val="FootnoteReference"/>
        </w:rPr>
        <w:footnoteReference w:id="78"/>
      </w:r>
      <w:r w:rsidR="00905A28">
        <w:t xml:space="preserve"> </w:t>
      </w:r>
      <w:r w:rsidR="00423240">
        <w:t>Not only this, but a massive anti-Muslim mentality rose, where many Americans seemed to feel they were “supposed” to hate those in the Middle East.</w:t>
      </w:r>
      <w:r w:rsidR="00423240">
        <w:rPr>
          <w:rStyle w:val="FootnoteReference"/>
        </w:rPr>
        <w:footnoteReference w:id="79"/>
      </w:r>
      <w:r w:rsidR="00E642B2">
        <w:t xml:space="preserve"> While comparing events re</w:t>
      </w:r>
      <w:r w:rsidR="004C2931">
        <w:t>ga</w:t>
      </w:r>
      <w:r w:rsidR="00E82F64">
        <w:t xml:space="preserve">rding Alexander </w:t>
      </w:r>
      <w:r w:rsidR="002955DD">
        <w:t xml:space="preserve">the Great </w:t>
      </w:r>
      <w:r w:rsidR="00E82F64">
        <w:t xml:space="preserve">to </w:t>
      </w:r>
      <w:r w:rsidR="00897BCC">
        <w:t>September 11</w:t>
      </w:r>
      <w:r w:rsidR="00897BCC" w:rsidRPr="00897BCC">
        <w:rPr>
          <w:vertAlign w:val="superscript"/>
        </w:rPr>
        <w:t>th</w:t>
      </w:r>
      <w:r w:rsidR="00897BCC">
        <w:t xml:space="preserve"> may seem drastic, the overarching point of national identity and the dangers of being swept up in herd-mentalities </w:t>
      </w:r>
      <w:r w:rsidR="00BC04DE">
        <w:t>remain</w:t>
      </w:r>
      <w:r w:rsidR="00652CD1">
        <w:t>s</w:t>
      </w:r>
      <w:r w:rsidR="00BC04DE">
        <w:t xml:space="preserve"> valid. </w:t>
      </w:r>
    </w:p>
    <w:p w14:paraId="25D27A76" w14:textId="77777777" w:rsidR="00560A98" w:rsidRDefault="00FC3F46" w:rsidP="00EB7AED">
      <w:pPr>
        <w:spacing w:line="480" w:lineRule="auto"/>
      </w:pPr>
      <w:r>
        <w:tab/>
      </w:r>
      <w:r w:rsidR="00FA473A">
        <w:t xml:space="preserve">Additionally, I </w:t>
      </w:r>
      <w:r w:rsidR="00852AC4">
        <w:t>believe that these nationalized strongholds in fact retract from the ideals and</w:t>
      </w:r>
      <w:r w:rsidR="0001753B">
        <w:t xml:space="preserve"> hopes for the world that Alexander was so adamant to </w:t>
      </w:r>
      <w:r w:rsidR="00E62131">
        <w:t>achieve</w:t>
      </w:r>
      <w:r w:rsidR="0001753B">
        <w:t xml:space="preserve">. </w:t>
      </w:r>
      <w:r w:rsidR="00E62131">
        <w:t xml:space="preserve">As discussed previously, </w:t>
      </w:r>
      <w:r w:rsidR="00E5747E">
        <w:t xml:space="preserve">Alexander aimed to create a world which thrived under one rule, one government, and one body </w:t>
      </w:r>
      <w:r w:rsidR="00E5747E">
        <w:lastRenderedPageBreak/>
        <w:t xml:space="preserve">of </w:t>
      </w:r>
      <w:r w:rsidR="00BF5CD1">
        <w:t xml:space="preserve">equal </w:t>
      </w:r>
      <w:r w:rsidR="00E5747E">
        <w:t xml:space="preserve">peoples. </w:t>
      </w:r>
      <w:r w:rsidR="00BF5CD1">
        <w:t xml:space="preserve">His habits of adorning Persian clothes and adhering to certain local traditions or legends indicates to us that he at least attempted to be “of the people” without being held down by one specific national identity or cause. </w:t>
      </w:r>
      <w:r w:rsidR="009D6BEC">
        <w:t>With that being said, one could make the argument that the international discord that he</w:t>
      </w:r>
      <w:r w:rsidR="00D138B7">
        <w:t xml:space="preserve"> has</w:t>
      </w:r>
      <w:r w:rsidR="009D6BEC">
        <w:t xml:space="preserve"> inspired is yet another example of how he ultimately failed in his goals as a conqueror. I have chosen to </w:t>
      </w:r>
      <w:r w:rsidR="00DB24EA">
        <w:t>adhere to the idea that Alexander achieved globalization and that viewing him in such a way is</w:t>
      </w:r>
      <w:r w:rsidR="00DA5EAB">
        <w:t xml:space="preserve"> perhaps</w:t>
      </w:r>
      <w:r w:rsidR="00DB24EA">
        <w:t xml:space="preserve"> the responsibility of someone who wishes to gain a more </w:t>
      </w:r>
      <w:r w:rsidR="00F92405">
        <w:t>concrete</w:t>
      </w:r>
      <w:r w:rsidR="00FE5ADB">
        <w:t>, unbiased</w:t>
      </w:r>
      <w:r w:rsidR="00DB24EA">
        <w:t xml:space="preserve"> understanding of Alexander through research</w:t>
      </w:r>
      <w:r w:rsidR="008B6167">
        <w:t xml:space="preserve"> and data available to us</w:t>
      </w:r>
      <w:r w:rsidR="00DB24EA">
        <w:t>.</w:t>
      </w:r>
    </w:p>
    <w:p w14:paraId="598FF3BE" w14:textId="01537EC1" w:rsidR="003A608A" w:rsidRDefault="003A608A" w:rsidP="003A608A">
      <w:pPr>
        <w:pStyle w:val="Heading1"/>
        <w:jc w:val="center"/>
      </w:pPr>
      <w:bookmarkStart w:id="11" w:name="_Toc40100592"/>
      <w:r>
        <w:t>Chapter Twelve: Concluding Thoughts</w:t>
      </w:r>
      <w:bookmarkEnd w:id="11"/>
    </w:p>
    <w:p w14:paraId="02869D77" w14:textId="77777777" w:rsidR="003A608A" w:rsidRPr="003A608A" w:rsidRDefault="003A608A" w:rsidP="003A608A"/>
    <w:p w14:paraId="1DAE7D59" w14:textId="744015C4" w:rsidR="00EB7AED" w:rsidRDefault="0069173C" w:rsidP="00EB7AED">
      <w:pPr>
        <w:spacing w:line="480" w:lineRule="auto"/>
      </w:pPr>
      <w:r>
        <w:tab/>
      </w:r>
      <w:r w:rsidR="00DB24EA">
        <w:t xml:space="preserve"> </w:t>
      </w:r>
      <w:r w:rsidR="00AD709F">
        <w:t>While researching into the international depictions and opinions of those writing about Alexander the Great, I had the expectation that a sense of geographical bias would be found. That is, those in the East would inherently</w:t>
      </w:r>
      <w:r w:rsidR="00AD4F66">
        <w:t xml:space="preserve"> have</w:t>
      </w:r>
      <w:r w:rsidR="00AD709F">
        <w:t xml:space="preserve"> more negative opinions regarding Alexander than the West. Not only did I find that to be a false conclusion, but also that the positive opinions regarding Alexander could be just as strong, if not stronger in the former Persian Empire. </w:t>
      </w:r>
      <w:r w:rsidR="00E14322">
        <w:t xml:space="preserve">Alexander had incredibly ambitious goals for his empire, and was able to amass an extraordinary amount of land and power in his young life. </w:t>
      </w:r>
      <w:r w:rsidR="00D7071C">
        <w:t xml:space="preserve">We may now be able to recognise that his goals were destined to fail, however this was not so for a man who believed himself to be the son of Zeus. </w:t>
      </w:r>
      <w:r w:rsidR="00C95478">
        <w:t xml:space="preserve">Alexander’s goals for a world under one rule, one government, and comprised of one group of people of whom none were superior to any other were </w:t>
      </w:r>
      <w:r w:rsidR="00DC1AD9">
        <w:t xml:space="preserve">incredible, and it is fascinating to discover which steps he took to achieve them. </w:t>
      </w:r>
      <w:r w:rsidR="00FB6780">
        <w:t>Ultimately, the accounts of Alexander’s attempts to bring this idealised world into fruition are incredibly conflicted</w:t>
      </w:r>
      <w:r w:rsidR="00015006">
        <w:t>, with Alexander’s actions</w:t>
      </w:r>
      <w:r w:rsidR="00AC4847">
        <w:t xml:space="preserve"> being disorderly. </w:t>
      </w:r>
    </w:p>
    <w:p w14:paraId="61B60526" w14:textId="60F0BCB6" w:rsidR="00455A27" w:rsidRDefault="00455A27" w:rsidP="00EB7AED">
      <w:pPr>
        <w:spacing w:line="480" w:lineRule="auto"/>
      </w:pPr>
      <w:r>
        <w:lastRenderedPageBreak/>
        <w:tab/>
        <w:t>Welles’ method of determining Alexander’s success relied upon the influence that Alexander had on his successors. With this</w:t>
      </w:r>
      <w:r w:rsidR="0066039D">
        <w:t xml:space="preserve"> in mind, we can conclude that he ultimately failed in his goals. </w:t>
      </w:r>
      <w:r w:rsidR="00F143AE">
        <w:t>Not only did Alexander lack a reliable heir, but his empire was unable to continue without him and fractured into several pieces</w:t>
      </w:r>
      <w:r w:rsidR="00D65538">
        <w:t xml:space="preserve">, thus destroying any dream Alexander may have had for </w:t>
      </w:r>
      <w:r w:rsidR="009C4C61">
        <w:t>a world under one combined rule</w:t>
      </w:r>
      <w:r w:rsidR="00D65538">
        <w:t>.</w:t>
      </w:r>
      <w:r w:rsidR="009C4C61">
        <w:t xml:space="preserve"> </w:t>
      </w:r>
      <w:r w:rsidR="00CA2323">
        <w:t xml:space="preserve">What came after Alexander was a </w:t>
      </w:r>
      <w:r w:rsidR="00DC3BB2">
        <w:t>tidal wave</w:t>
      </w:r>
      <w:r w:rsidR="00CA2323">
        <w:t xml:space="preserve"> of documentation, legends, histories, adoration, and hatred. </w:t>
      </w:r>
      <w:r w:rsidR="00BF0874">
        <w:t xml:space="preserve">Accounts of Alexander’s campaigns could be found from across the world, both positive and negative. </w:t>
      </w:r>
      <w:r w:rsidR="00E44CC1">
        <w:t xml:space="preserve">Some 2,300 years following the death of Alexander, he is still researched and spoken about as much as ever. </w:t>
      </w:r>
      <w:r w:rsidR="00D37938">
        <w:t xml:space="preserve">The globalization that he achieved is a testament to the impact that he had on the world. </w:t>
      </w:r>
      <w:r w:rsidR="00DF790E">
        <w:t xml:space="preserve">While Alexander may not have achieved his goals while he was alive, he has certainly lived up to the reputation and legendary status of his heroes. </w:t>
      </w:r>
      <w:r w:rsidR="001848B3">
        <w:t xml:space="preserve">That is, perhaps Alexander’s true legacy was simply to be memorable, and in that he assuredly succeeded. </w:t>
      </w:r>
    </w:p>
    <w:p w14:paraId="5FBD7091" w14:textId="019457B3" w:rsidR="0065763A" w:rsidRDefault="0065763A" w:rsidP="0065763A">
      <w:pPr>
        <w:pStyle w:val="Heading1"/>
        <w:jc w:val="center"/>
      </w:pPr>
      <w:bookmarkStart w:id="12" w:name="_Toc40100593"/>
      <w:r>
        <w:t>Bibliography</w:t>
      </w:r>
      <w:bookmarkEnd w:id="12"/>
    </w:p>
    <w:p w14:paraId="4EBF59B1" w14:textId="77777777" w:rsidR="00D01DFA" w:rsidRDefault="00D01DFA" w:rsidP="00D01DFA"/>
    <w:p w14:paraId="6CC336F4" w14:textId="77777777" w:rsidR="00D01DFA" w:rsidRDefault="00D01DFA" w:rsidP="00D01DFA">
      <w:r w:rsidRPr="004E2E1F">
        <w:rPr>
          <w:u w:val="single"/>
        </w:rPr>
        <w:t>Ancient</w:t>
      </w:r>
      <w:r>
        <w:t>:</w:t>
      </w:r>
    </w:p>
    <w:p w14:paraId="1B87E54C" w14:textId="77777777" w:rsidR="004E2E1F" w:rsidRDefault="004E2E1F" w:rsidP="00D01DFA"/>
    <w:p w14:paraId="18201957" w14:textId="77777777" w:rsidR="00D01DFA" w:rsidRPr="001A6CEE" w:rsidRDefault="00D01DFA" w:rsidP="00D01DFA">
      <w:r>
        <w:t xml:space="preserve">Aurelius Augustine. </w:t>
      </w:r>
      <w:r>
        <w:rPr>
          <w:i/>
        </w:rPr>
        <w:t xml:space="preserve">The City of God. </w:t>
      </w:r>
      <w:r>
        <w:t xml:space="preserve">Rev. M. </w:t>
      </w:r>
      <w:proofErr w:type="spellStart"/>
      <w:r>
        <w:t>Dods</w:t>
      </w:r>
      <w:proofErr w:type="spellEnd"/>
      <w:r>
        <w:t xml:space="preserve"> (trans.). 2014. Edinburgh: T. &amp; T. Clark</w:t>
      </w:r>
    </w:p>
    <w:p w14:paraId="2278EB42" w14:textId="77777777" w:rsidR="00D01DFA" w:rsidRDefault="00D01DFA" w:rsidP="00D01DFA"/>
    <w:p w14:paraId="13E615DA" w14:textId="77777777" w:rsidR="00D01DFA" w:rsidRDefault="00D01DFA" w:rsidP="00D01DFA">
      <w:pPr>
        <w:ind w:left="720" w:hanging="720"/>
        <w:rPr>
          <w:color w:val="000000" w:themeColor="text1"/>
        </w:rPr>
      </w:pPr>
      <w:r w:rsidRPr="00280A96">
        <w:rPr>
          <w:color w:val="000000" w:themeColor="text1"/>
        </w:rPr>
        <w:t xml:space="preserve">Arrian. </w:t>
      </w:r>
      <w:r w:rsidRPr="00280A96">
        <w:rPr>
          <w:i/>
          <w:color w:val="000000" w:themeColor="text1"/>
        </w:rPr>
        <w:t xml:space="preserve">The Anabasis of Alexander. </w:t>
      </w:r>
      <w:r w:rsidRPr="00280A96">
        <w:rPr>
          <w:color w:val="000000" w:themeColor="text1"/>
        </w:rPr>
        <w:t xml:space="preserve">E.J. </w:t>
      </w:r>
      <w:proofErr w:type="spellStart"/>
      <w:r w:rsidRPr="00280A96">
        <w:rPr>
          <w:color w:val="000000" w:themeColor="text1"/>
        </w:rPr>
        <w:t>Chinnock</w:t>
      </w:r>
      <w:proofErr w:type="spellEnd"/>
      <w:r w:rsidRPr="00280A96">
        <w:rPr>
          <w:color w:val="000000" w:themeColor="text1"/>
        </w:rPr>
        <w:t xml:space="preserve"> (trans.). 1884. London: Hodder and Stoughton</w:t>
      </w:r>
    </w:p>
    <w:p w14:paraId="7CE0FB9F" w14:textId="77777777" w:rsidR="00D01DFA" w:rsidRDefault="00D01DFA" w:rsidP="00D01DFA">
      <w:pPr>
        <w:ind w:left="720" w:hanging="720"/>
        <w:rPr>
          <w:color w:val="000000" w:themeColor="text1"/>
        </w:rPr>
      </w:pPr>
    </w:p>
    <w:p w14:paraId="5E220223" w14:textId="77777777" w:rsidR="00D01DFA" w:rsidRDefault="00D01DFA" w:rsidP="00D01DFA">
      <w:pPr>
        <w:ind w:left="720" w:hanging="720"/>
        <w:rPr>
          <w:color w:val="000000" w:themeColor="text1"/>
        </w:rPr>
      </w:pPr>
      <w:proofErr w:type="spellStart"/>
      <w:r>
        <w:rPr>
          <w:color w:val="000000" w:themeColor="text1"/>
        </w:rPr>
        <w:t>Curtius</w:t>
      </w:r>
      <w:proofErr w:type="spellEnd"/>
      <w:r>
        <w:rPr>
          <w:color w:val="000000" w:themeColor="text1"/>
        </w:rPr>
        <w:t xml:space="preserve"> Rufus, </w:t>
      </w:r>
      <w:r>
        <w:rPr>
          <w:i/>
          <w:color w:val="000000" w:themeColor="text1"/>
        </w:rPr>
        <w:t xml:space="preserve">History of Alexander. </w:t>
      </w:r>
      <w:r>
        <w:rPr>
          <w:color w:val="000000" w:themeColor="text1"/>
        </w:rPr>
        <w:t>Rolfe (trans.). 1946. Cambridge, MA: Harvard University</w:t>
      </w:r>
    </w:p>
    <w:p w14:paraId="59B8F0D3" w14:textId="77777777" w:rsidR="00D01DFA" w:rsidRDefault="00D01DFA" w:rsidP="00D01DFA">
      <w:pPr>
        <w:ind w:left="720" w:hanging="720"/>
        <w:rPr>
          <w:color w:val="000000" w:themeColor="text1"/>
        </w:rPr>
      </w:pPr>
      <w:r>
        <w:rPr>
          <w:color w:val="000000" w:themeColor="text1"/>
        </w:rPr>
        <w:t>Press</w:t>
      </w:r>
    </w:p>
    <w:p w14:paraId="26FBAF03" w14:textId="77777777" w:rsidR="00D01DFA" w:rsidRDefault="00D01DFA" w:rsidP="00D01DFA">
      <w:pPr>
        <w:ind w:left="720" w:hanging="720"/>
        <w:rPr>
          <w:color w:val="000000" w:themeColor="text1"/>
        </w:rPr>
      </w:pPr>
    </w:p>
    <w:p w14:paraId="2075D032" w14:textId="77777777" w:rsidR="00D01DFA" w:rsidRDefault="00D01DFA" w:rsidP="00D01DFA">
      <w:r>
        <w:t>Daniel 8, Holy Bible: New International Version</w:t>
      </w:r>
    </w:p>
    <w:p w14:paraId="62C0DA4A" w14:textId="77777777" w:rsidR="00D01DFA" w:rsidRDefault="00D01DFA" w:rsidP="00D01DFA"/>
    <w:p w14:paraId="1B8337B4" w14:textId="77777777" w:rsidR="00D01DFA" w:rsidRPr="00692F19" w:rsidRDefault="00D01DFA" w:rsidP="00D01DFA">
      <w:proofErr w:type="spellStart"/>
      <w:r>
        <w:t>Diodorus</w:t>
      </w:r>
      <w:proofErr w:type="spellEnd"/>
      <w:r>
        <w:t xml:space="preserve"> </w:t>
      </w:r>
      <w:proofErr w:type="spellStart"/>
      <w:r>
        <w:t>Siculus</w:t>
      </w:r>
      <w:proofErr w:type="spellEnd"/>
      <w:r>
        <w:t xml:space="preserve">, </w:t>
      </w:r>
      <w:r>
        <w:rPr>
          <w:i/>
        </w:rPr>
        <w:t xml:space="preserve">Library. </w:t>
      </w:r>
      <w:proofErr w:type="spellStart"/>
      <w:r>
        <w:t>Oldfather</w:t>
      </w:r>
      <w:proofErr w:type="spellEnd"/>
      <w:r>
        <w:t xml:space="preserve"> (trans.). 1989. Cambridge, MA: Harvard University Press</w:t>
      </w:r>
    </w:p>
    <w:p w14:paraId="13FCC0AC" w14:textId="77777777" w:rsidR="00D01DFA" w:rsidRDefault="00D01DFA" w:rsidP="00D01DFA"/>
    <w:p w14:paraId="62783683" w14:textId="77777777" w:rsidR="00D01DFA" w:rsidRDefault="00D01DFA" w:rsidP="00D01DFA">
      <w:proofErr w:type="spellStart"/>
      <w:r>
        <w:t>Ferdowski</w:t>
      </w:r>
      <w:proofErr w:type="spellEnd"/>
      <w:r>
        <w:t xml:space="preserve">, </w:t>
      </w:r>
      <w:proofErr w:type="spellStart"/>
      <w:r>
        <w:rPr>
          <w:i/>
        </w:rPr>
        <w:t>Shahnameh</w:t>
      </w:r>
      <w:proofErr w:type="spellEnd"/>
      <w:r>
        <w:rPr>
          <w:i/>
        </w:rPr>
        <w:t xml:space="preserve">: The Persian Book of Kings. </w:t>
      </w:r>
      <w:r>
        <w:t>Davis (trans.). 2016. New York: Penguin Books</w:t>
      </w:r>
    </w:p>
    <w:p w14:paraId="38D029FD" w14:textId="77777777" w:rsidR="00D01DFA" w:rsidRDefault="00D01DFA" w:rsidP="00D01DFA"/>
    <w:p w14:paraId="24E7A60E" w14:textId="77777777" w:rsidR="00D01DFA" w:rsidRDefault="00D01DFA" w:rsidP="00D01DFA">
      <w:pPr>
        <w:ind w:left="720" w:hanging="720"/>
      </w:pPr>
      <w:r>
        <w:t xml:space="preserve">Paulus Orosius, </w:t>
      </w:r>
      <w:r>
        <w:rPr>
          <w:i/>
        </w:rPr>
        <w:t xml:space="preserve">Seven Books of History Against the Pagans. </w:t>
      </w:r>
      <w:proofErr w:type="spellStart"/>
      <w:r>
        <w:t>DeFerrari</w:t>
      </w:r>
      <w:proofErr w:type="spellEnd"/>
      <w:r>
        <w:t xml:space="preserve"> (trans.). 1964.</w:t>
      </w:r>
    </w:p>
    <w:p w14:paraId="65DA2413" w14:textId="77777777" w:rsidR="00D01DFA" w:rsidRDefault="00D01DFA" w:rsidP="00D01DFA">
      <w:pPr>
        <w:ind w:left="720" w:hanging="720"/>
      </w:pPr>
      <w:r>
        <w:t xml:space="preserve">Washington, DC: Catholic University of America Press, </w:t>
      </w:r>
      <w:proofErr w:type="spellStart"/>
      <w:r>
        <w:t>inc.</w:t>
      </w:r>
      <w:proofErr w:type="spellEnd"/>
    </w:p>
    <w:p w14:paraId="7CA6E78E" w14:textId="77777777" w:rsidR="00D01DFA" w:rsidRDefault="00D01DFA" w:rsidP="00D01DFA">
      <w:pPr>
        <w:ind w:left="720" w:hanging="720"/>
      </w:pPr>
    </w:p>
    <w:p w14:paraId="2A0E400D" w14:textId="77777777" w:rsidR="00D01DFA" w:rsidRPr="00CC7897" w:rsidRDefault="00D01DFA" w:rsidP="00D01DFA">
      <w:pPr>
        <w:ind w:left="720" w:hanging="720"/>
      </w:pPr>
      <w:r>
        <w:lastRenderedPageBreak/>
        <w:t xml:space="preserve">Plautus, </w:t>
      </w:r>
      <w:proofErr w:type="spellStart"/>
      <w:r>
        <w:rPr>
          <w:i/>
        </w:rPr>
        <w:t>Mostellaria</w:t>
      </w:r>
      <w:proofErr w:type="spellEnd"/>
      <w:r>
        <w:rPr>
          <w:i/>
        </w:rPr>
        <w:t xml:space="preserve">. </w:t>
      </w:r>
      <w:r>
        <w:t>Riley (trans.). 1912. London: Bell and Sons</w:t>
      </w:r>
    </w:p>
    <w:p w14:paraId="7FBC0A29" w14:textId="77777777" w:rsidR="00D01DFA" w:rsidRPr="00303B8F" w:rsidRDefault="00D01DFA" w:rsidP="00D01DFA">
      <w:pPr>
        <w:ind w:left="720" w:hanging="720"/>
      </w:pPr>
    </w:p>
    <w:p w14:paraId="6BDEC61F" w14:textId="77777777" w:rsidR="00D01DFA" w:rsidRDefault="00D01DFA" w:rsidP="00D01DFA">
      <w:pPr>
        <w:ind w:left="720" w:hanging="720"/>
        <w:rPr>
          <w:color w:val="000000" w:themeColor="text1"/>
        </w:rPr>
      </w:pPr>
      <w:r w:rsidRPr="00280A96">
        <w:rPr>
          <w:color w:val="000000" w:themeColor="text1"/>
        </w:rPr>
        <w:t xml:space="preserve">Plutarch, </w:t>
      </w:r>
      <w:r w:rsidRPr="00280A96">
        <w:rPr>
          <w:i/>
          <w:color w:val="000000" w:themeColor="text1"/>
        </w:rPr>
        <w:t xml:space="preserve">Plutarch’s Lives. </w:t>
      </w:r>
      <w:r w:rsidRPr="00280A96">
        <w:rPr>
          <w:color w:val="000000" w:themeColor="text1"/>
        </w:rPr>
        <w:t>B. Perrin (trans.). 1919. Cambridge, MA: Harvard University Press</w:t>
      </w:r>
    </w:p>
    <w:p w14:paraId="5C637D95" w14:textId="77777777" w:rsidR="00D01DFA" w:rsidRDefault="00D01DFA" w:rsidP="00D01DFA">
      <w:pPr>
        <w:ind w:left="720" w:hanging="720"/>
        <w:rPr>
          <w:color w:val="000000" w:themeColor="text1"/>
        </w:rPr>
      </w:pPr>
    </w:p>
    <w:p w14:paraId="6FD5B3BD" w14:textId="77777777" w:rsidR="00D01DFA" w:rsidRDefault="00D01DFA" w:rsidP="00D01DFA">
      <w:pPr>
        <w:ind w:left="720" w:hanging="720"/>
        <w:rPr>
          <w:color w:val="000000" w:themeColor="text1"/>
        </w:rPr>
      </w:pPr>
      <w:r>
        <w:rPr>
          <w:color w:val="000000" w:themeColor="text1"/>
        </w:rPr>
        <w:t xml:space="preserve">Plutarch, </w:t>
      </w:r>
      <w:r>
        <w:rPr>
          <w:i/>
          <w:color w:val="000000" w:themeColor="text1"/>
        </w:rPr>
        <w:t xml:space="preserve">On the Fortune or Virtue of Alexander. </w:t>
      </w:r>
      <w:r>
        <w:rPr>
          <w:color w:val="000000" w:themeColor="text1"/>
        </w:rPr>
        <w:t>Babbitt (trans.). 1936. Cambridge, MA:</w:t>
      </w:r>
    </w:p>
    <w:p w14:paraId="745D481A" w14:textId="77777777" w:rsidR="00D01DFA" w:rsidRPr="00FC0344" w:rsidRDefault="00D01DFA" w:rsidP="00D01DFA">
      <w:pPr>
        <w:ind w:left="720" w:hanging="720"/>
        <w:rPr>
          <w:color w:val="000000" w:themeColor="text1"/>
        </w:rPr>
      </w:pPr>
      <w:r>
        <w:rPr>
          <w:color w:val="000000" w:themeColor="text1"/>
        </w:rPr>
        <w:t>Harvard University Press</w:t>
      </w:r>
    </w:p>
    <w:p w14:paraId="39A403C2" w14:textId="77777777" w:rsidR="00D01DFA" w:rsidRDefault="00D01DFA" w:rsidP="00D01DFA"/>
    <w:p w14:paraId="6430FC1F" w14:textId="77777777" w:rsidR="00D01DFA" w:rsidRDefault="00D01DFA" w:rsidP="00D01DFA"/>
    <w:p w14:paraId="46451883" w14:textId="77777777" w:rsidR="00D01DFA" w:rsidRDefault="00D01DFA" w:rsidP="00D01DFA">
      <w:r w:rsidRPr="004E2E1F">
        <w:rPr>
          <w:u w:val="single"/>
        </w:rPr>
        <w:t>Modern</w:t>
      </w:r>
      <w:r>
        <w:t>:</w:t>
      </w:r>
    </w:p>
    <w:p w14:paraId="63CA3EF7" w14:textId="77777777" w:rsidR="00D01DFA" w:rsidRDefault="00D01DFA" w:rsidP="00D01DFA"/>
    <w:p w14:paraId="60DE80B7" w14:textId="77777777" w:rsidR="00D01DFA" w:rsidRDefault="00D01DFA" w:rsidP="00D01DFA">
      <w:pPr>
        <w:rPr>
          <w:lang w:val="en-US"/>
        </w:rPr>
      </w:pPr>
      <w:r>
        <w:rPr>
          <w:lang w:val="en-US"/>
        </w:rPr>
        <w:t>Allen, B</w:t>
      </w:r>
      <w:r w:rsidRPr="007A4298">
        <w:rPr>
          <w:lang w:val="en-US"/>
        </w:rPr>
        <w:t>. “Alexander the Great: Or the Terrible?” </w:t>
      </w:r>
      <w:r w:rsidRPr="007A4298">
        <w:rPr>
          <w:i/>
          <w:iCs/>
          <w:lang w:val="en-US"/>
        </w:rPr>
        <w:t>The Hudson Review</w:t>
      </w:r>
      <w:r w:rsidRPr="007A4298">
        <w:rPr>
          <w:lang w:val="en-US"/>
        </w:rPr>
        <w:t>, vol. 58, no. 2, 2005, pp. 220–230</w:t>
      </w:r>
    </w:p>
    <w:p w14:paraId="52FCD767" w14:textId="77777777" w:rsidR="00D01DFA" w:rsidRDefault="00D01DFA" w:rsidP="00D01DFA">
      <w:pPr>
        <w:rPr>
          <w:lang w:val="en-US"/>
        </w:rPr>
      </w:pPr>
    </w:p>
    <w:p w14:paraId="48E06BF9" w14:textId="77777777" w:rsidR="00D01DFA" w:rsidRDefault="00D01DFA" w:rsidP="00D01DFA">
      <w:pPr>
        <w:rPr>
          <w:lang w:val="en-US"/>
        </w:rPr>
      </w:pPr>
      <w:r>
        <w:rPr>
          <w:lang w:val="en-US"/>
        </w:rPr>
        <w:t>Atkinson, J</w:t>
      </w:r>
      <w:r w:rsidRPr="0006450F">
        <w:rPr>
          <w:lang w:val="en-US"/>
        </w:rPr>
        <w:t>. “HONOUR IN THE RANKS OF ALEXANDER THE GREAT'S ARMY.” </w:t>
      </w:r>
      <w:proofErr w:type="spellStart"/>
      <w:r w:rsidRPr="0006450F">
        <w:rPr>
          <w:i/>
          <w:iCs/>
          <w:lang w:val="en-US"/>
        </w:rPr>
        <w:t>Acta</w:t>
      </w:r>
      <w:proofErr w:type="spellEnd"/>
      <w:r w:rsidRPr="0006450F">
        <w:rPr>
          <w:i/>
          <w:iCs/>
          <w:lang w:val="en-US"/>
        </w:rPr>
        <w:t xml:space="preserve"> Classica</w:t>
      </w:r>
      <w:r w:rsidRPr="0006450F">
        <w:rPr>
          <w:lang w:val="en-US"/>
        </w:rPr>
        <w:t>, vol. 53, 2010, pp. 1–20</w:t>
      </w:r>
    </w:p>
    <w:p w14:paraId="649B1C53" w14:textId="77777777" w:rsidR="00D01DFA" w:rsidRDefault="00D01DFA" w:rsidP="00D01DFA">
      <w:pPr>
        <w:rPr>
          <w:lang w:val="en-US"/>
        </w:rPr>
      </w:pPr>
    </w:p>
    <w:p w14:paraId="2D9A996F" w14:textId="77777777" w:rsidR="00D01DFA" w:rsidRDefault="00D01DFA" w:rsidP="00D01DFA">
      <w:pPr>
        <w:rPr>
          <w:lang w:val="en-US"/>
        </w:rPr>
      </w:pPr>
      <w:proofErr w:type="spellStart"/>
      <w:r w:rsidRPr="00C12330">
        <w:rPr>
          <w:lang w:val="en-US"/>
        </w:rPr>
        <w:t>Badian</w:t>
      </w:r>
      <w:proofErr w:type="spellEnd"/>
      <w:r w:rsidRPr="00C12330">
        <w:rPr>
          <w:lang w:val="en-US"/>
        </w:rPr>
        <w:t xml:space="preserve">, Ernst (Cambridge, MA), </w:t>
      </w:r>
      <w:proofErr w:type="spellStart"/>
      <w:r w:rsidRPr="00C12330">
        <w:rPr>
          <w:lang w:val="en-US"/>
        </w:rPr>
        <w:t>Günther</w:t>
      </w:r>
      <w:proofErr w:type="spellEnd"/>
      <w:r w:rsidRPr="00C12330">
        <w:rPr>
          <w:lang w:val="en-US"/>
        </w:rPr>
        <w:t xml:space="preserve">, Linda-Marie (Munich), </w:t>
      </w:r>
      <w:proofErr w:type="spellStart"/>
      <w:r w:rsidRPr="00C12330">
        <w:rPr>
          <w:lang w:val="en-US"/>
        </w:rPr>
        <w:t>Ameling</w:t>
      </w:r>
      <w:proofErr w:type="spellEnd"/>
      <w:r w:rsidRPr="00C12330">
        <w:rPr>
          <w:lang w:val="en-US"/>
        </w:rPr>
        <w:t xml:space="preserve">, Walter (Jena), et al. ‘Alexander’. Brill’s New </w:t>
      </w:r>
      <w:proofErr w:type="spellStart"/>
      <w:r w:rsidRPr="00C12330">
        <w:rPr>
          <w:lang w:val="en-US"/>
        </w:rPr>
        <w:t>Pauly</w:t>
      </w:r>
      <w:proofErr w:type="spellEnd"/>
      <w:r w:rsidRPr="00C12330">
        <w:rPr>
          <w:lang w:val="en-US"/>
        </w:rPr>
        <w:t xml:space="preserve">. Ed. Hubert </w:t>
      </w:r>
      <w:proofErr w:type="spellStart"/>
      <w:r w:rsidRPr="00C12330">
        <w:rPr>
          <w:lang w:val="en-US"/>
        </w:rPr>
        <w:t>Cancik</w:t>
      </w:r>
      <w:proofErr w:type="spellEnd"/>
      <w:r w:rsidRPr="00C12330">
        <w:rPr>
          <w:lang w:val="en-US"/>
        </w:rPr>
        <w:t xml:space="preserve"> and et al. Brill Re</w:t>
      </w:r>
      <w:r>
        <w:rPr>
          <w:lang w:val="en-US"/>
        </w:rPr>
        <w:t>ference Online. Web. 6 May 2020</w:t>
      </w:r>
    </w:p>
    <w:p w14:paraId="1EFD05C7" w14:textId="77777777" w:rsidR="00D01DFA" w:rsidRDefault="00D01DFA" w:rsidP="00D01DFA">
      <w:pPr>
        <w:rPr>
          <w:lang w:val="en-US"/>
        </w:rPr>
      </w:pPr>
    </w:p>
    <w:p w14:paraId="6BD35D96" w14:textId="77777777" w:rsidR="00D01DFA" w:rsidRPr="003F7000" w:rsidRDefault="00D01DFA" w:rsidP="00D01DFA">
      <w:pPr>
        <w:rPr>
          <w:lang w:val="en-US"/>
        </w:rPr>
      </w:pPr>
      <w:proofErr w:type="spellStart"/>
      <w:r>
        <w:rPr>
          <w:lang w:val="en-US"/>
        </w:rPr>
        <w:t>Bodson</w:t>
      </w:r>
      <w:proofErr w:type="spellEnd"/>
      <w:r>
        <w:rPr>
          <w:lang w:val="en-US"/>
        </w:rPr>
        <w:t>, L</w:t>
      </w:r>
      <w:r w:rsidRPr="003F7000">
        <w:rPr>
          <w:lang w:val="en-US"/>
        </w:rPr>
        <w:t>. “ALEXANDER THE GREAT AND THE SCIENTIFIC EXPLORATION OF THE ORIENTAL PART OF HIS EMPIRE: An Overview of the Background, Trends and Results.” </w:t>
      </w:r>
      <w:r w:rsidRPr="003F7000">
        <w:rPr>
          <w:i/>
          <w:iCs/>
          <w:lang w:val="en-US"/>
        </w:rPr>
        <w:t>Ancient Society</w:t>
      </w:r>
      <w:r w:rsidRPr="003F7000">
        <w:rPr>
          <w:lang w:val="en-US"/>
        </w:rPr>
        <w:t>, vol. 22, 1991, pp. 127–138</w:t>
      </w:r>
    </w:p>
    <w:p w14:paraId="26BA2979" w14:textId="77777777" w:rsidR="00D01DFA" w:rsidRDefault="00D01DFA" w:rsidP="00D01DFA"/>
    <w:p w14:paraId="4ED5C2AD" w14:textId="77777777" w:rsidR="00D01DFA" w:rsidRDefault="00D01DFA" w:rsidP="00D01DFA">
      <w:r>
        <w:t xml:space="preserve">Bosworth, A.B. 1988. </w:t>
      </w:r>
      <w:r>
        <w:rPr>
          <w:i/>
        </w:rPr>
        <w:t xml:space="preserve">Conquest and Empire: The Reign of Alexander the Great. </w:t>
      </w:r>
      <w:r>
        <w:t>Cambridge: Cambridge University Press</w:t>
      </w:r>
    </w:p>
    <w:p w14:paraId="799A37C4" w14:textId="77777777" w:rsidR="00D01DFA" w:rsidRDefault="00D01DFA" w:rsidP="00D01DFA"/>
    <w:p w14:paraId="2C5A6100" w14:textId="77777777" w:rsidR="00D01DFA" w:rsidRPr="00437603" w:rsidRDefault="00D01DFA" w:rsidP="00D01DFA">
      <w:pPr>
        <w:rPr>
          <w:lang w:val="en-US"/>
        </w:rPr>
      </w:pPr>
      <w:proofErr w:type="spellStart"/>
      <w:r w:rsidRPr="00437603">
        <w:rPr>
          <w:lang w:val="en-US"/>
        </w:rPr>
        <w:t>Briant</w:t>
      </w:r>
      <w:proofErr w:type="spellEnd"/>
      <w:r>
        <w:rPr>
          <w:lang w:val="en-US"/>
        </w:rPr>
        <w:t>, P. &amp;</w:t>
      </w:r>
      <w:r w:rsidRPr="00437603">
        <w:rPr>
          <w:lang w:val="en-US"/>
        </w:rPr>
        <w:t xml:space="preserve"> </w:t>
      </w:r>
      <w:proofErr w:type="spellStart"/>
      <w:r>
        <w:rPr>
          <w:lang w:val="en-US"/>
        </w:rPr>
        <w:t>Kuhrt</w:t>
      </w:r>
      <w:proofErr w:type="spellEnd"/>
      <w:r>
        <w:rPr>
          <w:lang w:val="en-US"/>
        </w:rPr>
        <w:t>, A.</w:t>
      </w:r>
      <w:r w:rsidRPr="00437603">
        <w:rPr>
          <w:lang w:val="en-US"/>
        </w:rPr>
        <w:t xml:space="preserve"> “Alexander among Macedonians, Greeks, and Iranians.” </w:t>
      </w:r>
      <w:r w:rsidRPr="00437603">
        <w:rPr>
          <w:i/>
          <w:iCs/>
          <w:lang w:val="en-US"/>
        </w:rPr>
        <w:t>Alexander the Great and His Empire: A Short Introduction</w:t>
      </w:r>
      <w:r w:rsidRPr="00437603">
        <w:rPr>
          <w:lang w:val="en-US"/>
        </w:rPr>
        <w:t>, Princeton University Press, PRINCETON; OXFORD, 2010, pp. 101–138</w:t>
      </w:r>
    </w:p>
    <w:p w14:paraId="22480E26" w14:textId="77777777" w:rsidR="00D01DFA" w:rsidRDefault="00D01DFA" w:rsidP="00D01DFA"/>
    <w:p w14:paraId="415396C8" w14:textId="77777777" w:rsidR="00D01DFA" w:rsidRPr="00017721" w:rsidRDefault="00D01DFA" w:rsidP="00D01DFA">
      <w:pPr>
        <w:rPr>
          <w:lang w:val="en-US"/>
        </w:rPr>
      </w:pPr>
      <w:proofErr w:type="spellStart"/>
      <w:r w:rsidRPr="00437603">
        <w:rPr>
          <w:lang w:val="en-US"/>
        </w:rPr>
        <w:t>Briant</w:t>
      </w:r>
      <w:proofErr w:type="spellEnd"/>
      <w:r>
        <w:rPr>
          <w:lang w:val="en-US"/>
        </w:rPr>
        <w:t>, P. &amp;</w:t>
      </w:r>
      <w:r w:rsidRPr="00437603">
        <w:rPr>
          <w:lang w:val="en-US"/>
        </w:rPr>
        <w:t xml:space="preserve"> </w:t>
      </w:r>
      <w:proofErr w:type="spellStart"/>
      <w:r>
        <w:rPr>
          <w:lang w:val="en-US"/>
        </w:rPr>
        <w:t>Kuhrt</w:t>
      </w:r>
      <w:proofErr w:type="spellEnd"/>
      <w:r>
        <w:rPr>
          <w:lang w:val="en-US"/>
        </w:rPr>
        <w:t>, A.</w:t>
      </w:r>
      <w:r w:rsidRPr="00437603">
        <w:rPr>
          <w:lang w:val="en-US"/>
        </w:rPr>
        <w:t xml:space="preserve"> </w:t>
      </w:r>
      <w:r w:rsidRPr="00017721">
        <w:rPr>
          <w:lang w:val="en-US"/>
        </w:rPr>
        <w:t>“Conclusion: The King Is Dead! Long Live the King?” </w:t>
      </w:r>
      <w:r w:rsidRPr="00017721">
        <w:rPr>
          <w:i/>
          <w:iCs/>
          <w:lang w:val="en-US"/>
        </w:rPr>
        <w:t>Alexander the Great and His Empire: A Short Introduction</w:t>
      </w:r>
      <w:r w:rsidRPr="00017721">
        <w:rPr>
          <w:lang w:val="en-US"/>
        </w:rPr>
        <w:t>, Princeton University Press, PRINCETON; OXFORD, 2010, pp. 139–144</w:t>
      </w:r>
    </w:p>
    <w:p w14:paraId="3ECC3B5E" w14:textId="77777777" w:rsidR="00D01DFA" w:rsidRDefault="00D01DFA" w:rsidP="00D01DFA"/>
    <w:p w14:paraId="3C0E4E47" w14:textId="77777777" w:rsidR="00D01DFA" w:rsidRPr="009A72A4" w:rsidRDefault="00D01DFA" w:rsidP="00D01DFA">
      <w:pPr>
        <w:rPr>
          <w:lang w:val="en-US"/>
        </w:rPr>
      </w:pPr>
      <w:r>
        <w:rPr>
          <w:lang w:val="en-US"/>
        </w:rPr>
        <w:t>Carney, E</w:t>
      </w:r>
      <w:r w:rsidRPr="009A72A4">
        <w:rPr>
          <w:lang w:val="en-US"/>
        </w:rPr>
        <w:t>. “Macedonians and Mutiny: Discipline and Indiscipline in the Army of Philip and Alexander.” </w:t>
      </w:r>
      <w:r w:rsidRPr="009A72A4">
        <w:rPr>
          <w:i/>
          <w:iCs/>
          <w:lang w:val="en-US"/>
        </w:rPr>
        <w:t>Classical Philology</w:t>
      </w:r>
      <w:r w:rsidRPr="009A72A4">
        <w:rPr>
          <w:lang w:val="en-US"/>
        </w:rPr>
        <w:t>, vol. 91, no. 1, 1996, pp. 19–44</w:t>
      </w:r>
    </w:p>
    <w:p w14:paraId="0BDDDE6D" w14:textId="77777777" w:rsidR="00D01DFA" w:rsidRDefault="00D01DFA" w:rsidP="00D01DFA"/>
    <w:p w14:paraId="59AAACE6" w14:textId="77777777" w:rsidR="00D01DFA" w:rsidRDefault="00D01DFA" w:rsidP="00D01DFA">
      <w:r>
        <w:t xml:space="preserve">Carney, E. 2015. </w:t>
      </w:r>
      <w:r w:rsidRPr="00E67A0F">
        <w:rPr>
          <w:i/>
        </w:rPr>
        <w:t>King and Court in Ancient Macedonia: Rivalry, Treason, and Conspiracy</w:t>
      </w:r>
      <w:r>
        <w:rPr>
          <w:i/>
        </w:rPr>
        <w:t xml:space="preserve">. </w:t>
      </w:r>
      <w:r>
        <w:t>Swansea: The Classical Press of Wales</w:t>
      </w:r>
    </w:p>
    <w:p w14:paraId="03B7E154" w14:textId="77777777" w:rsidR="00D01DFA" w:rsidRDefault="00D01DFA" w:rsidP="00D01DFA"/>
    <w:p w14:paraId="404C0AF6" w14:textId="77777777" w:rsidR="00D01DFA" w:rsidRDefault="00D01DFA" w:rsidP="00D01DFA">
      <w:proofErr w:type="spellStart"/>
      <w:r>
        <w:t>Casari</w:t>
      </w:r>
      <w:proofErr w:type="spellEnd"/>
      <w:r>
        <w:t xml:space="preserve">, M. “The King Explorer.” </w:t>
      </w:r>
      <w:r>
        <w:rPr>
          <w:i/>
        </w:rPr>
        <w:t xml:space="preserve">The Alexander Romance in Persia and the East, </w:t>
      </w:r>
      <w:r>
        <w:t xml:space="preserve">Netherlands: </w:t>
      </w:r>
      <w:proofErr w:type="spellStart"/>
      <w:r>
        <w:t>Barkhuis</w:t>
      </w:r>
      <w:proofErr w:type="spellEnd"/>
      <w:r>
        <w:t>, pp. 175-203</w:t>
      </w:r>
    </w:p>
    <w:p w14:paraId="404D6917" w14:textId="77777777" w:rsidR="00D01DFA" w:rsidRDefault="00D01DFA" w:rsidP="00D01DFA"/>
    <w:p w14:paraId="74C57C81" w14:textId="77777777" w:rsidR="00D01DFA" w:rsidRDefault="00D01DFA" w:rsidP="00D01DFA">
      <w:proofErr w:type="spellStart"/>
      <w:r>
        <w:t>Cawthorne</w:t>
      </w:r>
      <w:proofErr w:type="spellEnd"/>
      <w:r>
        <w:t xml:space="preserve">, N. 2004. </w:t>
      </w:r>
      <w:r>
        <w:rPr>
          <w:i/>
        </w:rPr>
        <w:t xml:space="preserve">Alexander the Great. </w:t>
      </w:r>
      <w:r>
        <w:t xml:space="preserve">London: </w:t>
      </w:r>
      <w:proofErr w:type="spellStart"/>
      <w:r>
        <w:t>Haus</w:t>
      </w:r>
      <w:proofErr w:type="spellEnd"/>
      <w:r>
        <w:t xml:space="preserve"> Publishing</w:t>
      </w:r>
    </w:p>
    <w:p w14:paraId="5746694E" w14:textId="77777777" w:rsidR="00D01DFA" w:rsidRDefault="00D01DFA" w:rsidP="00D01DFA"/>
    <w:p w14:paraId="4342CCB2" w14:textId="77777777" w:rsidR="00D01DFA" w:rsidRDefault="00D01DFA" w:rsidP="00D01DFA">
      <w:pPr>
        <w:rPr>
          <w:lang w:val="en-US"/>
        </w:rPr>
      </w:pPr>
      <w:r>
        <w:rPr>
          <w:lang w:val="en-US"/>
        </w:rPr>
        <w:lastRenderedPageBreak/>
        <w:t xml:space="preserve">De </w:t>
      </w:r>
      <w:proofErr w:type="spellStart"/>
      <w:r>
        <w:rPr>
          <w:lang w:val="en-US"/>
        </w:rPr>
        <w:t>Courcelles</w:t>
      </w:r>
      <w:proofErr w:type="spellEnd"/>
      <w:r>
        <w:rPr>
          <w:lang w:val="en-US"/>
        </w:rPr>
        <w:t>, D</w:t>
      </w:r>
      <w:r w:rsidRPr="00C55E3F">
        <w:rPr>
          <w:lang w:val="en-US"/>
        </w:rPr>
        <w:t>. “When the Greek King Alexander the Great Laughed in India: The Rhetoric of Laughter and the Philosophy of Living.” </w:t>
      </w:r>
      <w:r w:rsidRPr="00C55E3F">
        <w:rPr>
          <w:i/>
          <w:iCs/>
          <w:lang w:val="en-US"/>
        </w:rPr>
        <w:t>Philosophy &amp; Rhetoric</w:t>
      </w:r>
      <w:r w:rsidRPr="00C55E3F">
        <w:rPr>
          <w:lang w:val="en-US"/>
        </w:rPr>
        <w:t>, vol. 47, no. 3, 2014, pp. 323–333</w:t>
      </w:r>
    </w:p>
    <w:p w14:paraId="74B3B010" w14:textId="77777777" w:rsidR="00D01DFA" w:rsidRDefault="00D01DFA" w:rsidP="00D01DFA">
      <w:pPr>
        <w:rPr>
          <w:lang w:val="en-US"/>
        </w:rPr>
      </w:pPr>
    </w:p>
    <w:p w14:paraId="2C764921" w14:textId="77777777" w:rsidR="00D01DFA" w:rsidRDefault="00D01DFA" w:rsidP="00D01DFA">
      <w:pPr>
        <w:rPr>
          <w:lang w:val="en-US"/>
        </w:rPr>
      </w:pPr>
      <w:r>
        <w:rPr>
          <w:lang w:val="en-US"/>
        </w:rPr>
        <w:t xml:space="preserve">Erickson, K., </w:t>
      </w:r>
      <w:proofErr w:type="spellStart"/>
      <w:r>
        <w:rPr>
          <w:lang w:val="en-US"/>
        </w:rPr>
        <w:t>Netton</w:t>
      </w:r>
      <w:proofErr w:type="spellEnd"/>
      <w:r>
        <w:rPr>
          <w:lang w:val="en-US"/>
        </w:rPr>
        <w:t xml:space="preserve">, I.R., Stoneman, R. 2012. </w:t>
      </w:r>
      <w:r>
        <w:rPr>
          <w:i/>
          <w:lang w:val="en-US"/>
        </w:rPr>
        <w:t xml:space="preserve">Alexander Romance in Persia and the East. </w:t>
      </w:r>
      <w:r>
        <w:rPr>
          <w:lang w:val="en-US"/>
        </w:rPr>
        <w:t xml:space="preserve">Netherlands: </w:t>
      </w:r>
      <w:proofErr w:type="spellStart"/>
      <w:r>
        <w:rPr>
          <w:lang w:val="en-US"/>
        </w:rPr>
        <w:t>Barkhuis</w:t>
      </w:r>
      <w:proofErr w:type="spellEnd"/>
    </w:p>
    <w:p w14:paraId="50E03F71" w14:textId="77777777" w:rsidR="00D01DFA" w:rsidRDefault="00D01DFA" w:rsidP="00D01DFA">
      <w:pPr>
        <w:rPr>
          <w:lang w:val="en-US"/>
        </w:rPr>
      </w:pPr>
    </w:p>
    <w:p w14:paraId="45EEC4B1" w14:textId="77777777" w:rsidR="00D01DFA" w:rsidRPr="00F91BCD" w:rsidRDefault="00D01DFA" w:rsidP="00D01DFA">
      <w:pPr>
        <w:rPr>
          <w:lang w:val="en-US"/>
        </w:rPr>
      </w:pPr>
      <w:r>
        <w:rPr>
          <w:lang w:val="en-US"/>
        </w:rPr>
        <w:t>Fear, A.T. “Alexander and the Virtuous Indians.”</w:t>
      </w:r>
      <w:r>
        <w:rPr>
          <w:i/>
          <w:lang w:val="en-US"/>
        </w:rPr>
        <w:t xml:space="preserve"> Memory as History: The Legacy of Alexander in Asia, </w:t>
      </w:r>
      <w:r>
        <w:rPr>
          <w:lang w:val="en-US"/>
        </w:rPr>
        <w:t>2007, New Delhi: Aryan Books International</w:t>
      </w:r>
    </w:p>
    <w:p w14:paraId="73FC90B1" w14:textId="77777777" w:rsidR="00D01DFA" w:rsidRDefault="00D01DFA" w:rsidP="00D01DFA"/>
    <w:p w14:paraId="3B47C0B3" w14:textId="77777777" w:rsidR="00D01DFA" w:rsidRDefault="00D01DFA" w:rsidP="00D01DFA">
      <w:pPr>
        <w:rPr>
          <w:lang w:val="en-US"/>
        </w:rPr>
      </w:pPr>
      <w:r>
        <w:rPr>
          <w:lang w:val="en-US"/>
        </w:rPr>
        <w:t>Flower, M.</w:t>
      </w:r>
      <w:r w:rsidRPr="006D3EE8">
        <w:rPr>
          <w:lang w:val="en-US"/>
        </w:rPr>
        <w:t xml:space="preserve">A. “Not Great Man History: </w:t>
      </w:r>
      <w:proofErr w:type="spellStart"/>
      <w:r w:rsidRPr="006D3EE8">
        <w:rPr>
          <w:lang w:val="en-US"/>
        </w:rPr>
        <w:t>Reconceptualizing</w:t>
      </w:r>
      <w:proofErr w:type="spellEnd"/>
      <w:r w:rsidRPr="006D3EE8">
        <w:rPr>
          <w:lang w:val="en-US"/>
        </w:rPr>
        <w:t xml:space="preserve"> a Course on Alexander the Great.” </w:t>
      </w:r>
      <w:r w:rsidRPr="006D3EE8">
        <w:rPr>
          <w:i/>
          <w:iCs/>
          <w:lang w:val="en-US"/>
        </w:rPr>
        <w:t>The Classical World</w:t>
      </w:r>
      <w:r w:rsidRPr="006D3EE8">
        <w:rPr>
          <w:lang w:val="en-US"/>
        </w:rPr>
        <w:t>, vol. 100, no. 4, 2007, pp. 417–423</w:t>
      </w:r>
    </w:p>
    <w:p w14:paraId="4AB86A2B" w14:textId="77777777" w:rsidR="00D01DFA" w:rsidRDefault="00D01DFA" w:rsidP="00D01DFA">
      <w:pPr>
        <w:rPr>
          <w:lang w:val="en-US"/>
        </w:rPr>
      </w:pPr>
    </w:p>
    <w:p w14:paraId="1FCDD6FA" w14:textId="77777777" w:rsidR="00D01DFA" w:rsidRPr="00276490" w:rsidRDefault="00D01DFA" w:rsidP="00D01DFA">
      <w:pPr>
        <w:rPr>
          <w:lang w:val="en-US"/>
        </w:rPr>
      </w:pPr>
      <w:r>
        <w:rPr>
          <w:lang w:val="en-US"/>
        </w:rPr>
        <w:t xml:space="preserve">Fox, R.L. 1980. </w:t>
      </w:r>
      <w:r>
        <w:rPr>
          <w:i/>
          <w:lang w:val="en-US"/>
        </w:rPr>
        <w:t xml:space="preserve">The Search for Alexander. </w:t>
      </w:r>
      <w:r>
        <w:rPr>
          <w:lang w:val="en-US"/>
        </w:rPr>
        <w:t>Boston: Little, Brown and Company</w:t>
      </w:r>
    </w:p>
    <w:p w14:paraId="36BD091E" w14:textId="77777777" w:rsidR="00D01DFA" w:rsidRDefault="00D01DFA" w:rsidP="00D01DFA"/>
    <w:p w14:paraId="0D1384A4" w14:textId="77777777" w:rsidR="00D01DFA" w:rsidRDefault="00D01DFA" w:rsidP="00D01DFA">
      <w:pPr>
        <w:rPr>
          <w:lang w:val="en-US"/>
        </w:rPr>
      </w:pPr>
      <w:proofErr w:type="spellStart"/>
      <w:r>
        <w:rPr>
          <w:lang w:val="en-US"/>
        </w:rPr>
        <w:t>Fredricksmeyer</w:t>
      </w:r>
      <w:proofErr w:type="spellEnd"/>
      <w:r>
        <w:rPr>
          <w:lang w:val="en-US"/>
        </w:rPr>
        <w:t>, E.</w:t>
      </w:r>
      <w:r w:rsidRPr="005623B9">
        <w:rPr>
          <w:lang w:val="en-US"/>
        </w:rPr>
        <w:t>A. “Alexander, Zeus Ammon, and the Conquest of Asia.” </w:t>
      </w:r>
      <w:r w:rsidRPr="005623B9">
        <w:rPr>
          <w:i/>
          <w:iCs/>
          <w:lang w:val="en-US"/>
        </w:rPr>
        <w:t>Transactions of the American Philological Association (1974-)</w:t>
      </w:r>
      <w:r w:rsidRPr="005623B9">
        <w:rPr>
          <w:lang w:val="en-US"/>
        </w:rPr>
        <w:t>, vol. 121, 1991, pp. 199–214</w:t>
      </w:r>
    </w:p>
    <w:p w14:paraId="40D438A8" w14:textId="77777777" w:rsidR="00D01DFA" w:rsidRDefault="00D01DFA" w:rsidP="00D01DFA">
      <w:pPr>
        <w:rPr>
          <w:lang w:val="en-US"/>
        </w:rPr>
      </w:pPr>
    </w:p>
    <w:p w14:paraId="288E5DE6" w14:textId="77777777" w:rsidR="00D01DFA" w:rsidRDefault="00D01DFA" w:rsidP="00D01DFA">
      <w:pPr>
        <w:rPr>
          <w:lang w:val="en-US"/>
        </w:rPr>
      </w:pPr>
      <w:proofErr w:type="spellStart"/>
      <w:r>
        <w:rPr>
          <w:lang w:val="en-US"/>
        </w:rPr>
        <w:t>Galavaris</w:t>
      </w:r>
      <w:proofErr w:type="spellEnd"/>
      <w:r>
        <w:rPr>
          <w:lang w:val="en-US"/>
        </w:rPr>
        <w:t>, G</w:t>
      </w:r>
      <w:r w:rsidRPr="00645EB4">
        <w:rPr>
          <w:lang w:val="en-US"/>
        </w:rPr>
        <w:t>. “Alexander the Great Conqueror and Captive of Death: His Various Images in Byzantine Art.” </w:t>
      </w:r>
      <w:r w:rsidRPr="00645EB4">
        <w:rPr>
          <w:i/>
          <w:iCs/>
          <w:lang w:val="en-US"/>
        </w:rPr>
        <w:t xml:space="preserve">RACAR: Revue D'art </w:t>
      </w:r>
      <w:proofErr w:type="spellStart"/>
      <w:r w:rsidRPr="00645EB4">
        <w:rPr>
          <w:i/>
          <w:iCs/>
          <w:lang w:val="en-US"/>
        </w:rPr>
        <w:t>Canadienne</w:t>
      </w:r>
      <w:proofErr w:type="spellEnd"/>
      <w:r w:rsidRPr="00645EB4">
        <w:rPr>
          <w:i/>
          <w:iCs/>
          <w:lang w:val="en-US"/>
        </w:rPr>
        <w:t xml:space="preserve"> / Canadian Art Review</w:t>
      </w:r>
      <w:r w:rsidRPr="00645EB4">
        <w:rPr>
          <w:lang w:val="en-US"/>
        </w:rPr>
        <w:t>, vol. 16, no. 1, 1989, pp. 12–77</w:t>
      </w:r>
    </w:p>
    <w:p w14:paraId="78B5045D" w14:textId="77777777" w:rsidR="00D01DFA" w:rsidRDefault="00D01DFA" w:rsidP="00D01DFA">
      <w:pPr>
        <w:rPr>
          <w:lang w:val="en-US"/>
        </w:rPr>
      </w:pPr>
    </w:p>
    <w:p w14:paraId="53754C62" w14:textId="77777777" w:rsidR="00D01DFA" w:rsidRPr="007C7997" w:rsidRDefault="00D01DFA" w:rsidP="00D01DFA">
      <w:pPr>
        <w:rPr>
          <w:lang w:val="en-US"/>
        </w:rPr>
      </w:pPr>
      <w:r>
        <w:rPr>
          <w:lang w:val="en-US"/>
        </w:rPr>
        <w:t xml:space="preserve">Graves, R. 1955. </w:t>
      </w:r>
      <w:r>
        <w:rPr>
          <w:i/>
          <w:lang w:val="en-US"/>
        </w:rPr>
        <w:t xml:space="preserve">The Greek Myths. </w:t>
      </w:r>
      <w:r>
        <w:rPr>
          <w:lang w:val="en-US"/>
        </w:rPr>
        <w:t>UK: Penguin Books</w:t>
      </w:r>
    </w:p>
    <w:p w14:paraId="56003B52" w14:textId="77777777" w:rsidR="00D01DFA" w:rsidRDefault="00D01DFA" w:rsidP="00D01DFA"/>
    <w:p w14:paraId="61F08BF5" w14:textId="77777777" w:rsidR="00D01DFA" w:rsidRDefault="00D01DFA" w:rsidP="00D01DFA">
      <w:r>
        <w:t xml:space="preserve">Green, P. 1991. </w:t>
      </w:r>
      <w:r>
        <w:rPr>
          <w:i/>
        </w:rPr>
        <w:t xml:space="preserve">Alexander of Macedon, 356-323 BC. A Historical Biography. </w:t>
      </w:r>
      <w:r>
        <w:t>California: University of California Press</w:t>
      </w:r>
    </w:p>
    <w:p w14:paraId="643627AB" w14:textId="77777777" w:rsidR="00D01DFA" w:rsidRDefault="00D01DFA" w:rsidP="00D01DFA"/>
    <w:p w14:paraId="0C9CBA05" w14:textId="77777777" w:rsidR="00D01DFA" w:rsidRPr="004C5E31" w:rsidRDefault="00D01DFA" w:rsidP="00D01DFA">
      <w:proofErr w:type="spellStart"/>
      <w:r>
        <w:t>Hablicht</w:t>
      </w:r>
      <w:proofErr w:type="spellEnd"/>
      <w:r>
        <w:t xml:space="preserve">, C. 1997. </w:t>
      </w:r>
      <w:r>
        <w:rPr>
          <w:i/>
        </w:rPr>
        <w:t xml:space="preserve">Athens from Alexander to Antony. </w:t>
      </w:r>
      <w:r>
        <w:t>Cambridge: Harvard University Press</w:t>
      </w:r>
    </w:p>
    <w:p w14:paraId="7398FEB2" w14:textId="77777777" w:rsidR="00D01DFA" w:rsidRDefault="00D01DFA" w:rsidP="00D01DFA"/>
    <w:p w14:paraId="4F6FEB4C" w14:textId="77777777" w:rsidR="00D01DFA" w:rsidRDefault="00D01DFA" w:rsidP="00D01DFA">
      <w:r>
        <w:t xml:space="preserve">Hammond, N.G.L. 1980. </w:t>
      </w:r>
      <w:r>
        <w:rPr>
          <w:i/>
        </w:rPr>
        <w:t xml:space="preserve">Alexander the Great: King, Commander and Statesman. </w:t>
      </w:r>
      <w:r>
        <w:t xml:space="preserve">Wiltshire: The Cromwell Press Ltd. </w:t>
      </w:r>
    </w:p>
    <w:p w14:paraId="13A2AD89" w14:textId="77777777" w:rsidR="00D01DFA" w:rsidRDefault="00D01DFA" w:rsidP="00D01DFA"/>
    <w:p w14:paraId="62E81BF6" w14:textId="77777777" w:rsidR="00D01DFA" w:rsidRDefault="00D01DFA" w:rsidP="00D01DFA">
      <w:pPr>
        <w:rPr>
          <w:lang w:val="en-US"/>
        </w:rPr>
      </w:pPr>
      <w:r w:rsidRPr="005E2ADC">
        <w:rPr>
          <w:lang w:val="en-US"/>
        </w:rPr>
        <w:t>Hammond, N. G. L. “Arms and the King: The Insignia of Alexander the Great.” </w:t>
      </w:r>
      <w:r w:rsidRPr="005E2ADC">
        <w:rPr>
          <w:i/>
          <w:iCs/>
          <w:lang w:val="en-US"/>
        </w:rPr>
        <w:t>Phoenix</w:t>
      </w:r>
      <w:r w:rsidRPr="005E2ADC">
        <w:rPr>
          <w:lang w:val="en-US"/>
        </w:rPr>
        <w:t>, vol. 43, no. 3, 1989, pp. 217–224</w:t>
      </w:r>
    </w:p>
    <w:p w14:paraId="7D85993C" w14:textId="77777777" w:rsidR="00D01DFA" w:rsidRDefault="00D01DFA" w:rsidP="00D01DFA">
      <w:pPr>
        <w:rPr>
          <w:lang w:val="en-US"/>
        </w:rPr>
      </w:pPr>
    </w:p>
    <w:p w14:paraId="09549015" w14:textId="77777777" w:rsidR="00D01DFA" w:rsidRPr="007E15CC" w:rsidRDefault="00D01DFA" w:rsidP="00D01DFA">
      <w:pPr>
        <w:rPr>
          <w:lang w:val="en-US"/>
        </w:rPr>
      </w:pPr>
      <w:proofErr w:type="spellStart"/>
      <w:r>
        <w:rPr>
          <w:lang w:val="en-US"/>
        </w:rPr>
        <w:t>Henkelman</w:t>
      </w:r>
      <w:proofErr w:type="spellEnd"/>
      <w:r>
        <w:rPr>
          <w:lang w:val="en-US"/>
        </w:rPr>
        <w:t xml:space="preserve">, W., &amp; </w:t>
      </w:r>
      <w:proofErr w:type="spellStart"/>
      <w:r>
        <w:rPr>
          <w:lang w:val="en-US"/>
        </w:rPr>
        <w:t>Kuhrt</w:t>
      </w:r>
      <w:proofErr w:type="spellEnd"/>
      <w:r>
        <w:rPr>
          <w:lang w:val="en-US"/>
        </w:rPr>
        <w:t xml:space="preserve">, A. 2003. </w:t>
      </w:r>
      <w:r>
        <w:rPr>
          <w:i/>
          <w:lang w:val="en-US"/>
        </w:rPr>
        <w:t xml:space="preserve">A Persian Perspective: Essays in Memory of </w:t>
      </w:r>
      <w:proofErr w:type="spellStart"/>
      <w:r>
        <w:rPr>
          <w:i/>
          <w:lang w:val="en-US"/>
        </w:rPr>
        <w:t>Heleen</w:t>
      </w:r>
      <w:proofErr w:type="spellEnd"/>
      <w:r>
        <w:rPr>
          <w:i/>
          <w:lang w:val="en-US"/>
        </w:rPr>
        <w:t xml:space="preserve"> </w:t>
      </w:r>
      <w:proofErr w:type="spellStart"/>
      <w:r>
        <w:rPr>
          <w:i/>
          <w:lang w:val="en-US"/>
        </w:rPr>
        <w:t>Sancisi-Weerdernburg</w:t>
      </w:r>
      <w:proofErr w:type="spellEnd"/>
      <w:r>
        <w:rPr>
          <w:lang w:val="en-US"/>
        </w:rPr>
        <w:t xml:space="preserve">. Netherlands: </w:t>
      </w:r>
      <w:proofErr w:type="spellStart"/>
      <w:r>
        <w:rPr>
          <w:lang w:val="en-US"/>
        </w:rPr>
        <w:t>Nederlands</w:t>
      </w:r>
      <w:proofErr w:type="spellEnd"/>
      <w:r>
        <w:rPr>
          <w:lang w:val="en-US"/>
        </w:rPr>
        <w:t xml:space="preserve"> </w:t>
      </w:r>
      <w:proofErr w:type="spellStart"/>
      <w:r>
        <w:rPr>
          <w:lang w:val="en-US"/>
        </w:rPr>
        <w:t>Instituut</w:t>
      </w:r>
      <w:proofErr w:type="spellEnd"/>
      <w:r>
        <w:rPr>
          <w:lang w:val="en-US"/>
        </w:rPr>
        <w:t xml:space="preserve"> </w:t>
      </w:r>
      <w:proofErr w:type="spellStart"/>
      <w:r>
        <w:rPr>
          <w:lang w:val="en-US"/>
        </w:rPr>
        <w:t>Voor</w:t>
      </w:r>
      <w:proofErr w:type="spellEnd"/>
      <w:r>
        <w:rPr>
          <w:lang w:val="en-US"/>
        </w:rPr>
        <w:t xml:space="preserve"> Het </w:t>
      </w:r>
      <w:proofErr w:type="spellStart"/>
      <w:r>
        <w:rPr>
          <w:lang w:val="en-US"/>
        </w:rPr>
        <w:t>Nabije</w:t>
      </w:r>
      <w:proofErr w:type="spellEnd"/>
      <w:r>
        <w:rPr>
          <w:lang w:val="en-US"/>
        </w:rPr>
        <w:t xml:space="preserve"> </w:t>
      </w:r>
      <w:proofErr w:type="spellStart"/>
      <w:r>
        <w:rPr>
          <w:lang w:val="en-US"/>
        </w:rPr>
        <w:t>Oosten</w:t>
      </w:r>
      <w:proofErr w:type="spellEnd"/>
    </w:p>
    <w:p w14:paraId="0C281DB8" w14:textId="77777777" w:rsidR="00D01DFA" w:rsidRDefault="00D01DFA" w:rsidP="00D01DFA"/>
    <w:p w14:paraId="7A08D622" w14:textId="77777777" w:rsidR="00D01DFA" w:rsidRDefault="00D01DFA" w:rsidP="00D01DFA">
      <w:pPr>
        <w:rPr>
          <w:lang w:val="en-US"/>
        </w:rPr>
      </w:pPr>
      <w:r w:rsidRPr="006C2CE5">
        <w:rPr>
          <w:lang w:val="en-US"/>
        </w:rPr>
        <w:t>Hogarth, D. G. “The Deification of Alexander the Great.” </w:t>
      </w:r>
      <w:r w:rsidRPr="006C2CE5">
        <w:rPr>
          <w:i/>
          <w:iCs/>
          <w:lang w:val="en-US"/>
        </w:rPr>
        <w:t>The English Historical Review</w:t>
      </w:r>
      <w:r w:rsidRPr="006C2CE5">
        <w:rPr>
          <w:lang w:val="en-US"/>
        </w:rPr>
        <w:t xml:space="preserve">, </w:t>
      </w:r>
      <w:r>
        <w:rPr>
          <w:lang w:val="en-US"/>
        </w:rPr>
        <w:t>vol. 2, no. 6, 1887, pp. 317–329</w:t>
      </w:r>
    </w:p>
    <w:p w14:paraId="400BE2B1" w14:textId="77777777" w:rsidR="00D01DFA" w:rsidRDefault="00D01DFA" w:rsidP="00D01DFA">
      <w:pPr>
        <w:rPr>
          <w:lang w:val="en-US"/>
        </w:rPr>
      </w:pPr>
    </w:p>
    <w:p w14:paraId="23048262" w14:textId="77777777" w:rsidR="00D01DFA" w:rsidRPr="00E6449B" w:rsidRDefault="00D01DFA" w:rsidP="00D01DFA">
      <w:pPr>
        <w:rPr>
          <w:lang w:val="en-US"/>
        </w:rPr>
      </w:pPr>
      <w:proofErr w:type="spellStart"/>
      <w:r>
        <w:rPr>
          <w:lang w:val="en-US"/>
        </w:rPr>
        <w:t>Kremmydas</w:t>
      </w:r>
      <w:proofErr w:type="spellEnd"/>
      <w:r>
        <w:rPr>
          <w:lang w:val="en-US"/>
        </w:rPr>
        <w:t>, C</w:t>
      </w:r>
      <w:r w:rsidRPr="00E6449B">
        <w:rPr>
          <w:lang w:val="en-US"/>
        </w:rPr>
        <w:t>. “ALEXANDER THE GREAT, ATHENS, AND THE RHETORIC OF THE PERSIAN WARS.” </w:t>
      </w:r>
      <w:r w:rsidRPr="00E6449B">
        <w:rPr>
          <w:i/>
          <w:iCs/>
          <w:lang w:val="en-US"/>
        </w:rPr>
        <w:t>Bulletin of the Institute of Classical Studies. Supplement</w:t>
      </w:r>
      <w:r w:rsidRPr="00E6449B">
        <w:rPr>
          <w:lang w:val="en-US"/>
        </w:rPr>
        <w:t>, no. 124, 2013, pp. 199–211</w:t>
      </w:r>
    </w:p>
    <w:p w14:paraId="7F0ABA85" w14:textId="77777777" w:rsidR="00D01DFA" w:rsidRDefault="00D01DFA" w:rsidP="00D01DFA">
      <w:pPr>
        <w:rPr>
          <w:lang w:val="en-US"/>
        </w:rPr>
      </w:pPr>
    </w:p>
    <w:p w14:paraId="59A2871C" w14:textId="77777777" w:rsidR="00D01DFA" w:rsidRDefault="00D01DFA" w:rsidP="00D01DFA">
      <w:pPr>
        <w:rPr>
          <w:lang w:val="en-US"/>
        </w:rPr>
      </w:pPr>
      <w:r>
        <w:rPr>
          <w:lang w:val="en-US"/>
        </w:rPr>
        <w:lastRenderedPageBreak/>
        <w:t>Liebert, H</w:t>
      </w:r>
      <w:r w:rsidRPr="00E676E2">
        <w:rPr>
          <w:lang w:val="en-US"/>
        </w:rPr>
        <w:t>. “Alexander the Great and the History of Globalization.” </w:t>
      </w:r>
      <w:r w:rsidRPr="00E676E2">
        <w:rPr>
          <w:i/>
          <w:iCs/>
          <w:lang w:val="en-US"/>
        </w:rPr>
        <w:t>The Review of Politics</w:t>
      </w:r>
      <w:r w:rsidRPr="00E676E2">
        <w:rPr>
          <w:lang w:val="en-US"/>
        </w:rPr>
        <w:t>, vol. 73, no. 4, 2011, pp. 533–560</w:t>
      </w:r>
    </w:p>
    <w:p w14:paraId="4B2634AF" w14:textId="77777777" w:rsidR="00D01DFA" w:rsidRDefault="00D01DFA" w:rsidP="00D01DFA">
      <w:pPr>
        <w:rPr>
          <w:lang w:val="en-US"/>
        </w:rPr>
      </w:pPr>
    </w:p>
    <w:p w14:paraId="13BFEC8D" w14:textId="77777777" w:rsidR="00D01DFA" w:rsidRPr="00E676E2" w:rsidRDefault="00D01DFA" w:rsidP="00D01DFA">
      <w:pPr>
        <w:rPr>
          <w:lang w:val="en-US"/>
        </w:rPr>
      </w:pPr>
      <w:r>
        <w:rPr>
          <w:lang w:val="en-US"/>
        </w:rPr>
        <w:t xml:space="preserve">McKenna, G. </w:t>
      </w:r>
      <w:r w:rsidRPr="00BA64F4">
        <w:rPr>
          <w:lang w:val="en-US"/>
        </w:rPr>
        <w:t>“America After 9/11.” </w:t>
      </w:r>
      <w:r w:rsidRPr="00BA64F4">
        <w:rPr>
          <w:i/>
          <w:iCs/>
          <w:lang w:val="en-US"/>
        </w:rPr>
        <w:t>The Puritan Origins of American Patriotism</w:t>
      </w:r>
      <w:r w:rsidRPr="00BA64F4">
        <w:rPr>
          <w:lang w:val="en-US"/>
        </w:rPr>
        <w:t>, Yale University Press, NEW HAVEN; LONDON, 2007, pp. 350–374</w:t>
      </w:r>
    </w:p>
    <w:p w14:paraId="44E2A1EF" w14:textId="77777777" w:rsidR="00D01DFA" w:rsidRDefault="00D01DFA" w:rsidP="00D01DFA"/>
    <w:p w14:paraId="456B16F4" w14:textId="77777777" w:rsidR="00D01DFA" w:rsidRDefault="00D01DFA" w:rsidP="00D01DFA">
      <w:r>
        <w:t xml:space="preserve">O’Brien, J.M. 1992. </w:t>
      </w:r>
      <w:r>
        <w:rPr>
          <w:i/>
        </w:rPr>
        <w:t xml:space="preserve">Alexander the Great: The Invisible Enemy. </w:t>
      </w:r>
      <w:r>
        <w:t>London: Routledge</w:t>
      </w:r>
    </w:p>
    <w:p w14:paraId="385C7345" w14:textId="77777777" w:rsidR="00D01DFA" w:rsidRDefault="00D01DFA" w:rsidP="00D01DFA"/>
    <w:p w14:paraId="4DBEF5BB" w14:textId="77777777" w:rsidR="00D01DFA" w:rsidRPr="001A34D9" w:rsidRDefault="00D01DFA" w:rsidP="00D01DFA">
      <w:pPr>
        <w:rPr>
          <w:lang w:val="en-US"/>
        </w:rPr>
      </w:pPr>
      <w:proofErr w:type="spellStart"/>
      <w:r>
        <w:rPr>
          <w:lang w:val="en-US"/>
        </w:rPr>
        <w:t>Overtoom</w:t>
      </w:r>
      <w:proofErr w:type="spellEnd"/>
      <w:r>
        <w:rPr>
          <w:lang w:val="en-US"/>
        </w:rPr>
        <w:t>, N</w:t>
      </w:r>
      <w:r w:rsidRPr="001A34D9">
        <w:rPr>
          <w:lang w:val="en-US"/>
        </w:rPr>
        <w:t xml:space="preserve">. “Six </w:t>
      </w:r>
      <w:proofErr w:type="spellStart"/>
      <w:r w:rsidRPr="001A34D9">
        <w:rPr>
          <w:lang w:val="en-US"/>
        </w:rPr>
        <w:t>Polybian</w:t>
      </w:r>
      <w:proofErr w:type="spellEnd"/>
      <w:r w:rsidRPr="001A34D9">
        <w:rPr>
          <w:lang w:val="en-US"/>
        </w:rPr>
        <w:t xml:space="preserve"> Themes Concerning Alexander the Great.” </w:t>
      </w:r>
      <w:r w:rsidRPr="001A34D9">
        <w:rPr>
          <w:i/>
          <w:iCs/>
          <w:lang w:val="en-US"/>
        </w:rPr>
        <w:t>The Classical World</w:t>
      </w:r>
      <w:r w:rsidRPr="001A34D9">
        <w:rPr>
          <w:lang w:val="en-US"/>
        </w:rPr>
        <w:t>, vol. 106, no. 4, 2013, pp. 571–593</w:t>
      </w:r>
    </w:p>
    <w:p w14:paraId="31E5F4B4" w14:textId="77777777" w:rsidR="00D01DFA" w:rsidRDefault="00D01DFA" w:rsidP="00D01DFA"/>
    <w:p w14:paraId="5DE97B33" w14:textId="77777777" w:rsidR="00D01DFA" w:rsidRPr="0042101D" w:rsidRDefault="00D01DFA" w:rsidP="00D01DFA">
      <w:pPr>
        <w:rPr>
          <w:lang w:val="en-US"/>
        </w:rPr>
      </w:pPr>
      <w:proofErr w:type="spellStart"/>
      <w:r>
        <w:rPr>
          <w:lang w:val="en-US"/>
        </w:rPr>
        <w:t>Peltonen</w:t>
      </w:r>
      <w:proofErr w:type="spellEnd"/>
      <w:r>
        <w:rPr>
          <w:lang w:val="en-US"/>
        </w:rPr>
        <w:t>, J</w:t>
      </w:r>
      <w:r w:rsidRPr="0042101D">
        <w:rPr>
          <w:lang w:val="en-US"/>
        </w:rPr>
        <w:t>. “Defining Manliness, Constructing Identities: Alexander the Great Mirroring an Exemplary Man in Late Antiquity.” </w:t>
      </w:r>
      <w:r w:rsidRPr="0042101D">
        <w:rPr>
          <w:i/>
          <w:iCs/>
          <w:lang w:val="en-US"/>
        </w:rPr>
        <w:t>Gender, Memory, and Identity in the Roman World</w:t>
      </w:r>
      <w:r w:rsidRPr="0042101D">
        <w:rPr>
          <w:lang w:val="en-US"/>
        </w:rPr>
        <w:t xml:space="preserve">, edited by </w:t>
      </w:r>
      <w:proofErr w:type="spellStart"/>
      <w:r w:rsidRPr="0042101D">
        <w:rPr>
          <w:lang w:val="en-US"/>
        </w:rPr>
        <w:t>Jussi</w:t>
      </w:r>
      <w:proofErr w:type="spellEnd"/>
      <w:r w:rsidRPr="0042101D">
        <w:rPr>
          <w:lang w:val="en-US"/>
        </w:rPr>
        <w:t xml:space="preserve"> </w:t>
      </w:r>
      <w:proofErr w:type="spellStart"/>
      <w:r w:rsidRPr="0042101D">
        <w:rPr>
          <w:lang w:val="en-US"/>
        </w:rPr>
        <w:t>Rantala</w:t>
      </w:r>
      <w:proofErr w:type="spellEnd"/>
      <w:r w:rsidRPr="0042101D">
        <w:rPr>
          <w:lang w:val="en-US"/>
        </w:rPr>
        <w:t>, Amsterdam University Press, Amsterdam, 2019, pp. 131–156</w:t>
      </w:r>
    </w:p>
    <w:p w14:paraId="61283D40" w14:textId="77777777" w:rsidR="00D01DFA" w:rsidRDefault="00D01DFA" w:rsidP="00D01DFA"/>
    <w:p w14:paraId="5FC2A567" w14:textId="77777777" w:rsidR="00D01DFA" w:rsidRDefault="00D01DFA" w:rsidP="00D01DFA">
      <w:r>
        <w:t xml:space="preserve">Radner, K. 2014. </w:t>
      </w:r>
      <w:r>
        <w:rPr>
          <w:i/>
        </w:rPr>
        <w:t xml:space="preserve">State Correspondence in the Ancient World: From New Kingdom Egypt to the Roman Empire. </w:t>
      </w:r>
      <w:r>
        <w:t>Oxford: Oxford University Press</w:t>
      </w:r>
    </w:p>
    <w:p w14:paraId="49504280" w14:textId="77777777" w:rsidR="00D01DFA" w:rsidRDefault="00D01DFA" w:rsidP="00D01DFA"/>
    <w:p w14:paraId="2713F96D" w14:textId="77777777" w:rsidR="00D01DFA" w:rsidRPr="00943204" w:rsidRDefault="00D01DFA" w:rsidP="00D01DFA">
      <w:r>
        <w:t xml:space="preserve">Ray, H.P., Potts, D.T. 2007. </w:t>
      </w:r>
      <w:r>
        <w:rPr>
          <w:i/>
        </w:rPr>
        <w:t xml:space="preserve">Memory as History: The Legacy of Alexander in Asia. </w:t>
      </w:r>
      <w:r>
        <w:t>New Delhi: Aryan Books International</w:t>
      </w:r>
    </w:p>
    <w:p w14:paraId="445484AB" w14:textId="77777777" w:rsidR="00D01DFA" w:rsidRDefault="00D01DFA" w:rsidP="00D01DFA"/>
    <w:p w14:paraId="79726531" w14:textId="77777777" w:rsidR="00D01DFA" w:rsidRPr="000B0A1A" w:rsidRDefault="00D01DFA" w:rsidP="00D01DFA">
      <w:r>
        <w:t xml:space="preserve">Renault, M. 1975. </w:t>
      </w:r>
      <w:r>
        <w:rPr>
          <w:i/>
        </w:rPr>
        <w:t xml:space="preserve">The Nature of Alexander. </w:t>
      </w:r>
      <w:r>
        <w:t>New York: Pantheon Books</w:t>
      </w:r>
    </w:p>
    <w:p w14:paraId="34A0F72C" w14:textId="77777777" w:rsidR="00D01DFA" w:rsidRDefault="00D01DFA" w:rsidP="00D01DFA"/>
    <w:p w14:paraId="1E371BE4" w14:textId="77777777" w:rsidR="00D01DFA" w:rsidRDefault="00D01DFA" w:rsidP="00D01DFA">
      <w:pPr>
        <w:rPr>
          <w:lang w:val="en-US"/>
        </w:rPr>
      </w:pPr>
      <w:r w:rsidRPr="00663580">
        <w:rPr>
          <w:lang w:val="en-US"/>
        </w:rPr>
        <w:t>Robinson, C. A. “Alexander's Deification.” </w:t>
      </w:r>
      <w:r w:rsidRPr="00663580">
        <w:rPr>
          <w:i/>
          <w:iCs/>
          <w:lang w:val="en-US"/>
        </w:rPr>
        <w:t>The American Journal of Philology</w:t>
      </w:r>
      <w:r w:rsidRPr="00663580">
        <w:rPr>
          <w:lang w:val="en-US"/>
        </w:rPr>
        <w:t>, vol. 64, no. 3, 1943, pp. 286–301</w:t>
      </w:r>
    </w:p>
    <w:p w14:paraId="4335C98D" w14:textId="77777777" w:rsidR="00D01DFA" w:rsidRPr="00663580" w:rsidRDefault="00D01DFA" w:rsidP="00D01DFA">
      <w:pPr>
        <w:rPr>
          <w:lang w:val="en-US"/>
        </w:rPr>
      </w:pPr>
    </w:p>
    <w:p w14:paraId="01820A42" w14:textId="77777777" w:rsidR="00D01DFA" w:rsidRDefault="00D01DFA" w:rsidP="00D01DFA">
      <w:pPr>
        <w:rPr>
          <w:lang w:val="en-US"/>
        </w:rPr>
      </w:pPr>
      <w:r w:rsidRPr="006755C1">
        <w:rPr>
          <w:lang w:val="en-US"/>
        </w:rPr>
        <w:t xml:space="preserve">Robinson, C. A. “Alexander the Great and </w:t>
      </w:r>
      <w:proofErr w:type="spellStart"/>
      <w:r w:rsidRPr="006755C1">
        <w:rPr>
          <w:lang w:val="en-US"/>
        </w:rPr>
        <w:t>Parmenio</w:t>
      </w:r>
      <w:proofErr w:type="spellEnd"/>
      <w:r w:rsidRPr="006755C1">
        <w:rPr>
          <w:lang w:val="en-US"/>
        </w:rPr>
        <w:t>.” </w:t>
      </w:r>
      <w:r w:rsidRPr="006755C1">
        <w:rPr>
          <w:i/>
          <w:iCs/>
          <w:lang w:val="en-US"/>
        </w:rPr>
        <w:t>American Journal of Archaeology</w:t>
      </w:r>
      <w:r w:rsidRPr="006755C1">
        <w:rPr>
          <w:lang w:val="en-US"/>
        </w:rPr>
        <w:t>, vol. 49, no. 4, 1945, pp. 422–424</w:t>
      </w:r>
    </w:p>
    <w:p w14:paraId="74D025E5" w14:textId="77777777" w:rsidR="00D01DFA" w:rsidRDefault="00D01DFA" w:rsidP="00D01DFA">
      <w:pPr>
        <w:rPr>
          <w:lang w:val="en-US"/>
        </w:rPr>
      </w:pPr>
    </w:p>
    <w:p w14:paraId="704AAA91" w14:textId="77777777" w:rsidR="00D01DFA" w:rsidRDefault="00D01DFA" w:rsidP="00D01DFA">
      <w:pPr>
        <w:rPr>
          <w:lang w:val="en-US"/>
        </w:rPr>
      </w:pPr>
      <w:r w:rsidRPr="00194103">
        <w:rPr>
          <w:lang w:val="en-US"/>
        </w:rPr>
        <w:t>Robinson, C. A. “The Extraordinary Ideas of Alexander the Great.” </w:t>
      </w:r>
      <w:r w:rsidRPr="00194103">
        <w:rPr>
          <w:i/>
          <w:iCs/>
          <w:lang w:val="en-US"/>
        </w:rPr>
        <w:t>The American Historical Review</w:t>
      </w:r>
      <w:r w:rsidRPr="00194103">
        <w:rPr>
          <w:lang w:val="en-US"/>
        </w:rPr>
        <w:t>, vol. 62, no. 2, 1957, pp. 326–344</w:t>
      </w:r>
    </w:p>
    <w:p w14:paraId="7B7E6319" w14:textId="77777777" w:rsidR="00D01DFA" w:rsidRDefault="00D01DFA" w:rsidP="00D01DFA">
      <w:pPr>
        <w:rPr>
          <w:lang w:val="en-US"/>
        </w:rPr>
      </w:pPr>
    </w:p>
    <w:p w14:paraId="3AACC1F9" w14:textId="77777777" w:rsidR="00D01DFA" w:rsidRDefault="00D01DFA" w:rsidP="00D01DFA">
      <w:pPr>
        <w:rPr>
          <w:lang w:val="en-US"/>
        </w:rPr>
      </w:pPr>
      <w:r>
        <w:rPr>
          <w:lang w:val="en-US"/>
        </w:rPr>
        <w:t xml:space="preserve">Rubenstein, J. </w:t>
      </w:r>
      <w:r w:rsidRPr="006B3835">
        <w:rPr>
          <w:lang w:val="en-US"/>
        </w:rPr>
        <w:t>“Alexander the Great and the Faraway King.” </w:t>
      </w:r>
      <w:r w:rsidRPr="006B3835">
        <w:rPr>
          <w:i/>
          <w:iCs/>
          <w:lang w:val="en-US"/>
        </w:rPr>
        <w:t>The Land of Truth: Talmud Tales, Timeless Teachings</w:t>
      </w:r>
      <w:r w:rsidRPr="006B3835">
        <w:rPr>
          <w:lang w:val="en-US"/>
        </w:rPr>
        <w:t>, University of Nebraska Press, LINCOLN, 2018, pp. 222–235</w:t>
      </w:r>
    </w:p>
    <w:p w14:paraId="109A4C18" w14:textId="77777777" w:rsidR="00D01DFA" w:rsidRDefault="00D01DFA" w:rsidP="00D01DFA">
      <w:pPr>
        <w:rPr>
          <w:lang w:val="en-US"/>
        </w:rPr>
      </w:pPr>
    </w:p>
    <w:p w14:paraId="0A65F802" w14:textId="77777777" w:rsidR="00D01DFA" w:rsidRPr="00115A0B" w:rsidRDefault="00D01DFA" w:rsidP="00D01DFA">
      <w:pPr>
        <w:rPr>
          <w:i/>
          <w:lang w:val="en-US"/>
        </w:rPr>
      </w:pPr>
      <w:r>
        <w:rPr>
          <w:lang w:val="en-US"/>
        </w:rPr>
        <w:t xml:space="preserve">Van der </w:t>
      </w:r>
      <w:proofErr w:type="spellStart"/>
      <w:r>
        <w:rPr>
          <w:lang w:val="en-US"/>
        </w:rPr>
        <w:t>Spek</w:t>
      </w:r>
      <w:proofErr w:type="spellEnd"/>
      <w:r>
        <w:rPr>
          <w:lang w:val="en-US"/>
        </w:rPr>
        <w:t xml:space="preserve">, R.J. “Darius III, Alexander the Great and Babylonian Scholarship,” </w:t>
      </w:r>
      <w:r>
        <w:rPr>
          <w:i/>
          <w:lang w:val="en-US"/>
        </w:rPr>
        <w:t xml:space="preserve">A Persian Perspective: Essays in Memory of </w:t>
      </w:r>
      <w:proofErr w:type="spellStart"/>
      <w:r>
        <w:rPr>
          <w:i/>
          <w:lang w:val="en-US"/>
        </w:rPr>
        <w:t>Heleen</w:t>
      </w:r>
      <w:proofErr w:type="spellEnd"/>
      <w:r>
        <w:rPr>
          <w:i/>
          <w:lang w:val="en-US"/>
        </w:rPr>
        <w:t xml:space="preserve"> </w:t>
      </w:r>
      <w:proofErr w:type="spellStart"/>
      <w:r>
        <w:rPr>
          <w:i/>
          <w:lang w:val="en-US"/>
        </w:rPr>
        <w:t>Sancisi-Weerdernburg</w:t>
      </w:r>
      <w:proofErr w:type="spellEnd"/>
      <w:r>
        <w:rPr>
          <w:lang w:val="en-US"/>
        </w:rPr>
        <w:t xml:space="preserve">, 2003, Netherlands: </w:t>
      </w:r>
      <w:proofErr w:type="spellStart"/>
      <w:r>
        <w:rPr>
          <w:lang w:val="en-US"/>
        </w:rPr>
        <w:t>Nederlands</w:t>
      </w:r>
      <w:proofErr w:type="spellEnd"/>
      <w:r>
        <w:rPr>
          <w:lang w:val="en-US"/>
        </w:rPr>
        <w:t xml:space="preserve"> </w:t>
      </w:r>
      <w:proofErr w:type="spellStart"/>
      <w:r>
        <w:rPr>
          <w:lang w:val="en-US"/>
        </w:rPr>
        <w:t>Instituut</w:t>
      </w:r>
      <w:proofErr w:type="spellEnd"/>
      <w:r>
        <w:rPr>
          <w:lang w:val="en-US"/>
        </w:rPr>
        <w:t xml:space="preserve"> </w:t>
      </w:r>
      <w:proofErr w:type="spellStart"/>
      <w:r>
        <w:rPr>
          <w:lang w:val="en-US"/>
        </w:rPr>
        <w:t>Voor</w:t>
      </w:r>
      <w:proofErr w:type="spellEnd"/>
      <w:r>
        <w:rPr>
          <w:lang w:val="en-US"/>
        </w:rPr>
        <w:t xml:space="preserve"> Het </w:t>
      </w:r>
      <w:proofErr w:type="spellStart"/>
      <w:r>
        <w:rPr>
          <w:lang w:val="en-US"/>
        </w:rPr>
        <w:t>Nabije</w:t>
      </w:r>
      <w:proofErr w:type="spellEnd"/>
      <w:r>
        <w:rPr>
          <w:lang w:val="en-US"/>
        </w:rPr>
        <w:t xml:space="preserve"> </w:t>
      </w:r>
      <w:proofErr w:type="spellStart"/>
      <w:r>
        <w:rPr>
          <w:lang w:val="en-US"/>
        </w:rPr>
        <w:t>Oosten</w:t>
      </w:r>
      <w:proofErr w:type="spellEnd"/>
      <w:r>
        <w:rPr>
          <w:lang w:val="en-US"/>
        </w:rPr>
        <w:t>, pp. 289-346</w:t>
      </w:r>
    </w:p>
    <w:p w14:paraId="04E81C8D" w14:textId="77777777" w:rsidR="00D01DFA" w:rsidRDefault="00D01DFA" w:rsidP="00D01DFA">
      <w:pPr>
        <w:tabs>
          <w:tab w:val="left" w:pos="7840"/>
        </w:tabs>
      </w:pPr>
    </w:p>
    <w:p w14:paraId="579C0D0F" w14:textId="77777777" w:rsidR="00D01DFA" w:rsidRPr="00632642" w:rsidRDefault="00D01DFA" w:rsidP="00D01DFA">
      <w:pPr>
        <w:tabs>
          <w:tab w:val="left" w:pos="7840"/>
        </w:tabs>
        <w:rPr>
          <w:lang w:val="en-US"/>
        </w:rPr>
      </w:pPr>
      <w:r>
        <w:rPr>
          <w:lang w:val="en-US"/>
        </w:rPr>
        <w:t xml:space="preserve">Welles, C.B. </w:t>
      </w:r>
      <w:r w:rsidRPr="00632642">
        <w:rPr>
          <w:lang w:val="en-US"/>
        </w:rPr>
        <w:t>“Alexander's Historical Achievement.” </w:t>
      </w:r>
      <w:r w:rsidRPr="00632642">
        <w:rPr>
          <w:i/>
          <w:iCs/>
          <w:lang w:val="en-US"/>
        </w:rPr>
        <w:t>Greece &amp; Rome</w:t>
      </w:r>
      <w:r w:rsidRPr="00632642">
        <w:rPr>
          <w:lang w:val="en-US"/>
        </w:rPr>
        <w:t>, vol. 12, no. 2, 1965, pp. 216–228</w:t>
      </w:r>
      <w:r>
        <w:tab/>
      </w:r>
    </w:p>
    <w:p w14:paraId="18ADEF5D" w14:textId="77777777" w:rsidR="00D01DFA" w:rsidRDefault="00D01DFA" w:rsidP="00D01DFA">
      <w:pPr>
        <w:tabs>
          <w:tab w:val="left" w:pos="7840"/>
        </w:tabs>
      </w:pPr>
    </w:p>
    <w:p w14:paraId="63C48060" w14:textId="77777777" w:rsidR="00D01DFA" w:rsidRDefault="00D01DFA" w:rsidP="00D01DFA">
      <w:r>
        <w:t xml:space="preserve">Welles, C.B. 1970. </w:t>
      </w:r>
      <w:r>
        <w:rPr>
          <w:i/>
        </w:rPr>
        <w:t xml:space="preserve">Alexander and the Hellenistic World. </w:t>
      </w:r>
      <w:r>
        <w:t xml:space="preserve">Toronto: A.M. </w:t>
      </w:r>
      <w:proofErr w:type="spellStart"/>
      <w:r>
        <w:t>Hakkert</w:t>
      </w:r>
      <w:proofErr w:type="spellEnd"/>
      <w:r>
        <w:t xml:space="preserve"> Ltd. </w:t>
      </w:r>
    </w:p>
    <w:p w14:paraId="047DC88F" w14:textId="77777777" w:rsidR="00D01DFA" w:rsidRDefault="00D01DFA" w:rsidP="00D01DFA"/>
    <w:p w14:paraId="6883B5B7" w14:textId="77777777" w:rsidR="00D01DFA" w:rsidRDefault="00D01DFA" w:rsidP="00D01DFA">
      <w:pPr>
        <w:rPr>
          <w:lang w:val="en-US"/>
        </w:rPr>
      </w:pPr>
      <w:r>
        <w:rPr>
          <w:lang w:val="en-US"/>
        </w:rPr>
        <w:lastRenderedPageBreak/>
        <w:t>Worthington, I</w:t>
      </w:r>
      <w:r w:rsidRPr="0059484A">
        <w:rPr>
          <w:lang w:val="en-US"/>
        </w:rPr>
        <w:t>. “Alexander the Great, Nation Building, and the Creation and Maintenance of Empire.” </w:t>
      </w:r>
      <w:r w:rsidRPr="0059484A">
        <w:rPr>
          <w:i/>
          <w:iCs/>
          <w:lang w:val="en-US"/>
        </w:rPr>
        <w:t>Makers of Ancient Strategy: From the Persian Wars to the Fall of Rome</w:t>
      </w:r>
      <w:r w:rsidRPr="0059484A">
        <w:rPr>
          <w:lang w:val="en-US"/>
        </w:rPr>
        <w:t>, edited by Victor Davis Hanson, Princeton University Press, PRINCETON; OXFORD, 2010, pp. 118–137</w:t>
      </w:r>
    </w:p>
    <w:p w14:paraId="1FDF2E49" w14:textId="77777777" w:rsidR="00D01DFA" w:rsidRDefault="00D01DFA" w:rsidP="00D01DFA">
      <w:pPr>
        <w:rPr>
          <w:lang w:val="en-US"/>
        </w:rPr>
      </w:pPr>
    </w:p>
    <w:p w14:paraId="1DE0BDFC" w14:textId="4FFF6336" w:rsidR="00D01DFA" w:rsidRDefault="00D01DFA" w:rsidP="00D01DFA">
      <w:pPr>
        <w:rPr>
          <w:lang w:val="en-US"/>
        </w:rPr>
      </w:pPr>
      <w:proofErr w:type="spellStart"/>
      <w:r>
        <w:rPr>
          <w:lang w:val="en-US"/>
        </w:rPr>
        <w:t>Zournatzi</w:t>
      </w:r>
      <w:proofErr w:type="spellEnd"/>
      <w:r>
        <w:rPr>
          <w:lang w:val="en-US"/>
        </w:rPr>
        <w:t>, A</w:t>
      </w:r>
      <w:r w:rsidRPr="00922E92">
        <w:rPr>
          <w:lang w:val="en-US"/>
        </w:rPr>
        <w:t>. “THE APADANA COIN HOARDS, DARIUS I, AND THE WEST.” </w:t>
      </w:r>
      <w:r w:rsidRPr="00922E92">
        <w:rPr>
          <w:i/>
          <w:iCs/>
          <w:lang w:val="en-US"/>
        </w:rPr>
        <w:t>American Journal of Numismatics (1989-)</w:t>
      </w:r>
      <w:r w:rsidRPr="00922E92">
        <w:rPr>
          <w:lang w:val="en-US"/>
        </w:rPr>
        <w:t>, vol. 15, 2003, pp. 1–28</w:t>
      </w:r>
    </w:p>
    <w:p w14:paraId="19C79667" w14:textId="77777777" w:rsidR="007F5FAC" w:rsidRDefault="007F5FAC" w:rsidP="00D01DFA">
      <w:pPr>
        <w:rPr>
          <w:lang w:val="en-US"/>
        </w:rPr>
      </w:pPr>
    </w:p>
    <w:p w14:paraId="18E1A95D" w14:textId="77777777" w:rsidR="007F5FAC" w:rsidRDefault="007F5FAC" w:rsidP="00D01DFA">
      <w:pPr>
        <w:rPr>
          <w:lang w:val="en-US"/>
        </w:rPr>
      </w:pPr>
    </w:p>
    <w:p w14:paraId="242B1440" w14:textId="77777777" w:rsidR="007F5FAC" w:rsidRDefault="007F5FAC" w:rsidP="00D01DFA">
      <w:pPr>
        <w:rPr>
          <w:lang w:val="en-US"/>
        </w:rPr>
      </w:pPr>
    </w:p>
    <w:p w14:paraId="23B4AF52" w14:textId="77777777" w:rsidR="007F5FAC" w:rsidRDefault="007F5FAC" w:rsidP="00D01DFA">
      <w:pPr>
        <w:rPr>
          <w:lang w:val="en-US"/>
        </w:rPr>
      </w:pPr>
    </w:p>
    <w:p w14:paraId="65B6AEFC" w14:textId="77777777" w:rsidR="007F5FAC" w:rsidRDefault="007F5FAC" w:rsidP="00D01DFA">
      <w:pPr>
        <w:rPr>
          <w:lang w:val="en-US"/>
        </w:rPr>
      </w:pPr>
    </w:p>
    <w:p w14:paraId="2C63DD5A" w14:textId="77777777" w:rsidR="007F5FAC" w:rsidRDefault="007F5FAC" w:rsidP="00D01DFA">
      <w:pPr>
        <w:rPr>
          <w:lang w:val="en-US"/>
        </w:rPr>
      </w:pPr>
    </w:p>
    <w:p w14:paraId="0E2F9D71" w14:textId="77777777" w:rsidR="007F5FAC" w:rsidRDefault="007F5FAC" w:rsidP="00D01DFA">
      <w:pPr>
        <w:rPr>
          <w:lang w:val="en-US"/>
        </w:rPr>
      </w:pPr>
    </w:p>
    <w:p w14:paraId="53B7A010" w14:textId="77777777" w:rsidR="007F5FAC" w:rsidRDefault="007F5FAC" w:rsidP="00D01DFA">
      <w:pPr>
        <w:rPr>
          <w:lang w:val="en-US"/>
        </w:rPr>
      </w:pPr>
    </w:p>
    <w:p w14:paraId="46845F80" w14:textId="77777777" w:rsidR="007F5FAC" w:rsidRDefault="007F5FAC" w:rsidP="00D01DFA">
      <w:pPr>
        <w:rPr>
          <w:lang w:val="en-US"/>
        </w:rPr>
      </w:pPr>
    </w:p>
    <w:p w14:paraId="5F509B99" w14:textId="77777777" w:rsidR="007F5FAC" w:rsidRDefault="007F5FAC" w:rsidP="00D01DFA">
      <w:pPr>
        <w:rPr>
          <w:lang w:val="en-US"/>
        </w:rPr>
      </w:pPr>
    </w:p>
    <w:p w14:paraId="326E1E37" w14:textId="77777777" w:rsidR="007F5FAC" w:rsidRDefault="007F5FAC" w:rsidP="00D01DFA">
      <w:pPr>
        <w:rPr>
          <w:lang w:val="en-US"/>
        </w:rPr>
      </w:pPr>
    </w:p>
    <w:p w14:paraId="4589F175" w14:textId="77777777" w:rsidR="007F5FAC" w:rsidRDefault="007F5FAC" w:rsidP="00D01DFA">
      <w:pPr>
        <w:rPr>
          <w:lang w:val="en-US"/>
        </w:rPr>
      </w:pPr>
    </w:p>
    <w:p w14:paraId="5800E84C" w14:textId="77777777" w:rsidR="007F5FAC" w:rsidRDefault="007F5FAC" w:rsidP="00D01DFA">
      <w:pPr>
        <w:rPr>
          <w:lang w:val="en-US"/>
        </w:rPr>
      </w:pPr>
    </w:p>
    <w:p w14:paraId="35DCA0CC" w14:textId="77777777" w:rsidR="007F5FAC" w:rsidRDefault="007F5FAC" w:rsidP="00D01DFA">
      <w:pPr>
        <w:rPr>
          <w:lang w:val="en-US"/>
        </w:rPr>
      </w:pPr>
    </w:p>
    <w:p w14:paraId="6C118F3E" w14:textId="77777777" w:rsidR="007F5FAC" w:rsidRDefault="007F5FAC" w:rsidP="00D01DFA">
      <w:pPr>
        <w:rPr>
          <w:lang w:val="en-US"/>
        </w:rPr>
      </w:pPr>
    </w:p>
    <w:p w14:paraId="78B13541" w14:textId="77777777" w:rsidR="007F5FAC" w:rsidRDefault="007F5FAC" w:rsidP="00D01DFA">
      <w:pPr>
        <w:rPr>
          <w:lang w:val="en-US"/>
        </w:rPr>
      </w:pPr>
    </w:p>
    <w:p w14:paraId="41550902" w14:textId="77777777" w:rsidR="007F5FAC" w:rsidRDefault="007F5FAC" w:rsidP="00D01DFA">
      <w:pPr>
        <w:rPr>
          <w:lang w:val="en-US"/>
        </w:rPr>
      </w:pPr>
    </w:p>
    <w:p w14:paraId="76475815" w14:textId="77777777" w:rsidR="007F5FAC" w:rsidRDefault="007F5FAC" w:rsidP="00D01DFA">
      <w:pPr>
        <w:rPr>
          <w:lang w:val="en-US"/>
        </w:rPr>
      </w:pPr>
    </w:p>
    <w:p w14:paraId="2A0B0CF9" w14:textId="77777777" w:rsidR="007F5FAC" w:rsidRDefault="007F5FAC" w:rsidP="00D01DFA">
      <w:pPr>
        <w:rPr>
          <w:lang w:val="en-US"/>
        </w:rPr>
      </w:pPr>
    </w:p>
    <w:p w14:paraId="04FD834E" w14:textId="77777777" w:rsidR="007F5FAC" w:rsidRDefault="007F5FAC" w:rsidP="00D01DFA">
      <w:pPr>
        <w:rPr>
          <w:lang w:val="en-US"/>
        </w:rPr>
      </w:pPr>
    </w:p>
    <w:p w14:paraId="0CA2E875" w14:textId="77777777" w:rsidR="007F5FAC" w:rsidRDefault="007F5FAC" w:rsidP="00D01DFA">
      <w:pPr>
        <w:rPr>
          <w:lang w:val="en-US"/>
        </w:rPr>
      </w:pPr>
    </w:p>
    <w:p w14:paraId="60BC8EEB" w14:textId="77777777" w:rsidR="007F5FAC" w:rsidRDefault="007F5FAC" w:rsidP="00D01DFA">
      <w:pPr>
        <w:rPr>
          <w:lang w:val="en-US"/>
        </w:rPr>
      </w:pPr>
    </w:p>
    <w:p w14:paraId="3CC3B2F9" w14:textId="77777777" w:rsidR="007F5FAC" w:rsidRDefault="007F5FAC" w:rsidP="00D01DFA">
      <w:pPr>
        <w:rPr>
          <w:lang w:val="en-US"/>
        </w:rPr>
      </w:pPr>
    </w:p>
    <w:p w14:paraId="3AB5DFFC" w14:textId="77777777" w:rsidR="007F5FAC" w:rsidRDefault="007F5FAC" w:rsidP="00D01DFA">
      <w:pPr>
        <w:rPr>
          <w:lang w:val="en-US"/>
        </w:rPr>
      </w:pPr>
    </w:p>
    <w:p w14:paraId="6E5EA51B" w14:textId="77777777" w:rsidR="007F5FAC" w:rsidRDefault="007F5FAC" w:rsidP="00D01DFA">
      <w:pPr>
        <w:rPr>
          <w:lang w:val="en-US"/>
        </w:rPr>
      </w:pPr>
    </w:p>
    <w:p w14:paraId="3FF0DF7D" w14:textId="77777777" w:rsidR="007F5FAC" w:rsidRDefault="007F5FAC" w:rsidP="00D01DFA">
      <w:pPr>
        <w:rPr>
          <w:lang w:val="en-US"/>
        </w:rPr>
      </w:pPr>
    </w:p>
    <w:p w14:paraId="16BAA0CB" w14:textId="77777777" w:rsidR="007F5FAC" w:rsidRDefault="007F5FAC" w:rsidP="00D01DFA">
      <w:pPr>
        <w:rPr>
          <w:lang w:val="en-US"/>
        </w:rPr>
      </w:pPr>
    </w:p>
    <w:p w14:paraId="10B7522F" w14:textId="77777777" w:rsidR="007F5FAC" w:rsidRDefault="007F5FAC" w:rsidP="00D01DFA">
      <w:pPr>
        <w:rPr>
          <w:lang w:val="en-US"/>
        </w:rPr>
      </w:pPr>
    </w:p>
    <w:p w14:paraId="63D87EA8" w14:textId="77777777" w:rsidR="007F5FAC" w:rsidRDefault="007F5FAC" w:rsidP="00D01DFA">
      <w:pPr>
        <w:rPr>
          <w:lang w:val="en-US"/>
        </w:rPr>
      </w:pPr>
    </w:p>
    <w:p w14:paraId="037FEBF8" w14:textId="77777777" w:rsidR="007F5FAC" w:rsidRDefault="007F5FAC" w:rsidP="00D01DFA">
      <w:pPr>
        <w:rPr>
          <w:lang w:val="en-US"/>
        </w:rPr>
      </w:pPr>
    </w:p>
    <w:p w14:paraId="5D8C4303" w14:textId="77777777" w:rsidR="007F5FAC" w:rsidRDefault="007F5FAC" w:rsidP="00D01DFA">
      <w:pPr>
        <w:rPr>
          <w:lang w:val="en-US"/>
        </w:rPr>
      </w:pPr>
    </w:p>
    <w:p w14:paraId="68F3B396" w14:textId="77777777" w:rsidR="007F5FAC" w:rsidRDefault="007F5FAC" w:rsidP="00D01DFA">
      <w:pPr>
        <w:rPr>
          <w:lang w:val="en-US"/>
        </w:rPr>
      </w:pPr>
    </w:p>
    <w:p w14:paraId="683D781A" w14:textId="77777777" w:rsidR="007F5FAC" w:rsidRPr="00D01DFA" w:rsidRDefault="007F5FAC" w:rsidP="00D01DFA"/>
    <w:p w14:paraId="160EFC15" w14:textId="57E96601" w:rsidR="00A36ADE" w:rsidRDefault="00A36ADE" w:rsidP="00EB7AED">
      <w:pPr>
        <w:spacing w:line="480" w:lineRule="auto"/>
      </w:pPr>
      <w:r>
        <w:tab/>
      </w:r>
    </w:p>
    <w:p w14:paraId="1AB44D23" w14:textId="77777777" w:rsidR="007F5FAC" w:rsidRDefault="007F5FAC" w:rsidP="007F5FAC">
      <w:pPr>
        <w:pStyle w:val="NormalWeb"/>
        <w:spacing w:before="0" w:beforeAutospacing="0" w:after="0" w:afterAutospacing="0"/>
        <w:ind w:left="-180" w:right="-334"/>
        <w:rPr>
          <w:rFonts w:ascii="Trebuchet MS" w:hAnsi="Trebuchet MS" w:cs="Tahoma"/>
          <w:sz w:val="24"/>
          <w:szCs w:val="24"/>
        </w:rPr>
      </w:pPr>
      <w:r>
        <w:rPr>
          <w:noProof/>
          <w:lang w:val="en-US" w:eastAsia="en-US"/>
        </w:rPr>
        <w:lastRenderedPageBreak/>
        <w:drawing>
          <wp:inline distT="0" distB="0" distL="0" distR="0" wp14:anchorId="547B201D" wp14:editId="128BD719">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1FFFC94" w14:textId="77777777" w:rsidR="007F5FAC" w:rsidRDefault="007F5FAC" w:rsidP="007F5FAC">
      <w:pPr>
        <w:pStyle w:val="Heading1"/>
        <w:rPr>
          <w:lang w:val="cy-GB"/>
        </w:rPr>
      </w:pPr>
      <w:r>
        <w:rPr>
          <w:lang w:val="cy-GB"/>
        </w:rPr>
        <w:t xml:space="preserve">Undergraduate Dissertation </w:t>
      </w:r>
      <w:r w:rsidRPr="0065654E">
        <w:rPr>
          <w:lang w:val="cy-GB"/>
        </w:rPr>
        <w:t>coversheet</w:t>
      </w:r>
      <w:r>
        <w:rPr>
          <w:lang w:val="cy-GB"/>
        </w:rPr>
        <w:t xml:space="preserve"> &amp; </w:t>
      </w:r>
      <w:r w:rsidRPr="0065654E">
        <w:rPr>
          <w:lang w:val="cy-GB"/>
        </w:rPr>
        <w:t>feedback form</w:t>
      </w:r>
    </w:p>
    <w:p w14:paraId="24896A79" w14:textId="77777777" w:rsidR="007F5FAC" w:rsidRPr="002E67CE" w:rsidRDefault="007F5FAC" w:rsidP="007F5FAC">
      <w:pPr>
        <w:rPr>
          <w:lang w:val="cy-GB"/>
        </w:rPr>
      </w:pPr>
    </w:p>
    <w:p w14:paraId="46C659FB" w14:textId="77777777" w:rsidR="007F5FAC" w:rsidRDefault="007F5FAC" w:rsidP="007F5FAC">
      <w:pPr>
        <w:pStyle w:val="Heading3"/>
        <w:rPr>
          <w:rFonts w:ascii="Trebuchet MS" w:hAnsi="Trebuchet MS"/>
        </w:rPr>
      </w:pPr>
      <w:r>
        <w:rPr>
          <w:lang w:val="cy-GB"/>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7F5FAC" w:rsidRPr="002F467C" w14:paraId="6247364F" w14:textId="77777777" w:rsidTr="008A3510">
        <w:trPr>
          <w:gridAfter w:val="1"/>
          <w:wAfter w:w="101" w:type="dxa"/>
          <w:trHeight w:val="614"/>
        </w:trPr>
        <w:tc>
          <w:tcPr>
            <w:tcW w:w="8755" w:type="dxa"/>
            <w:gridSpan w:val="6"/>
          </w:tcPr>
          <w:p w14:paraId="4276CA99"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r>
              <w:rPr>
                <w:rFonts w:ascii="Calibri" w:hAnsi="Calibri" w:cs="Tahoma"/>
                <w:i/>
                <w:sz w:val="24"/>
                <w:szCs w:val="24"/>
              </w:rPr>
              <w:t xml:space="preserve"> </w:t>
            </w:r>
          </w:p>
        </w:tc>
      </w:tr>
      <w:tr w:rsidR="007F5FAC" w:rsidRPr="002F467C" w14:paraId="75A84756" w14:textId="77777777" w:rsidTr="008A3510">
        <w:trPr>
          <w:gridAfter w:val="1"/>
          <w:wAfter w:w="101" w:type="dxa"/>
          <w:trHeight w:val="718"/>
        </w:trPr>
        <w:tc>
          <w:tcPr>
            <w:tcW w:w="8755" w:type="dxa"/>
            <w:gridSpan w:val="6"/>
          </w:tcPr>
          <w:p w14:paraId="60FB4FA9"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Name:</w:t>
            </w:r>
            <w:r>
              <w:rPr>
                <w:rFonts w:ascii="Calibri" w:hAnsi="Calibri" w:cs="Tahoma"/>
                <w:i/>
                <w:sz w:val="24"/>
                <w:szCs w:val="24"/>
              </w:rPr>
              <w:t xml:space="preserve"> Jordan </w:t>
            </w:r>
            <w:proofErr w:type="spellStart"/>
            <w:r>
              <w:rPr>
                <w:rFonts w:ascii="Calibri" w:hAnsi="Calibri" w:cs="Tahoma"/>
                <w:i/>
                <w:sz w:val="24"/>
                <w:szCs w:val="24"/>
              </w:rPr>
              <w:t>Kinnicutt</w:t>
            </w:r>
            <w:proofErr w:type="spellEnd"/>
          </w:p>
          <w:p w14:paraId="242BF3DE" w14:textId="77777777" w:rsidR="007F5FAC" w:rsidRDefault="007F5FAC" w:rsidP="008A3510">
            <w:pPr>
              <w:pStyle w:val="NormalWeb"/>
              <w:spacing w:before="0" w:beforeAutospacing="0" w:after="0" w:afterAutospacing="0"/>
              <w:ind w:right="34"/>
              <w:rPr>
                <w:rFonts w:ascii="Calibri" w:hAnsi="Calibri" w:cs="Tahoma"/>
                <w:i/>
                <w:sz w:val="24"/>
                <w:szCs w:val="24"/>
              </w:rPr>
            </w:pPr>
          </w:p>
          <w:p w14:paraId="45374D96"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Pr>
                <w:rFonts w:ascii="Calibri" w:hAnsi="Calibri" w:cs="Tahoma"/>
                <w:i/>
                <w:sz w:val="24"/>
                <w:szCs w:val="24"/>
              </w:rPr>
              <w:t>1600613@student.uwtsd.ac.uk</w:t>
            </w:r>
          </w:p>
        </w:tc>
      </w:tr>
      <w:tr w:rsidR="007F5FAC" w:rsidRPr="002F467C" w14:paraId="54023C6B" w14:textId="77777777" w:rsidTr="008A3510">
        <w:trPr>
          <w:gridAfter w:val="1"/>
          <w:wAfter w:w="101" w:type="dxa"/>
          <w:trHeight w:val="849"/>
        </w:trPr>
        <w:tc>
          <w:tcPr>
            <w:tcW w:w="4788" w:type="dxa"/>
          </w:tcPr>
          <w:p w14:paraId="53C591E5" w14:textId="77777777" w:rsidR="007F5FAC" w:rsidRDefault="007F5FAC" w:rsidP="008A3510">
            <w:pPr>
              <w:pStyle w:val="NormalWeb"/>
              <w:spacing w:before="0" w:beforeAutospacing="0" w:after="0" w:afterAutospacing="0"/>
              <w:ind w:right="34"/>
              <w:rPr>
                <w:rFonts w:ascii="Calibri" w:hAnsi="Calibri" w:cs="Tahoma"/>
                <w:i/>
                <w:sz w:val="24"/>
                <w:szCs w:val="24"/>
              </w:rPr>
            </w:pPr>
          </w:p>
          <w:p w14:paraId="5D7AEE82"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Pr>
                <w:rFonts w:ascii="Calibri" w:hAnsi="Calibri" w:cs="Tahoma"/>
                <w:i/>
                <w:sz w:val="24"/>
                <w:szCs w:val="24"/>
              </w:rPr>
              <w:t xml:space="preserve"> HPAH6028</w:t>
            </w:r>
          </w:p>
        </w:tc>
        <w:tc>
          <w:tcPr>
            <w:tcW w:w="2266" w:type="dxa"/>
            <w:gridSpan w:val="4"/>
          </w:tcPr>
          <w:p w14:paraId="501CD5C8" w14:textId="77777777" w:rsidR="007F5FA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7D422A5A"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1600613</w:t>
            </w:r>
          </w:p>
        </w:tc>
        <w:tc>
          <w:tcPr>
            <w:tcW w:w="1701" w:type="dxa"/>
          </w:tcPr>
          <w:p w14:paraId="6E5FB095"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680647ED"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No</w:t>
            </w:r>
          </w:p>
        </w:tc>
      </w:tr>
      <w:tr w:rsidR="007F5FAC" w:rsidRPr="002F467C" w14:paraId="1E536CE3" w14:textId="77777777" w:rsidTr="008A3510">
        <w:trPr>
          <w:gridAfter w:val="1"/>
          <w:wAfter w:w="101" w:type="dxa"/>
          <w:trHeight w:val="820"/>
        </w:trPr>
        <w:tc>
          <w:tcPr>
            <w:tcW w:w="8755" w:type="dxa"/>
            <w:gridSpan w:val="6"/>
          </w:tcPr>
          <w:p w14:paraId="6A3E1BC9" w14:textId="77777777" w:rsidR="00B53ADD" w:rsidRPr="00B53ADD" w:rsidRDefault="007F5FAC" w:rsidP="00B53ADD">
            <w:pPr>
              <w:pStyle w:val="NormalWeb"/>
              <w:ind w:right="34"/>
              <w:rPr>
                <w:rFonts w:ascii="Calibri" w:hAnsi="Calibri" w:cs="Tahoma"/>
                <w:b/>
                <w:i/>
                <w:u w:val="single"/>
              </w:rPr>
            </w:pPr>
            <w:r>
              <w:rPr>
                <w:rFonts w:ascii="Calibri" w:hAnsi="Calibri" w:cs="Tahoma"/>
                <w:i/>
                <w:sz w:val="24"/>
                <w:szCs w:val="24"/>
              </w:rPr>
              <w:t xml:space="preserve">Dissertation title: </w:t>
            </w:r>
            <w:r w:rsidR="00B53ADD" w:rsidRPr="00B53ADD">
              <w:rPr>
                <w:rFonts w:ascii="Calibri" w:hAnsi="Calibri" w:cs="Tahoma"/>
                <w:b/>
                <w:i/>
                <w:u w:val="single"/>
              </w:rPr>
              <w:t>Alexander’s Great Legacy: A Discussion of Alexander’s Kingly Accomplishments and of Those Left Behind</w:t>
            </w:r>
            <w:bookmarkStart w:id="13" w:name="_GoBack"/>
            <w:bookmarkEnd w:id="13"/>
          </w:p>
          <w:p w14:paraId="74D4AF3B" w14:textId="4F1B6D54" w:rsidR="007F5FAC" w:rsidRPr="002F467C" w:rsidRDefault="007F5FAC" w:rsidP="008A3510">
            <w:pPr>
              <w:pStyle w:val="NormalWeb"/>
              <w:spacing w:before="0" w:beforeAutospacing="0" w:after="0" w:afterAutospacing="0"/>
              <w:ind w:right="34"/>
              <w:rPr>
                <w:rFonts w:ascii="Calibri" w:hAnsi="Calibri" w:cs="Tahoma"/>
                <w:i/>
                <w:sz w:val="24"/>
                <w:szCs w:val="24"/>
              </w:rPr>
            </w:pPr>
          </w:p>
        </w:tc>
      </w:tr>
      <w:tr w:rsidR="007F5FAC" w:rsidRPr="002F467C" w14:paraId="72AE78C1" w14:textId="77777777" w:rsidTr="008A3510">
        <w:trPr>
          <w:gridAfter w:val="1"/>
          <w:wAfter w:w="101" w:type="dxa"/>
          <w:trHeight w:val="539"/>
        </w:trPr>
        <w:tc>
          <w:tcPr>
            <w:tcW w:w="5495" w:type="dxa"/>
            <w:gridSpan w:val="3"/>
            <w:tcBorders>
              <w:bottom w:val="single" w:sz="4" w:space="0" w:color="000000"/>
            </w:tcBorders>
          </w:tcPr>
          <w:p w14:paraId="0184FD16"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proofErr w:type="spellStart"/>
            <w:r>
              <w:rPr>
                <w:rFonts w:ascii="Calibri" w:hAnsi="Calibri" w:cs="Tahoma"/>
                <w:i/>
                <w:sz w:val="24"/>
                <w:szCs w:val="24"/>
              </w:rPr>
              <w:t>Errietta</w:t>
            </w:r>
            <w:proofErr w:type="spellEnd"/>
            <w:r>
              <w:rPr>
                <w:rFonts w:ascii="Calibri" w:hAnsi="Calibri" w:cs="Tahoma"/>
                <w:i/>
                <w:sz w:val="24"/>
                <w:szCs w:val="24"/>
              </w:rPr>
              <w:t xml:space="preserve"> </w:t>
            </w:r>
            <w:proofErr w:type="spellStart"/>
            <w:r>
              <w:rPr>
                <w:rFonts w:ascii="Calibri" w:hAnsi="Calibri" w:cs="Tahoma"/>
                <w:i/>
                <w:sz w:val="24"/>
                <w:szCs w:val="24"/>
              </w:rPr>
              <w:t>Bissa</w:t>
            </w:r>
            <w:proofErr w:type="spellEnd"/>
          </w:p>
        </w:tc>
        <w:tc>
          <w:tcPr>
            <w:tcW w:w="3260" w:type="dxa"/>
            <w:gridSpan w:val="3"/>
            <w:tcBorders>
              <w:bottom w:val="single" w:sz="4" w:space="0" w:color="000000"/>
            </w:tcBorders>
          </w:tcPr>
          <w:p w14:paraId="65EDE671" w14:textId="77777777" w:rsidR="007F5FAC" w:rsidRPr="002F467C" w:rsidRDefault="007F5FAC" w:rsidP="008A351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 7769</w:t>
            </w:r>
          </w:p>
        </w:tc>
      </w:tr>
      <w:tr w:rsidR="007F5FAC" w:rsidRPr="002F467C" w14:paraId="5038D2D8" w14:textId="77777777" w:rsidTr="008A3510">
        <w:trPr>
          <w:gridAfter w:val="1"/>
          <w:wAfter w:w="101" w:type="dxa"/>
          <w:trHeight w:val="978"/>
        </w:trPr>
        <w:tc>
          <w:tcPr>
            <w:tcW w:w="8755" w:type="dxa"/>
            <w:gridSpan w:val="6"/>
            <w:shd w:val="clear" w:color="auto" w:fill="D9D9D9"/>
          </w:tcPr>
          <w:p w14:paraId="2A5B8B83" w14:textId="77777777" w:rsidR="007F5FAC" w:rsidRPr="002F467C" w:rsidRDefault="007F5FAC" w:rsidP="008A3510">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I confirm that this is my original work and that I have adhered to the University policy on plagiarism.</w:t>
            </w:r>
          </w:p>
          <w:p w14:paraId="1503DCC3" w14:textId="77777777" w:rsidR="007F5FAC" w:rsidRPr="002F467C" w:rsidRDefault="007F5FAC" w:rsidP="008A3510">
            <w:pPr>
              <w:pStyle w:val="NormalWeb"/>
              <w:spacing w:before="0" w:beforeAutospacing="0" w:after="0" w:afterAutospacing="0"/>
              <w:ind w:right="34"/>
              <w:rPr>
                <w:rFonts w:ascii="Calibri" w:hAnsi="Calibri" w:cs="Tahoma"/>
                <w:sz w:val="24"/>
                <w:szCs w:val="24"/>
              </w:rPr>
            </w:pPr>
            <w:r w:rsidRPr="002F467C">
              <w:rPr>
                <w:rFonts w:ascii="Calibri" w:hAnsi="Calibri" w:cs="Tahoma"/>
                <w:sz w:val="24"/>
                <w:szCs w:val="24"/>
              </w:rPr>
              <w:t>Signed ……</w:t>
            </w:r>
            <w:r>
              <w:rPr>
                <w:rFonts w:ascii="Calibri" w:hAnsi="Calibri" w:cs="Tahoma"/>
                <w:sz w:val="24"/>
                <w:szCs w:val="24"/>
              </w:rPr>
              <w:t xml:space="preserve">Jordan P. </w:t>
            </w:r>
            <w:proofErr w:type="spellStart"/>
            <w:r>
              <w:rPr>
                <w:rFonts w:ascii="Calibri" w:hAnsi="Calibri" w:cs="Tahoma"/>
                <w:sz w:val="24"/>
                <w:szCs w:val="24"/>
              </w:rPr>
              <w:t>Kinnicutt</w:t>
            </w:r>
            <w:proofErr w:type="spellEnd"/>
            <w:r>
              <w:rPr>
                <w:rFonts w:ascii="Calibri" w:hAnsi="Calibri" w:cs="Tahoma"/>
                <w:sz w:val="24"/>
                <w:szCs w:val="24"/>
              </w:rPr>
              <w:t>……………</w:t>
            </w:r>
            <w:r w:rsidRPr="002F467C">
              <w:rPr>
                <w:rFonts w:ascii="Calibri" w:hAnsi="Calibri" w:cs="Tahoma"/>
                <w:sz w:val="24"/>
                <w:szCs w:val="24"/>
              </w:rPr>
              <w:t>………………</w:t>
            </w:r>
          </w:p>
        </w:tc>
      </w:tr>
      <w:tr w:rsidR="007F5FAC" w:rsidRPr="002F467C" w14:paraId="73890B7F" w14:textId="77777777" w:rsidTr="008A3510">
        <w:trPr>
          <w:gridAfter w:val="1"/>
          <w:wAfter w:w="101" w:type="dxa"/>
          <w:trHeight w:val="3972"/>
        </w:trPr>
        <w:tc>
          <w:tcPr>
            <w:tcW w:w="8755" w:type="dxa"/>
            <w:gridSpan w:val="6"/>
          </w:tcPr>
          <w:p w14:paraId="2EFD968A" w14:textId="77777777" w:rsidR="007F5FAC" w:rsidRPr="002F467C" w:rsidRDefault="007F5FAC" w:rsidP="008A351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5184FF74" w14:textId="77777777" w:rsidR="007F5FAC" w:rsidRDefault="007F5FAC" w:rsidP="008A3510">
            <w:pPr>
              <w:pStyle w:val="NormalWeb"/>
              <w:rPr>
                <w:rFonts w:ascii="Calibri" w:hAnsi="Calibri" w:cs="Tahoma"/>
                <w:i/>
                <w:sz w:val="24"/>
                <w:szCs w:val="24"/>
              </w:rPr>
            </w:pPr>
            <w:r w:rsidRPr="002F467C">
              <w:rPr>
                <w:rFonts w:ascii="Calibri" w:hAnsi="Calibri" w:cs="Tahoma"/>
                <w:i/>
                <w:sz w:val="24"/>
                <w:szCs w:val="24"/>
              </w:rPr>
              <w:t>Comments:</w:t>
            </w:r>
          </w:p>
          <w:p w14:paraId="7648DE61" w14:textId="77777777" w:rsidR="007F5FAC" w:rsidRDefault="007F5FAC" w:rsidP="008A3510">
            <w:pPr>
              <w:pStyle w:val="NormalWeb"/>
              <w:rPr>
                <w:rFonts w:ascii="Calibri" w:hAnsi="Calibri" w:cs="Tahoma"/>
                <w:i/>
                <w:sz w:val="24"/>
                <w:szCs w:val="24"/>
              </w:rPr>
            </w:pPr>
          </w:p>
          <w:p w14:paraId="648815E3" w14:textId="77777777" w:rsidR="007F5FAC" w:rsidRDefault="007F5FAC" w:rsidP="008A3510">
            <w:pPr>
              <w:pStyle w:val="NormalWeb"/>
              <w:rPr>
                <w:rFonts w:ascii="Calibri" w:hAnsi="Calibri" w:cs="Tahoma"/>
                <w:i/>
                <w:sz w:val="24"/>
                <w:szCs w:val="24"/>
              </w:rPr>
            </w:pPr>
          </w:p>
          <w:p w14:paraId="53BC9FF9" w14:textId="77777777" w:rsidR="007F5FAC" w:rsidRDefault="007F5FAC" w:rsidP="008A3510">
            <w:pPr>
              <w:pStyle w:val="NormalWeb"/>
              <w:rPr>
                <w:rFonts w:ascii="Calibri" w:hAnsi="Calibri" w:cs="Tahoma"/>
                <w:i/>
                <w:sz w:val="24"/>
                <w:szCs w:val="24"/>
              </w:rPr>
            </w:pPr>
          </w:p>
          <w:p w14:paraId="0651ECA0" w14:textId="77777777" w:rsidR="007F5FAC" w:rsidRDefault="007F5FAC" w:rsidP="008A3510">
            <w:pPr>
              <w:pStyle w:val="NormalWeb"/>
              <w:rPr>
                <w:rFonts w:ascii="Calibri" w:hAnsi="Calibri" w:cs="Tahoma"/>
                <w:i/>
                <w:sz w:val="24"/>
                <w:szCs w:val="24"/>
              </w:rPr>
            </w:pPr>
          </w:p>
          <w:p w14:paraId="0FEF6F73" w14:textId="77777777" w:rsidR="007F5FAC" w:rsidRDefault="007F5FAC" w:rsidP="008A3510">
            <w:pPr>
              <w:pStyle w:val="NormalWeb"/>
              <w:rPr>
                <w:rFonts w:ascii="Calibri" w:hAnsi="Calibri" w:cs="Tahoma"/>
                <w:i/>
                <w:sz w:val="24"/>
                <w:szCs w:val="24"/>
              </w:rPr>
            </w:pPr>
          </w:p>
          <w:p w14:paraId="6F934087" w14:textId="77777777" w:rsidR="007F5FAC" w:rsidRDefault="007F5FAC" w:rsidP="008A3510">
            <w:pPr>
              <w:pStyle w:val="NormalWeb"/>
              <w:rPr>
                <w:rFonts w:ascii="Calibri" w:hAnsi="Calibri" w:cs="Tahoma"/>
                <w:i/>
                <w:sz w:val="24"/>
                <w:szCs w:val="24"/>
              </w:rPr>
            </w:pPr>
          </w:p>
          <w:p w14:paraId="7F1F6C42" w14:textId="77777777" w:rsidR="007F5FAC" w:rsidRPr="002F467C" w:rsidRDefault="007F5FAC" w:rsidP="008A3510">
            <w:pPr>
              <w:pStyle w:val="NormalWeb"/>
              <w:rPr>
                <w:rFonts w:ascii="Calibri" w:hAnsi="Calibri" w:cs="Tahoma"/>
                <w:i/>
                <w:sz w:val="24"/>
                <w:szCs w:val="24"/>
              </w:rPr>
            </w:pPr>
          </w:p>
        </w:tc>
      </w:tr>
      <w:tr w:rsidR="007F5FAC" w:rsidRPr="002F467C" w14:paraId="58277E5F" w14:textId="77777777" w:rsidTr="008A3510">
        <w:trPr>
          <w:gridAfter w:val="1"/>
          <w:wAfter w:w="101" w:type="dxa"/>
          <w:trHeight w:val="492"/>
        </w:trPr>
        <w:tc>
          <w:tcPr>
            <w:tcW w:w="6768" w:type="dxa"/>
            <w:gridSpan w:val="4"/>
          </w:tcPr>
          <w:p w14:paraId="6B8AFA26" w14:textId="77777777" w:rsidR="007F5FAC" w:rsidRPr="00B12C4F" w:rsidRDefault="007F5FAC" w:rsidP="008A351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p>
          <w:p w14:paraId="4DAB7D1D" w14:textId="77777777" w:rsidR="007F5FAC" w:rsidRPr="002F467C" w:rsidRDefault="007F5FAC" w:rsidP="008A351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987" w:type="dxa"/>
            <w:gridSpan w:val="2"/>
          </w:tcPr>
          <w:p w14:paraId="46EB9E5F" w14:textId="77777777" w:rsidR="007F5FAC" w:rsidRPr="002F467C" w:rsidRDefault="007F5FAC" w:rsidP="008A3510">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7F5FAC" w:rsidRPr="002F467C" w14:paraId="1147DCC8" w14:textId="77777777" w:rsidTr="008A3510">
        <w:tc>
          <w:tcPr>
            <w:tcW w:w="8856" w:type="dxa"/>
            <w:gridSpan w:val="7"/>
          </w:tcPr>
          <w:p w14:paraId="7E27F6DF"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 (if appropriate)</w:t>
            </w:r>
            <w:r w:rsidRPr="002F467C">
              <w:rPr>
                <w:rFonts w:ascii="Calibri" w:hAnsi="Calibri" w:cs="Tahoma"/>
                <w:bCs/>
                <w:sz w:val="24"/>
                <w:szCs w:val="24"/>
              </w:rPr>
              <w:t>:</w:t>
            </w:r>
          </w:p>
          <w:p w14:paraId="5E36CC96"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77536ED4"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56CFC123"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7B313AF2"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AAF50F3"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2C137A5"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698085B6"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02968FFB"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651E4322"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55025CF9"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56B5A355"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tc>
      </w:tr>
      <w:tr w:rsidR="007F5FAC" w:rsidRPr="002F467C" w14:paraId="27016316" w14:textId="77777777" w:rsidTr="008A3510">
        <w:trPr>
          <w:trHeight w:val="720"/>
        </w:trPr>
        <w:tc>
          <w:tcPr>
            <w:tcW w:w="5211" w:type="dxa"/>
            <w:gridSpan w:val="2"/>
          </w:tcPr>
          <w:p w14:paraId="0CEDA386" w14:textId="77777777" w:rsidR="007F5FAC" w:rsidRDefault="007F5FAC" w:rsidP="008A351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Second </w:t>
            </w:r>
            <w:proofErr w:type="gramStart"/>
            <w:r>
              <w:rPr>
                <w:rFonts w:ascii="Calibri" w:hAnsi="Calibri" w:cs="Tahoma"/>
                <w:bCs/>
                <w:sz w:val="24"/>
                <w:szCs w:val="24"/>
              </w:rPr>
              <w:t>Marker’s  Mark</w:t>
            </w:r>
            <w:proofErr w:type="gramEnd"/>
            <w:r w:rsidRPr="002F467C">
              <w:rPr>
                <w:rFonts w:ascii="Calibri" w:hAnsi="Calibri" w:cs="Tahoma"/>
                <w:bCs/>
                <w:sz w:val="24"/>
                <w:szCs w:val="24"/>
              </w:rPr>
              <w:t>:</w:t>
            </w:r>
          </w:p>
          <w:p w14:paraId="13A70E5E"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3645" w:type="dxa"/>
            <w:gridSpan w:val="5"/>
          </w:tcPr>
          <w:p w14:paraId="0ADEF8F4"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7F5FAC" w:rsidRPr="002F467C" w14:paraId="4FB4923F" w14:textId="77777777" w:rsidTr="008A3510">
        <w:trPr>
          <w:trHeight w:val="720"/>
        </w:trPr>
        <w:tc>
          <w:tcPr>
            <w:tcW w:w="8856" w:type="dxa"/>
            <w:gridSpan w:val="7"/>
          </w:tcPr>
          <w:p w14:paraId="7B43108A" w14:textId="77777777" w:rsidR="007F5FAC" w:rsidRPr="00C87244" w:rsidRDefault="007F5FAC" w:rsidP="008A351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6DE7E42" w14:textId="77777777" w:rsidR="007F5FAC" w:rsidRPr="00C87244" w:rsidRDefault="007F5FAC" w:rsidP="008A3510">
            <w:pPr>
              <w:pStyle w:val="NormalWeb"/>
              <w:spacing w:before="0" w:beforeAutospacing="0" w:after="0" w:afterAutospacing="0"/>
              <w:ind w:left="142" w:right="34"/>
              <w:rPr>
                <w:rFonts w:ascii="Calibri" w:hAnsi="Calibri" w:cs="Tahoma"/>
                <w:b/>
                <w:i/>
                <w:sz w:val="24"/>
                <w:szCs w:val="24"/>
              </w:rPr>
            </w:pPr>
          </w:p>
          <w:p w14:paraId="309E9B32"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tc>
      </w:tr>
    </w:tbl>
    <w:p w14:paraId="5D5B66DB" w14:textId="77777777" w:rsidR="007F5FAC" w:rsidRDefault="007F5FAC" w:rsidP="007F5FAC">
      <w:pPr>
        <w:pStyle w:val="NormalWeb"/>
        <w:spacing w:before="0" w:beforeAutospacing="0" w:after="0" w:afterAutospacing="0"/>
        <w:ind w:right="-334"/>
        <w:rPr>
          <w:rFonts w:ascii="Trebuchet MS" w:hAnsi="Trebuchet MS" w:cs="Tahoma"/>
          <w:bCs/>
          <w:sz w:val="24"/>
          <w:szCs w:val="24"/>
        </w:rPr>
      </w:pPr>
    </w:p>
    <w:p w14:paraId="1685D5F3" w14:textId="77777777" w:rsidR="007F5FAC" w:rsidRDefault="007F5FAC" w:rsidP="007F5FAC">
      <w:pPr>
        <w:pStyle w:val="NormalWeb"/>
        <w:spacing w:before="0" w:beforeAutospacing="0" w:after="0" w:afterAutospacing="0"/>
        <w:ind w:right="-334"/>
        <w:rPr>
          <w:rFonts w:ascii="Trebuchet MS" w:hAnsi="Trebuchet MS" w:cs="Tahoma"/>
          <w:bCs/>
          <w:sz w:val="24"/>
          <w:szCs w:val="24"/>
        </w:rPr>
      </w:pPr>
    </w:p>
    <w:p w14:paraId="276D7E75" w14:textId="77777777" w:rsidR="007F5FAC" w:rsidRDefault="007F5FAC" w:rsidP="007F5FAC">
      <w:pPr>
        <w:pStyle w:val="NormalWeb"/>
        <w:spacing w:before="0" w:beforeAutospacing="0" w:after="0" w:afterAutospacing="0"/>
        <w:ind w:right="-334"/>
        <w:rPr>
          <w:rFonts w:ascii="Trebuchet MS" w:hAnsi="Trebuchet MS" w:cs="Tahoma"/>
          <w:bCs/>
          <w:sz w:val="24"/>
          <w:szCs w:val="24"/>
        </w:rPr>
      </w:pPr>
    </w:p>
    <w:p w14:paraId="2E99044E" w14:textId="77777777" w:rsidR="007F5FAC" w:rsidRDefault="007F5FAC" w:rsidP="007F5FAC">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7F5FAC" w:rsidRPr="002F467C" w14:paraId="16726A7F" w14:textId="77777777" w:rsidTr="008A3510">
        <w:tc>
          <w:tcPr>
            <w:tcW w:w="8856" w:type="dxa"/>
          </w:tcPr>
          <w:p w14:paraId="3F46E7D9"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1E393C90"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14D513CB"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4D64FE0E"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3673387A"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7D4A6E8B"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B7FBC9D"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5E739F16"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14AAF6D9"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7DCC8CDD"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B44F6AB"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0FB7C5AE"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18276999"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3B0ACDB3"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88231EE"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5C25280"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p w14:paraId="2AE3C694"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7F45D994"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35B8FD59" w14:textId="77777777" w:rsidR="007F5FAC" w:rsidRDefault="007F5FAC" w:rsidP="008A351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4DC1F78" w14:textId="77777777" w:rsidR="007F5FAC" w:rsidRDefault="007F5FAC" w:rsidP="008A3510">
            <w:pPr>
              <w:pStyle w:val="NormalWeb"/>
              <w:spacing w:before="0" w:beforeAutospacing="0" w:after="0" w:afterAutospacing="0"/>
              <w:ind w:right="-334"/>
              <w:rPr>
                <w:rFonts w:ascii="Calibri" w:hAnsi="Calibri" w:cs="Tahoma"/>
                <w:bCs/>
                <w:sz w:val="24"/>
                <w:szCs w:val="24"/>
              </w:rPr>
            </w:pPr>
          </w:p>
          <w:p w14:paraId="5BAFF3CB"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08288B3D" w14:textId="77777777" w:rsidR="007F5FAC" w:rsidRPr="002F467C" w:rsidRDefault="007F5FAC" w:rsidP="008A3510">
            <w:pPr>
              <w:pStyle w:val="NormalWeb"/>
              <w:spacing w:before="0" w:beforeAutospacing="0" w:after="0" w:afterAutospacing="0"/>
              <w:ind w:right="-334"/>
              <w:rPr>
                <w:rFonts w:ascii="Calibri" w:hAnsi="Calibri" w:cs="Tahoma"/>
                <w:bCs/>
                <w:sz w:val="24"/>
                <w:szCs w:val="24"/>
              </w:rPr>
            </w:pPr>
          </w:p>
        </w:tc>
      </w:tr>
      <w:tr w:rsidR="007F5FAC" w:rsidRPr="002F467C" w14:paraId="591186E1" w14:textId="77777777" w:rsidTr="008A3510">
        <w:trPr>
          <w:trHeight w:val="720"/>
        </w:trPr>
        <w:tc>
          <w:tcPr>
            <w:tcW w:w="8856" w:type="dxa"/>
          </w:tcPr>
          <w:p w14:paraId="3E6C3A9E" w14:textId="77777777" w:rsidR="007F5FAC" w:rsidRPr="002F467C" w:rsidRDefault="007F5FAC" w:rsidP="008A351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bl>
    <w:p w14:paraId="10704A85" w14:textId="77777777" w:rsidR="007F5FAC" w:rsidRPr="00D67BF8" w:rsidRDefault="007F5FAC" w:rsidP="007F5FAC">
      <w:pPr>
        <w:pStyle w:val="NormalWeb"/>
        <w:spacing w:before="0" w:beforeAutospacing="0" w:after="0" w:afterAutospacing="0"/>
        <w:ind w:right="-334"/>
        <w:rPr>
          <w:rFonts w:ascii="Trebuchet MS" w:hAnsi="Trebuchet MS" w:cs="Tahoma"/>
          <w:bCs/>
          <w:sz w:val="24"/>
          <w:szCs w:val="24"/>
        </w:rPr>
      </w:pPr>
    </w:p>
    <w:p w14:paraId="3EE78F8E" w14:textId="77777777" w:rsidR="007F5FAC" w:rsidRDefault="007F5FAC" w:rsidP="007F5FAC"/>
    <w:p w14:paraId="703E223C" w14:textId="77777777" w:rsidR="007F5FAC" w:rsidRDefault="007F5FAC" w:rsidP="00EB7AED">
      <w:pPr>
        <w:spacing w:line="480" w:lineRule="auto"/>
      </w:pPr>
    </w:p>
    <w:p w14:paraId="795FA1BD" w14:textId="309E70AB" w:rsidR="00CC67E1" w:rsidRDefault="009559AA" w:rsidP="00EA796D">
      <w:pPr>
        <w:spacing w:line="480" w:lineRule="auto"/>
      </w:pPr>
      <w:r>
        <w:tab/>
      </w:r>
      <w:r w:rsidR="002661AE">
        <w:t xml:space="preserve"> </w:t>
      </w:r>
    </w:p>
    <w:p w14:paraId="130049EE" w14:textId="426B98C0" w:rsidR="00F5267D" w:rsidRPr="00610A1F" w:rsidRDefault="006F6F50" w:rsidP="0098182A">
      <w:pPr>
        <w:spacing w:line="480" w:lineRule="auto"/>
      </w:pPr>
      <w:r>
        <w:tab/>
      </w:r>
    </w:p>
    <w:p w14:paraId="20FCE3FE" w14:textId="0DFF57FD" w:rsidR="000442FA" w:rsidRPr="00442E3A" w:rsidRDefault="000442FA"/>
    <w:sectPr w:rsidR="000442FA" w:rsidRPr="00442E3A" w:rsidSect="00A1570D">
      <w:footerReference w:type="even"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4FB16" w14:textId="77777777" w:rsidR="00FF1E1A" w:rsidRDefault="00FF1E1A" w:rsidP="00D01576">
      <w:r>
        <w:separator/>
      </w:r>
    </w:p>
  </w:endnote>
  <w:endnote w:type="continuationSeparator" w:id="0">
    <w:p w14:paraId="21BB8479" w14:textId="77777777" w:rsidR="00FF1E1A" w:rsidRDefault="00FF1E1A" w:rsidP="00D01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84CF6" w14:textId="77777777" w:rsidR="00EE2E2A" w:rsidRDefault="00EE2E2A" w:rsidP="00EE2E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309030" w14:textId="77777777" w:rsidR="00EE2E2A" w:rsidRDefault="00EE2E2A" w:rsidP="00416E6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E8534" w14:textId="77777777" w:rsidR="00EE2E2A" w:rsidRDefault="00EE2E2A" w:rsidP="00EE2E2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3ADD">
      <w:rPr>
        <w:rStyle w:val="PageNumber"/>
        <w:noProof/>
      </w:rPr>
      <w:t>30</w:t>
    </w:r>
    <w:r>
      <w:rPr>
        <w:rStyle w:val="PageNumber"/>
      </w:rPr>
      <w:fldChar w:fldCharType="end"/>
    </w:r>
  </w:p>
  <w:p w14:paraId="09C7A195" w14:textId="77777777" w:rsidR="00EE2E2A" w:rsidRDefault="00EE2E2A" w:rsidP="00416E6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183D5" w14:textId="77777777" w:rsidR="00FF1E1A" w:rsidRDefault="00FF1E1A" w:rsidP="00D01576">
      <w:r>
        <w:separator/>
      </w:r>
    </w:p>
  </w:footnote>
  <w:footnote w:type="continuationSeparator" w:id="0">
    <w:p w14:paraId="6465B698" w14:textId="77777777" w:rsidR="00FF1E1A" w:rsidRDefault="00FF1E1A" w:rsidP="00D01576">
      <w:r>
        <w:continuationSeparator/>
      </w:r>
    </w:p>
  </w:footnote>
  <w:footnote w:id="1">
    <w:p w14:paraId="1CD739BC" w14:textId="4FF2387A" w:rsidR="00EE2E2A" w:rsidRPr="00D01576" w:rsidRDefault="00EE2E2A">
      <w:pPr>
        <w:pStyle w:val="FootnoteText"/>
        <w:rPr>
          <w:lang w:val="en-US"/>
        </w:rPr>
      </w:pPr>
      <w:r>
        <w:rPr>
          <w:rStyle w:val="FootnoteReference"/>
        </w:rPr>
        <w:footnoteRef/>
      </w:r>
      <w:r>
        <w:t xml:space="preserve"> </w:t>
      </w:r>
      <w:r>
        <w:rPr>
          <w:lang w:val="en-US"/>
        </w:rPr>
        <w:t>Fox 1980: 72</w:t>
      </w:r>
    </w:p>
  </w:footnote>
  <w:footnote w:id="2">
    <w:p w14:paraId="12DAA2AA" w14:textId="77777777" w:rsidR="00EE2E2A" w:rsidRPr="00964998" w:rsidRDefault="00EE2E2A" w:rsidP="00054CBD">
      <w:pPr>
        <w:pStyle w:val="FootnoteText"/>
        <w:rPr>
          <w:lang w:val="en-US"/>
        </w:rPr>
      </w:pPr>
      <w:r>
        <w:rPr>
          <w:rStyle w:val="FootnoteReference"/>
        </w:rPr>
        <w:footnoteRef/>
      </w:r>
      <w:r>
        <w:t xml:space="preserve"> </w:t>
      </w:r>
      <w:r>
        <w:rPr>
          <w:lang w:val="en-US"/>
        </w:rPr>
        <w:t>Flower 2007: 417</w:t>
      </w:r>
    </w:p>
  </w:footnote>
  <w:footnote w:id="3">
    <w:p w14:paraId="4F74E93E" w14:textId="77777777" w:rsidR="008C1067" w:rsidRPr="00CA376F" w:rsidRDefault="008C1067" w:rsidP="008C1067">
      <w:pPr>
        <w:pStyle w:val="FootnoteText"/>
        <w:rPr>
          <w:lang w:val="en-US"/>
        </w:rPr>
      </w:pPr>
      <w:r>
        <w:rPr>
          <w:rStyle w:val="FootnoteReference"/>
        </w:rPr>
        <w:footnoteRef/>
      </w:r>
      <w:r>
        <w:t xml:space="preserve"> </w:t>
      </w:r>
      <w:proofErr w:type="spellStart"/>
      <w:r>
        <w:rPr>
          <w:lang w:val="en-US"/>
        </w:rPr>
        <w:t>Plut</w:t>
      </w:r>
      <w:proofErr w:type="spellEnd"/>
      <w:r>
        <w:rPr>
          <w:lang w:val="en-US"/>
        </w:rPr>
        <w:t>. De Alex. 1.6.3.</w:t>
      </w:r>
    </w:p>
  </w:footnote>
  <w:footnote w:id="4">
    <w:p w14:paraId="5324D5BA" w14:textId="77777777" w:rsidR="008C1067" w:rsidRPr="00751DE0" w:rsidRDefault="008C1067" w:rsidP="008C1067">
      <w:pPr>
        <w:pStyle w:val="FootnoteText"/>
        <w:rPr>
          <w:lang w:val="en-US"/>
        </w:rPr>
      </w:pPr>
      <w:r>
        <w:rPr>
          <w:rStyle w:val="FootnoteReference"/>
        </w:rPr>
        <w:footnoteRef/>
      </w:r>
      <w:r>
        <w:t xml:space="preserve"> </w:t>
      </w:r>
      <w:proofErr w:type="spellStart"/>
      <w:r>
        <w:rPr>
          <w:lang w:val="en-US"/>
        </w:rPr>
        <w:t>Plut</w:t>
      </w:r>
      <w:proofErr w:type="spellEnd"/>
      <w:r>
        <w:rPr>
          <w:lang w:val="en-US"/>
        </w:rPr>
        <w:t>. De Alex. 1.8.6.</w:t>
      </w:r>
    </w:p>
  </w:footnote>
  <w:footnote w:id="5">
    <w:p w14:paraId="4728111E" w14:textId="77777777" w:rsidR="008C1067" w:rsidRPr="00000A5E" w:rsidRDefault="008C1067" w:rsidP="008C1067">
      <w:pPr>
        <w:pStyle w:val="FootnoteText"/>
        <w:rPr>
          <w:lang w:val="en-US"/>
        </w:rPr>
      </w:pPr>
      <w:r>
        <w:rPr>
          <w:rStyle w:val="FootnoteReference"/>
        </w:rPr>
        <w:footnoteRef/>
      </w:r>
      <w:r>
        <w:t xml:space="preserve"> </w:t>
      </w:r>
      <w:r>
        <w:rPr>
          <w:lang w:val="en-US"/>
        </w:rPr>
        <w:t>Worthington 2010: 130-131</w:t>
      </w:r>
    </w:p>
  </w:footnote>
  <w:footnote w:id="6">
    <w:p w14:paraId="67258FDA" w14:textId="77777777" w:rsidR="008C1067" w:rsidRPr="004B7AF5" w:rsidRDefault="008C1067" w:rsidP="008C1067">
      <w:pPr>
        <w:pStyle w:val="FootnoteText"/>
        <w:rPr>
          <w:lang w:val="en-US"/>
        </w:rPr>
      </w:pPr>
      <w:r>
        <w:rPr>
          <w:rStyle w:val="FootnoteReference"/>
        </w:rPr>
        <w:footnoteRef/>
      </w:r>
      <w:r>
        <w:t xml:space="preserve"> </w:t>
      </w:r>
      <w:r>
        <w:rPr>
          <w:lang w:val="en-US"/>
        </w:rPr>
        <w:t>Worthington 2010: 125-126</w:t>
      </w:r>
    </w:p>
  </w:footnote>
  <w:footnote w:id="7">
    <w:p w14:paraId="270C83E0" w14:textId="77777777" w:rsidR="008C1067" w:rsidRPr="00F85843" w:rsidRDefault="008C1067" w:rsidP="008C1067">
      <w:pPr>
        <w:pStyle w:val="FootnoteText"/>
        <w:rPr>
          <w:lang w:val="en-US"/>
        </w:rPr>
      </w:pPr>
      <w:r>
        <w:rPr>
          <w:rStyle w:val="FootnoteReference"/>
        </w:rPr>
        <w:footnoteRef/>
      </w:r>
      <w:r>
        <w:t xml:space="preserve"> </w:t>
      </w:r>
      <w:r>
        <w:rPr>
          <w:lang w:val="en-US"/>
        </w:rPr>
        <w:t xml:space="preserve">Arr. </w:t>
      </w:r>
      <w:proofErr w:type="spellStart"/>
      <w:r>
        <w:rPr>
          <w:lang w:val="en-US"/>
        </w:rPr>
        <w:t>Anab</w:t>
      </w:r>
      <w:proofErr w:type="spellEnd"/>
      <w:r>
        <w:rPr>
          <w:lang w:val="en-US"/>
        </w:rPr>
        <w:t>. 6.30.2-3</w:t>
      </w:r>
    </w:p>
  </w:footnote>
  <w:footnote w:id="8">
    <w:p w14:paraId="262BEE83" w14:textId="77777777" w:rsidR="008C1067" w:rsidRPr="00D26435" w:rsidRDefault="008C1067" w:rsidP="008C1067">
      <w:pPr>
        <w:pStyle w:val="FootnoteText"/>
        <w:rPr>
          <w:lang w:val="en-US"/>
        </w:rPr>
      </w:pPr>
      <w:r>
        <w:rPr>
          <w:rStyle w:val="FootnoteReference"/>
        </w:rPr>
        <w:footnoteRef/>
      </w:r>
      <w:r>
        <w:t xml:space="preserve"> </w:t>
      </w:r>
      <w:r>
        <w:rPr>
          <w:lang w:val="en-US"/>
        </w:rPr>
        <w:t>Worthington 2010: 127</w:t>
      </w:r>
    </w:p>
  </w:footnote>
  <w:footnote w:id="9">
    <w:p w14:paraId="7E69CBA9" w14:textId="77777777" w:rsidR="008C1067" w:rsidRPr="00D25D17" w:rsidRDefault="008C1067" w:rsidP="008C1067">
      <w:pPr>
        <w:pStyle w:val="FootnoteText"/>
        <w:rPr>
          <w:lang w:val="en-US"/>
        </w:rPr>
      </w:pPr>
      <w:r>
        <w:rPr>
          <w:rStyle w:val="FootnoteReference"/>
        </w:rPr>
        <w:footnoteRef/>
      </w:r>
      <w:r>
        <w:t xml:space="preserve"> </w:t>
      </w:r>
      <w:proofErr w:type="spellStart"/>
      <w:r>
        <w:rPr>
          <w:lang w:val="en-US"/>
        </w:rPr>
        <w:t>Diod</w:t>
      </w:r>
      <w:proofErr w:type="spellEnd"/>
      <w:r>
        <w:rPr>
          <w:lang w:val="en-US"/>
        </w:rPr>
        <w:t>. 18.4.4.</w:t>
      </w:r>
    </w:p>
  </w:footnote>
  <w:footnote w:id="10">
    <w:p w14:paraId="3BB71BD0" w14:textId="77777777" w:rsidR="008C1067" w:rsidRPr="008961C9" w:rsidRDefault="008C1067" w:rsidP="008C1067">
      <w:pPr>
        <w:pStyle w:val="FootnoteText"/>
        <w:rPr>
          <w:lang w:val="en-US"/>
        </w:rPr>
      </w:pPr>
      <w:r>
        <w:rPr>
          <w:rStyle w:val="FootnoteReference"/>
        </w:rPr>
        <w:footnoteRef/>
      </w:r>
      <w:r>
        <w:t xml:space="preserve"> </w:t>
      </w:r>
      <w:r>
        <w:rPr>
          <w:lang w:val="en-US"/>
        </w:rPr>
        <w:t>Worthington 2010: 128</w:t>
      </w:r>
    </w:p>
  </w:footnote>
  <w:footnote w:id="11">
    <w:p w14:paraId="7AB2D97E" w14:textId="77777777" w:rsidR="008C1067" w:rsidRPr="00167F0B" w:rsidRDefault="008C1067" w:rsidP="008C1067">
      <w:pPr>
        <w:pStyle w:val="FootnoteText"/>
        <w:rPr>
          <w:lang w:val="en-US"/>
        </w:rPr>
      </w:pPr>
      <w:r>
        <w:rPr>
          <w:rStyle w:val="FootnoteReference"/>
        </w:rPr>
        <w:footnoteRef/>
      </w:r>
      <w:r>
        <w:t xml:space="preserve"> </w:t>
      </w:r>
      <w:r>
        <w:rPr>
          <w:lang w:val="en-US"/>
        </w:rPr>
        <w:t>Worthington 2010: 124</w:t>
      </w:r>
    </w:p>
  </w:footnote>
  <w:footnote w:id="12">
    <w:p w14:paraId="3A4EBC4C" w14:textId="77777777" w:rsidR="008C1067" w:rsidRPr="0088357C" w:rsidRDefault="008C1067" w:rsidP="008C1067">
      <w:pPr>
        <w:pStyle w:val="FootnoteText"/>
        <w:rPr>
          <w:lang w:val="en-US"/>
        </w:rPr>
      </w:pPr>
      <w:r>
        <w:rPr>
          <w:rStyle w:val="FootnoteReference"/>
        </w:rPr>
        <w:footnoteRef/>
      </w:r>
      <w:r>
        <w:t xml:space="preserve"> </w:t>
      </w:r>
      <w:r>
        <w:rPr>
          <w:lang w:val="en-US"/>
        </w:rPr>
        <w:t>Welles 1965: 218</w:t>
      </w:r>
    </w:p>
  </w:footnote>
  <w:footnote w:id="13">
    <w:p w14:paraId="799A7D75" w14:textId="77777777" w:rsidR="008C1067" w:rsidRPr="00704999" w:rsidRDefault="008C1067" w:rsidP="008C1067">
      <w:pPr>
        <w:pStyle w:val="FootnoteText"/>
        <w:rPr>
          <w:lang w:val="en-US"/>
        </w:rPr>
      </w:pPr>
      <w:r>
        <w:rPr>
          <w:rStyle w:val="FootnoteReference"/>
        </w:rPr>
        <w:footnoteRef/>
      </w:r>
      <w:r>
        <w:t xml:space="preserve"> </w:t>
      </w:r>
      <w:r>
        <w:rPr>
          <w:lang w:val="en-US"/>
        </w:rPr>
        <w:t>Welles 1965: 218</w:t>
      </w:r>
    </w:p>
  </w:footnote>
  <w:footnote w:id="14">
    <w:p w14:paraId="36CBE724" w14:textId="77777777" w:rsidR="008C1067" w:rsidRPr="00BC396A" w:rsidRDefault="008C1067" w:rsidP="008C1067">
      <w:pPr>
        <w:pStyle w:val="FootnoteText"/>
        <w:rPr>
          <w:lang w:val="en-US"/>
        </w:rPr>
      </w:pPr>
      <w:r>
        <w:rPr>
          <w:rStyle w:val="FootnoteReference"/>
        </w:rPr>
        <w:footnoteRef/>
      </w:r>
      <w:r>
        <w:t xml:space="preserve"> </w:t>
      </w:r>
      <w:proofErr w:type="spellStart"/>
      <w:r>
        <w:rPr>
          <w:lang w:val="en-US"/>
        </w:rPr>
        <w:t>Plut</w:t>
      </w:r>
      <w:proofErr w:type="spellEnd"/>
      <w:r>
        <w:rPr>
          <w:lang w:val="en-US"/>
        </w:rPr>
        <w:t>. De Alex. 1.8.6.</w:t>
      </w:r>
    </w:p>
  </w:footnote>
  <w:footnote w:id="15">
    <w:p w14:paraId="476F30CF" w14:textId="77777777" w:rsidR="008C1067" w:rsidRPr="00873CB3" w:rsidRDefault="008C1067" w:rsidP="008C1067">
      <w:pPr>
        <w:pStyle w:val="FootnoteText"/>
        <w:rPr>
          <w:lang w:val="en-US"/>
        </w:rPr>
      </w:pPr>
      <w:r>
        <w:rPr>
          <w:rStyle w:val="FootnoteReference"/>
        </w:rPr>
        <w:footnoteRef/>
      </w:r>
      <w:r>
        <w:t xml:space="preserve"> </w:t>
      </w:r>
      <w:r>
        <w:rPr>
          <w:lang w:val="en-US"/>
        </w:rPr>
        <w:t>Welles 1965: 220</w:t>
      </w:r>
    </w:p>
  </w:footnote>
  <w:footnote w:id="16">
    <w:p w14:paraId="0FB06226" w14:textId="77777777" w:rsidR="008C1067" w:rsidRPr="00B524F1" w:rsidRDefault="008C1067" w:rsidP="008C1067">
      <w:pPr>
        <w:pStyle w:val="FootnoteText"/>
        <w:rPr>
          <w:lang w:val="en-US"/>
        </w:rPr>
      </w:pPr>
      <w:r>
        <w:rPr>
          <w:rStyle w:val="FootnoteReference"/>
        </w:rPr>
        <w:footnoteRef/>
      </w:r>
      <w:r>
        <w:t xml:space="preserve"> </w:t>
      </w:r>
      <w:r>
        <w:rPr>
          <w:lang w:val="en-US"/>
        </w:rPr>
        <w:t>Worthington 2010: 129</w:t>
      </w:r>
    </w:p>
  </w:footnote>
  <w:footnote w:id="17">
    <w:p w14:paraId="7CB20353" w14:textId="77777777" w:rsidR="008C1067" w:rsidRPr="008241F1" w:rsidRDefault="008C1067" w:rsidP="008C1067">
      <w:pPr>
        <w:pStyle w:val="FootnoteText"/>
        <w:rPr>
          <w:lang w:val="en-US"/>
        </w:rPr>
      </w:pPr>
      <w:r>
        <w:rPr>
          <w:rStyle w:val="FootnoteReference"/>
        </w:rPr>
        <w:footnoteRef/>
      </w:r>
      <w:r>
        <w:t xml:space="preserve"> </w:t>
      </w:r>
      <w:r>
        <w:rPr>
          <w:lang w:val="en-US"/>
        </w:rPr>
        <w:t>Carney 2015: 155</w:t>
      </w:r>
    </w:p>
  </w:footnote>
  <w:footnote w:id="18">
    <w:p w14:paraId="543677D8" w14:textId="77777777" w:rsidR="008C1067" w:rsidRPr="00C01CFB" w:rsidRDefault="008C1067" w:rsidP="008C1067">
      <w:pPr>
        <w:pStyle w:val="FootnoteText"/>
        <w:rPr>
          <w:lang w:val="en-US"/>
        </w:rPr>
      </w:pPr>
      <w:r>
        <w:rPr>
          <w:rStyle w:val="FootnoteReference"/>
        </w:rPr>
        <w:footnoteRef/>
      </w:r>
      <w:r>
        <w:t xml:space="preserve"> </w:t>
      </w:r>
      <w:proofErr w:type="spellStart"/>
      <w:r>
        <w:rPr>
          <w:lang w:val="en-US"/>
        </w:rPr>
        <w:t>Diod</w:t>
      </w:r>
      <w:proofErr w:type="spellEnd"/>
      <w:r>
        <w:rPr>
          <w:lang w:val="en-US"/>
        </w:rPr>
        <w:t>. 17.117.</w:t>
      </w:r>
    </w:p>
  </w:footnote>
  <w:footnote w:id="19">
    <w:p w14:paraId="48A07A80" w14:textId="77777777" w:rsidR="008C1067" w:rsidRPr="004A7C12" w:rsidRDefault="008C1067" w:rsidP="008C1067">
      <w:pPr>
        <w:pStyle w:val="FootnoteText"/>
        <w:rPr>
          <w:lang w:val="en-US"/>
        </w:rPr>
      </w:pPr>
      <w:r>
        <w:rPr>
          <w:rStyle w:val="FootnoteReference"/>
        </w:rPr>
        <w:footnoteRef/>
      </w:r>
      <w:r>
        <w:t xml:space="preserve"> </w:t>
      </w:r>
      <w:r>
        <w:rPr>
          <w:lang w:val="en-US"/>
        </w:rPr>
        <w:t>Arr. 7.26.3</w:t>
      </w:r>
    </w:p>
  </w:footnote>
  <w:footnote w:id="20">
    <w:p w14:paraId="4F8862F5" w14:textId="77777777" w:rsidR="008C1067" w:rsidRPr="00685578" w:rsidRDefault="008C1067" w:rsidP="008C1067">
      <w:pPr>
        <w:pStyle w:val="FootnoteText"/>
        <w:rPr>
          <w:lang w:val="en-US"/>
        </w:rPr>
      </w:pPr>
      <w:r>
        <w:rPr>
          <w:rStyle w:val="FootnoteReference"/>
        </w:rPr>
        <w:footnoteRef/>
      </w:r>
      <w:r>
        <w:t xml:space="preserve"> </w:t>
      </w:r>
      <w:r>
        <w:rPr>
          <w:lang w:val="en-US"/>
        </w:rPr>
        <w:t>Renault 1975: 231</w:t>
      </w:r>
    </w:p>
  </w:footnote>
  <w:footnote w:id="21">
    <w:p w14:paraId="3E491E68" w14:textId="77777777" w:rsidR="008C1067" w:rsidRPr="00C57AB5" w:rsidRDefault="008C1067" w:rsidP="008C1067">
      <w:pPr>
        <w:pStyle w:val="FootnoteText"/>
        <w:rPr>
          <w:lang w:val="en-US"/>
        </w:rPr>
      </w:pPr>
      <w:r>
        <w:rPr>
          <w:rStyle w:val="FootnoteReference"/>
        </w:rPr>
        <w:footnoteRef/>
      </w:r>
      <w:r>
        <w:t xml:space="preserve"> </w:t>
      </w:r>
      <w:proofErr w:type="spellStart"/>
      <w:r>
        <w:rPr>
          <w:lang w:val="en-US"/>
        </w:rPr>
        <w:t>Diod</w:t>
      </w:r>
      <w:proofErr w:type="spellEnd"/>
      <w:r>
        <w:rPr>
          <w:lang w:val="en-US"/>
        </w:rPr>
        <w:t>. 18.4.</w:t>
      </w:r>
    </w:p>
  </w:footnote>
  <w:footnote w:id="22">
    <w:p w14:paraId="1620479D" w14:textId="77777777" w:rsidR="008C1067" w:rsidRPr="00AA3B66" w:rsidRDefault="008C1067" w:rsidP="008C1067">
      <w:pPr>
        <w:pStyle w:val="FootnoteText"/>
        <w:rPr>
          <w:lang w:val="en-US"/>
        </w:rPr>
      </w:pPr>
      <w:r>
        <w:rPr>
          <w:rStyle w:val="FootnoteReference"/>
        </w:rPr>
        <w:footnoteRef/>
      </w:r>
      <w:r>
        <w:t xml:space="preserve"> </w:t>
      </w:r>
      <w:proofErr w:type="spellStart"/>
      <w:r>
        <w:rPr>
          <w:lang w:val="en-US"/>
        </w:rPr>
        <w:t>Diod</w:t>
      </w:r>
      <w:proofErr w:type="spellEnd"/>
      <w:r>
        <w:rPr>
          <w:lang w:val="en-US"/>
        </w:rPr>
        <w:t>. 18.4.2.</w:t>
      </w:r>
    </w:p>
  </w:footnote>
  <w:footnote w:id="23">
    <w:p w14:paraId="6F67FE9D" w14:textId="77777777" w:rsidR="008C1067" w:rsidRPr="00020C28" w:rsidRDefault="008C1067" w:rsidP="008C1067">
      <w:pPr>
        <w:pStyle w:val="FootnoteText"/>
        <w:rPr>
          <w:lang w:val="en-US"/>
        </w:rPr>
      </w:pPr>
      <w:r>
        <w:rPr>
          <w:rStyle w:val="FootnoteReference"/>
        </w:rPr>
        <w:footnoteRef/>
      </w:r>
      <w:r>
        <w:t xml:space="preserve"> </w:t>
      </w:r>
      <w:proofErr w:type="spellStart"/>
      <w:r>
        <w:rPr>
          <w:lang w:val="en-US"/>
        </w:rPr>
        <w:t>Diod</w:t>
      </w:r>
      <w:proofErr w:type="spellEnd"/>
      <w:r>
        <w:rPr>
          <w:lang w:val="en-US"/>
        </w:rPr>
        <w:t>. 18.4.4-6</w:t>
      </w:r>
    </w:p>
  </w:footnote>
  <w:footnote w:id="24">
    <w:p w14:paraId="039FD02A" w14:textId="77777777" w:rsidR="008C1067" w:rsidRPr="008648CD" w:rsidRDefault="008C1067" w:rsidP="008C1067">
      <w:pPr>
        <w:pStyle w:val="FootnoteText"/>
        <w:rPr>
          <w:lang w:val="en-US"/>
        </w:rPr>
      </w:pPr>
      <w:r>
        <w:rPr>
          <w:rStyle w:val="FootnoteReference"/>
        </w:rPr>
        <w:footnoteRef/>
      </w:r>
      <w:r>
        <w:t xml:space="preserve"> </w:t>
      </w:r>
      <w:r>
        <w:rPr>
          <w:lang w:val="en-US"/>
        </w:rPr>
        <w:t>Worthington 2010: 126</w:t>
      </w:r>
    </w:p>
  </w:footnote>
  <w:footnote w:id="25">
    <w:p w14:paraId="250189F1" w14:textId="77777777" w:rsidR="008C1067" w:rsidRPr="004C4A30" w:rsidRDefault="008C1067" w:rsidP="008C1067">
      <w:pPr>
        <w:pStyle w:val="FootnoteText"/>
        <w:rPr>
          <w:lang w:val="en-US"/>
        </w:rPr>
      </w:pPr>
      <w:r>
        <w:rPr>
          <w:rStyle w:val="FootnoteReference"/>
        </w:rPr>
        <w:footnoteRef/>
      </w:r>
      <w:r>
        <w:t xml:space="preserve"> </w:t>
      </w:r>
      <w:r>
        <w:rPr>
          <w:lang w:val="en-US"/>
        </w:rPr>
        <w:t xml:space="preserve">Arr. </w:t>
      </w:r>
      <w:proofErr w:type="spellStart"/>
      <w:r>
        <w:rPr>
          <w:lang w:val="en-US"/>
        </w:rPr>
        <w:t>Anab</w:t>
      </w:r>
      <w:proofErr w:type="spellEnd"/>
      <w:r>
        <w:rPr>
          <w:lang w:val="en-US"/>
        </w:rPr>
        <w:t>. 7.19.6.</w:t>
      </w:r>
    </w:p>
  </w:footnote>
  <w:footnote w:id="26">
    <w:p w14:paraId="47159C3F" w14:textId="77777777" w:rsidR="008C1067" w:rsidRPr="001E4DCF" w:rsidRDefault="008C1067" w:rsidP="008C1067">
      <w:pPr>
        <w:pStyle w:val="FootnoteText"/>
        <w:rPr>
          <w:lang w:val="en-US"/>
        </w:rPr>
      </w:pPr>
      <w:r>
        <w:rPr>
          <w:rStyle w:val="FootnoteReference"/>
        </w:rPr>
        <w:footnoteRef/>
      </w:r>
      <w:r>
        <w:t xml:space="preserve"> </w:t>
      </w:r>
      <w:r>
        <w:rPr>
          <w:lang w:val="en-US"/>
        </w:rPr>
        <w:t>Welles 1965: 219</w:t>
      </w:r>
    </w:p>
  </w:footnote>
  <w:footnote w:id="27">
    <w:p w14:paraId="2317F17C" w14:textId="77777777" w:rsidR="008C1067" w:rsidRPr="000442FA" w:rsidRDefault="008C1067" w:rsidP="008C1067">
      <w:pPr>
        <w:pStyle w:val="FootnoteText"/>
        <w:rPr>
          <w:lang w:val="en-US"/>
        </w:rPr>
      </w:pPr>
      <w:r>
        <w:rPr>
          <w:rStyle w:val="FootnoteReference"/>
        </w:rPr>
        <w:footnoteRef/>
      </w:r>
      <w:r>
        <w:t xml:space="preserve"> </w:t>
      </w:r>
      <w:r>
        <w:rPr>
          <w:lang w:val="en-US"/>
        </w:rPr>
        <w:t>Welles 1965: 221</w:t>
      </w:r>
    </w:p>
  </w:footnote>
  <w:footnote w:id="28">
    <w:p w14:paraId="6897D84B" w14:textId="77777777" w:rsidR="008C1067" w:rsidRPr="003E2247" w:rsidRDefault="008C1067" w:rsidP="008C1067">
      <w:pPr>
        <w:pStyle w:val="FootnoteText"/>
        <w:rPr>
          <w:lang w:val="en-US"/>
        </w:rPr>
      </w:pPr>
      <w:r>
        <w:rPr>
          <w:rStyle w:val="FootnoteReference"/>
        </w:rPr>
        <w:footnoteRef/>
      </w:r>
      <w:r>
        <w:t xml:space="preserve"> </w:t>
      </w:r>
      <w:r>
        <w:rPr>
          <w:lang w:val="en-US"/>
        </w:rPr>
        <w:t>Renault 1975: 30, 109</w:t>
      </w:r>
    </w:p>
  </w:footnote>
  <w:footnote w:id="29">
    <w:p w14:paraId="2451A292" w14:textId="77777777" w:rsidR="008C1067" w:rsidRPr="00605A18" w:rsidRDefault="008C1067" w:rsidP="008C1067">
      <w:pPr>
        <w:pStyle w:val="FootnoteText"/>
        <w:rPr>
          <w:lang w:val="en-US"/>
        </w:rPr>
      </w:pPr>
      <w:r>
        <w:rPr>
          <w:rStyle w:val="FootnoteReference"/>
        </w:rPr>
        <w:footnoteRef/>
      </w:r>
      <w:r>
        <w:t xml:space="preserve"> </w:t>
      </w:r>
      <w:r>
        <w:rPr>
          <w:lang w:val="en-US"/>
        </w:rPr>
        <w:t>Renault 1975: 107</w:t>
      </w:r>
    </w:p>
  </w:footnote>
  <w:footnote w:id="30">
    <w:p w14:paraId="6AD66F09" w14:textId="77777777" w:rsidR="008C1067" w:rsidRPr="004B385D" w:rsidRDefault="008C1067" w:rsidP="008C1067">
      <w:pPr>
        <w:pStyle w:val="FootnoteText"/>
        <w:rPr>
          <w:lang w:val="en-US"/>
        </w:rPr>
      </w:pPr>
      <w:r>
        <w:rPr>
          <w:rStyle w:val="FootnoteReference"/>
        </w:rPr>
        <w:footnoteRef/>
      </w:r>
      <w:r>
        <w:t xml:space="preserve"> </w:t>
      </w:r>
      <w:r>
        <w:rPr>
          <w:lang w:val="en-US"/>
        </w:rPr>
        <w:t>Lane Fox 1980: 393</w:t>
      </w:r>
    </w:p>
  </w:footnote>
  <w:footnote w:id="31">
    <w:p w14:paraId="3F6EAEB8" w14:textId="77777777" w:rsidR="008C1067" w:rsidRPr="00AF2744" w:rsidRDefault="008C1067" w:rsidP="008C1067">
      <w:pPr>
        <w:pStyle w:val="FootnoteText"/>
        <w:rPr>
          <w:lang w:val="en-US"/>
        </w:rPr>
      </w:pPr>
      <w:r>
        <w:rPr>
          <w:rStyle w:val="FootnoteReference"/>
        </w:rPr>
        <w:footnoteRef/>
      </w:r>
      <w:r>
        <w:t xml:space="preserve"> </w:t>
      </w:r>
      <w:r>
        <w:rPr>
          <w:lang w:val="en-US"/>
        </w:rPr>
        <w:t>Lane Fox 1980: 393</w:t>
      </w:r>
    </w:p>
  </w:footnote>
  <w:footnote w:id="32">
    <w:p w14:paraId="6F078718" w14:textId="77777777" w:rsidR="00EA796D" w:rsidRPr="00421A73" w:rsidRDefault="00EA796D" w:rsidP="00EA796D">
      <w:pPr>
        <w:pStyle w:val="FootnoteText"/>
        <w:rPr>
          <w:lang w:val="en-US"/>
        </w:rPr>
      </w:pPr>
      <w:r>
        <w:rPr>
          <w:rStyle w:val="FootnoteReference"/>
        </w:rPr>
        <w:footnoteRef/>
      </w:r>
      <w:r>
        <w:t xml:space="preserve"> </w:t>
      </w:r>
      <w:proofErr w:type="spellStart"/>
      <w:r>
        <w:rPr>
          <w:lang w:val="en-US"/>
        </w:rPr>
        <w:t>Casari</w:t>
      </w:r>
      <w:proofErr w:type="spellEnd"/>
      <w:r>
        <w:rPr>
          <w:lang w:val="en-US"/>
        </w:rPr>
        <w:t xml:space="preserve"> 2012: 176</w:t>
      </w:r>
    </w:p>
  </w:footnote>
  <w:footnote w:id="33">
    <w:p w14:paraId="0ED695FD" w14:textId="77777777" w:rsidR="00EA796D" w:rsidRPr="00836CE2" w:rsidRDefault="00EA796D" w:rsidP="00EA796D">
      <w:pPr>
        <w:pStyle w:val="FootnoteText"/>
        <w:rPr>
          <w:lang w:val="en-US"/>
        </w:rPr>
      </w:pPr>
      <w:r>
        <w:rPr>
          <w:rStyle w:val="FootnoteReference"/>
        </w:rPr>
        <w:footnoteRef/>
      </w:r>
      <w:r>
        <w:t xml:space="preserve"> </w:t>
      </w:r>
      <w:proofErr w:type="spellStart"/>
      <w:r>
        <w:rPr>
          <w:lang w:val="en-US"/>
        </w:rPr>
        <w:t>Casari</w:t>
      </w:r>
      <w:proofErr w:type="spellEnd"/>
      <w:r>
        <w:rPr>
          <w:lang w:val="en-US"/>
        </w:rPr>
        <w:t xml:space="preserve"> 2012: 177</w:t>
      </w:r>
    </w:p>
  </w:footnote>
  <w:footnote w:id="34">
    <w:p w14:paraId="5944BE89" w14:textId="77777777" w:rsidR="00EA796D" w:rsidRPr="00CD52BE" w:rsidRDefault="00EA796D" w:rsidP="00EA796D">
      <w:pPr>
        <w:pStyle w:val="FootnoteText"/>
        <w:rPr>
          <w:lang w:val="en-US"/>
        </w:rPr>
      </w:pPr>
      <w:r>
        <w:rPr>
          <w:rStyle w:val="FootnoteReference"/>
        </w:rPr>
        <w:footnoteRef/>
      </w:r>
      <w:r>
        <w:t xml:space="preserve"> </w:t>
      </w:r>
      <w:r>
        <w:rPr>
          <w:lang w:val="en-US"/>
        </w:rPr>
        <w:t>Rubenstein 2018: 222</w:t>
      </w:r>
    </w:p>
  </w:footnote>
  <w:footnote w:id="35">
    <w:p w14:paraId="5F73EBF0" w14:textId="77777777" w:rsidR="00EA796D" w:rsidRPr="006B2E81" w:rsidRDefault="00EA796D" w:rsidP="00EA796D">
      <w:pPr>
        <w:pStyle w:val="FootnoteText"/>
        <w:rPr>
          <w:lang w:val="en-US"/>
        </w:rPr>
      </w:pPr>
      <w:r>
        <w:rPr>
          <w:rStyle w:val="FootnoteReference"/>
        </w:rPr>
        <w:footnoteRef/>
      </w:r>
      <w:r>
        <w:t xml:space="preserve"> Arr. </w:t>
      </w:r>
      <w:proofErr w:type="spellStart"/>
      <w:r>
        <w:rPr>
          <w:i/>
        </w:rPr>
        <w:t>Anab</w:t>
      </w:r>
      <w:proofErr w:type="spellEnd"/>
      <w:r>
        <w:rPr>
          <w:i/>
        </w:rPr>
        <w:t xml:space="preserve">. </w:t>
      </w:r>
      <w:r>
        <w:t>7.28.1-3</w:t>
      </w:r>
    </w:p>
  </w:footnote>
  <w:footnote w:id="36">
    <w:p w14:paraId="7D2F4142" w14:textId="77777777" w:rsidR="00EA796D" w:rsidRPr="00105113" w:rsidRDefault="00EA796D" w:rsidP="00EA796D">
      <w:pPr>
        <w:pStyle w:val="FootnoteText"/>
        <w:rPr>
          <w:lang w:val="en-US"/>
        </w:rPr>
      </w:pPr>
      <w:r>
        <w:rPr>
          <w:rStyle w:val="FootnoteReference"/>
        </w:rPr>
        <w:footnoteRef/>
      </w:r>
      <w:r>
        <w:t xml:space="preserve"> </w:t>
      </w:r>
      <w:proofErr w:type="spellStart"/>
      <w:r>
        <w:rPr>
          <w:lang w:val="en-US"/>
        </w:rPr>
        <w:t>Peltonen</w:t>
      </w:r>
      <w:proofErr w:type="spellEnd"/>
      <w:r>
        <w:rPr>
          <w:lang w:val="en-US"/>
        </w:rPr>
        <w:t xml:space="preserve"> 2019: 134</w:t>
      </w:r>
    </w:p>
  </w:footnote>
  <w:footnote w:id="37">
    <w:p w14:paraId="18E77079" w14:textId="77777777" w:rsidR="00EA796D" w:rsidRPr="00FE3D0C" w:rsidRDefault="00EA796D" w:rsidP="00EA796D">
      <w:pPr>
        <w:pStyle w:val="FootnoteText"/>
        <w:rPr>
          <w:lang w:val="en-US"/>
        </w:rPr>
      </w:pPr>
      <w:r>
        <w:rPr>
          <w:rStyle w:val="FootnoteReference"/>
        </w:rPr>
        <w:footnoteRef/>
      </w:r>
      <w:r>
        <w:t xml:space="preserve"> </w:t>
      </w:r>
      <w:proofErr w:type="spellStart"/>
      <w:r>
        <w:rPr>
          <w:lang w:val="en-US"/>
        </w:rPr>
        <w:t>Peltonen</w:t>
      </w:r>
      <w:proofErr w:type="spellEnd"/>
      <w:r>
        <w:rPr>
          <w:lang w:val="en-US"/>
        </w:rPr>
        <w:t xml:space="preserve"> 2019: 147-148</w:t>
      </w:r>
    </w:p>
  </w:footnote>
  <w:footnote w:id="38">
    <w:p w14:paraId="01D2903A" w14:textId="77777777" w:rsidR="00EA796D" w:rsidRPr="00016A25" w:rsidRDefault="00EA796D" w:rsidP="00EA796D">
      <w:pPr>
        <w:pStyle w:val="FootnoteText"/>
        <w:rPr>
          <w:lang w:val="en-US"/>
        </w:rPr>
      </w:pPr>
      <w:r>
        <w:rPr>
          <w:rStyle w:val="FootnoteReference"/>
        </w:rPr>
        <w:footnoteRef/>
      </w:r>
      <w:r>
        <w:t xml:space="preserve"> </w:t>
      </w:r>
      <w:proofErr w:type="spellStart"/>
      <w:r>
        <w:rPr>
          <w:lang w:val="en-US"/>
        </w:rPr>
        <w:t>Peltonen</w:t>
      </w:r>
      <w:proofErr w:type="spellEnd"/>
      <w:r>
        <w:rPr>
          <w:lang w:val="en-US"/>
        </w:rPr>
        <w:t xml:space="preserve"> 2019: 151</w:t>
      </w:r>
    </w:p>
  </w:footnote>
  <w:footnote w:id="39">
    <w:p w14:paraId="05F3B261" w14:textId="77777777" w:rsidR="00EA796D" w:rsidRPr="00186A62" w:rsidRDefault="00EA796D" w:rsidP="00EA796D">
      <w:pPr>
        <w:pStyle w:val="FootnoteText"/>
        <w:rPr>
          <w:lang w:val="en-US"/>
        </w:rPr>
      </w:pPr>
      <w:r>
        <w:rPr>
          <w:rStyle w:val="FootnoteReference"/>
        </w:rPr>
        <w:footnoteRef/>
      </w:r>
      <w:r>
        <w:t xml:space="preserve"> </w:t>
      </w:r>
      <w:proofErr w:type="spellStart"/>
      <w:r>
        <w:rPr>
          <w:lang w:val="en-US"/>
        </w:rPr>
        <w:t>Peltonen</w:t>
      </w:r>
      <w:proofErr w:type="spellEnd"/>
      <w:r>
        <w:rPr>
          <w:lang w:val="en-US"/>
        </w:rPr>
        <w:t xml:space="preserve"> 2019: 134</w:t>
      </w:r>
    </w:p>
  </w:footnote>
  <w:footnote w:id="40">
    <w:p w14:paraId="710ED448" w14:textId="77777777" w:rsidR="00EA796D" w:rsidRPr="003F1CA4" w:rsidRDefault="00EA796D" w:rsidP="00EA796D">
      <w:pPr>
        <w:pStyle w:val="FootnoteText"/>
        <w:rPr>
          <w:lang w:val="en-US"/>
        </w:rPr>
      </w:pPr>
      <w:r>
        <w:rPr>
          <w:rStyle w:val="FootnoteReference"/>
        </w:rPr>
        <w:footnoteRef/>
      </w:r>
      <w:r>
        <w:t xml:space="preserve"> </w:t>
      </w:r>
      <w:r>
        <w:rPr>
          <w:lang w:val="en-US"/>
        </w:rPr>
        <w:t xml:space="preserve">Van der </w:t>
      </w:r>
      <w:proofErr w:type="spellStart"/>
      <w:r>
        <w:rPr>
          <w:lang w:val="en-US"/>
        </w:rPr>
        <w:t>Spek</w:t>
      </w:r>
      <w:proofErr w:type="spellEnd"/>
      <w:r>
        <w:rPr>
          <w:lang w:val="en-US"/>
        </w:rPr>
        <w:t xml:space="preserve"> 2003: 290-291</w:t>
      </w:r>
    </w:p>
  </w:footnote>
  <w:footnote w:id="41">
    <w:p w14:paraId="60F2C2F5" w14:textId="77777777" w:rsidR="00EA796D" w:rsidRPr="0028707E" w:rsidRDefault="00EA796D" w:rsidP="00EA796D">
      <w:pPr>
        <w:pStyle w:val="FootnoteText"/>
        <w:rPr>
          <w:lang w:val="en-US"/>
        </w:rPr>
      </w:pPr>
      <w:r>
        <w:rPr>
          <w:rStyle w:val="FootnoteReference"/>
        </w:rPr>
        <w:footnoteRef/>
      </w:r>
      <w:r>
        <w:t xml:space="preserve"> </w:t>
      </w:r>
      <w:r>
        <w:rPr>
          <w:lang w:val="en-US"/>
        </w:rPr>
        <w:t xml:space="preserve">Van der </w:t>
      </w:r>
      <w:proofErr w:type="spellStart"/>
      <w:r>
        <w:rPr>
          <w:lang w:val="en-US"/>
        </w:rPr>
        <w:t>Spek</w:t>
      </w:r>
      <w:proofErr w:type="spellEnd"/>
      <w:r>
        <w:rPr>
          <w:lang w:val="en-US"/>
        </w:rPr>
        <w:t xml:space="preserve"> 2003: 295</w:t>
      </w:r>
    </w:p>
  </w:footnote>
  <w:footnote w:id="42">
    <w:p w14:paraId="5C2E28D0" w14:textId="77777777" w:rsidR="00EA796D" w:rsidRPr="00EC0C74" w:rsidRDefault="00EA796D" w:rsidP="00EA796D">
      <w:pPr>
        <w:pStyle w:val="FootnoteText"/>
        <w:rPr>
          <w:lang w:val="en-US"/>
        </w:rPr>
      </w:pPr>
      <w:r>
        <w:rPr>
          <w:rStyle w:val="FootnoteReference"/>
        </w:rPr>
        <w:footnoteRef/>
      </w:r>
      <w:r>
        <w:t xml:space="preserve"> </w:t>
      </w:r>
      <w:r>
        <w:rPr>
          <w:lang w:val="en-US"/>
        </w:rPr>
        <w:t xml:space="preserve">AD-330; </w:t>
      </w:r>
      <w:proofErr w:type="spellStart"/>
      <w:r>
        <w:rPr>
          <w:lang w:val="en-US"/>
        </w:rPr>
        <w:t>obv</w:t>
      </w:r>
      <w:proofErr w:type="spellEnd"/>
      <w:r>
        <w:rPr>
          <w:lang w:val="en-US"/>
        </w:rPr>
        <w:t>. 16-17</w:t>
      </w:r>
    </w:p>
  </w:footnote>
  <w:footnote w:id="43">
    <w:p w14:paraId="71E09E68" w14:textId="77777777" w:rsidR="00EA796D" w:rsidRPr="004B0A8A" w:rsidRDefault="00EA796D" w:rsidP="00EA796D">
      <w:pPr>
        <w:pStyle w:val="FootnoteText"/>
        <w:rPr>
          <w:lang w:val="en-US"/>
        </w:rPr>
      </w:pPr>
      <w:r>
        <w:rPr>
          <w:rStyle w:val="FootnoteReference"/>
        </w:rPr>
        <w:footnoteRef/>
      </w:r>
      <w:r>
        <w:t xml:space="preserve"> </w:t>
      </w:r>
      <w:r>
        <w:rPr>
          <w:lang w:val="en-US"/>
        </w:rPr>
        <w:t xml:space="preserve">Van der </w:t>
      </w:r>
      <w:proofErr w:type="spellStart"/>
      <w:r>
        <w:rPr>
          <w:lang w:val="en-US"/>
        </w:rPr>
        <w:t>Spek</w:t>
      </w:r>
      <w:proofErr w:type="spellEnd"/>
      <w:r>
        <w:rPr>
          <w:lang w:val="en-US"/>
        </w:rPr>
        <w:t xml:space="preserve"> 2003: 298</w:t>
      </w:r>
    </w:p>
  </w:footnote>
  <w:footnote w:id="44">
    <w:p w14:paraId="5129FCBB" w14:textId="77777777" w:rsidR="00EA796D" w:rsidRPr="001B25D2" w:rsidRDefault="00EA796D" w:rsidP="00EA796D">
      <w:pPr>
        <w:pStyle w:val="FootnoteText"/>
        <w:rPr>
          <w:lang w:val="en-US"/>
        </w:rPr>
      </w:pPr>
      <w:r>
        <w:rPr>
          <w:rStyle w:val="FootnoteReference"/>
        </w:rPr>
        <w:footnoteRef/>
      </w:r>
      <w:r>
        <w:t xml:space="preserve"> </w:t>
      </w:r>
      <w:r>
        <w:rPr>
          <w:lang w:val="en-US"/>
        </w:rPr>
        <w:t xml:space="preserve">Arr. </w:t>
      </w:r>
      <w:proofErr w:type="spellStart"/>
      <w:r>
        <w:rPr>
          <w:lang w:val="en-US"/>
        </w:rPr>
        <w:t>Anab</w:t>
      </w:r>
      <w:proofErr w:type="spellEnd"/>
      <w:r>
        <w:rPr>
          <w:lang w:val="en-US"/>
        </w:rPr>
        <w:t>. 3.14.3</w:t>
      </w:r>
    </w:p>
  </w:footnote>
  <w:footnote w:id="45">
    <w:p w14:paraId="52D18300" w14:textId="77777777" w:rsidR="00EA796D" w:rsidRPr="00492A0D" w:rsidRDefault="00EA796D" w:rsidP="00EA796D">
      <w:pPr>
        <w:pStyle w:val="FootnoteText"/>
        <w:rPr>
          <w:lang w:val="en-US"/>
        </w:rPr>
      </w:pPr>
      <w:r>
        <w:rPr>
          <w:rStyle w:val="FootnoteReference"/>
        </w:rPr>
        <w:footnoteRef/>
      </w:r>
      <w:r>
        <w:t xml:space="preserve"> </w:t>
      </w:r>
      <w:r>
        <w:rPr>
          <w:lang w:val="en-US"/>
        </w:rPr>
        <w:t>Flower 2007: 422</w:t>
      </w:r>
    </w:p>
  </w:footnote>
  <w:footnote w:id="46">
    <w:p w14:paraId="2A501F20" w14:textId="6B75F20C" w:rsidR="00DA0F9A" w:rsidRPr="00DA0F9A" w:rsidRDefault="00DA0F9A">
      <w:pPr>
        <w:pStyle w:val="FootnoteText"/>
        <w:rPr>
          <w:lang w:val="en-US"/>
        </w:rPr>
      </w:pPr>
      <w:r>
        <w:rPr>
          <w:rStyle w:val="FootnoteReference"/>
        </w:rPr>
        <w:footnoteRef/>
      </w:r>
      <w:r>
        <w:t xml:space="preserve"> </w:t>
      </w:r>
      <w:r>
        <w:rPr>
          <w:lang w:val="en-US"/>
        </w:rPr>
        <w:t>In 2002, the Pentagon conducted a study of how the United States may</w:t>
      </w:r>
      <w:r w:rsidR="00D14883">
        <w:rPr>
          <w:lang w:val="en-US"/>
        </w:rPr>
        <w:t xml:space="preserve"> have</w:t>
      </w:r>
      <w:r>
        <w:rPr>
          <w:lang w:val="en-US"/>
        </w:rPr>
        <w:t xml:space="preserve"> hope</w:t>
      </w:r>
      <w:r w:rsidR="00D14883">
        <w:rPr>
          <w:lang w:val="en-US"/>
        </w:rPr>
        <w:t>d</w:t>
      </w:r>
      <w:r>
        <w:rPr>
          <w:lang w:val="en-US"/>
        </w:rPr>
        <w:t xml:space="preserve"> to lengthen its military</w:t>
      </w:r>
      <w:r w:rsidR="001A1552">
        <w:rPr>
          <w:lang w:val="en-US"/>
        </w:rPr>
        <w:t xml:space="preserve"> predominance which featured the Macedonian empire; see Liebert 2011: 535</w:t>
      </w:r>
    </w:p>
  </w:footnote>
  <w:footnote w:id="47">
    <w:p w14:paraId="689F04E9" w14:textId="77777777" w:rsidR="00EE2E2A" w:rsidRPr="00E442A2" w:rsidRDefault="00EE2E2A" w:rsidP="00054CBD">
      <w:pPr>
        <w:pStyle w:val="FootnoteText"/>
        <w:rPr>
          <w:lang w:val="en-US"/>
        </w:rPr>
      </w:pPr>
      <w:r>
        <w:rPr>
          <w:rStyle w:val="FootnoteReference"/>
        </w:rPr>
        <w:footnoteRef/>
      </w:r>
      <w:r>
        <w:t xml:space="preserve"> </w:t>
      </w:r>
      <w:r>
        <w:rPr>
          <w:lang w:val="en-US"/>
        </w:rPr>
        <w:t>Daniel 8:5-8, 8:19-22. Similarly, Alexander is called “two-horned” in Islamic tradition as seen in Casari 2012: 180</w:t>
      </w:r>
    </w:p>
  </w:footnote>
  <w:footnote w:id="48">
    <w:p w14:paraId="378C3E7B" w14:textId="77777777" w:rsidR="00EE2E2A" w:rsidRPr="00865055" w:rsidRDefault="00EE2E2A" w:rsidP="00054CBD">
      <w:pPr>
        <w:pStyle w:val="FootnoteText"/>
        <w:rPr>
          <w:lang w:val="en-US"/>
        </w:rPr>
      </w:pPr>
      <w:r>
        <w:rPr>
          <w:rStyle w:val="FootnoteReference"/>
        </w:rPr>
        <w:footnoteRef/>
      </w:r>
      <w:r>
        <w:t xml:space="preserve"> </w:t>
      </w:r>
      <w:r>
        <w:rPr>
          <w:lang w:val="en-US"/>
        </w:rPr>
        <w:t>Cawthorne 2004: 70</w:t>
      </w:r>
    </w:p>
  </w:footnote>
  <w:footnote w:id="49">
    <w:p w14:paraId="1A45B460" w14:textId="77777777" w:rsidR="00EE2E2A" w:rsidRPr="00342921" w:rsidRDefault="00EE2E2A" w:rsidP="00054CBD">
      <w:pPr>
        <w:pStyle w:val="FootnoteText"/>
        <w:rPr>
          <w:lang w:val="en-US"/>
        </w:rPr>
      </w:pPr>
      <w:r>
        <w:rPr>
          <w:rStyle w:val="FootnoteReference"/>
        </w:rPr>
        <w:footnoteRef/>
      </w:r>
      <w:r>
        <w:t xml:space="preserve"> </w:t>
      </w:r>
      <w:r>
        <w:rPr>
          <w:lang w:val="en-US"/>
        </w:rPr>
        <w:t>Cawthorne 2004: 71</w:t>
      </w:r>
    </w:p>
  </w:footnote>
  <w:footnote w:id="50">
    <w:p w14:paraId="7F25897C" w14:textId="77777777" w:rsidR="00EE2E2A" w:rsidRPr="00320EBE" w:rsidRDefault="00EE2E2A" w:rsidP="00054CBD">
      <w:pPr>
        <w:pStyle w:val="FootnoteText"/>
        <w:rPr>
          <w:lang w:val="en-US"/>
        </w:rPr>
      </w:pPr>
      <w:r>
        <w:rPr>
          <w:rStyle w:val="FootnoteReference"/>
        </w:rPr>
        <w:footnoteRef/>
      </w:r>
      <w:r>
        <w:t xml:space="preserve"> </w:t>
      </w:r>
      <w:r>
        <w:rPr>
          <w:lang w:val="en-US"/>
        </w:rPr>
        <w:t>Orosius 3.7</w:t>
      </w:r>
    </w:p>
  </w:footnote>
  <w:footnote w:id="51">
    <w:p w14:paraId="5E18463E" w14:textId="77777777" w:rsidR="00EE2E2A" w:rsidRPr="009E7F71" w:rsidRDefault="00EE2E2A" w:rsidP="00054CBD">
      <w:pPr>
        <w:pStyle w:val="FootnoteText"/>
        <w:rPr>
          <w:lang w:val="en-US"/>
        </w:rPr>
      </w:pPr>
      <w:r>
        <w:rPr>
          <w:rStyle w:val="FootnoteReference"/>
        </w:rPr>
        <w:footnoteRef/>
      </w:r>
      <w:r>
        <w:t xml:space="preserve"> </w:t>
      </w:r>
      <w:r>
        <w:rPr>
          <w:lang w:val="en-US"/>
        </w:rPr>
        <w:t>Orosius 3.12</w:t>
      </w:r>
    </w:p>
  </w:footnote>
  <w:footnote w:id="52">
    <w:p w14:paraId="644B9D73" w14:textId="77777777" w:rsidR="00EE2E2A" w:rsidRPr="00713445" w:rsidRDefault="00EE2E2A" w:rsidP="00054CBD">
      <w:pPr>
        <w:pStyle w:val="FootnoteText"/>
        <w:rPr>
          <w:b/>
          <w:lang w:val="en-US"/>
        </w:rPr>
      </w:pPr>
      <w:r>
        <w:rPr>
          <w:rStyle w:val="FootnoteReference"/>
        </w:rPr>
        <w:footnoteRef/>
      </w:r>
      <w:r>
        <w:t xml:space="preserve"> </w:t>
      </w:r>
      <w:r>
        <w:rPr>
          <w:lang w:val="en-US"/>
        </w:rPr>
        <w:t>Orosius 3.12</w:t>
      </w:r>
    </w:p>
  </w:footnote>
  <w:footnote w:id="53">
    <w:p w14:paraId="43E43851" w14:textId="77777777" w:rsidR="00EE2E2A" w:rsidRPr="00C51FB1" w:rsidRDefault="00EE2E2A" w:rsidP="00054CBD">
      <w:pPr>
        <w:pStyle w:val="FootnoteText"/>
        <w:rPr>
          <w:lang w:val="en-US"/>
        </w:rPr>
      </w:pPr>
      <w:r>
        <w:rPr>
          <w:rStyle w:val="FootnoteReference"/>
        </w:rPr>
        <w:footnoteRef/>
      </w:r>
      <w:r>
        <w:t xml:space="preserve"> </w:t>
      </w:r>
      <w:r>
        <w:rPr>
          <w:lang w:val="en-US"/>
        </w:rPr>
        <w:t>Orosius 3.16</w:t>
      </w:r>
    </w:p>
  </w:footnote>
  <w:footnote w:id="54">
    <w:p w14:paraId="255158B7" w14:textId="77777777" w:rsidR="00EE2E2A" w:rsidRPr="00263489" w:rsidRDefault="00EE2E2A" w:rsidP="00054CBD">
      <w:pPr>
        <w:pStyle w:val="FootnoteText"/>
        <w:rPr>
          <w:lang w:val="en-US"/>
        </w:rPr>
      </w:pPr>
      <w:r>
        <w:rPr>
          <w:rStyle w:val="FootnoteReference"/>
        </w:rPr>
        <w:footnoteRef/>
      </w:r>
      <w:r>
        <w:t xml:space="preserve"> </w:t>
      </w:r>
      <w:r>
        <w:rPr>
          <w:lang w:val="en-US"/>
        </w:rPr>
        <w:t>Orosius 3.18.10</w:t>
      </w:r>
    </w:p>
  </w:footnote>
  <w:footnote w:id="55">
    <w:p w14:paraId="3CC51D6D" w14:textId="77777777" w:rsidR="00EE2E2A" w:rsidRPr="004A339F" w:rsidRDefault="00EE2E2A" w:rsidP="00054CBD">
      <w:pPr>
        <w:pStyle w:val="FootnoteText"/>
        <w:rPr>
          <w:lang w:val="en-US"/>
        </w:rPr>
      </w:pPr>
      <w:r>
        <w:rPr>
          <w:rStyle w:val="FootnoteReference"/>
        </w:rPr>
        <w:footnoteRef/>
      </w:r>
      <w:r>
        <w:t xml:space="preserve"> </w:t>
      </w:r>
      <w:r>
        <w:rPr>
          <w:lang w:val="en-US"/>
        </w:rPr>
        <w:t>3.20.4</w:t>
      </w:r>
    </w:p>
  </w:footnote>
  <w:footnote w:id="56">
    <w:p w14:paraId="12112E02" w14:textId="67B00C6D" w:rsidR="007B661E" w:rsidRPr="007B661E" w:rsidRDefault="007B661E">
      <w:pPr>
        <w:pStyle w:val="FootnoteText"/>
        <w:rPr>
          <w:lang w:val="en-US"/>
        </w:rPr>
      </w:pPr>
      <w:r>
        <w:rPr>
          <w:rStyle w:val="FootnoteReference"/>
        </w:rPr>
        <w:footnoteRef/>
      </w:r>
      <w:r>
        <w:t xml:space="preserve"> </w:t>
      </w:r>
      <w:r w:rsidR="00F06AD4">
        <w:rPr>
          <w:lang w:val="en-US"/>
        </w:rPr>
        <w:t xml:space="preserve">Such as Romans and </w:t>
      </w:r>
      <w:r w:rsidR="001F446C">
        <w:rPr>
          <w:lang w:val="en-US"/>
        </w:rPr>
        <w:t>the Goths as seen in Orosius 3.20-21</w:t>
      </w:r>
    </w:p>
  </w:footnote>
  <w:footnote w:id="57">
    <w:p w14:paraId="2D91332C" w14:textId="365F15B0" w:rsidR="00EE2E2A" w:rsidRPr="00BC1B22" w:rsidRDefault="00EE2E2A">
      <w:pPr>
        <w:pStyle w:val="FootnoteText"/>
        <w:rPr>
          <w:lang w:val="en-US"/>
        </w:rPr>
      </w:pPr>
      <w:r>
        <w:rPr>
          <w:rStyle w:val="FootnoteReference"/>
        </w:rPr>
        <w:footnoteRef/>
      </w:r>
      <w:r>
        <w:t xml:space="preserve"> </w:t>
      </w:r>
      <w:r>
        <w:rPr>
          <w:lang w:val="en-US"/>
        </w:rPr>
        <w:t>Fear 2007: 41</w:t>
      </w:r>
    </w:p>
  </w:footnote>
  <w:footnote w:id="58">
    <w:p w14:paraId="0D13FB09" w14:textId="10FDA918" w:rsidR="00EE2E2A" w:rsidRPr="00563573" w:rsidRDefault="00EE2E2A">
      <w:pPr>
        <w:pStyle w:val="FootnoteText"/>
        <w:rPr>
          <w:lang w:val="en-US"/>
        </w:rPr>
      </w:pPr>
      <w:r>
        <w:rPr>
          <w:rStyle w:val="FootnoteReference"/>
        </w:rPr>
        <w:footnoteRef/>
      </w:r>
      <w:r>
        <w:t xml:space="preserve"> </w:t>
      </w:r>
      <w:r>
        <w:rPr>
          <w:lang w:val="en-US"/>
        </w:rPr>
        <w:t>Fear 2007: 41</w:t>
      </w:r>
    </w:p>
  </w:footnote>
  <w:footnote w:id="59">
    <w:p w14:paraId="56FCD76E" w14:textId="7D87746F" w:rsidR="00EE2E2A" w:rsidRPr="00D96593" w:rsidRDefault="00EE2E2A">
      <w:pPr>
        <w:pStyle w:val="FootnoteText"/>
        <w:rPr>
          <w:lang w:val="en-US"/>
        </w:rPr>
      </w:pPr>
      <w:r>
        <w:rPr>
          <w:rStyle w:val="FootnoteReference"/>
        </w:rPr>
        <w:footnoteRef/>
      </w:r>
      <w:r>
        <w:t xml:space="preserve"> </w:t>
      </w:r>
      <w:r>
        <w:rPr>
          <w:lang w:val="en-US"/>
        </w:rPr>
        <w:t>Fear 2007: 42</w:t>
      </w:r>
    </w:p>
  </w:footnote>
  <w:footnote w:id="60">
    <w:p w14:paraId="141CEFFE" w14:textId="603C4C8E" w:rsidR="00EE2E2A" w:rsidRPr="00F74A0C" w:rsidRDefault="00EE2E2A">
      <w:pPr>
        <w:pStyle w:val="FootnoteText"/>
        <w:rPr>
          <w:lang w:val="en-US"/>
        </w:rPr>
      </w:pPr>
      <w:r>
        <w:rPr>
          <w:rStyle w:val="FootnoteReference"/>
        </w:rPr>
        <w:footnoteRef/>
      </w:r>
      <w:r>
        <w:t xml:space="preserve"> </w:t>
      </w:r>
      <w:proofErr w:type="spellStart"/>
      <w:r>
        <w:rPr>
          <w:lang w:val="en-US"/>
        </w:rPr>
        <w:t>Plut</w:t>
      </w:r>
      <w:proofErr w:type="spellEnd"/>
      <w:r>
        <w:rPr>
          <w:lang w:val="en-US"/>
        </w:rPr>
        <w:t>. Alex. 64</w:t>
      </w:r>
    </w:p>
  </w:footnote>
  <w:footnote w:id="61">
    <w:p w14:paraId="4B1AD111" w14:textId="44591B3F" w:rsidR="00EE2E2A" w:rsidRPr="00235178" w:rsidRDefault="00EE2E2A">
      <w:pPr>
        <w:pStyle w:val="FootnoteText"/>
        <w:rPr>
          <w:lang w:val="en-US"/>
        </w:rPr>
      </w:pPr>
      <w:r>
        <w:rPr>
          <w:rStyle w:val="FootnoteReference"/>
        </w:rPr>
        <w:footnoteRef/>
      </w:r>
      <w:r>
        <w:t xml:space="preserve"> </w:t>
      </w:r>
      <w:r>
        <w:rPr>
          <w:lang w:val="en-US"/>
        </w:rPr>
        <w:t>Fear 2007: 43</w:t>
      </w:r>
    </w:p>
  </w:footnote>
  <w:footnote w:id="62">
    <w:p w14:paraId="7E85B245" w14:textId="44B4C1BF" w:rsidR="00EE2E2A" w:rsidRPr="008D56C6" w:rsidRDefault="00EE2E2A">
      <w:pPr>
        <w:pStyle w:val="FootnoteText"/>
        <w:rPr>
          <w:lang w:val="en-US"/>
        </w:rPr>
      </w:pPr>
      <w:r>
        <w:rPr>
          <w:rStyle w:val="FootnoteReference"/>
        </w:rPr>
        <w:footnoteRef/>
      </w:r>
      <w:r>
        <w:t xml:space="preserve"> </w:t>
      </w:r>
      <w:r>
        <w:rPr>
          <w:lang w:val="en-US"/>
        </w:rPr>
        <w:t>Fear 2007: 45</w:t>
      </w:r>
    </w:p>
  </w:footnote>
  <w:footnote w:id="63">
    <w:p w14:paraId="1909CD99" w14:textId="77777777" w:rsidR="002451C5" w:rsidRPr="009121DB" w:rsidRDefault="002451C5" w:rsidP="002451C5">
      <w:pPr>
        <w:pStyle w:val="FootnoteText"/>
        <w:rPr>
          <w:lang w:val="en-US"/>
        </w:rPr>
      </w:pPr>
      <w:r>
        <w:rPr>
          <w:rStyle w:val="FootnoteReference"/>
        </w:rPr>
        <w:footnoteRef/>
      </w:r>
      <w:r>
        <w:t xml:space="preserve"> </w:t>
      </w:r>
      <w:r>
        <w:rPr>
          <w:lang w:val="en-US"/>
        </w:rPr>
        <w:t>Rubenstein 2018: 225-227</w:t>
      </w:r>
    </w:p>
  </w:footnote>
  <w:footnote w:id="64">
    <w:p w14:paraId="28212320" w14:textId="77777777" w:rsidR="002451C5" w:rsidRPr="00D0504C" w:rsidRDefault="002451C5" w:rsidP="002451C5">
      <w:pPr>
        <w:pStyle w:val="FootnoteText"/>
        <w:rPr>
          <w:lang w:val="en-US"/>
        </w:rPr>
      </w:pPr>
      <w:r>
        <w:rPr>
          <w:rStyle w:val="FootnoteReference"/>
        </w:rPr>
        <w:footnoteRef/>
      </w:r>
      <w:r>
        <w:t xml:space="preserve"> </w:t>
      </w:r>
      <w:r>
        <w:rPr>
          <w:lang w:val="en-US"/>
        </w:rPr>
        <w:t>Rubenstein 2018: 228</w:t>
      </w:r>
    </w:p>
  </w:footnote>
  <w:footnote w:id="65">
    <w:p w14:paraId="415FA045" w14:textId="77777777" w:rsidR="00EE2E2A" w:rsidRPr="00CA69F7" w:rsidRDefault="00EE2E2A" w:rsidP="00005178">
      <w:pPr>
        <w:pStyle w:val="FootnoteText"/>
        <w:rPr>
          <w:lang w:val="en-US"/>
        </w:rPr>
      </w:pPr>
      <w:r>
        <w:rPr>
          <w:rStyle w:val="FootnoteReference"/>
        </w:rPr>
        <w:footnoteRef/>
      </w:r>
      <w:r>
        <w:t xml:space="preserve"> </w:t>
      </w:r>
      <w:proofErr w:type="spellStart"/>
      <w:r>
        <w:rPr>
          <w:lang w:val="en-US"/>
        </w:rPr>
        <w:t>Arrian</w:t>
      </w:r>
      <w:proofErr w:type="spellEnd"/>
      <w:r>
        <w:rPr>
          <w:lang w:val="en-US"/>
        </w:rPr>
        <w:t>. Anabasis. 2.3.</w:t>
      </w:r>
    </w:p>
  </w:footnote>
  <w:footnote w:id="66">
    <w:p w14:paraId="0C945960" w14:textId="77777777" w:rsidR="00EE2E2A" w:rsidRPr="00AC0F5F" w:rsidRDefault="00EE2E2A" w:rsidP="00005178">
      <w:pPr>
        <w:pStyle w:val="FootnoteText"/>
        <w:rPr>
          <w:lang w:val="en-US"/>
        </w:rPr>
      </w:pPr>
      <w:r>
        <w:rPr>
          <w:rStyle w:val="FootnoteReference"/>
        </w:rPr>
        <w:footnoteRef/>
      </w:r>
      <w:r>
        <w:t xml:space="preserve"> </w:t>
      </w:r>
      <w:r>
        <w:rPr>
          <w:lang w:val="en-US"/>
        </w:rPr>
        <w:t>Graves 1955:169</w:t>
      </w:r>
    </w:p>
  </w:footnote>
  <w:footnote w:id="67">
    <w:p w14:paraId="32357757" w14:textId="77777777" w:rsidR="00EE2E2A" w:rsidRPr="0056197B" w:rsidRDefault="00EE2E2A" w:rsidP="00005178">
      <w:pPr>
        <w:pStyle w:val="FootnoteText"/>
        <w:rPr>
          <w:lang w:val="en-US"/>
        </w:rPr>
      </w:pPr>
      <w:r>
        <w:rPr>
          <w:rStyle w:val="FootnoteReference"/>
        </w:rPr>
        <w:footnoteRef/>
      </w:r>
      <w:r>
        <w:t xml:space="preserve"> </w:t>
      </w:r>
      <w:r>
        <w:rPr>
          <w:lang w:val="en-US"/>
        </w:rPr>
        <w:t>Plutarch. Alex. 27.3-6.</w:t>
      </w:r>
    </w:p>
  </w:footnote>
  <w:footnote w:id="68">
    <w:p w14:paraId="483018AD" w14:textId="77777777" w:rsidR="00EE2E2A" w:rsidRPr="00461EFC" w:rsidRDefault="00EE2E2A" w:rsidP="00005178">
      <w:pPr>
        <w:pStyle w:val="FootnoteText"/>
        <w:rPr>
          <w:lang w:val="en-US"/>
        </w:rPr>
      </w:pPr>
      <w:r>
        <w:rPr>
          <w:rStyle w:val="FootnoteReference"/>
        </w:rPr>
        <w:footnoteRef/>
      </w:r>
      <w:r>
        <w:t xml:space="preserve"> </w:t>
      </w:r>
      <w:r>
        <w:rPr>
          <w:lang w:val="en-US"/>
        </w:rPr>
        <w:t>Worthington 2010: 122-124</w:t>
      </w:r>
    </w:p>
  </w:footnote>
  <w:footnote w:id="69">
    <w:p w14:paraId="2D97269C" w14:textId="5924F2C6" w:rsidR="00846312" w:rsidRPr="00F91ACD" w:rsidRDefault="00846312">
      <w:pPr>
        <w:pStyle w:val="FootnoteText"/>
        <w:rPr>
          <w:lang w:val="en-US"/>
        </w:rPr>
      </w:pPr>
      <w:r>
        <w:rPr>
          <w:rStyle w:val="FootnoteReference"/>
        </w:rPr>
        <w:footnoteRef/>
      </w:r>
      <w:r>
        <w:t xml:space="preserve"> </w:t>
      </w:r>
      <w:r w:rsidR="00F91ACD">
        <w:t>It seems as though the first usage of the term “the Great” to describe Alexander comes from</w:t>
      </w:r>
      <w:r w:rsidR="00BA60E8">
        <w:t xml:space="preserve"> Roman play</w:t>
      </w:r>
      <w:r w:rsidR="00203C4F">
        <w:t xml:space="preserve"> </w:t>
      </w:r>
      <w:r w:rsidR="00BA60E8">
        <w:t>write</w:t>
      </w:r>
      <w:r w:rsidR="00F91ACD">
        <w:t xml:space="preserve"> </w:t>
      </w:r>
      <w:r w:rsidR="00BA60E8">
        <w:t>Plautus in</w:t>
      </w:r>
      <w:r w:rsidR="00F91ACD">
        <w:t xml:space="preserve"> </w:t>
      </w:r>
      <w:proofErr w:type="spellStart"/>
      <w:r w:rsidR="00F91ACD">
        <w:rPr>
          <w:i/>
        </w:rPr>
        <w:t>Mostellaria</w:t>
      </w:r>
      <w:proofErr w:type="spellEnd"/>
      <w:r w:rsidR="00F91ACD">
        <w:rPr>
          <w:i/>
        </w:rPr>
        <w:t xml:space="preserve">, </w:t>
      </w:r>
      <w:r w:rsidR="00F91ACD">
        <w:t>3.2.</w:t>
      </w:r>
      <w:r w:rsidR="00BA60E8">
        <w:t xml:space="preserve"> The first usage of the term in general comes from King Cyrus I of Persia, where he </w:t>
      </w:r>
      <w:r w:rsidR="00FF7687">
        <w:t>was</w:t>
      </w:r>
      <w:r w:rsidR="00BA60E8">
        <w:t xml:space="preserve"> known as the Great King</w:t>
      </w:r>
      <w:r w:rsidR="00FF7687">
        <w:t xml:space="preserve">, as found on descriptions outlined in </w:t>
      </w:r>
      <w:proofErr w:type="spellStart"/>
      <w:r w:rsidR="00FF7687">
        <w:t>Zournatzi</w:t>
      </w:r>
      <w:proofErr w:type="spellEnd"/>
      <w:r w:rsidR="00170FF2">
        <w:t xml:space="preserve"> 2003: 4</w:t>
      </w:r>
    </w:p>
  </w:footnote>
  <w:footnote w:id="70">
    <w:p w14:paraId="37C4CC7D" w14:textId="5B455210" w:rsidR="00510A77" w:rsidRPr="00510A77" w:rsidRDefault="00510A77">
      <w:pPr>
        <w:pStyle w:val="FootnoteText"/>
        <w:rPr>
          <w:lang w:val="en-US"/>
        </w:rPr>
      </w:pPr>
      <w:r>
        <w:rPr>
          <w:rStyle w:val="FootnoteReference"/>
        </w:rPr>
        <w:footnoteRef/>
      </w:r>
      <w:r>
        <w:t xml:space="preserve"> </w:t>
      </w:r>
      <w:r>
        <w:rPr>
          <w:lang w:val="en-US"/>
        </w:rPr>
        <w:t>Allen 2005: 220</w:t>
      </w:r>
    </w:p>
  </w:footnote>
  <w:footnote w:id="71">
    <w:p w14:paraId="1EB7856E" w14:textId="09D3B7B2" w:rsidR="001224EC" w:rsidRPr="001224EC" w:rsidRDefault="001224EC">
      <w:pPr>
        <w:pStyle w:val="FootnoteText"/>
        <w:rPr>
          <w:lang w:val="en-US"/>
        </w:rPr>
      </w:pPr>
      <w:r>
        <w:rPr>
          <w:rStyle w:val="FootnoteReference"/>
        </w:rPr>
        <w:footnoteRef/>
      </w:r>
      <w:r>
        <w:t xml:space="preserve"> </w:t>
      </w:r>
      <w:r>
        <w:rPr>
          <w:lang w:val="en-US"/>
        </w:rPr>
        <w:t>Allen 2005: 221</w:t>
      </w:r>
    </w:p>
  </w:footnote>
  <w:footnote w:id="72">
    <w:p w14:paraId="4104EA9A" w14:textId="290868D7" w:rsidR="00E94AD5" w:rsidRPr="00E94AD5" w:rsidRDefault="00E94AD5">
      <w:pPr>
        <w:pStyle w:val="FootnoteText"/>
        <w:rPr>
          <w:lang w:val="en-US"/>
        </w:rPr>
      </w:pPr>
      <w:r>
        <w:rPr>
          <w:rStyle w:val="FootnoteReference"/>
        </w:rPr>
        <w:footnoteRef/>
      </w:r>
      <w:r>
        <w:t xml:space="preserve"> </w:t>
      </w:r>
      <w:r>
        <w:rPr>
          <w:lang w:val="en-US"/>
        </w:rPr>
        <w:t>Liebert 2011: 533-534</w:t>
      </w:r>
    </w:p>
  </w:footnote>
  <w:footnote w:id="73">
    <w:p w14:paraId="2FA7C512" w14:textId="4ECC1F5C" w:rsidR="00CC7DC5" w:rsidRPr="00CC7DC5" w:rsidRDefault="00CC7DC5">
      <w:pPr>
        <w:pStyle w:val="FootnoteText"/>
        <w:rPr>
          <w:lang w:val="en-US"/>
        </w:rPr>
      </w:pPr>
      <w:r>
        <w:rPr>
          <w:rStyle w:val="FootnoteReference"/>
        </w:rPr>
        <w:footnoteRef/>
      </w:r>
      <w:r>
        <w:t xml:space="preserve"> </w:t>
      </w:r>
      <w:r>
        <w:rPr>
          <w:lang w:val="en-US"/>
        </w:rPr>
        <w:t>Liebert 2011: 535</w:t>
      </w:r>
    </w:p>
  </w:footnote>
  <w:footnote w:id="74">
    <w:p w14:paraId="65F1BD18" w14:textId="1CFA5D09" w:rsidR="00C364F5" w:rsidRPr="00C364F5" w:rsidRDefault="00C364F5">
      <w:pPr>
        <w:pStyle w:val="FootnoteText"/>
        <w:rPr>
          <w:lang w:val="en-US"/>
        </w:rPr>
      </w:pPr>
      <w:r>
        <w:rPr>
          <w:rStyle w:val="FootnoteReference"/>
        </w:rPr>
        <w:footnoteRef/>
      </w:r>
      <w:r>
        <w:t xml:space="preserve"> </w:t>
      </w:r>
      <w:proofErr w:type="spellStart"/>
      <w:r>
        <w:rPr>
          <w:lang w:val="en-US"/>
        </w:rPr>
        <w:t>Leibert</w:t>
      </w:r>
      <w:proofErr w:type="spellEnd"/>
      <w:r>
        <w:rPr>
          <w:lang w:val="en-US"/>
        </w:rPr>
        <w:t xml:space="preserve"> 2011: 538</w:t>
      </w:r>
    </w:p>
  </w:footnote>
  <w:footnote w:id="75">
    <w:p w14:paraId="1B560AED" w14:textId="78302267" w:rsidR="00BA3C85" w:rsidRPr="00BA3C85" w:rsidRDefault="00BA3C85">
      <w:pPr>
        <w:pStyle w:val="FootnoteText"/>
        <w:rPr>
          <w:lang w:val="en-US"/>
        </w:rPr>
      </w:pPr>
      <w:r>
        <w:rPr>
          <w:rStyle w:val="FootnoteReference"/>
        </w:rPr>
        <w:footnoteRef/>
      </w:r>
      <w:r>
        <w:t xml:space="preserve"> </w:t>
      </w:r>
      <w:r>
        <w:rPr>
          <w:lang w:val="en-US"/>
        </w:rPr>
        <w:t>Allen 2005: 221</w:t>
      </w:r>
    </w:p>
  </w:footnote>
  <w:footnote w:id="76">
    <w:p w14:paraId="1297E85A" w14:textId="5024F4CB" w:rsidR="00E24C0D" w:rsidRPr="00E24C0D" w:rsidRDefault="00E24C0D">
      <w:pPr>
        <w:pStyle w:val="FootnoteText"/>
        <w:rPr>
          <w:lang w:val="en-US"/>
        </w:rPr>
      </w:pPr>
      <w:r>
        <w:rPr>
          <w:rStyle w:val="FootnoteReference"/>
        </w:rPr>
        <w:footnoteRef/>
      </w:r>
      <w:r>
        <w:t xml:space="preserve"> </w:t>
      </w:r>
      <w:r>
        <w:rPr>
          <w:lang w:val="en-US"/>
        </w:rPr>
        <w:t>Fear 2007: 44</w:t>
      </w:r>
    </w:p>
  </w:footnote>
  <w:footnote w:id="77">
    <w:p w14:paraId="6070FCA2" w14:textId="3536E5C2" w:rsidR="00504C9B" w:rsidRPr="00504C9B" w:rsidRDefault="00504C9B">
      <w:pPr>
        <w:pStyle w:val="FootnoteText"/>
        <w:rPr>
          <w:lang w:val="en-US"/>
        </w:rPr>
      </w:pPr>
      <w:r>
        <w:rPr>
          <w:rStyle w:val="FootnoteReference"/>
        </w:rPr>
        <w:footnoteRef/>
      </w:r>
      <w:r>
        <w:t xml:space="preserve"> </w:t>
      </w:r>
      <w:proofErr w:type="spellStart"/>
      <w:r>
        <w:rPr>
          <w:lang w:val="en-US"/>
        </w:rPr>
        <w:t>Leibert</w:t>
      </w:r>
      <w:proofErr w:type="spellEnd"/>
      <w:r>
        <w:rPr>
          <w:lang w:val="en-US"/>
        </w:rPr>
        <w:t xml:space="preserve"> 2011: 541</w:t>
      </w:r>
    </w:p>
  </w:footnote>
  <w:footnote w:id="78">
    <w:p w14:paraId="13F913C1" w14:textId="6E78BFFA" w:rsidR="00406282" w:rsidRPr="00406282" w:rsidRDefault="00406282">
      <w:pPr>
        <w:pStyle w:val="FootnoteText"/>
        <w:rPr>
          <w:lang w:val="en-US"/>
        </w:rPr>
      </w:pPr>
      <w:r>
        <w:rPr>
          <w:rStyle w:val="FootnoteReference"/>
        </w:rPr>
        <w:footnoteRef/>
      </w:r>
      <w:r>
        <w:t xml:space="preserve"> </w:t>
      </w:r>
      <w:r>
        <w:rPr>
          <w:lang w:val="en-US"/>
        </w:rPr>
        <w:t>McKenna 2007: 351</w:t>
      </w:r>
    </w:p>
  </w:footnote>
  <w:footnote w:id="79">
    <w:p w14:paraId="10E003A3" w14:textId="5507E26A" w:rsidR="00423240" w:rsidRPr="00423240" w:rsidRDefault="00423240">
      <w:pPr>
        <w:pStyle w:val="FootnoteText"/>
        <w:rPr>
          <w:lang w:val="en-US"/>
        </w:rPr>
      </w:pPr>
      <w:r>
        <w:rPr>
          <w:rStyle w:val="FootnoteReference"/>
        </w:rPr>
        <w:footnoteRef/>
      </w:r>
      <w:r>
        <w:t xml:space="preserve"> </w:t>
      </w:r>
      <w:r>
        <w:rPr>
          <w:lang w:val="en-US"/>
        </w:rPr>
        <w:t>McKenna 2007: 360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1CE"/>
    <w:rsid w:val="00000A5E"/>
    <w:rsid w:val="00004043"/>
    <w:rsid w:val="00005059"/>
    <w:rsid w:val="00005178"/>
    <w:rsid w:val="0000630F"/>
    <w:rsid w:val="00007D97"/>
    <w:rsid w:val="00013A31"/>
    <w:rsid w:val="00015006"/>
    <w:rsid w:val="0001678E"/>
    <w:rsid w:val="00016A25"/>
    <w:rsid w:val="0001753B"/>
    <w:rsid w:val="0002032E"/>
    <w:rsid w:val="00020990"/>
    <w:rsid w:val="00020C28"/>
    <w:rsid w:val="00022411"/>
    <w:rsid w:val="00025361"/>
    <w:rsid w:val="00033131"/>
    <w:rsid w:val="00034029"/>
    <w:rsid w:val="00034791"/>
    <w:rsid w:val="00036819"/>
    <w:rsid w:val="00041338"/>
    <w:rsid w:val="00041D67"/>
    <w:rsid w:val="0004203C"/>
    <w:rsid w:val="000442FA"/>
    <w:rsid w:val="00044A92"/>
    <w:rsid w:val="00044DFA"/>
    <w:rsid w:val="00045B8C"/>
    <w:rsid w:val="00054CBD"/>
    <w:rsid w:val="000553E3"/>
    <w:rsid w:val="00055868"/>
    <w:rsid w:val="00056789"/>
    <w:rsid w:val="00056BB0"/>
    <w:rsid w:val="00061A15"/>
    <w:rsid w:val="00063385"/>
    <w:rsid w:val="00063DAF"/>
    <w:rsid w:val="000657E9"/>
    <w:rsid w:val="0007022A"/>
    <w:rsid w:val="0007078E"/>
    <w:rsid w:val="00084A24"/>
    <w:rsid w:val="00092E28"/>
    <w:rsid w:val="000953F8"/>
    <w:rsid w:val="00096C06"/>
    <w:rsid w:val="00096DE1"/>
    <w:rsid w:val="00097D27"/>
    <w:rsid w:val="000A551F"/>
    <w:rsid w:val="000B6F7B"/>
    <w:rsid w:val="000D04C9"/>
    <w:rsid w:val="000D1D48"/>
    <w:rsid w:val="000E0CA6"/>
    <w:rsid w:val="000E4B6F"/>
    <w:rsid w:val="000E622E"/>
    <w:rsid w:val="000F031E"/>
    <w:rsid w:val="000F197F"/>
    <w:rsid w:val="000F23A6"/>
    <w:rsid w:val="000F4FCA"/>
    <w:rsid w:val="00101D4C"/>
    <w:rsid w:val="00105113"/>
    <w:rsid w:val="00107DB0"/>
    <w:rsid w:val="00107DD1"/>
    <w:rsid w:val="0011033D"/>
    <w:rsid w:val="00112463"/>
    <w:rsid w:val="00113BDF"/>
    <w:rsid w:val="0012026A"/>
    <w:rsid w:val="00121810"/>
    <w:rsid w:val="001224EC"/>
    <w:rsid w:val="00126CDD"/>
    <w:rsid w:val="00126CE4"/>
    <w:rsid w:val="00134EA2"/>
    <w:rsid w:val="0013542B"/>
    <w:rsid w:val="0013642A"/>
    <w:rsid w:val="00140648"/>
    <w:rsid w:val="00145DFB"/>
    <w:rsid w:val="00147A6F"/>
    <w:rsid w:val="00152482"/>
    <w:rsid w:val="00162E52"/>
    <w:rsid w:val="00163FAB"/>
    <w:rsid w:val="00167F0B"/>
    <w:rsid w:val="0017014D"/>
    <w:rsid w:val="00170FF2"/>
    <w:rsid w:val="0017217B"/>
    <w:rsid w:val="001762DA"/>
    <w:rsid w:val="001811CE"/>
    <w:rsid w:val="00182513"/>
    <w:rsid w:val="001848B3"/>
    <w:rsid w:val="00186A62"/>
    <w:rsid w:val="001A0A57"/>
    <w:rsid w:val="001A1552"/>
    <w:rsid w:val="001A2827"/>
    <w:rsid w:val="001A445B"/>
    <w:rsid w:val="001A5F21"/>
    <w:rsid w:val="001B10F1"/>
    <w:rsid w:val="001B1C4F"/>
    <w:rsid w:val="001B25D2"/>
    <w:rsid w:val="001B3F69"/>
    <w:rsid w:val="001B7CCC"/>
    <w:rsid w:val="001C0E91"/>
    <w:rsid w:val="001C6490"/>
    <w:rsid w:val="001D1D2B"/>
    <w:rsid w:val="001D32BB"/>
    <w:rsid w:val="001D6537"/>
    <w:rsid w:val="001D71DB"/>
    <w:rsid w:val="001D7A73"/>
    <w:rsid w:val="001E0007"/>
    <w:rsid w:val="001E08DD"/>
    <w:rsid w:val="001E4176"/>
    <w:rsid w:val="001E4DCF"/>
    <w:rsid w:val="001F0785"/>
    <w:rsid w:val="001F115F"/>
    <w:rsid w:val="001F446C"/>
    <w:rsid w:val="001F4E85"/>
    <w:rsid w:val="001F6DF4"/>
    <w:rsid w:val="00201244"/>
    <w:rsid w:val="00203C4F"/>
    <w:rsid w:val="00206D26"/>
    <w:rsid w:val="0021172A"/>
    <w:rsid w:val="002135A9"/>
    <w:rsid w:val="00214121"/>
    <w:rsid w:val="0021437E"/>
    <w:rsid w:val="00215B1F"/>
    <w:rsid w:val="00230FA4"/>
    <w:rsid w:val="00234670"/>
    <w:rsid w:val="00235178"/>
    <w:rsid w:val="00235D54"/>
    <w:rsid w:val="002371C7"/>
    <w:rsid w:val="0024081C"/>
    <w:rsid w:val="00241E47"/>
    <w:rsid w:val="002423EA"/>
    <w:rsid w:val="00243BD5"/>
    <w:rsid w:val="002451C5"/>
    <w:rsid w:val="00247831"/>
    <w:rsid w:val="00247A70"/>
    <w:rsid w:val="002545E6"/>
    <w:rsid w:val="00254FA1"/>
    <w:rsid w:val="0025772F"/>
    <w:rsid w:val="00260704"/>
    <w:rsid w:val="00263489"/>
    <w:rsid w:val="00264E93"/>
    <w:rsid w:val="002661AE"/>
    <w:rsid w:val="00273E5C"/>
    <w:rsid w:val="00273F29"/>
    <w:rsid w:val="00273FDE"/>
    <w:rsid w:val="0028283E"/>
    <w:rsid w:val="002841F3"/>
    <w:rsid w:val="00284A37"/>
    <w:rsid w:val="002857F9"/>
    <w:rsid w:val="0028672B"/>
    <w:rsid w:val="0028707E"/>
    <w:rsid w:val="0029057F"/>
    <w:rsid w:val="00291828"/>
    <w:rsid w:val="0029212B"/>
    <w:rsid w:val="00293D4E"/>
    <w:rsid w:val="002955DD"/>
    <w:rsid w:val="00295FF0"/>
    <w:rsid w:val="002A0D7C"/>
    <w:rsid w:val="002A1E1B"/>
    <w:rsid w:val="002B6264"/>
    <w:rsid w:val="002B69A1"/>
    <w:rsid w:val="002B6CA6"/>
    <w:rsid w:val="002C1D30"/>
    <w:rsid w:val="002C5271"/>
    <w:rsid w:val="002C714F"/>
    <w:rsid w:val="002D702E"/>
    <w:rsid w:val="002E031C"/>
    <w:rsid w:val="002E4AB4"/>
    <w:rsid w:val="002F32CB"/>
    <w:rsid w:val="002F42F9"/>
    <w:rsid w:val="00303A04"/>
    <w:rsid w:val="00303AF7"/>
    <w:rsid w:val="00306319"/>
    <w:rsid w:val="0031586C"/>
    <w:rsid w:val="00320EBE"/>
    <w:rsid w:val="00321F93"/>
    <w:rsid w:val="00322CA3"/>
    <w:rsid w:val="00324F8D"/>
    <w:rsid w:val="00325BBF"/>
    <w:rsid w:val="00333A7C"/>
    <w:rsid w:val="00341365"/>
    <w:rsid w:val="00342921"/>
    <w:rsid w:val="00342E06"/>
    <w:rsid w:val="003439D0"/>
    <w:rsid w:val="00347B6C"/>
    <w:rsid w:val="0035414D"/>
    <w:rsid w:val="0036008B"/>
    <w:rsid w:val="00361EB6"/>
    <w:rsid w:val="0036670D"/>
    <w:rsid w:val="00367882"/>
    <w:rsid w:val="003743D4"/>
    <w:rsid w:val="003770D7"/>
    <w:rsid w:val="0037746E"/>
    <w:rsid w:val="003805F4"/>
    <w:rsid w:val="00381993"/>
    <w:rsid w:val="00386DAE"/>
    <w:rsid w:val="00391684"/>
    <w:rsid w:val="00391881"/>
    <w:rsid w:val="00391EDA"/>
    <w:rsid w:val="00397603"/>
    <w:rsid w:val="003A27FA"/>
    <w:rsid w:val="003A608A"/>
    <w:rsid w:val="003A699B"/>
    <w:rsid w:val="003A7568"/>
    <w:rsid w:val="003B619D"/>
    <w:rsid w:val="003C00DA"/>
    <w:rsid w:val="003D0E1C"/>
    <w:rsid w:val="003D1EE2"/>
    <w:rsid w:val="003D2022"/>
    <w:rsid w:val="003D5B07"/>
    <w:rsid w:val="003E2247"/>
    <w:rsid w:val="003F049D"/>
    <w:rsid w:val="003F1CA4"/>
    <w:rsid w:val="003F324E"/>
    <w:rsid w:val="00400DF4"/>
    <w:rsid w:val="00405426"/>
    <w:rsid w:val="00406282"/>
    <w:rsid w:val="00412EA4"/>
    <w:rsid w:val="00413E86"/>
    <w:rsid w:val="00416E6D"/>
    <w:rsid w:val="00421A73"/>
    <w:rsid w:val="00423240"/>
    <w:rsid w:val="004259DE"/>
    <w:rsid w:val="00425E9F"/>
    <w:rsid w:val="00435011"/>
    <w:rsid w:val="00441A4F"/>
    <w:rsid w:val="00442E3A"/>
    <w:rsid w:val="00444880"/>
    <w:rsid w:val="004453AB"/>
    <w:rsid w:val="00447467"/>
    <w:rsid w:val="00450C42"/>
    <w:rsid w:val="00453A2C"/>
    <w:rsid w:val="00455A27"/>
    <w:rsid w:val="00461EFC"/>
    <w:rsid w:val="00462964"/>
    <w:rsid w:val="0046603B"/>
    <w:rsid w:val="004754A5"/>
    <w:rsid w:val="00480FF1"/>
    <w:rsid w:val="0048606F"/>
    <w:rsid w:val="00486804"/>
    <w:rsid w:val="00492A0D"/>
    <w:rsid w:val="004936CC"/>
    <w:rsid w:val="0049492A"/>
    <w:rsid w:val="004A339F"/>
    <w:rsid w:val="004A712B"/>
    <w:rsid w:val="004A7C12"/>
    <w:rsid w:val="004B0A8A"/>
    <w:rsid w:val="004B174A"/>
    <w:rsid w:val="004B1941"/>
    <w:rsid w:val="004B385D"/>
    <w:rsid w:val="004B75BD"/>
    <w:rsid w:val="004B7AF5"/>
    <w:rsid w:val="004C1510"/>
    <w:rsid w:val="004C1E08"/>
    <w:rsid w:val="004C2931"/>
    <w:rsid w:val="004C4A30"/>
    <w:rsid w:val="004C6108"/>
    <w:rsid w:val="004D36FC"/>
    <w:rsid w:val="004D3FD0"/>
    <w:rsid w:val="004D6C8D"/>
    <w:rsid w:val="004E2166"/>
    <w:rsid w:val="004E2E1F"/>
    <w:rsid w:val="004E56FC"/>
    <w:rsid w:val="004E76D7"/>
    <w:rsid w:val="004F160C"/>
    <w:rsid w:val="00504C9B"/>
    <w:rsid w:val="00506BB5"/>
    <w:rsid w:val="00510A77"/>
    <w:rsid w:val="00512A41"/>
    <w:rsid w:val="00520690"/>
    <w:rsid w:val="0052124C"/>
    <w:rsid w:val="0052461B"/>
    <w:rsid w:val="00524ADD"/>
    <w:rsid w:val="00525DD3"/>
    <w:rsid w:val="00526C64"/>
    <w:rsid w:val="00535617"/>
    <w:rsid w:val="00543316"/>
    <w:rsid w:val="0054372D"/>
    <w:rsid w:val="00546613"/>
    <w:rsid w:val="005466E3"/>
    <w:rsid w:val="00551A1A"/>
    <w:rsid w:val="00556FE0"/>
    <w:rsid w:val="00560A98"/>
    <w:rsid w:val="00561684"/>
    <w:rsid w:val="0056197B"/>
    <w:rsid w:val="00563573"/>
    <w:rsid w:val="00572F08"/>
    <w:rsid w:val="00573655"/>
    <w:rsid w:val="00574034"/>
    <w:rsid w:val="005744FF"/>
    <w:rsid w:val="005760A1"/>
    <w:rsid w:val="005770E3"/>
    <w:rsid w:val="00577735"/>
    <w:rsid w:val="00581273"/>
    <w:rsid w:val="005822AF"/>
    <w:rsid w:val="00582876"/>
    <w:rsid w:val="005830ED"/>
    <w:rsid w:val="00591535"/>
    <w:rsid w:val="00592D72"/>
    <w:rsid w:val="005A1141"/>
    <w:rsid w:val="005A1E37"/>
    <w:rsid w:val="005A1EFF"/>
    <w:rsid w:val="005A4B42"/>
    <w:rsid w:val="005A7A9F"/>
    <w:rsid w:val="005C032A"/>
    <w:rsid w:val="005C0D2E"/>
    <w:rsid w:val="005C1A2E"/>
    <w:rsid w:val="005C1F02"/>
    <w:rsid w:val="005C56F4"/>
    <w:rsid w:val="005C69AF"/>
    <w:rsid w:val="005C7129"/>
    <w:rsid w:val="005D066B"/>
    <w:rsid w:val="005D19B4"/>
    <w:rsid w:val="005D4AEA"/>
    <w:rsid w:val="005E2127"/>
    <w:rsid w:val="005E2B1F"/>
    <w:rsid w:val="005E6C3C"/>
    <w:rsid w:val="005F51C3"/>
    <w:rsid w:val="005F7272"/>
    <w:rsid w:val="00601F72"/>
    <w:rsid w:val="00605A18"/>
    <w:rsid w:val="00610A1F"/>
    <w:rsid w:val="00610BBD"/>
    <w:rsid w:val="00610D66"/>
    <w:rsid w:val="006135D2"/>
    <w:rsid w:val="00614DD2"/>
    <w:rsid w:val="00616A92"/>
    <w:rsid w:val="00626A50"/>
    <w:rsid w:val="00630996"/>
    <w:rsid w:val="00632629"/>
    <w:rsid w:val="00633BF1"/>
    <w:rsid w:val="006359AA"/>
    <w:rsid w:val="00636BCE"/>
    <w:rsid w:val="006370C6"/>
    <w:rsid w:val="00637394"/>
    <w:rsid w:val="00637828"/>
    <w:rsid w:val="00645C99"/>
    <w:rsid w:val="00645EF2"/>
    <w:rsid w:val="00651101"/>
    <w:rsid w:val="00651851"/>
    <w:rsid w:val="0065281A"/>
    <w:rsid w:val="00652CD1"/>
    <w:rsid w:val="0065472B"/>
    <w:rsid w:val="00656094"/>
    <w:rsid w:val="00656E17"/>
    <w:rsid w:val="0065763A"/>
    <w:rsid w:val="0066039D"/>
    <w:rsid w:val="0066347C"/>
    <w:rsid w:val="00671A06"/>
    <w:rsid w:val="00676BA7"/>
    <w:rsid w:val="00685578"/>
    <w:rsid w:val="00687C6D"/>
    <w:rsid w:val="0069173C"/>
    <w:rsid w:val="006940F0"/>
    <w:rsid w:val="006944FF"/>
    <w:rsid w:val="00695B20"/>
    <w:rsid w:val="00697FF4"/>
    <w:rsid w:val="006A16DC"/>
    <w:rsid w:val="006A2A4B"/>
    <w:rsid w:val="006A45AB"/>
    <w:rsid w:val="006B2E81"/>
    <w:rsid w:val="006B47D2"/>
    <w:rsid w:val="006B59C9"/>
    <w:rsid w:val="006B7003"/>
    <w:rsid w:val="006C097D"/>
    <w:rsid w:val="006C1C4D"/>
    <w:rsid w:val="006C5786"/>
    <w:rsid w:val="006D0A57"/>
    <w:rsid w:val="006D0B3F"/>
    <w:rsid w:val="006D3199"/>
    <w:rsid w:val="006D7501"/>
    <w:rsid w:val="006D7D9C"/>
    <w:rsid w:val="006D7E61"/>
    <w:rsid w:val="006E26D4"/>
    <w:rsid w:val="006E29F4"/>
    <w:rsid w:val="006E632C"/>
    <w:rsid w:val="006F6F50"/>
    <w:rsid w:val="007004C9"/>
    <w:rsid w:val="00700B11"/>
    <w:rsid w:val="00703FFF"/>
    <w:rsid w:val="00704999"/>
    <w:rsid w:val="00705F83"/>
    <w:rsid w:val="00706A49"/>
    <w:rsid w:val="00713445"/>
    <w:rsid w:val="007139DE"/>
    <w:rsid w:val="00720D3C"/>
    <w:rsid w:val="007216E5"/>
    <w:rsid w:val="007216FC"/>
    <w:rsid w:val="00722BFF"/>
    <w:rsid w:val="00724624"/>
    <w:rsid w:val="00727393"/>
    <w:rsid w:val="007420F5"/>
    <w:rsid w:val="00745B43"/>
    <w:rsid w:val="007466ED"/>
    <w:rsid w:val="00746B5B"/>
    <w:rsid w:val="00751DE0"/>
    <w:rsid w:val="00753279"/>
    <w:rsid w:val="0075524E"/>
    <w:rsid w:val="00760CF7"/>
    <w:rsid w:val="007612C1"/>
    <w:rsid w:val="0076506A"/>
    <w:rsid w:val="00770F42"/>
    <w:rsid w:val="00774563"/>
    <w:rsid w:val="00775DC2"/>
    <w:rsid w:val="007806CA"/>
    <w:rsid w:val="00780FDE"/>
    <w:rsid w:val="00785B0B"/>
    <w:rsid w:val="00785CC9"/>
    <w:rsid w:val="00786400"/>
    <w:rsid w:val="007A0DE0"/>
    <w:rsid w:val="007A3382"/>
    <w:rsid w:val="007A406C"/>
    <w:rsid w:val="007A5F2D"/>
    <w:rsid w:val="007A67FF"/>
    <w:rsid w:val="007A6A80"/>
    <w:rsid w:val="007B0E63"/>
    <w:rsid w:val="007B14AA"/>
    <w:rsid w:val="007B661E"/>
    <w:rsid w:val="007C13CA"/>
    <w:rsid w:val="007C42D9"/>
    <w:rsid w:val="007C62A6"/>
    <w:rsid w:val="007D14DD"/>
    <w:rsid w:val="007D1D1B"/>
    <w:rsid w:val="007D4EA4"/>
    <w:rsid w:val="007E2AAA"/>
    <w:rsid w:val="007E2D0F"/>
    <w:rsid w:val="007E4C8E"/>
    <w:rsid w:val="007E5B87"/>
    <w:rsid w:val="007E6F55"/>
    <w:rsid w:val="007F0874"/>
    <w:rsid w:val="007F099D"/>
    <w:rsid w:val="007F194A"/>
    <w:rsid w:val="007F5FAC"/>
    <w:rsid w:val="007F69A0"/>
    <w:rsid w:val="007F757D"/>
    <w:rsid w:val="008044C0"/>
    <w:rsid w:val="00804E53"/>
    <w:rsid w:val="00806E74"/>
    <w:rsid w:val="00817521"/>
    <w:rsid w:val="008223B0"/>
    <w:rsid w:val="008241F1"/>
    <w:rsid w:val="0082534A"/>
    <w:rsid w:val="00831053"/>
    <w:rsid w:val="00832ACC"/>
    <w:rsid w:val="008343E1"/>
    <w:rsid w:val="00836CE2"/>
    <w:rsid w:val="00837F01"/>
    <w:rsid w:val="0084215A"/>
    <w:rsid w:val="00843B95"/>
    <w:rsid w:val="00845289"/>
    <w:rsid w:val="00846312"/>
    <w:rsid w:val="0084716F"/>
    <w:rsid w:val="00851269"/>
    <w:rsid w:val="00852AC4"/>
    <w:rsid w:val="00854865"/>
    <w:rsid w:val="008569E8"/>
    <w:rsid w:val="00856BF2"/>
    <w:rsid w:val="00857753"/>
    <w:rsid w:val="00863415"/>
    <w:rsid w:val="008648CD"/>
    <w:rsid w:val="00865055"/>
    <w:rsid w:val="00866DA6"/>
    <w:rsid w:val="008727C8"/>
    <w:rsid w:val="00873338"/>
    <w:rsid w:val="00873BB4"/>
    <w:rsid w:val="00873CB3"/>
    <w:rsid w:val="0088357C"/>
    <w:rsid w:val="0088461E"/>
    <w:rsid w:val="00890E12"/>
    <w:rsid w:val="00892199"/>
    <w:rsid w:val="008961C9"/>
    <w:rsid w:val="00897BCC"/>
    <w:rsid w:val="008A0428"/>
    <w:rsid w:val="008A1C65"/>
    <w:rsid w:val="008A50AB"/>
    <w:rsid w:val="008A5B2E"/>
    <w:rsid w:val="008A7184"/>
    <w:rsid w:val="008B17E4"/>
    <w:rsid w:val="008B3428"/>
    <w:rsid w:val="008B49D1"/>
    <w:rsid w:val="008B5E84"/>
    <w:rsid w:val="008B6167"/>
    <w:rsid w:val="008B6360"/>
    <w:rsid w:val="008C1067"/>
    <w:rsid w:val="008C1A24"/>
    <w:rsid w:val="008C428E"/>
    <w:rsid w:val="008C6769"/>
    <w:rsid w:val="008D162B"/>
    <w:rsid w:val="008D243B"/>
    <w:rsid w:val="008D56C6"/>
    <w:rsid w:val="008E01FD"/>
    <w:rsid w:val="008E5517"/>
    <w:rsid w:val="008E6FC0"/>
    <w:rsid w:val="008F00A6"/>
    <w:rsid w:val="008F0AE5"/>
    <w:rsid w:val="008F4877"/>
    <w:rsid w:val="008F6F23"/>
    <w:rsid w:val="008F7267"/>
    <w:rsid w:val="009033B1"/>
    <w:rsid w:val="00903EE9"/>
    <w:rsid w:val="009058BD"/>
    <w:rsid w:val="00905A28"/>
    <w:rsid w:val="00911502"/>
    <w:rsid w:val="009121DB"/>
    <w:rsid w:val="00913A1A"/>
    <w:rsid w:val="0091795A"/>
    <w:rsid w:val="0092485B"/>
    <w:rsid w:val="00924C18"/>
    <w:rsid w:val="00925B43"/>
    <w:rsid w:val="009264F8"/>
    <w:rsid w:val="00926ACC"/>
    <w:rsid w:val="009335CF"/>
    <w:rsid w:val="009357D7"/>
    <w:rsid w:val="00936A1D"/>
    <w:rsid w:val="00944050"/>
    <w:rsid w:val="00944588"/>
    <w:rsid w:val="00947F2F"/>
    <w:rsid w:val="009511A3"/>
    <w:rsid w:val="0095495E"/>
    <w:rsid w:val="00954F99"/>
    <w:rsid w:val="009559AA"/>
    <w:rsid w:val="0095657F"/>
    <w:rsid w:val="0096367C"/>
    <w:rsid w:val="00964998"/>
    <w:rsid w:val="009652B4"/>
    <w:rsid w:val="00973C68"/>
    <w:rsid w:val="00980569"/>
    <w:rsid w:val="0098182A"/>
    <w:rsid w:val="00983978"/>
    <w:rsid w:val="009844B4"/>
    <w:rsid w:val="00991581"/>
    <w:rsid w:val="009950B2"/>
    <w:rsid w:val="009972A8"/>
    <w:rsid w:val="009A3522"/>
    <w:rsid w:val="009A4900"/>
    <w:rsid w:val="009A6C44"/>
    <w:rsid w:val="009B0A91"/>
    <w:rsid w:val="009B5849"/>
    <w:rsid w:val="009B5FE6"/>
    <w:rsid w:val="009C4C61"/>
    <w:rsid w:val="009D0985"/>
    <w:rsid w:val="009D32B3"/>
    <w:rsid w:val="009D41FB"/>
    <w:rsid w:val="009D607D"/>
    <w:rsid w:val="009D6855"/>
    <w:rsid w:val="009D6BEC"/>
    <w:rsid w:val="009E3333"/>
    <w:rsid w:val="009E4CE0"/>
    <w:rsid w:val="009E7F71"/>
    <w:rsid w:val="009F00BA"/>
    <w:rsid w:val="009F0573"/>
    <w:rsid w:val="009F3E97"/>
    <w:rsid w:val="009F54DA"/>
    <w:rsid w:val="009F61EC"/>
    <w:rsid w:val="009F6D7A"/>
    <w:rsid w:val="00A02B06"/>
    <w:rsid w:val="00A077EB"/>
    <w:rsid w:val="00A11B98"/>
    <w:rsid w:val="00A1232E"/>
    <w:rsid w:val="00A143B5"/>
    <w:rsid w:val="00A1570D"/>
    <w:rsid w:val="00A15FCE"/>
    <w:rsid w:val="00A240C4"/>
    <w:rsid w:val="00A2457E"/>
    <w:rsid w:val="00A24EF6"/>
    <w:rsid w:val="00A266B9"/>
    <w:rsid w:val="00A26797"/>
    <w:rsid w:val="00A3036B"/>
    <w:rsid w:val="00A309DD"/>
    <w:rsid w:val="00A3282F"/>
    <w:rsid w:val="00A344DA"/>
    <w:rsid w:val="00A34CD2"/>
    <w:rsid w:val="00A36ADE"/>
    <w:rsid w:val="00A42BC7"/>
    <w:rsid w:val="00A44D1A"/>
    <w:rsid w:val="00A45C25"/>
    <w:rsid w:val="00A47B74"/>
    <w:rsid w:val="00A50834"/>
    <w:rsid w:val="00A531F8"/>
    <w:rsid w:val="00A568C6"/>
    <w:rsid w:val="00A662B5"/>
    <w:rsid w:val="00A669C8"/>
    <w:rsid w:val="00A671FE"/>
    <w:rsid w:val="00A8032B"/>
    <w:rsid w:val="00A82113"/>
    <w:rsid w:val="00A84A62"/>
    <w:rsid w:val="00A85642"/>
    <w:rsid w:val="00A85E27"/>
    <w:rsid w:val="00A91292"/>
    <w:rsid w:val="00A93DCA"/>
    <w:rsid w:val="00A9592B"/>
    <w:rsid w:val="00A95AF5"/>
    <w:rsid w:val="00A9722C"/>
    <w:rsid w:val="00AA3B66"/>
    <w:rsid w:val="00AA5119"/>
    <w:rsid w:val="00AA6560"/>
    <w:rsid w:val="00AB2EEF"/>
    <w:rsid w:val="00AB3D38"/>
    <w:rsid w:val="00AC0F5F"/>
    <w:rsid w:val="00AC178D"/>
    <w:rsid w:val="00AC3EA3"/>
    <w:rsid w:val="00AC47DC"/>
    <w:rsid w:val="00AC4847"/>
    <w:rsid w:val="00AC4A9E"/>
    <w:rsid w:val="00AC7C64"/>
    <w:rsid w:val="00AD1070"/>
    <w:rsid w:val="00AD336F"/>
    <w:rsid w:val="00AD4F66"/>
    <w:rsid w:val="00AD709F"/>
    <w:rsid w:val="00AD7BB2"/>
    <w:rsid w:val="00AE71D1"/>
    <w:rsid w:val="00AF0020"/>
    <w:rsid w:val="00AF112D"/>
    <w:rsid w:val="00AF2744"/>
    <w:rsid w:val="00AF4D33"/>
    <w:rsid w:val="00AF5AE9"/>
    <w:rsid w:val="00B00C45"/>
    <w:rsid w:val="00B00DF2"/>
    <w:rsid w:val="00B06C15"/>
    <w:rsid w:val="00B07A20"/>
    <w:rsid w:val="00B1508C"/>
    <w:rsid w:val="00B16A7F"/>
    <w:rsid w:val="00B214AA"/>
    <w:rsid w:val="00B217D1"/>
    <w:rsid w:val="00B222B7"/>
    <w:rsid w:val="00B30891"/>
    <w:rsid w:val="00B448D8"/>
    <w:rsid w:val="00B50243"/>
    <w:rsid w:val="00B51401"/>
    <w:rsid w:val="00B524F1"/>
    <w:rsid w:val="00B534EE"/>
    <w:rsid w:val="00B53ADD"/>
    <w:rsid w:val="00B53DE5"/>
    <w:rsid w:val="00B55CCE"/>
    <w:rsid w:val="00B57AD0"/>
    <w:rsid w:val="00B61EBF"/>
    <w:rsid w:val="00B64119"/>
    <w:rsid w:val="00B66BCD"/>
    <w:rsid w:val="00B71762"/>
    <w:rsid w:val="00B7391F"/>
    <w:rsid w:val="00B758B5"/>
    <w:rsid w:val="00B803D2"/>
    <w:rsid w:val="00B8084C"/>
    <w:rsid w:val="00B8741B"/>
    <w:rsid w:val="00B95968"/>
    <w:rsid w:val="00B964C2"/>
    <w:rsid w:val="00B97E40"/>
    <w:rsid w:val="00BA0DED"/>
    <w:rsid w:val="00BA1764"/>
    <w:rsid w:val="00BA35A1"/>
    <w:rsid w:val="00BA3C85"/>
    <w:rsid w:val="00BA4BB2"/>
    <w:rsid w:val="00BA5FC0"/>
    <w:rsid w:val="00BA60E8"/>
    <w:rsid w:val="00BA675C"/>
    <w:rsid w:val="00BB1469"/>
    <w:rsid w:val="00BB5349"/>
    <w:rsid w:val="00BB79CD"/>
    <w:rsid w:val="00BC04DE"/>
    <w:rsid w:val="00BC1B22"/>
    <w:rsid w:val="00BC35AD"/>
    <w:rsid w:val="00BC396A"/>
    <w:rsid w:val="00BC4189"/>
    <w:rsid w:val="00BC4542"/>
    <w:rsid w:val="00BC4AA1"/>
    <w:rsid w:val="00BC6771"/>
    <w:rsid w:val="00BD49E7"/>
    <w:rsid w:val="00BD4CAD"/>
    <w:rsid w:val="00BD7F40"/>
    <w:rsid w:val="00BE037F"/>
    <w:rsid w:val="00BE05BB"/>
    <w:rsid w:val="00BE13D2"/>
    <w:rsid w:val="00BE189E"/>
    <w:rsid w:val="00BE1D2A"/>
    <w:rsid w:val="00BE2842"/>
    <w:rsid w:val="00BE42D1"/>
    <w:rsid w:val="00BE5C7F"/>
    <w:rsid w:val="00BE7AF7"/>
    <w:rsid w:val="00BF0874"/>
    <w:rsid w:val="00BF1711"/>
    <w:rsid w:val="00BF5020"/>
    <w:rsid w:val="00BF50FA"/>
    <w:rsid w:val="00BF589B"/>
    <w:rsid w:val="00BF5CD1"/>
    <w:rsid w:val="00BF637B"/>
    <w:rsid w:val="00BF736D"/>
    <w:rsid w:val="00C01134"/>
    <w:rsid w:val="00C01CFB"/>
    <w:rsid w:val="00C067AE"/>
    <w:rsid w:val="00C07673"/>
    <w:rsid w:val="00C16A31"/>
    <w:rsid w:val="00C25AB7"/>
    <w:rsid w:val="00C2743A"/>
    <w:rsid w:val="00C30510"/>
    <w:rsid w:val="00C31F42"/>
    <w:rsid w:val="00C34F6D"/>
    <w:rsid w:val="00C364F5"/>
    <w:rsid w:val="00C4469A"/>
    <w:rsid w:val="00C45A5E"/>
    <w:rsid w:val="00C4680F"/>
    <w:rsid w:val="00C474F4"/>
    <w:rsid w:val="00C47D3E"/>
    <w:rsid w:val="00C47F8F"/>
    <w:rsid w:val="00C51FB1"/>
    <w:rsid w:val="00C528C5"/>
    <w:rsid w:val="00C5450C"/>
    <w:rsid w:val="00C54849"/>
    <w:rsid w:val="00C54CD8"/>
    <w:rsid w:val="00C56D36"/>
    <w:rsid w:val="00C57AB5"/>
    <w:rsid w:val="00C668DC"/>
    <w:rsid w:val="00C72AD4"/>
    <w:rsid w:val="00C754A6"/>
    <w:rsid w:val="00C835B2"/>
    <w:rsid w:val="00C86B6D"/>
    <w:rsid w:val="00C905F0"/>
    <w:rsid w:val="00C9060F"/>
    <w:rsid w:val="00C95478"/>
    <w:rsid w:val="00C9656E"/>
    <w:rsid w:val="00CA0835"/>
    <w:rsid w:val="00CA2323"/>
    <w:rsid w:val="00CA28E9"/>
    <w:rsid w:val="00CA376F"/>
    <w:rsid w:val="00CA69F7"/>
    <w:rsid w:val="00CB25F1"/>
    <w:rsid w:val="00CB2FE3"/>
    <w:rsid w:val="00CB3268"/>
    <w:rsid w:val="00CB563A"/>
    <w:rsid w:val="00CB5D8F"/>
    <w:rsid w:val="00CB657C"/>
    <w:rsid w:val="00CC07D5"/>
    <w:rsid w:val="00CC157E"/>
    <w:rsid w:val="00CC22FF"/>
    <w:rsid w:val="00CC3D56"/>
    <w:rsid w:val="00CC67E1"/>
    <w:rsid w:val="00CC6AF4"/>
    <w:rsid w:val="00CC7DC5"/>
    <w:rsid w:val="00CD0BE4"/>
    <w:rsid w:val="00CD52BE"/>
    <w:rsid w:val="00CE2213"/>
    <w:rsid w:val="00CE5E79"/>
    <w:rsid w:val="00CE65D2"/>
    <w:rsid w:val="00CE7F18"/>
    <w:rsid w:val="00CF6242"/>
    <w:rsid w:val="00CF746F"/>
    <w:rsid w:val="00D01576"/>
    <w:rsid w:val="00D01DFA"/>
    <w:rsid w:val="00D01E5A"/>
    <w:rsid w:val="00D0504C"/>
    <w:rsid w:val="00D06C6E"/>
    <w:rsid w:val="00D1016C"/>
    <w:rsid w:val="00D138B7"/>
    <w:rsid w:val="00D14883"/>
    <w:rsid w:val="00D15035"/>
    <w:rsid w:val="00D16575"/>
    <w:rsid w:val="00D22A46"/>
    <w:rsid w:val="00D2351B"/>
    <w:rsid w:val="00D25351"/>
    <w:rsid w:val="00D25B33"/>
    <w:rsid w:val="00D25D17"/>
    <w:rsid w:val="00D26435"/>
    <w:rsid w:val="00D26EB7"/>
    <w:rsid w:val="00D318A0"/>
    <w:rsid w:val="00D33166"/>
    <w:rsid w:val="00D37938"/>
    <w:rsid w:val="00D41F93"/>
    <w:rsid w:val="00D4216B"/>
    <w:rsid w:val="00D431E6"/>
    <w:rsid w:val="00D43CCE"/>
    <w:rsid w:val="00D44F5B"/>
    <w:rsid w:val="00D46CD1"/>
    <w:rsid w:val="00D528CB"/>
    <w:rsid w:val="00D63E2C"/>
    <w:rsid w:val="00D65538"/>
    <w:rsid w:val="00D7071C"/>
    <w:rsid w:val="00D70B25"/>
    <w:rsid w:val="00D73E92"/>
    <w:rsid w:val="00D75C59"/>
    <w:rsid w:val="00D81E1C"/>
    <w:rsid w:val="00D82695"/>
    <w:rsid w:val="00D82D94"/>
    <w:rsid w:val="00D915CD"/>
    <w:rsid w:val="00D96593"/>
    <w:rsid w:val="00D97BA1"/>
    <w:rsid w:val="00DA0F9A"/>
    <w:rsid w:val="00DA2D21"/>
    <w:rsid w:val="00DA5EAB"/>
    <w:rsid w:val="00DA674E"/>
    <w:rsid w:val="00DA6FF7"/>
    <w:rsid w:val="00DA7398"/>
    <w:rsid w:val="00DB24EA"/>
    <w:rsid w:val="00DB2594"/>
    <w:rsid w:val="00DC15CD"/>
    <w:rsid w:val="00DC1AD9"/>
    <w:rsid w:val="00DC3BB2"/>
    <w:rsid w:val="00DC4D7E"/>
    <w:rsid w:val="00DD2C08"/>
    <w:rsid w:val="00DD371D"/>
    <w:rsid w:val="00DD3FDC"/>
    <w:rsid w:val="00DD47C3"/>
    <w:rsid w:val="00DD4996"/>
    <w:rsid w:val="00DE0F45"/>
    <w:rsid w:val="00DE3853"/>
    <w:rsid w:val="00DE587F"/>
    <w:rsid w:val="00DE6E35"/>
    <w:rsid w:val="00DF07CD"/>
    <w:rsid w:val="00DF3CEA"/>
    <w:rsid w:val="00DF5C69"/>
    <w:rsid w:val="00DF790E"/>
    <w:rsid w:val="00E047E4"/>
    <w:rsid w:val="00E04D58"/>
    <w:rsid w:val="00E0743A"/>
    <w:rsid w:val="00E14322"/>
    <w:rsid w:val="00E14D5C"/>
    <w:rsid w:val="00E24C0D"/>
    <w:rsid w:val="00E25E36"/>
    <w:rsid w:val="00E26970"/>
    <w:rsid w:val="00E34B2E"/>
    <w:rsid w:val="00E37504"/>
    <w:rsid w:val="00E442A2"/>
    <w:rsid w:val="00E44CC1"/>
    <w:rsid w:val="00E4559C"/>
    <w:rsid w:val="00E50291"/>
    <w:rsid w:val="00E56E42"/>
    <w:rsid w:val="00E5747E"/>
    <w:rsid w:val="00E60AA9"/>
    <w:rsid w:val="00E62131"/>
    <w:rsid w:val="00E642B2"/>
    <w:rsid w:val="00E653FD"/>
    <w:rsid w:val="00E71D02"/>
    <w:rsid w:val="00E72171"/>
    <w:rsid w:val="00E77B11"/>
    <w:rsid w:val="00E80E4C"/>
    <w:rsid w:val="00E8113C"/>
    <w:rsid w:val="00E82F64"/>
    <w:rsid w:val="00E859DD"/>
    <w:rsid w:val="00E85E16"/>
    <w:rsid w:val="00E8621E"/>
    <w:rsid w:val="00E9288C"/>
    <w:rsid w:val="00E94AD5"/>
    <w:rsid w:val="00EA1359"/>
    <w:rsid w:val="00EA3B53"/>
    <w:rsid w:val="00EA741F"/>
    <w:rsid w:val="00EA7770"/>
    <w:rsid w:val="00EA77C3"/>
    <w:rsid w:val="00EA796D"/>
    <w:rsid w:val="00EB1E04"/>
    <w:rsid w:val="00EB27B0"/>
    <w:rsid w:val="00EB3126"/>
    <w:rsid w:val="00EB601F"/>
    <w:rsid w:val="00EB7AED"/>
    <w:rsid w:val="00EC0C74"/>
    <w:rsid w:val="00EC6971"/>
    <w:rsid w:val="00EC7980"/>
    <w:rsid w:val="00ED0D01"/>
    <w:rsid w:val="00ED17AA"/>
    <w:rsid w:val="00ED224E"/>
    <w:rsid w:val="00ED36B7"/>
    <w:rsid w:val="00ED49E1"/>
    <w:rsid w:val="00ED4B40"/>
    <w:rsid w:val="00EE03CE"/>
    <w:rsid w:val="00EE2E2A"/>
    <w:rsid w:val="00EF0ADF"/>
    <w:rsid w:val="00EF196E"/>
    <w:rsid w:val="00EF23F3"/>
    <w:rsid w:val="00EF270F"/>
    <w:rsid w:val="00F02543"/>
    <w:rsid w:val="00F06AD4"/>
    <w:rsid w:val="00F06D02"/>
    <w:rsid w:val="00F07C42"/>
    <w:rsid w:val="00F10DE7"/>
    <w:rsid w:val="00F1203A"/>
    <w:rsid w:val="00F143AE"/>
    <w:rsid w:val="00F16AC1"/>
    <w:rsid w:val="00F24D6B"/>
    <w:rsid w:val="00F26D8A"/>
    <w:rsid w:val="00F27FFB"/>
    <w:rsid w:val="00F30692"/>
    <w:rsid w:val="00F33F7B"/>
    <w:rsid w:val="00F3490A"/>
    <w:rsid w:val="00F35648"/>
    <w:rsid w:val="00F42312"/>
    <w:rsid w:val="00F45B37"/>
    <w:rsid w:val="00F4661D"/>
    <w:rsid w:val="00F5267D"/>
    <w:rsid w:val="00F56239"/>
    <w:rsid w:val="00F5740F"/>
    <w:rsid w:val="00F636ED"/>
    <w:rsid w:val="00F63D74"/>
    <w:rsid w:val="00F6491B"/>
    <w:rsid w:val="00F64E74"/>
    <w:rsid w:val="00F74A0C"/>
    <w:rsid w:val="00F77273"/>
    <w:rsid w:val="00F81289"/>
    <w:rsid w:val="00F81DC4"/>
    <w:rsid w:val="00F848C8"/>
    <w:rsid w:val="00F85843"/>
    <w:rsid w:val="00F87154"/>
    <w:rsid w:val="00F87EEA"/>
    <w:rsid w:val="00F87F12"/>
    <w:rsid w:val="00F91695"/>
    <w:rsid w:val="00F91ACD"/>
    <w:rsid w:val="00F92405"/>
    <w:rsid w:val="00F9523C"/>
    <w:rsid w:val="00F96D3E"/>
    <w:rsid w:val="00F972EA"/>
    <w:rsid w:val="00F97E70"/>
    <w:rsid w:val="00FA3126"/>
    <w:rsid w:val="00FA31F8"/>
    <w:rsid w:val="00FA473A"/>
    <w:rsid w:val="00FB0B62"/>
    <w:rsid w:val="00FB5091"/>
    <w:rsid w:val="00FB6780"/>
    <w:rsid w:val="00FB6AF6"/>
    <w:rsid w:val="00FB7447"/>
    <w:rsid w:val="00FB7DED"/>
    <w:rsid w:val="00FC04CD"/>
    <w:rsid w:val="00FC18B4"/>
    <w:rsid w:val="00FC3F46"/>
    <w:rsid w:val="00FD088E"/>
    <w:rsid w:val="00FD244A"/>
    <w:rsid w:val="00FD4A3B"/>
    <w:rsid w:val="00FD7BBB"/>
    <w:rsid w:val="00FE3D0C"/>
    <w:rsid w:val="00FE5ADB"/>
    <w:rsid w:val="00FF0EB0"/>
    <w:rsid w:val="00FF1E1A"/>
    <w:rsid w:val="00FF76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D71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811CE"/>
    <w:rPr>
      <w:lang w:val="en-GB"/>
    </w:rPr>
  </w:style>
  <w:style w:type="paragraph" w:styleId="Heading1">
    <w:name w:val="heading 1"/>
    <w:basedOn w:val="Normal"/>
    <w:next w:val="Normal"/>
    <w:link w:val="Heading1Char"/>
    <w:uiPriority w:val="9"/>
    <w:qFormat/>
    <w:rsid w:val="00947F2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F5FA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01576"/>
  </w:style>
  <w:style w:type="character" w:customStyle="1" w:styleId="FootnoteTextChar">
    <w:name w:val="Footnote Text Char"/>
    <w:basedOn w:val="DefaultParagraphFont"/>
    <w:link w:val="FootnoteText"/>
    <w:uiPriority w:val="99"/>
    <w:rsid w:val="00D01576"/>
    <w:rPr>
      <w:lang w:val="en-GB"/>
    </w:rPr>
  </w:style>
  <w:style w:type="character" w:styleId="FootnoteReference">
    <w:name w:val="footnote reference"/>
    <w:basedOn w:val="DefaultParagraphFont"/>
    <w:uiPriority w:val="99"/>
    <w:unhideWhenUsed/>
    <w:rsid w:val="00D01576"/>
    <w:rPr>
      <w:vertAlign w:val="superscript"/>
    </w:rPr>
  </w:style>
  <w:style w:type="paragraph" w:styleId="Footer">
    <w:name w:val="footer"/>
    <w:basedOn w:val="Normal"/>
    <w:link w:val="FooterChar"/>
    <w:uiPriority w:val="99"/>
    <w:unhideWhenUsed/>
    <w:rsid w:val="00416E6D"/>
    <w:pPr>
      <w:tabs>
        <w:tab w:val="center" w:pos="4680"/>
        <w:tab w:val="right" w:pos="9360"/>
      </w:tabs>
    </w:pPr>
  </w:style>
  <w:style w:type="character" w:customStyle="1" w:styleId="FooterChar">
    <w:name w:val="Footer Char"/>
    <w:basedOn w:val="DefaultParagraphFont"/>
    <w:link w:val="Footer"/>
    <w:uiPriority w:val="99"/>
    <w:rsid w:val="00416E6D"/>
    <w:rPr>
      <w:lang w:val="en-GB"/>
    </w:rPr>
  </w:style>
  <w:style w:type="character" w:styleId="PageNumber">
    <w:name w:val="page number"/>
    <w:basedOn w:val="DefaultParagraphFont"/>
    <w:uiPriority w:val="99"/>
    <w:semiHidden/>
    <w:unhideWhenUsed/>
    <w:rsid w:val="00416E6D"/>
  </w:style>
  <w:style w:type="paragraph" w:styleId="NoSpacing">
    <w:name w:val="No Spacing"/>
    <w:link w:val="NoSpacingChar"/>
    <w:uiPriority w:val="1"/>
    <w:qFormat/>
    <w:rsid w:val="00A1570D"/>
    <w:rPr>
      <w:rFonts w:asciiTheme="minorHAnsi" w:eastAsiaTheme="minorEastAsia" w:hAnsiTheme="minorHAnsi" w:cstheme="minorBidi"/>
      <w:sz w:val="22"/>
      <w:szCs w:val="22"/>
      <w:lang w:eastAsia="zh-CN"/>
    </w:rPr>
  </w:style>
  <w:style w:type="character" w:customStyle="1" w:styleId="NoSpacingChar">
    <w:name w:val="No Spacing Char"/>
    <w:basedOn w:val="DefaultParagraphFont"/>
    <w:link w:val="NoSpacing"/>
    <w:uiPriority w:val="1"/>
    <w:rsid w:val="00A1570D"/>
    <w:rPr>
      <w:rFonts w:asciiTheme="minorHAnsi" w:eastAsiaTheme="minorEastAsia" w:hAnsiTheme="minorHAnsi" w:cstheme="minorBidi"/>
      <w:sz w:val="22"/>
      <w:szCs w:val="22"/>
      <w:lang w:eastAsia="zh-CN"/>
    </w:rPr>
  </w:style>
  <w:style w:type="character" w:customStyle="1" w:styleId="Heading1Char">
    <w:name w:val="Heading 1 Char"/>
    <w:basedOn w:val="DefaultParagraphFont"/>
    <w:link w:val="Heading1"/>
    <w:uiPriority w:val="9"/>
    <w:rsid w:val="00947F2F"/>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947F2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47F2F"/>
    <w:pPr>
      <w:spacing w:before="120"/>
    </w:pPr>
    <w:rPr>
      <w:rFonts w:asciiTheme="minorHAnsi" w:hAnsiTheme="minorHAnsi"/>
      <w:b/>
      <w:bCs/>
      <w:sz w:val="22"/>
      <w:szCs w:val="22"/>
    </w:rPr>
  </w:style>
  <w:style w:type="paragraph" w:styleId="TOC2">
    <w:name w:val="toc 2"/>
    <w:basedOn w:val="Normal"/>
    <w:next w:val="Normal"/>
    <w:autoRedefine/>
    <w:uiPriority w:val="39"/>
    <w:unhideWhenUsed/>
    <w:rsid w:val="00947F2F"/>
    <w:pPr>
      <w:ind w:left="240"/>
    </w:pPr>
    <w:rPr>
      <w:rFonts w:asciiTheme="minorHAnsi" w:hAnsiTheme="minorHAnsi"/>
      <w:i/>
      <w:iCs/>
      <w:sz w:val="22"/>
      <w:szCs w:val="22"/>
    </w:rPr>
  </w:style>
  <w:style w:type="paragraph" w:styleId="TOC3">
    <w:name w:val="toc 3"/>
    <w:basedOn w:val="Normal"/>
    <w:next w:val="Normal"/>
    <w:autoRedefine/>
    <w:uiPriority w:val="39"/>
    <w:unhideWhenUsed/>
    <w:rsid w:val="00947F2F"/>
    <w:pPr>
      <w:ind w:left="480"/>
    </w:pPr>
    <w:rPr>
      <w:rFonts w:asciiTheme="minorHAnsi" w:hAnsiTheme="minorHAnsi"/>
      <w:sz w:val="22"/>
      <w:szCs w:val="22"/>
    </w:rPr>
  </w:style>
  <w:style w:type="paragraph" w:styleId="TOC4">
    <w:name w:val="toc 4"/>
    <w:basedOn w:val="Normal"/>
    <w:next w:val="Normal"/>
    <w:autoRedefine/>
    <w:uiPriority w:val="39"/>
    <w:semiHidden/>
    <w:unhideWhenUsed/>
    <w:rsid w:val="00947F2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47F2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47F2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47F2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47F2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47F2F"/>
    <w:pPr>
      <w:ind w:left="1920"/>
    </w:pPr>
    <w:rPr>
      <w:rFonts w:asciiTheme="minorHAnsi" w:hAnsiTheme="minorHAnsi"/>
      <w:sz w:val="20"/>
      <w:szCs w:val="20"/>
    </w:rPr>
  </w:style>
  <w:style w:type="character" w:styleId="Hyperlink">
    <w:name w:val="Hyperlink"/>
    <w:basedOn w:val="DefaultParagraphFont"/>
    <w:uiPriority w:val="99"/>
    <w:unhideWhenUsed/>
    <w:rsid w:val="004D6C8D"/>
    <w:rPr>
      <w:color w:val="0563C1" w:themeColor="hyperlink"/>
      <w:u w:val="single"/>
    </w:rPr>
  </w:style>
  <w:style w:type="character" w:customStyle="1" w:styleId="Heading3Char">
    <w:name w:val="Heading 3 Char"/>
    <w:basedOn w:val="DefaultParagraphFont"/>
    <w:link w:val="Heading3"/>
    <w:uiPriority w:val="9"/>
    <w:semiHidden/>
    <w:rsid w:val="007F5FAC"/>
    <w:rPr>
      <w:rFonts w:asciiTheme="majorHAnsi" w:eastAsiaTheme="majorEastAsia" w:hAnsiTheme="majorHAnsi" w:cstheme="majorBidi"/>
      <w:color w:val="1F4D78" w:themeColor="accent1" w:themeShade="7F"/>
      <w:lang w:val="en-GB"/>
    </w:rPr>
  </w:style>
  <w:style w:type="paragraph" w:styleId="NormalWeb">
    <w:name w:val="Normal (Web)"/>
    <w:basedOn w:val="Normal"/>
    <w:rsid w:val="007F5FAC"/>
    <w:pPr>
      <w:spacing w:before="100" w:beforeAutospacing="1" w:after="100" w:afterAutospacing="1"/>
    </w:pPr>
    <w:rPr>
      <w:rFonts w:ascii="Georgia" w:eastAsia="SimSun" w:hAnsi="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77141">
      <w:bodyDiv w:val="1"/>
      <w:marLeft w:val="0"/>
      <w:marRight w:val="0"/>
      <w:marTop w:val="0"/>
      <w:marBottom w:val="0"/>
      <w:divBdr>
        <w:top w:val="none" w:sz="0" w:space="0" w:color="auto"/>
        <w:left w:val="none" w:sz="0" w:space="0" w:color="auto"/>
        <w:bottom w:val="none" w:sz="0" w:space="0" w:color="auto"/>
        <w:right w:val="none" w:sz="0" w:space="0" w:color="auto"/>
      </w:divBdr>
    </w:div>
    <w:div w:id="1968662500">
      <w:bodyDiv w:val="1"/>
      <w:marLeft w:val="0"/>
      <w:marRight w:val="0"/>
      <w:marTop w:val="0"/>
      <w:marBottom w:val="0"/>
      <w:divBdr>
        <w:top w:val="none" w:sz="0" w:space="0" w:color="auto"/>
        <w:left w:val="none" w:sz="0" w:space="0" w:color="auto"/>
        <w:bottom w:val="none" w:sz="0" w:space="0" w:color="auto"/>
        <w:right w:val="none" w:sz="0" w:space="0" w:color="auto"/>
      </w:divBdr>
    </w:div>
    <w:div w:id="20622915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FA405D5F5C61F46B0037AC21AB45D54"/>
        <w:category>
          <w:name w:val="General"/>
          <w:gallery w:val="placeholder"/>
        </w:category>
        <w:types>
          <w:type w:val="bbPlcHdr"/>
        </w:types>
        <w:behaviors>
          <w:behavior w:val="content"/>
        </w:behaviors>
        <w:guid w:val="{34B7D065-EA07-A340-AF6C-F1926564AF83}"/>
      </w:docPartPr>
      <w:docPartBody>
        <w:p w:rsidR="00BB7AC7" w:rsidRDefault="00BB7AC7" w:rsidP="00BB7AC7">
          <w:pPr>
            <w:pStyle w:val="7FA405D5F5C61F46B0037AC21AB45D54"/>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Georgia">
    <w:panose1 w:val="02040502050405020303"/>
    <w:charset w:val="00"/>
    <w:family w:val="auto"/>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AC7"/>
    <w:rsid w:val="00253211"/>
    <w:rsid w:val="002E57C9"/>
    <w:rsid w:val="00BB7A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A405D5F5C61F46B0037AC21AB45D54">
    <w:name w:val="7FA405D5F5C61F46B0037AC21AB45D54"/>
    <w:rsid w:val="00BB7AC7"/>
  </w:style>
  <w:style w:type="paragraph" w:customStyle="1" w:styleId="DBEB6E4D7CC9154A84A2C6A85BBAA07C">
    <w:name w:val="DBEB6E4D7CC9154A84A2C6A85BBAA07C"/>
    <w:rsid w:val="00BB7AC7"/>
  </w:style>
  <w:style w:type="paragraph" w:customStyle="1" w:styleId="2ACEEF170AA46F499ED59D782F507326">
    <w:name w:val="2ACEEF170AA46F499ED59D782F507326"/>
    <w:rsid w:val="002E57C9"/>
  </w:style>
  <w:style w:type="paragraph" w:customStyle="1" w:styleId="4C43FDFB37A2474495BA144B59225FD1">
    <w:name w:val="4C43FDFB37A2474495BA144B59225FD1"/>
    <w:rsid w:val="002E57C9"/>
  </w:style>
  <w:style w:type="paragraph" w:customStyle="1" w:styleId="3EDD943CB5EAEB4B9936A17FA8C6123A">
    <w:name w:val="3EDD943CB5EAEB4B9936A17FA8C6123A"/>
    <w:rsid w:val="002E57C9"/>
  </w:style>
  <w:style w:type="paragraph" w:customStyle="1" w:styleId="6C0F133697425C47AEBC81DA0DE5A29E">
    <w:name w:val="6C0F133697425C47AEBC81DA0DE5A29E"/>
    <w:rsid w:val="002E57C9"/>
  </w:style>
  <w:style w:type="paragraph" w:customStyle="1" w:styleId="807AC8A43D70DC4A912723B4D6DE75DE">
    <w:name w:val="807AC8A43D70DC4A912723B4D6DE75DE"/>
    <w:rsid w:val="002E57C9"/>
  </w:style>
  <w:style w:type="paragraph" w:customStyle="1" w:styleId="82D1F71B19EA3B4EA70F86D2181C37C7">
    <w:name w:val="82D1F71B19EA3B4EA70F86D2181C37C7"/>
    <w:rsid w:val="002E57C9"/>
  </w:style>
  <w:style w:type="paragraph" w:customStyle="1" w:styleId="441E4F1B47792D498610F4130EA3DEEB">
    <w:name w:val="441E4F1B47792D498610F4130EA3DEEB"/>
    <w:rsid w:val="002E57C9"/>
  </w:style>
  <w:style w:type="paragraph" w:customStyle="1" w:styleId="436B3381D265CD428F046ACC1D2E13EF">
    <w:name w:val="436B3381D265CD428F046ACC1D2E13EF"/>
    <w:rsid w:val="002E57C9"/>
  </w:style>
  <w:style w:type="paragraph" w:customStyle="1" w:styleId="7F8EA0E9881DB34DB71E360C8C11C7AA">
    <w:name w:val="7F8EA0E9881DB34DB71E360C8C11C7AA"/>
    <w:rsid w:val="002E57C9"/>
  </w:style>
  <w:style w:type="paragraph" w:customStyle="1" w:styleId="8CC1E2A95AA10A4595186C4500C794C4">
    <w:name w:val="8CC1E2A95AA10A4595186C4500C794C4"/>
    <w:rsid w:val="002E57C9"/>
  </w:style>
  <w:style w:type="paragraph" w:customStyle="1" w:styleId="F18E399BB16A184AA48A105C1772F2B7">
    <w:name w:val="F18E399BB16A184AA48A105C1772F2B7"/>
    <w:rsid w:val="002E57C9"/>
  </w:style>
  <w:style w:type="paragraph" w:customStyle="1" w:styleId="0043F89D13B2AE41BAA9002AE887A435">
    <w:name w:val="0043F89D13B2AE41BAA9002AE887A435"/>
    <w:rsid w:val="002E57C9"/>
  </w:style>
  <w:style w:type="paragraph" w:customStyle="1" w:styleId="86E42DE12FD3B34C9F14B13B762A446D">
    <w:name w:val="86E42DE12FD3B34C9F14B13B762A446D"/>
    <w:rsid w:val="002E57C9"/>
  </w:style>
  <w:style w:type="paragraph" w:customStyle="1" w:styleId="E4CF380A4F84A947B3825F55AA159170">
    <w:name w:val="E4CF380A4F84A947B3825F55AA159170"/>
    <w:rsid w:val="002E57C9"/>
  </w:style>
  <w:style w:type="paragraph" w:customStyle="1" w:styleId="FC6E0168D2385C45BF9CBFBB576DD944">
    <w:name w:val="FC6E0168D2385C45BF9CBFBB576DD944"/>
    <w:rsid w:val="002E57C9"/>
  </w:style>
  <w:style w:type="paragraph" w:customStyle="1" w:styleId="D3CB9920E2BDA24D8DF7B480253D0451">
    <w:name w:val="D3CB9920E2BDA24D8DF7B480253D0451"/>
    <w:rsid w:val="002E57C9"/>
  </w:style>
  <w:style w:type="paragraph" w:customStyle="1" w:styleId="99BB36CF2D367343982DF2827F2F21E1">
    <w:name w:val="99BB36CF2D367343982DF2827F2F21E1"/>
    <w:rsid w:val="002E57C9"/>
  </w:style>
  <w:style w:type="paragraph" w:customStyle="1" w:styleId="B947B049A0FBE242865E0AB3A5B7BAAA">
    <w:name w:val="B947B049A0FBE242865E0AB3A5B7BAAA"/>
    <w:rsid w:val="002E57C9"/>
  </w:style>
  <w:style w:type="paragraph" w:customStyle="1" w:styleId="F94699952F46A944A36F85E9BE768E44">
    <w:name w:val="F94699952F46A944A36F85E9BE768E44"/>
    <w:rsid w:val="002E57C9"/>
  </w:style>
  <w:style w:type="paragraph" w:customStyle="1" w:styleId="99B838BBAABF6F4D812DED460865AD9B">
    <w:name w:val="99B838BBAABF6F4D812DED460865AD9B"/>
    <w:rsid w:val="002E57C9"/>
  </w:style>
  <w:style w:type="paragraph" w:customStyle="1" w:styleId="F5A370FDE76C6F448396AE174AB84EBA">
    <w:name w:val="F5A370FDE76C6F448396AE174AB84EBA"/>
    <w:rsid w:val="002E57C9"/>
  </w:style>
  <w:style w:type="paragraph" w:customStyle="1" w:styleId="869614557C225D439EA6C3B5567FC9D2">
    <w:name w:val="869614557C225D439EA6C3B5567FC9D2"/>
    <w:rsid w:val="002E57C9"/>
  </w:style>
  <w:style w:type="paragraph" w:customStyle="1" w:styleId="54641DCF69AC7C42BBBB17107853C732">
    <w:name w:val="54641DCF69AC7C42BBBB17107853C732"/>
    <w:rsid w:val="002E57C9"/>
  </w:style>
  <w:style w:type="paragraph" w:customStyle="1" w:styleId="B34E3B48B5C3C548B2B920CA284F62AB">
    <w:name w:val="B34E3B48B5C3C548B2B920CA284F62AB"/>
    <w:rsid w:val="002E57C9"/>
  </w:style>
  <w:style w:type="paragraph" w:customStyle="1" w:styleId="82E5913272F2A54AA215A23BD3357ACB">
    <w:name w:val="82E5913272F2A54AA215A23BD3357ACB"/>
    <w:rsid w:val="002E57C9"/>
  </w:style>
  <w:style w:type="paragraph" w:customStyle="1" w:styleId="5DDBA8A0589BB54D9F679CCB977E86DD">
    <w:name w:val="5DDBA8A0589BB54D9F679CCB977E86DD"/>
    <w:rsid w:val="002E57C9"/>
  </w:style>
  <w:style w:type="paragraph" w:customStyle="1" w:styleId="A1B44E4CE736CA40BD609CC06E45E018">
    <w:name w:val="A1B44E4CE736CA40BD609CC06E45E018"/>
    <w:rsid w:val="002E57C9"/>
  </w:style>
  <w:style w:type="paragraph" w:customStyle="1" w:styleId="CB90865590166B448FE2E20B5E97029C">
    <w:name w:val="CB90865590166B448FE2E20B5E97029C"/>
    <w:rsid w:val="002E57C9"/>
  </w:style>
  <w:style w:type="paragraph" w:customStyle="1" w:styleId="6BFC009F64285047B3D13C9F02258304">
    <w:name w:val="6BFC009F64285047B3D13C9F02258304"/>
    <w:rsid w:val="002E57C9"/>
  </w:style>
  <w:style w:type="paragraph" w:customStyle="1" w:styleId="AA04C49510753346A0CB75091548ECD0">
    <w:name w:val="AA04C49510753346A0CB75091548ECD0"/>
    <w:rsid w:val="002E57C9"/>
  </w:style>
  <w:style w:type="paragraph" w:customStyle="1" w:styleId="71B10D49323EE2438F00716C0B925E89">
    <w:name w:val="71B10D49323EE2438F00716C0B925E89"/>
    <w:rsid w:val="002E57C9"/>
  </w:style>
  <w:style w:type="paragraph" w:customStyle="1" w:styleId="58ADA2434F67194B87DF268A80866CF7">
    <w:name w:val="58ADA2434F67194B87DF268A80866CF7"/>
    <w:rsid w:val="002E57C9"/>
  </w:style>
  <w:style w:type="paragraph" w:customStyle="1" w:styleId="D19F9F4EA9D9F54D9232F1D4A5B6C607">
    <w:name w:val="D19F9F4EA9D9F54D9232F1D4A5B6C607"/>
    <w:rsid w:val="002E57C9"/>
  </w:style>
  <w:style w:type="paragraph" w:customStyle="1" w:styleId="092FCFA1634FF94A81A675C2F5239D4D">
    <w:name w:val="092FCFA1634FF94A81A675C2F5239D4D"/>
    <w:rsid w:val="002E57C9"/>
  </w:style>
  <w:style w:type="paragraph" w:customStyle="1" w:styleId="C8A487D71EDBD9488582FEEAB6181DA8">
    <w:name w:val="C8A487D71EDBD9488582FEEAB6181DA8"/>
    <w:rsid w:val="002E57C9"/>
  </w:style>
  <w:style w:type="paragraph" w:customStyle="1" w:styleId="59C534A21A41B0478BDBB7EE23AA9949">
    <w:name w:val="59C534A21A41B0478BDBB7EE23AA9949"/>
    <w:rsid w:val="002E57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HPAH6028</PublishDate>
  <Abstract/>
  <CompanyAddress> May 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F72506-19CD-9B4C-8F80-AB235AE1F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34</Pages>
  <Words>8090</Words>
  <Characters>46119</Characters>
  <Application>Microsoft Macintosh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War and conquest aside</vt:lpstr>
    </vt:vector>
  </TitlesOfParts>
  <Company/>
  <LinksUpToDate>false</LinksUpToDate>
  <CharactersWithSpaces>54101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Alexander’s great legacy</dc:title>
  <dc:subject>A Discussion of Alexander’s Kingly Accomplishments and of Those Left Behind</dc:subject>
  <dc:creator>Jordan Kinnicutt</dc:creator>
  <cp:keywords/>
  <dc:description/>
  <cp:lastModifiedBy>Jordan Kinnicutt</cp:lastModifiedBy>
  <cp:revision>484</cp:revision>
  <dcterms:created xsi:type="dcterms:W3CDTF">2020-05-11T11:41:00Z</dcterms:created>
  <dcterms:modified xsi:type="dcterms:W3CDTF">2020-05-11T13:46:00Z</dcterms:modified>
</cp:coreProperties>
</file>