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C05105" w:rsidP="00C05105" w:rsidRDefault="00C05105" w14:paraId="43F8ECDA" w14:textId="1E9310FC">
      <w:pPr>
        <w:pStyle w:val="Title"/>
        <w:jc w:val="center"/>
      </w:pPr>
    </w:p>
    <w:p w:rsidR="00C05105" w:rsidP="00C05105" w:rsidRDefault="00243901" w14:paraId="12A4E74B" w14:textId="37FC765B">
      <w:pPr>
        <w:pStyle w:val="Title"/>
      </w:pPr>
      <w:r>
        <w:rPr>
          <w:noProof/>
        </w:rPr>
        <w:drawing>
          <wp:inline distT="0" distB="0" distL="0" distR="0" wp14:anchorId="6B55561A" wp14:editId="3077E825">
            <wp:extent cx="5730875" cy="3213100"/>
            <wp:effectExtent l="0" t="0" r="3175" b="6350"/>
            <wp:docPr id="1253051141" name="Picture 1" descr="Electrocardio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3051141" name="Picture 1253051141" descr="Electrocardiogram"/>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203" cy="3213284"/>
                    </a:xfrm>
                    <a:prstGeom prst="rect">
                      <a:avLst/>
                    </a:prstGeom>
                  </pic:spPr>
                </pic:pic>
              </a:graphicData>
            </a:graphic>
          </wp:inline>
        </w:drawing>
      </w:r>
    </w:p>
    <w:p w:rsidR="00C05105" w:rsidP="00C05105" w:rsidRDefault="00C05105" w14:paraId="014E35F0" w14:textId="77777777">
      <w:pPr>
        <w:pStyle w:val="Title"/>
        <w:jc w:val="center"/>
      </w:pPr>
    </w:p>
    <w:p w:rsidR="00C05105" w:rsidP="6052CB54" w:rsidRDefault="00C05105" w14:paraId="3740E268" w14:textId="77777777">
      <w:pPr>
        <w:pStyle w:val="Title"/>
        <w:jc w:val="center"/>
        <w:rPr>
          <w:sz w:val="24"/>
          <w:szCs w:val="24"/>
        </w:rPr>
      </w:pPr>
      <w:r w:rsidRPr="6052CB54" w:rsidR="00C05105">
        <w:rPr>
          <w:sz w:val="24"/>
          <w:szCs w:val="24"/>
        </w:rPr>
        <w:t>Programme:</w:t>
      </w:r>
      <w:r>
        <w:tab/>
      </w:r>
      <w:r w:rsidRPr="6052CB54" w:rsidR="00C05105">
        <w:rPr>
          <w:sz w:val="24"/>
          <w:szCs w:val="24"/>
        </w:rPr>
        <w:t>Certificate of Higher Education Skills for the Workplace (Health &amp; Social Care)</w:t>
      </w:r>
    </w:p>
    <w:p w:rsidR="00C05105" w:rsidP="6052CB54" w:rsidRDefault="00C05105" w14:paraId="4F3A72D7" w14:textId="736E89C4">
      <w:pPr>
        <w:pStyle w:val="Title"/>
        <w:jc w:val="center"/>
        <w:rPr>
          <w:sz w:val="24"/>
          <w:szCs w:val="24"/>
        </w:rPr>
      </w:pPr>
      <w:r w:rsidRPr="6052CB54" w:rsidR="00C05105">
        <w:rPr>
          <w:sz w:val="24"/>
          <w:szCs w:val="24"/>
        </w:rPr>
        <w:t>Module:</w:t>
      </w:r>
      <w:r w:rsidRPr="6052CB54" w:rsidR="00243901">
        <w:rPr>
          <w:sz w:val="24"/>
          <w:szCs w:val="24"/>
        </w:rPr>
        <w:t xml:space="preserve"> </w:t>
      </w:r>
      <w:r w:rsidRPr="6052CB54" w:rsidR="00C05105">
        <w:rPr>
          <w:sz w:val="24"/>
          <w:szCs w:val="24"/>
        </w:rPr>
        <w:t>Digital Skills and Research Methods</w:t>
      </w:r>
    </w:p>
    <w:p w:rsidR="00C05105" w:rsidP="6052CB54" w:rsidRDefault="00C05105" w14:paraId="4E91C6E5" w14:textId="750FF547">
      <w:pPr>
        <w:pStyle w:val="Title"/>
        <w:jc w:val="center"/>
        <w:rPr>
          <w:sz w:val="24"/>
          <w:szCs w:val="24"/>
        </w:rPr>
      </w:pPr>
      <w:r w:rsidRPr="6052CB54" w:rsidR="00C05105">
        <w:rPr>
          <w:sz w:val="24"/>
          <w:szCs w:val="24"/>
        </w:rPr>
        <w:t>Module code: LCHS4007</w:t>
      </w:r>
    </w:p>
    <w:p w:rsidR="00C05105" w:rsidP="6052CB54" w:rsidRDefault="00C05105" w14:paraId="186BC4A7" w14:textId="5A8445CA">
      <w:pPr>
        <w:pStyle w:val="Title"/>
        <w:jc w:val="center"/>
        <w:rPr>
          <w:sz w:val="24"/>
          <w:szCs w:val="24"/>
        </w:rPr>
      </w:pPr>
      <w:r w:rsidRPr="6052CB54" w:rsidR="3BB9A7E6">
        <w:rPr>
          <w:sz w:val="24"/>
          <w:szCs w:val="24"/>
        </w:rPr>
        <w:t xml:space="preserve">         </w:t>
      </w:r>
      <w:r w:rsidRPr="6052CB54" w:rsidR="00C05105">
        <w:rPr>
          <w:sz w:val="24"/>
          <w:szCs w:val="24"/>
        </w:rPr>
        <w:t>Student name: Andreea Mirea</w:t>
      </w:r>
    </w:p>
    <w:p w:rsidR="00C05105" w:rsidP="6052CB54" w:rsidRDefault="00C05105" w14:paraId="4CE71072" w14:textId="23AD8ABD">
      <w:pPr>
        <w:pStyle w:val="Title"/>
        <w:jc w:val="center"/>
        <w:rPr>
          <w:sz w:val="24"/>
          <w:szCs w:val="24"/>
        </w:rPr>
      </w:pPr>
      <w:r w:rsidRPr="6052CB54" w:rsidR="00C05105">
        <w:rPr>
          <w:sz w:val="24"/>
          <w:szCs w:val="24"/>
        </w:rPr>
        <w:t xml:space="preserve">Student ID:  </w:t>
      </w:r>
      <w:r w:rsidRPr="6052CB54" w:rsidR="00BD1778">
        <w:rPr>
          <w:sz w:val="24"/>
          <w:szCs w:val="24"/>
        </w:rPr>
        <w:t>2523016</w:t>
      </w:r>
    </w:p>
    <w:p w:rsidR="63197371" w:rsidP="6052CB54" w:rsidRDefault="63197371" w14:paraId="048AA4C0" w14:textId="5FF945F4">
      <w:pPr>
        <w:pStyle w:val="Normal"/>
      </w:pPr>
      <w:r w:rsidRPr="6052CB54" w:rsidR="63197371">
        <w:rPr>
          <w:sz w:val="24"/>
          <w:szCs w:val="24"/>
        </w:rPr>
        <w:t xml:space="preserve">                                                            </w:t>
      </w:r>
      <w:r w:rsidRPr="6052CB54" w:rsidR="5F211990">
        <w:rPr>
          <w:sz w:val="24"/>
          <w:szCs w:val="24"/>
        </w:rPr>
        <w:t xml:space="preserve">   </w:t>
      </w:r>
      <w:r w:rsidRPr="6052CB54" w:rsidR="63197371">
        <w:rPr>
          <w:sz w:val="24"/>
          <w:szCs w:val="24"/>
        </w:rPr>
        <w:t xml:space="preserve">  Lecturer: </w:t>
      </w:r>
      <w:r w:rsidRPr="6052CB54" w:rsidR="63197371">
        <w:rPr>
          <w:sz w:val="24"/>
          <w:szCs w:val="24"/>
        </w:rPr>
        <w:t>Aliyuda</w:t>
      </w:r>
      <w:r w:rsidRPr="6052CB54" w:rsidR="63197371">
        <w:rPr>
          <w:sz w:val="24"/>
          <w:szCs w:val="24"/>
        </w:rPr>
        <w:t xml:space="preserve">  Ali</w:t>
      </w:r>
    </w:p>
    <w:p w:rsidR="457D1967" w:rsidP="6052CB54" w:rsidRDefault="457D1967" w14:paraId="57A8380A" w14:textId="1112F2D3">
      <w:pPr>
        <w:pStyle w:val="Normal"/>
        <w:jc w:val="center"/>
        <w:rPr>
          <w:sz w:val="24"/>
          <w:szCs w:val="24"/>
        </w:rPr>
      </w:pPr>
      <w:r w:rsidRPr="6052CB54" w:rsidR="457D1967">
        <w:rPr>
          <w:sz w:val="24"/>
          <w:szCs w:val="24"/>
        </w:rPr>
        <w:t>Assignment Title: Research Report</w:t>
      </w:r>
    </w:p>
    <w:p w:rsidR="63197371" w:rsidP="6052CB54" w:rsidRDefault="63197371" w14:paraId="2E73AB44" w14:textId="0B3A71B6">
      <w:pPr>
        <w:pStyle w:val="Normal"/>
      </w:pPr>
      <w:r w:rsidRPr="6052CB54" w:rsidR="63197371">
        <w:rPr>
          <w:sz w:val="24"/>
          <w:szCs w:val="24"/>
        </w:rPr>
        <w:t xml:space="preserve">                                                                     </w:t>
      </w:r>
    </w:p>
    <w:p w:rsidR="00C05105" w:rsidP="00C05105" w:rsidRDefault="00C05105" w14:paraId="00DDB4B7" w14:textId="77777777">
      <w:pPr>
        <w:pStyle w:val="Title"/>
        <w:jc w:val="center"/>
      </w:pPr>
    </w:p>
    <w:p w:rsidR="00C05105" w:rsidP="00C05105" w:rsidRDefault="00C05105" w14:paraId="1588DD5A" w14:textId="77777777">
      <w:pPr>
        <w:pStyle w:val="Title"/>
        <w:jc w:val="center"/>
      </w:pPr>
    </w:p>
    <w:p w:rsidR="00C05105" w:rsidP="00C05105" w:rsidRDefault="00C05105" w14:paraId="2F5DA740" w14:textId="77777777">
      <w:pPr>
        <w:pStyle w:val="Title"/>
        <w:jc w:val="center"/>
      </w:pPr>
    </w:p>
    <w:p w:rsidR="00C05105" w:rsidP="00C05105" w:rsidRDefault="00C05105" w14:paraId="3232AE29" w14:textId="77777777">
      <w:pPr>
        <w:pStyle w:val="Title"/>
        <w:jc w:val="center"/>
      </w:pPr>
    </w:p>
    <w:p w:rsidR="00C05105" w:rsidP="00C05105" w:rsidRDefault="00C05105" w14:paraId="691DC0CD" w14:textId="77777777">
      <w:pPr>
        <w:pStyle w:val="Title"/>
        <w:jc w:val="center"/>
      </w:pPr>
    </w:p>
    <w:p w:rsidR="00C05105" w:rsidP="00C05105" w:rsidRDefault="00C05105" w14:paraId="3693F519" w14:textId="77777777">
      <w:pPr>
        <w:pStyle w:val="Title"/>
        <w:jc w:val="center"/>
      </w:pPr>
    </w:p>
    <w:sdt>
      <w:sdtPr>
        <w:id w:val="-716038105"/>
        <w:docPartObj>
          <w:docPartGallery w:val="Table of Contents"/>
          <w:docPartUnique/>
        </w:docPartObj>
        <w:rPr>
          <w:rFonts w:ascii="Aptos" w:hAnsi="Aptos" w:eastAsia="Aptos" w:cs="" w:asciiTheme="minorAscii" w:hAnsiTheme="minorAscii" w:eastAsiaTheme="minorAscii" w:cstheme="minorBidi"/>
          <w:color w:val="auto"/>
          <w:kern w:val="2"/>
          <w:sz w:val="24"/>
          <w:szCs w:val="24"/>
          <w:lang w:val="en-GB"/>
          <w14:ligatures w14:val="standardContextual"/>
        </w:rPr>
      </w:sdtPr>
      <w:sdtEndPr>
        <w:rPr>
          <w:rFonts w:ascii="Aptos" w:hAnsi="Aptos" w:eastAsia="Aptos" w:cs="" w:asciiTheme="minorAscii" w:hAnsiTheme="minorAscii" w:eastAsiaTheme="minorAscii" w:cstheme="minorBidi"/>
          <w:b w:val="1"/>
          <w:bCs w:val="1"/>
          <w:noProof/>
          <w:color w:val="auto"/>
          <w:sz w:val="24"/>
          <w:szCs w:val="24"/>
          <w:lang w:val="en-GB"/>
        </w:rPr>
      </w:sdtEndPr>
      <w:sdtContent>
        <w:p w:rsidR="00243901" w:rsidRDefault="00243901" w14:paraId="2101FDE8" w14:textId="7631AC3F">
          <w:pPr>
            <w:pStyle w:val="TOCHeading"/>
          </w:pPr>
          <w:r>
            <w:t>Contents</w:t>
          </w:r>
        </w:p>
        <w:p w:rsidR="00243901" w:rsidRDefault="00243901" w14:paraId="390BCAE2" w14:textId="4A89103B">
          <w:pPr>
            <w:pStyle w:val="TOC1"/>
            <w:tabs>
              <w:tab w:val="right" w:leader="dot" w:pos="9016"/>
            </w:tabs>
            <w:rPr>
              <w:noProof/>
            </w:rPr>
          </w:pPr>
          <w:r>
            <w:fldChar w:fldCharType="begin"/>
          </w:r>
          <w:r>
            <w:instrText xml:space="preserve"> TOC \o "1-3" \h \z \u </w:instrText>
          </w:r>
          <w:r>
            <w:fldChar w:fldCharType="separate"/>
          </w:r>
          <w:hyperlink w:history="1" w:anchor="_Toc224638520">
            <w:r w:rsidRPr="004166D2">
              <w:rPr>
                <w:rStyle w:val="Hyperlink"/>
                <w:noProof/>
              </w:rPr>
              <w:t>Introduction</w:t>
            </w:r>
            <w:r>
              <w:rPr>
                <w:noProof/>
                <w:webHidden/>
              </w:rPr>
              <w:tab/>
            </w:r>
            <w:r>
              <w:rPr>
                <w:noProof/>
                <w:webHidden/>
              </w:rPr>
              <w:fldChar w:fldCharType="begin"/>
            </w:r>
            <w:r>
              <w:rPr>
                <w:noProof/>
                <w:webHidden/>
              </w:rPr>
              <w:instrText xml:space="preserve"> PAGEREF _Toc224638520 \h </w:instrText>
            </w:r>
            <w:r>
              <w:rPr>
                <w:noProof/>
                <w:webHidden/>
              </w:rPr>
            </w:r>
            <w:r>
              <w:rPr>
                <w:noProof/>
                <w:webHidden/>
              </w:rPr>
              <w:fldChar w:fldCharType="separate"/>
            </w:r>
            <w:r>
              <w:rPr>
                <w:noProof/>
                <w:webHidden/>
              </w:rPr>
              <w:t>3</w:t>
            </w:r>
            <w:r>
              <w:rPr>
                <w:noProof/>
                <w:webHidden/>
              </w:rPr>
              <w:fldChar w:fldCharType="end"/>
            </w:r>
          </w:hyperlink>
        </w:p>
        <w:p w:rsidR="00243901" w:rsidRDefault="00243901" w14:paraId="14731AFE" w14:textId="4E6A6618">
          <w:pPr>
            <w:pStyle w:val="TOC1"/>
            <w:tabs>
              <w:tab w:val="right" w:leader="dot" w:pos="9016"/>
            </w:tabs>
            <w:rPr>
              <w:noProof/>
            </w:rPr>
          </w:pPr>
          <w:hyperlink w:history="1" w:anchor="_Toc224638521">
            <w:r w:rsidRPr="004166D2">
              <w:rPr>
                <w:rStyle w:val="Hyperlink"/>
                <w:b/>
                <w:bCs/>
                <w:noProof/>
              </w:rPr>
              <w:t>Task 1: Selection of a Research Topic</w:t>
            </w:r>
            <w:r>
              <w:rPr>
                <w:noProof/>
                <w:webHidden/>
              </w:rPr>
              <w:tab/>
            </w:r>
            <w:r>
              <w:rPr>
                <w:noProof/>
                <w:webHidden/>
              </w:rPr>
              <w:fldChar w:fldCharType="begin"/>
            </w:r>
            <w:r>
              <w:rPr>
                <w:noProof/>
                <w:webHidden/>
              </w:rPr>
              <w:instrText xml:space="preserve"> PAGEREF _Toc224638521 \h </w:instrText>
            </w:r>
            <w:r>
              <w:rPr>
                <w:noProof/>
                <w:webHidden/>
              </w:rPr>
            </w:r>
            <w:r>
              <w:rPr>
                <w:noProof/>
                <w:webHidden/>
              </w:rPr>
              <w:fldChar w:fldCharType="separate"/>
            </w:r>
            <w:r>
              <w:rPr>
                <w:noProof/>
                <w:webHidden/>
              </w:rPr>
              <w:t>4</w:t>
            </w:r>
            <w:r>
              <w:rPr>
                <w:noProof/>
                <w:webHidden/>
              </w:rPr>
              <w:fldChar w:fldCharType="end"/>
            </w:r>
          </w:hyperlink>
        </w:p>
        <w:p w:rsidR="00243901" w:rsidRDefault="00243901" w14:paraId="1EDF426A" w14:textId="1D357937">
          <w:pPr>
            <w:pStyle w:val="TOC1"/>
            <w:tabs>
              <w:tab w:val="right" w:leader="dot" w:pos="9016"/>
            </w:tabs>
            <w:rPr>
              <w:noProof/>
            </w:rPr>
          </w:pPr>
          <w:hyperlink w:history="1" w:anchor="_Toc224638522">
            <w:r w:rsidRPr="004166D2">
              <w:rPr>
                <w:rStyle w:val="Hyperlink"/>
                <w:b/>
                <w:bCs/>
                <w:noProof/>
              </w:rPr>
              <w:t>Task 2: Evaluating Information Sources</w:t>
            </w:r>
            <w:r>
              <w:rPr>
                <w:noProof/>
                <w:webHidden/>
              </w:rPr>
              <w:tab/>
            </w:r>
            <w:r>
              <w:rPr>
                <w:noProof/>
                <w:webHidden/>
              </w:rPr>
              <w:fldChar w:fldCharType="begin"/>
            </w:r>
            <w:r>
              <w:rPr>
                <w:noProof/>
                <w:webHidden/>
              </w:rPr>
              <w:instrText xml:space="preserve"> PAGEREF _Toc224638522 \h </w:instrText>
            </w:r>
            <w:r>
              <w:rPr>
                <w:noProof/>
                <w:webHidden/>
              </w:rPr>
            </w:r>
            <w:r>
              <w:rPr>
                <w:noProof/>
                <w:webHidden/>
              </w:rPr>
              <w:fldChar w:fldCharType="separate"/>
            </w:r>
            <w:r>
              <w:rPr>
                <w:noProof/>
                <w:webHidden/>
              </w:rPr>
              <w:t>5</w:t>
            </w:r>
            <w:r>
              <w:rPr>
                <w:noProof/>
                <w:webHidden/>
              </w:rPr>
              <w:fldChar w:fldCharType="end"/>
            </w:r>
          </w:hyperlink>
        </w:p>
        <w:p w:rsidR="00243901" w:rsidRDefault="00243901" w14:paraId="7603A290" w14:textId="3E4C829D">
          <w:pPr>
            <w:pStyle w:val="TOC1"/>
            <w:tabs>
              <w:tab w:val="right" w:leader="dot" w:pos="9016"/>
            </w:tabs>
            <w:rPr>
              <w:noProof/>
            </w:rPr>
          </w:pPr>
          <w:hyperlink w:history="1" w:anchor="_Toc224638523">
            <w:r w:rsidRPr="004166D2">
              <w:rPr>
                <w:rStyle w:val="Hyperlink"/>
                <w:noProof/>
              </w:rPr>
              <w:t>Task 3: Research Methodologies</w:t>
            </w:r>
            <w:r>
              <w:rPr>
                <w:noProof/>
                <w:webHidden/>
              </w:rPr>
              <w:tab/>
            </w:r>
            <w:r>
              <w:rPr>
                <w:noProof/>
                <w:webHidden/>
              </w:rPr>
              <w:fldChar w:fldCharType="begin"/>
            </w:r>
            <w:r>
              <w:rPr>
                <w:noProof/>
                <w:webHidden/>
              </w:rPr>
              <w:instrText xml:space="preserve"> PAGEREF _Toc224638523 \h </w:instrText>
            </w:r>
            <w:r>
              <w:rPr>
                <w:noProof/>
                <w:webHidden/>
              </w:rPr>
            </w:r>
            <w:r>
              <w:rPr>
                <w:noProof/>
                <w:webHidden/>
              </w:rPr>
              <w:fldChar w:fldCharType="separate"/>
            </w:r>
            <w:r>
              <w:rPr>
                <w:noProof/>
                <w:webHidden/>
              </w:rPr>
              <w:t>7</w:t>
            </w:r>
            <w:r>
              <w:rPr>
                <w:noProof/>
                <w:webHidden/>
              </w:rPr>
              <w:fldChar w:fldCharType="end"/>
            </w:r>
          </w:hyperlink>
        </w:p>
        <w:p w:rsidR="00243901" w:rsidRDefault="00243901" w14:paraId="04806826" w14:textId="43D09C9B">
          <w:pPr>
            <w:pStyle w:val="TOC1"/>
            <w:tabs>
              <w:tab w:val="right" w:leader="dot" w:pos="9016"/>
            </w:tabs>
            <w:rPr>
              <w:noProof/>
            </w:rPr>
          </w:pPr>
          <w:hyperlink w:history="1" w:anchor="_Toc224638524">
            <w:r w:rsidRPr="004166D2">
              <w:rPr>
                <w:rStyle w:val="Hyperlink"/>
                <w:noProof/>
              </w:rPr>
              <w:t>Task 4: Data Collection</w:t>
            </w:r>
            <w:r>
              <w:rPr>
                <w:noProof/>
                <w:webHidden/>
              </w:rPr>
              <w:tab/>
            </w:r>
            <w:r>
              <w:rPr>
                <w:noProof/>
                <w:webHidden/>
              </w:rPr>
              <w:fldChar w:fldCharType="begin"/>
            </w:r>
            <w:r>
              <w:rPr>
                <w:noProof/>
                <w:webHidden/>
              </w:rPr>
              <w:instrText xml:space="preserve"> PAGEREF _Toc224638524 \h </w:instrText>
            </w:r>
            <w:r>
              <w:rPr>
                <w:noProof/>
                <w:webHidden/>
              </w:rPr>
            </w:r>
            <w:r>
              <w:rPr>
                <w:noProof/>
                <w:webHidden/>
              </w:rPr>
              <w:fldChar w:fldCharType="separate"/>
            </w:r>
            <w:r>
              <w:rPr>
                <w:noProof/>
                <w:webHidden/>
              </w:rPr>
              <w:t>8</w:t>
            </w:r>
            <w:r>
              <w:rPr>
                <w:noProof/>
                <w:webHidden/>
              </w:rPr>
              <w:fldChar w:fldCharType="end"/>
            </w:r>
          </w:hyperlink>
        </w:p>
        <w:p w:rsidR="00243901" w:rsidRDefault="00243901" w14:paraId="4D283AC4" w14:textId="764D784C">
          <w:pPr>
            <w:pStyle w:val="TOC1"/>
            <w:tabs>
              <w:tab w:val="right" w:leader="dot" w:pos="9016"/>
            </w:tabs>
            <w:rPr>
              <w:noProof/>
            </w:rPr>
          </w:pPr>
          <w:hyperlink w:history="1" w:anchor="_Toc224638525">
            <w:r w:rsidRPr="004166D2">
              <w:rPr>
                <w:rStyle w:val="Hyperlink"/>
                <w:noProof/>
              </w:rPr>
              <w:t>Conclusion</w:t>
            </w:r>
            <w:r>
              <w:rPr>
                <w:noProof/>
                <w:webHidden/>
              </w:rPr>
              <w:tab/>
            </w:r>
            <w:r>
              <w:rPr>
                <w:noProof/>
                <w:webHidden/>
              </w:rPr>
              <w:fldChar w:fldCharType="begin"/>
            </w:r>
            <w:r>
              <w:rPr>
                <w:noProof/>
                <w:webHidden/>
              </w:rPr>
              <w:instrText xml:space="preserve"> PAGEREF _Toc224638525 \h </w:instrText>
            </w:r>
            <w:r>
              <w:rPr>
                <w:noProof/>
                <w:webHidden/>
              </w:rPr>
            </w:r>
            <w:r>
              <w:rPr>
                <w:noProof/>
                <w:webHidden/>
              </w:rPr>
              <w:fldChar w:fldCharType="separate"/>
            </w:r>
            <w:r>
              <w:rPr>
                <w:noProof/>
                <w:webHidden/>
              </w:rPr>
              <w:t>9</w:t>
            </w:r>
            <w:r>
              <w:rPr>
                <w:noProof/>
                <w:webHidden/>
              </w:rPr>
              <w:fldChar w:fldCharType="end"/>
            </w:r>
          </w:hyperlink>
        </w:p>
        <w:p w:rsidR="00243901" w:rsidRDefault="00243901" w14:paraId="1B635D8D" w14:textId="2A063BB3">
          <w:pPr>
            <w:pStyle w:val="TOC1"/>
            <w:tabs>
              <w:tab w:val="right" w:leader="dot" w:pos="9016"/>
            </w:tabs>
            <w:rPr>
              <w:noProof/>
            </w:rPr>
          </w:pPr>
          <w:hyperlink w:history="1" w:anchor="_Toc224638526">
            <w:r w:rsidRPr="004166D2">
              <w:rPr>
                <w:rStyle w:val="Hyperlink"/>
                <w:noProof/>
              </w:rPr>
              <w:t>Reference List</w:t>
            </w:r>
            <w:r>
              <w:rPr>
                <w:noProof/>
                <w:webHidden/>
              </w:rPr>
              <w:tab/>
            </w:r>
            <w:r>
              <w:rPr>
                <w:noProof/>
                <w:webHidden/>
              </w:rPr>
              <w:fldChar w:fldCharType="begin"/>
            </w:r>
            <w:r>
              <w:rPr>
                <w:noProof/>
                <w:webHidden/>
              </w:rPr>
              <w:instrText xml:space="preserve"> PAGEREF _Toc224638526 \h </w:instrText>
            </w:r>
            <w:r>
              <w:rPr>
                <w:noProof/>
                <w:webHidden/>
              </w:rPr>
            </w:r>
            <w:r>
              <w:rPr>
                <w:noProof/>
                <w:webHidden/>
              </w:rPr>
              <w:fldChar w:fldCharType="separate"/>
            </w:r>
            <w:r>
              <w:rPr>
                <w:noProof/>
                <w:webHidden/>
              </w:rPr>
              <w:t>10</w:t>
            </w:r>
            <w:r>
              <w:rPr>
                <w:noProof/>
                <w:webHidden/>
              </w:rPr>
              <w:fldChar w:fldCharType="end"/>
            </w:r>
          </w:hyperlink>
        </w:p>
        <w:p w:rsidR="00243901" w:rsidRDefault="00243901" w14:paraId="647679A2" w14:textId="4C2D0550">
          <w:r>
            <w:rPr>
              <w:b/>
              <w:bCs/>
              <w:noProof/>
            </w:rPr>
            <w:fldChar w:fldCharType="end"/>
          </w:r>
        </w:p>
      </w:sdtContent>
    </w:sdt>
    <w:p w:rsidR="00C05105" w:rsidP="00C05105" w:rsidRDefault="00C05105" w14:paraId="46B73136" w14:textId="77777777">
      <w:pPr>
        <w:pStyle w:val="Title"/>
        <w:jc w:val="center"/>
      </w:pPr>
    </w:p>
    <w:p w:rsidR="00C05105" w:rsidP="00C05105" w:rsidRDefault="00C05105" w14:paraId="5F579922" w14:textId="77777777">
      <w:pPr>
        <w:pStyle w:val="Title"/>
        <w:jc w:val="center"/>
      </w:pPr>
    </w:p>
    <w:p w:rsidR="00C05105" w:rsidP="00C05105" w:rsidRDefault="00C05105" w14:paraId="4D68C49F" w14:textId="77777777">
      <w:pPr>
        <w:pStyle w:val="Title"/>
        <w:jc w:val="center"/>
      </w:pPr>
    </w:p>
    <w:p w:rsidR="00C05105" w:rsidP="00C05105" w:rsidRDefault="00C05105" w14:paraId="467F1295" w14:textId="77777777">
      <w:pPr>
        <w:pStyle w:val="Title"/>
        <w:jc w:val="center"/>
      </w:pPr>
    </w:p>
    <w:p w:rsidR="00C05105" w:rsidP="00C05105" w:rsidRDefault="00C05105" w14:paraId="45CDCCC0" w14:textId="77777777">
      <w:pPr>
        <w:pStyle w:val="Title"/>
        <w:jc w:val="center"/>
      </w:pPr>
    </w:p>
    <w:p w:rsidR="00C05105" w:rsidP="00C05105" w:rsidRDefault="00C05105" w14:paraId="1A7D50FA" w14:textId="77777777">
      <w:pPr>
        <w:pStyle w:val="Title"/>
        <w:jc w:val="center"/>
      </w:pPr>
    </w:p>
    <w:p w:rsidR="00C05105" w:rsidP="00C05105" w:rsidRDefault="00C05105" w14:paraId="70600E81" w14:textId="77777777">
      <w:pPr>
        <w:pStyle w:val="Title"/>
        <w:jc w:val="center"/>
      </w:pPr>
    </w:p>
    <w:p w:rsidR="00C05105" w:rsidP="00C05105" w:rsidRDefault="00C05105" w14:paraId="5824F468" w14:textId="77777777">
      <w:pPr>
        <w:pStyle w:val="Title"/>
        <w:jc w:val="center"/>
      </w:pPr>
    </w:p>
    <w:p w:rsidR="00C05105" w:rsidP="00C05105" w:rsidRDefault="00C05105" w14:paraId="34ECBA04" w14:textId="77777777">
      <w:pPr>
        <w:pStyle w:val="Title"/>
        <w:jc w:val="center"/>
      </w:pPr>
    </w:p>
    <w:p w:rsidR="00C05105" w:rsidP="00C05105" w:rsidRDefault="00C05105" w14:paraId="0306F06B" w14:textId="77777777">
      <w:pPr>
        <w:pStyle w:val="Title"/>
        <w:jc w:val="center"/>
      </w:pPr>
    </w:p>
    <w:p w:rsidRPr="00C05105" w:rsidR="00C05105" w:rsidP="00C05105" w:rsidRDefault="00C05105" w14:paraId="3D1DA6D2" w14:textId="77777777"/>
    <w:p w:rsidRPr="00C05105" w:rsidR="00C05105" w:rsidP="00C05105" w:rsidRDefault="00C05105" w14:paraId="46382A7B" w14:textId="1E1321D6">
      <w:pPr>
        <w:pStyle w:val="Title"/>
        <w:jc w:val="center"/>
      </w:pPr>
      <w:r w:rsidRPr="00C05105">
        <w:t>Staff Burnout in the NHS: A Research Proposal on Workforce Wellbeing in UK Healthcare</w:t>
      </w:r>
    </w:p>
    <w:p w:rsidRPr="00C05105" w:rsidR="00C05105" w:rsidP="00C05105" w:rsidRDefault="00C05105" w14:paraId="73C295FC" w14:textId="0164055A">
      <w:pPr>
        <w:spacing w:line="360" w:lineRule="auto"/>
        <w:jc w:val="both"/>
        <w:rPr>
          <w:rFonts w:ascii="Arial" w:hAnsi="Arial" w:cs="Arial"/>
          <w:sz w:val="22"/>
          <w:szCs w:val="22"/>
        </w:rPr>
      </w:pPr>
    </w:p>
    <w:p w:rsidRPr="00C05105" w:rsidR="00C05105" w:rsidP="00C05105" w:rsidRDefault="00C05105" w14:paraId="0B00D491" w14:textId="5E532DD6">
      <w:pPr>
        <w:pStyle w:val="Heading1"/>
      </w:pPr>
      <w:bookmarkStart w:name="_Toc224638520" w:id="0"/>
      <w:r w:rsidRPr="00C05105">
        <w:t>Introduction</w:t>
      </w:r>
      <w:bookmarkEnd w:id="0"/>
    </w:p>
    <w:p w:rsidRPr="00C05105" w:rsidR="00C05105" w:rsidP="00C05105" w:rsidRDefault="00C05105" w14:paraId="1163BBC2" w14:textId="77777777">
      <w:pPr>
        <w:spacing w:line="360" w:lineRule="auto"/>
        <w:jc w:val="both"/>
        <w:rPr>
          <w:rFonts w:ascii="Arial" w:hAnsi="Arial" w:cs="Arial"/>
          <w:sz w:val="22"/>
          <w:szCs w:val="22"/>
        </w:rPr>
      </w:pPr>
      <w:r w:rsidRPr="00C05105">
        <w:rPr>
          <w:rFonts w:ascii="Arial" w:hAnsi="Arial" w:cs="Arial"/>
          <w:sz w:val="22"/>
          <w:szCs w:val="22"/>
        </w:rPr>
        <w:t>Staff burnout has become a critical and increasingly visible issue within the UK healthcare system, particularly in the National Health Service (NHS), where rising patient demand, workforce shortages, and ongoing resource constraints place sustained pressure on healthcare professionals. These pressures have intensified in recent years, especially following the COVID-19 pandemic, further exposing vulnerabilities within the healthcare workforce and highlighting the importance of staff wellbeing for service sustainability. Burnout is defined as a syndrome resulting from chronic workplace stress that has not been successfully managed and is classified as an occupational phenomenon rather than a medical condition (World Health Organization, 2019; Maslach and Leiter, 2016). It is typically characterised by emotional exhaustion, depersonalisation, and reduced professional effectiveness, all of which can negatively impact both staff performance and patient outcomes.</w:t>
      </w:r>
    </w:p>
    <w:p w:rsidRPr="00C05105" w:rsidR="00C05105" w:rsidP="00C05105" w:rsidRDefault="00C05105" w14:paraId="3A26ACC9" w14:textId="77777777">
      <w:pPr>
        <w:spacing w:line="360" w:lineRule="auto"/>
        <w:jc w:val="both"/>
        <w:rPr>
          <w:rFonts w:ascii="Arial" w:hAnsi="Arial" w:cs="Arial"/>
          <w:sz w:val="22"/>
          <w:szCs w:val="22"/>
        </w:rPr>
      </w:pPr>
      <w:r w:rsidRPr="00C05105">
        <w:rPr>
          <w:rFonts w:ascii="Arial" w:hAnsi="Arial" w:cs="Arial"/>
          <w:sz w:val="22"/>
          <w:szCs w:val="22"/>
        </w:rPr>
        <w:t>This report examines staff burnout in the NHS as a current and significant health and social care issue. It explores the scale and impact of burnout, evaluates key academic and policy sources, and outlines a proposed research approach, including appropriate methodologies and data collection strategies, to better understand and address workforce wellbeing within healthcare settings</w:t>
      </w:r>
    </w:p>
    <w:p w:rsidR="00C05105" w:rsidP="00C05105" w:rsidRDefault="00C05105" w14:paraId="02436F1E" w14:textId="3812525E">
      <w:pPr>
        <w:spacing w:line="360" w:lineRule="auto"/>
        <w:jc w:val="both"/>
        <w:rPr>
          <w:rFonts w:ascii="Arial" w:hAnsi="Arial" w:cs="Arial"/>
          <w:sz w:val="22"/>
          <w:szCs w:val="22"/>
        </w:rPr>
      </w:pPr>
    </w:p>
    <w:p w:rsidR="00C05105" w:rsidP="00C05105" w:rsidRDefault="00C05105" w14:paraId="578F233D" w14:textId="77777777">
      <w:pPr>
        <w:spacing w:line="360" w:lineRule="auto"/>
        <w:jc w:val="both"/>
        <w:rPr>
          <w:rFonts w:ascii="Arial" w:hAnsi="Arial" w:cs="Arial"/>
          <w:sz w:val="22"/>
          <w:szCs w:val="22"/>
        </w:rPr>
      </w:pPr>
    </w:p>
    <w:p w:rsidR="00C05105" w:rsidP="00C05105" w:rsidRDefault="00C05105" w14:paraId="3E5699EA" w14:textId="77777777">
      <w:pPr>
        <w:spacing w:line="360" w:lineRule="auto"/>
        <w:jc w:val="both"/>
        <w:rPr>
          <w:rFonts w:ascii="Arial" w:hAnsi="Arial" w:cs="Arial"/>
          <w:sz w:val="22"/>
          <w:szCs w:val="22"/>
        </w:rPr>
      </w:pPr>
    </w:p>
    <w:p w:rsidR="00C05105" w:rsidP="00C05105" w:rsidRDefault="00C05105" w14:paraId="4C711491" w14:textId="77777777">
      <w:pPr>
        <w:pStyle w:val="Heading1"/>
      </w:pPr>
    </w:p>
    <w:p w:rsidRPr="00243901" w:rsidR="00243901" w:rsidP="00243901" w:rsidRDefault="00243901" w14:paraId="323D1EB1" w14:textId="77777777"/>
    <w:p w:rsidR="00243901" w:rsidP="00C05105" w:rsidRDefault="00243901" w14:paraId="40CEA6C3" w14:textId="77777777">
      <w:pPr>
        <w:pStyle w:val="Heading1"/>
        <w:rPr>
          <w:b/>
          <w:bCs/>
        </w:rPr>
      </w:pPr>
      <w:bookmarkStart w:name="_Toc224638521" w:id="1"/>
    </w:p>
    <w:p w:rsidR="00243901" w:rsidP="00C05105" w:rsidRDefault="00243901" w14:paraId="064E34DA" w14:textId="77777777">
      <w:pPr>
        <w:pStyle w:val="Heading1"/>
        <w:rPr>
          <w:b/>
          <w:bCs/>
        </w:rPr>
      </w:pPr>
    </w:p>
    <w:p w:rsidRPr="00C05105" w:rsidR="00C05105" w:rsidP="00C05105" w:rsidRDefault="00C05105" w14:paraId="700A7171" w14:textId="52E069F8">
      <w:pPr>
        <w:pStyle w:val="Heading1"/>
        <w:rPr>
          <w:b/>
          <w:bCs/>
        </w:rPr>
      </w:pPr>
      <w:r w:rsidRPr="00C05105">
        <w:rPr>
          <w:b/>
          <w:bCs/>
        </w:rPr>
        <w:t>Task 1: Selection of a Research Topic</w:t>
      </w:r>
      <w:bookmarkEnd w:id="1"/>
      <w:r w:rsidRPr="00C05105">
        <w:rPr>
          <w:b/>
          <w:bCs/>
        </w:rPr>
        <w:t xml:space="preserve"> </w:t>
      </w:r>
    </w:p>
    <w:p w:rsidRPr="00C05105" w:rsidR="00C05105" w:rsidP="00C05105" w:rsidRDefault="00C05105" w14:paraId="5BAEE7F3" w14:textId="77777777">
      <w:pPr>
        <w:spacing w:line="360" w:lineRule="auto"/>
        <w:jc w:val="both"/>
        <w:rPr>
          <w:rFonts w:ascii="Arial" w:hAnsi="Arial" w:cs="Arial"/>
          <w:sz w:val="22"/>
          <w:szCs w:val="22"/>
        </w:rPr>
      </w:pPr>
      <w:r w:rsidRPr="00C05105">
        <w:rPr>
          <w:rFonts w:ascii="Arial" w:hAnsi="Arial" w:cs="Arial"/>
          <w:sz w:val="22"/>
          <w:szCs w:val="22"/>
        </w:rPr>
        <w:t>Staff burnout in the NHS represents a significant and ongoing challenge within the UK health and social care sector. Burnout occurs when healthcare professionals are exposed to prolonged stress caused by factors such as high workloads, emotional demands, and insufficient organisational support. Evidence suggests that staffing shortages and increasing patient demand have intensified pressure on NHS staff, contributing to rising levels of stress and fatigue (NHS England, 2023; Nuffield Trust, 2023).</w:t>
      </w:r>
    </w:p>
    <w:p w:rsidRPr="00C05105" w:rsidR="00C05105" w:rsidP="00C05105" w:rsidRDefault="00C05105" w14:paraId="60053569" w14:textId="77777777">
      <w:pPr>
        <w:spacing w:line="360" w:lineRule="auto"/>
        <w:jc w:val="both"/>
        <w:rPr>
          <w:rFonts w:ascii="Arial" w:hAnsi="Arial" w:cs="Arial"/>
          <w:sz w:val="22"/>
          <w:szCs w:val="22"/>
        </w:rPr>
      </w:pPr>
      <w:r w:rsidRPr="00C05105">
        <w:rPr>
          <w:rFonts w:ascii="Arial" w:hAnsi="Arial" w:cs="Arial"/>
          <w:sz w:val="22"/>
          <w:szCs w:val="22"/>
        </w:rPr>
        <w:t>The issue affects multiple stakeholders. Healthcare professionals are directly impacted through reduced mental wellbeing, increased risk of anxiety and depression, and lower job satisfaction. From an organisational perspective, burnout leads to increased absenteeism, staff turnover, and reduced efficiency, placing additional strain on healthcare services (The Health Foundation, 2022). Furthermore, burnout has implications for patient safety, as it is associated with higher rates of medical errors and reduced quality of care (West, Dyrbye and Shanafelt, 2018).</w:t>
      </w:r>
    </w:p>
    <w:p w:rsidRPr="00C05105" w:rsidR="00C05105" w:rsidP="00C05105" w:rsidRDefault="00C05105" w14:paraId="42DED8B5" w14:textId="77777777">
      <w:pPr>
        <w:spacing w:line="360" w:lineRule="auto"/>
        <w:jc w:val="both"/>
        <w:rPr>
          <w:rFonts w:ascii="Arial" w:hAnsi="Arial" w:cs="Arial"/>
          <w:sz w:val="22"/>
          <w:szCs w:val="22"/>
        </w:rPr>
      </w:pPr>
      <w:r w:rsidRPr="00C05105">
        <w:rPr>
          <w:rFonts w:ascii="Arial" w:hAnsi="Arial" w:cs="Arial"/>
          <w:sz w:val="22"/>
          <w:szCs w:val="22"/>
        </w:rPr>
        <w:t>This issue is particularly important because it affects the sustainability of the NHS. Workforce pressures have been identified as one of the most significant challenges facing the healthcare system, requiring both organisational and policy-level interventions (The King’s Fund, 2022). Addressing burnout is therefore essential for maintaining service quality and ensuring long-term workforce resilience.</w:t>
      </w:r>
    </w:p>
    <w:p w:rsidR="00C05105" w:rsidP="00C05105" w:rsidRDefault="00C05105" w14:paraId="7A2C703E" w14:textId="77777777">
      <w:pPr>
        <w:spacing w:line="360" w:lineRule="auto"/>
        <w:jc w:val="both"/>
        <w:rPr>
          <w:rFonts w:ascii="Arial" w:hAnsi="Arial" w:cs="Arial"/>
          <w:sz w:val="22"/>
          <w:szCs w:val="22"/>
        </w:rPr>
      </w:pPr>
      <w:r w:rsidRPr="00C05105">
        <w:rPr>
          <w:rFonts w:ascii="Arial" w:hAnsi="Arial" w:cs="Arial"/>
          <w:sz w:val="22"/>
          <w:szCs w:val="22"/>
        </w:rPr>
        <w:t>I chose this topic because it is closely aligned with my studies in health and social care and my interest in improving organisational performance and employee wellbeing. Understanding burnout is important for my future career, as I aim to work in environments that prioritise staff wellbeing alongside patient care. This topic also provides an opportunity to explore real-world challenges within the NHS and develop relevant research skills.</w:t>
      </w:r>
    </w:p>
    <w:p w:rsidR="00C05105" w:rsidP="00C05105" w:rsidRDefault="00C05105" w14:paraId="4E3DF3B1" w14:textId="77777777">
      <w:pPr>
        <w:spacing w:line="360" w:lineRule="auto"/>
        <w:jc w:val="both"/>
        <w:rPr>
          <w:rFonts w:ascii="Arial" w:hAnsi="Arial" w:cs="Arial"/>
          <w:sz w:val="22"/>
          <w:szCs w:val="22"/>
        </w:rPr>
      </w:pPr>
    </w:p>
    <w:p w:rsidR="00C05105" w:rsidP="00C05105" w:rsidRDefault="00C05105" w14:paraId="4B17C5D1" w14:textId="77777777">
      <w:pPr>
        <w:spacing w:line="360" w:lineRule="auto"/>
        <w:jc w:val="both"/>
        <w:rPr>
          <w:rFonts w:ascii="Arial" w:hAnsi="Arial" w:cs="Arial"/>
          <w:sz w:val="22"/>
          <w:szCs w:val="22"/>
        </w:rPr>
      </w:pPr>
    </w:p>
    <w:p w:rsidR="00C05105" w:rsidP="00C05105" w:rsidRDefault="00C05105" w14:paraId="04764B1B" w14:textId="77777777">
      <w:pPr>
        <w:spacing w:line="360" w:lineRule="auto"/>
        <w:jc w:val="both"/>
        <w:rPr>
          <w:rFonts w:ascii="Arial" w:hAnsi="Arial" w:cs="Arial"/>
          <w:sz w:val="22"/>
          <w:szCs w:val="22"/>
        </w:rPr>
      </w:pPr>
    </w:p>
    <w:p w:rsidR="00C05105" w:rsidP="00C05105" w:rsidRDefault="00C05105" w14:paraId="36A79520" w14:textId="77777777">
      <w:pPr>
        <w:spacing w:line="360" w:lineRule="auto"/>
        <w:jc w:val="both"/>
        <w:rPr>
          <w:rFonts w:ascii="Arial" w:hAnsi="Arial" w:cs="Arial"/>
          <w:sz w:val="22"/>
          <w:szCs w:val="22"/>
        </w:rPr>
      </w:pPr>
    </w:p>
    <w:p w:rsidR="00C05105" w:rsidP="00C05105" w:rsidRDefault="00C05105" w14:paraId="5B0DE6BF" w14:textId="77777777">
      <w:pPr>
        <w:spacing w:line="360" w:lineRule="auto"/>
        <w:jc w:val="both"/>
        <w:rPr>
          <w:rFonts w:ascii="Arial" w:hAnsi="Arial" w:cs="Arial"/>
          <w:sz w:val="22"/>
          <w:szCs w:val="22"/>
        </w:rPr>
      </w:pPr>
    </w:p>
    <w:p w:rsidRPr="00C05105" w:rsidR="00C05105" w:rsidP="00C05105" w:rsidRDefault="00C05105" w14:paraId="15DAE839" w14:textId="2F9582BF">
      <w:pPr>
        <w:pStyle w:val="Heading1"/>
      </w:pPr>
    </w:p>
    <w:p w:rsidRPr="00C05105" w:rsidR="00C05105" w:rsidP="00C05105" w:rsidRDefault="00C05105" w14:paraId="0A0B8330" w14:textId="0F88ED92">
      <w:pPr>
        <w:pStyle w:val="Heading1"/>
        <w:rPr>
          <w:b/>
          <w:bCs/>
        </w:rPr>
      </w:pPr>
      <w:bookmarkStart w:name="_Toc224638522" w:id="2"/>
      <w:r w:rsidRPr="00C05105">
        <w:rPr>
          <w:b/>
          <w:bCs/>
        </w:rPr>
        <w:t>Task 2: Evaluating Information Sources</w:t>
      </w:r>
      <w:bookmarkEnd w:id="2"/>
    </w:p>
    <w:p w:rsidRPr="00C05105" w:rsidR="00C05105" w:rsidP="00C05105" w:rsidRDefault="00C05105" w14:paraId="76B48FEB" w14:textId="77777777">
      <w:pPr>
        <w:spacing w:line="360" w:lineRule="auto"/>
        <w:jc w:val="both"/>
        <w:rPr>
          <w:rFonts w:ascii="Arial" w:hAnsi="Arial" w:cs="Arial"/>
          <w:sz w:val="22"/>
          <w:szCs w:val="22"/>
        </w:rPr>
      </w:pPr>
      <w:r w:rsidRPr="00C05105">
        <w:rPr>
          <w:rFonts w:ascii="Arial" w:hAnsi="Arial" w:cs="Arial"/>
          <w:sz w:val="22"/>
          <w:szCs w:val="22"/>
        </w:rPr>
        <w:t>To explore staff burnout in the NHS, three key sources were selected for detailed evaluation: NHS England (2023), The King’s Fund (2022), and West, Dyrbye and Shanafelt (2018). Additional supporting sources include the Nuffield Trust (2023) and The Health Foundation (2022).</w:t>
      </w:r>
    </w:p>
    <w:p w:rsidRPr="00C05105" w:rsidR="00C05105" w:rsidP="00C05105" w:rsidRDefault="00C05105" w14:paraId="08020F27" w14:textId="77777777">
      <w:pPr>
        <w:spacing w:line="360" w:lineRule="auto"/>
        <w:jc w:val="both"/>
        <w:rPr>
          <w:rFonts w:ascii="Arial" w:hAnsi="Arial" w:cs="Arial"/>
          <w:sz w:val="22"/>
          <w:szCs w:val="22"/>
        </w:rPr>
      </w:pPr>
      <w:r w:rsidRPr="00C05105">
        <w:rPr>
          <w:rFonts w:ascii="Arial" w:hAnsi="Arial" w:cs="Arial"/>
          <w:sz w:val="22"/>
          <w:szCs w:val="22"/>
        </w:rPr>
        <w:t>The first source, NHS England (2023), provides official information on workforce wellbeing and organisational support strategies. It highlights the impact of staffing shortages and workload pressures on staff stress levels. The main strength of this source is its relevance and authority, as it is produced by a national healthcare body. It provides current and policy-focused information, making it highly applicable to the NHS context. However, it is largely descriptive and focuses on organisational responses rather than critically analysing the root causes of burnout or individual staff experiences.</w:t>
      </w:r>
    </w:p>
    <w:p w:rsidRPr="00C05105" w:rsidR="00C05105" w:rsidP="00C05105" w:rsidRDefault="00C05105" w14:paraId="520C0A7B" w14:textId="77777777">
      <w:pPr>
        <w:spacing w:line="360" w:lineRule="auto"/>
        <w:jc w:val="both"/>
        <w:rPr>
          <w:rFonts w:ascii="Arial" w:hAnsi="Arial" w:cs="Arial"/>
          <w:sz w:val="22"/>
          <w:szCs w:val="22"/>
        </w:rPr>
      </w:pPr>
      <w:r w:rsidRPr="00C05105">
        <w:rPr>
          <w:rFonts w:ascii="Arial" w:hAnsi="Arial" w:cs="Arial"/>
          <w:sz w:val="22"/>
          <w:szCs w:val="22"/>
        </w:rPr>
        <w:t>The second source, The King’s Fund (2022), offers an independent and analytical perspective on NHS workforce challenges. It examines how burnout affects staff retention, service delivery, and long-term system sustainability. Compared to NHS England, this source provides a more critical evaluation of structural issues, such as funding constraints and workforce planning. This makes it particularly valuable for understanding burnout as a systemic problem. However, its broader policy focus means it may not provide detailed insights into specific clinical roles or frontline experiences.</w:t>
      </w:r>
    </w:p>
    <w:p w:rsidRPr="00C05105" w:rsidR="00C05105" w:rsidP="00C05105" w:rsidRDefault="00C05105" w14:paraId="32FAFD2E" w14:textId="77777777">
      <w:pPr>
        <w:spacing w:line="360" w:lineRule="auto"/>
        <w:jc w:val="both"/>
        <w:rPr>
          <w:rFonts w:ascii="Arial" w:hAnsi="Arial" w:cs="Arial"/>
          <w:sz w:val="22"/>
          <w:szCs w:val="22"/>
        </w:rPr>
      </w:pPr>
      <w:r w:rsidRPr="00C05105">
        <w:rPr>
          <w:rFonts w:ascii="Arial" w:hAnsi="Arial" w:cs="Arial"/>
          <w:sz w:val="22"/>
          <w:szCs w:val="22"/>
        </w:rPr>
        <w:t xml:space="preserve">The third source, West, Dyrbye and Shanafelt (2018), published in the </w:t>
      </w:r>
      <w:r w:rsidRPr="00C05105">
        <w:rPr>
          <w:rFonts w:ascii="Arial" w:hAnsi="Arial" w:cs="Arial"/>
          <w:i/>
          <w:iCs/>
          <w:sz w:val="22"/>
          <w:szCs w:val="22"/>
        </w:rPr>
        <w:t>BMJ</w:t>
      </w:r>
      <w:r w:rsidRPr="00C05105">
        <w:rPr>
          <w:rFonts w:ascii="Arial" w:hAnsi="Arial" w:cs="Arial"/>
          <w:sz w:val="22"/>
          <w:szCs w:val="22"/>
        </w:rPr>
        <w:t>, provides strong empirical evidence linking burnout to patient safety outcomes. The study demonstrates that burnout is associated with increased medical errors and reduced quality of care. This peer-reviewed source adds academic credibility and supports the argument that burnout has serious implications beyond staff wellbeing. However, one limitation is that it is not exclusively focused on the UK, which may affect its direct applicability to the NHS context.</w:t>
      </w:r>
    </w:p>
    <w:p w:rsidR="00C05105" w:rsidP="00C05105" w:rsidRDefault="00C05105" w14:paraId="39A3AD7C" w14:textId="77777777">
      <w:pPr>
        <w:spacing w:line="360" w:lineRule="auto"/>
        <w:jc w:val="both"/>
        <w:rPr>
          <w:rFonts w:ascii="Arial" w:hAnsi="Arial" w:cs="Arial"/>
          <w:sz w:val="22"/>
          <w:szCs w:val="22"/>
        </w:rPr>
      </w:pPr>
      <w:r w:rsidRPr="00C05105">
        <w:rPr>
          <w:rFonts w:ascii="Arial" w:hAnsi="Arial" w:cs="Arial"/>
          <w:sz w:val="22"/>
          <w:szCs w:val="22"/>
        </w:rPr>
        <w:t xml:space="preserve">Supporting sources further strengthen the analysis. The Nuffield Trust (2023) provides statistical data on workforce shortages, reinforcing the connection between staffing pressures and burnout. Similarly, The Health Foundation (2022) highlights how long-term workforce pressures and post-pandemic challenges have contributed to increasing burnout levels among </w:t>
      </w:r>
    </w:p>
    <w:p w:rsidR="00C05105" w:rsidP="00C05105" w:rsidRDefault="00C05105" w14:paraId="4B4EFF75" w14:textId="77777777">
      <w:pPr>
        <w:spacing w:line="360" w:lineRule="auto"/>
        <w:jc w:val="both"/>
        <w:rPr>
          <w:rFonts w:ascii="Arial" w:hAnsi="Arial" w:cs="Arial"/>
          <w:sz w:val="22"/>
          <w:szCs w:val="22"/>
        </w:rPr>
      </w:pPr>
    </w:p>
    <w:p w:rsidR="00C05105" w:rsidP="00C05105" w:rsidRDefault="00C05105" w14:paraId="29A00DAC" w14:textId="77777777">
      <w:pPr>
        <w:spacing w:line="360" w:lineRule="auto"/>
        <w:jc w:val="both"/>
        <w:rPr>
          <w:rFonts w:ascii="Arial" w:hAnsi="Arial" w:cs="Arial"/>
          <w:sz w:val="22"/>
          <w:szCs w:val="22"/>
        </w:rPr>
      </w:pPr>
    </w:p>
    <w:p w:rsidRPr="00C05105" w:rsidR="00C05105" w:rsidP="00C05105" w:rsidRDefault="00C05105" w14:paraId="61CFA826" w14:textId="30AAF5AF">
      <w:pPr>
        <w:spacing w:line="360" w:lineRule="auto"/>
        <w:jc w:val="both"/>
        <w:rPr>
          <w:rFonts w:ascii="Arial" w:hAnsi="Arial" w:cs="Arial"/>
          <w:sz w:val="22"/>
          <w:szCs w:val="22"/>
        </w:rPr>
      </w:pPr>
      <w:r w:rsidRPr="00C05105">
        <w:rPr>
          <w:rFonts w:ascii="Arial" w:hAnsi="Arial" w:cs="Arial"/>
          <w:sz w:val="22"/>
          <w:szCs w:val="22"/>
        </w:rPr>
        <w:t>NHS staff. These sources complement the main references by combining data and policy analysis.</w:t>
      </w:r>
    </w:p>
    <w:p w:rsidRPr="00C05105" w:rsidR="00C05105" w:rsidP="00C05105" w:rsidRDefault="00C05105" w14:paraId="76729CDB" w14:textId="77777777">
      <w:pPr>
        <w:spacing w:line="360" w:lineRule="auto"/>
        <w:jc w:val="both"/>
        <w:rPr>
          <w:rFonts w:ascii="Arial" w:hAnsi="Arial" w:cs="Arial"/>
          <w:sz w:val="22"/>
          <w:szCs w:val="22"/>
        </w:rPr>
      </w:pPr>
      <w:r w:rsidRPr="00C05105">
        <w:rPr>
          <w:rFonts w:ascii="Arial" w:hAnsi="Arial" w:cs="Arial"/>
          <w:sz w:val="22"/>
          <w:szCs w:val="22"/>
        </w:rPr>
        <w:t>Despite the availability of credible sources, a gap remains in recent qualitative research exploring the lived experiences of NHS staff. This suggests a need for further research focusing on personal experiences, coping strategies, and organisational support mechanisms.</w:t>
      </w:r>
    </w:p>
    <w:p w:rsidR="00C05105" w:rsidP="00C05105" w:rsidRDefault="00C05105" w14:paraId="25F882B5" w14:textId="130EBB28">
      <w:pPr>
        <w:spacing w:line="360" w:lineRule="auto"/>
        <w:jc w:val="both"/>
        <w:rPr>
          <w:rFonts w:ascii="Arial" w:hAnsi="Arial" w:cs="Arial"/>
          <w:sz w:val="22"/>
          <w:szCs w:val="22"/>
        </w:rPr>
      </w:pPr>
    </w:p>
    <w:p w:rsidR="00C05105" w:rsidP="00C05105" w:rsidRDefault="00C05105" w14:paraId="3BEB9BF1" w14:textId="77777777">
      <w:pPr>
        <w:spacing w:line="360" w:lineRule="auto"/>
        <w:jc w:val="both"/>
        <w:rPr>
          <w:rFonts w:ascii="Arial" w:hAnsi="Arial" w:cs="Arial"/>
          <w:sz w:val="22"/>
          <w:szCs w:val="22"/>
        </w:rPr>
      </w:pPr>
    </w:p>
    <w:p w:rsidR="00C05105" w:rsidP="00C05105" w:rsidRDefault="00C05105" w14:paraId="61F2C7E5" w14:textId="77777777">
      <w:pPr>
        <w:spacing w:line="360" w:lineRule="auto"/>
        <w:jc w:val="both"/>
        <w:rPr>
          <w:rFonts w:ascii="Arial" w:hAnsi="Arial" w:cs="Arial"/>
          <w:sz w:val="22"/>
          <w:szCs w:val="22"/>
        </w:rPr>
      </w:pPr>
    </w:p>
    <w:p w:rsidR="00C05105" w:rsidP="00C05105" w:rsidRDefault="00C05105" w14:paraId="1E1DE8E7" w14:textId="77777777">
      <w:pPr>
        <w:spacing w:line="360" w:lineRule="auto"/>
        <w:jc w:val="both"/>
        <w:rPr>
          <w:rFonts w:ascii="Arial" w:hAnsi="Arial" w:cs="Arial"/>
          <w:sz w:val="22"/>
          <w:szCs w:val="22"/>
        </w:rPr>
      </w:pPr>
    </w:p>
    <w:p w:rsidR="00C05105" w:rsidP="00C05105" w:rsidRDefault="00C05105" w14:paraId="53888430" w14:textId="77777777">
      <w:pPr>
        <w:spacing w:line="360" w:lineRule="auto"/>
        <w:jc w:val="both"/>
        <w:rPr>
          <w:rFonts w:ascii="Arial" w:hAnsi="Arial" w:cs="Arial"/>
          <w:sz w:val="22"/>
          <w:szCs w:val="22"/>
        </w:rPr>
      </w:pPr>
    </w:p>
    <w:p w:rsidR="00C05105" w:rsidP="00C05105" w:rsidRDefault="00C05105" w14:paraId="4AA46A6D" w14:textId="77777777">
      <w:pPr>
        <w:spacing w:line="360" w:lineRule="auto"/>
        <w:jc w:val="both"/>
        <w:rPr>
          <w:rFonts w:ascii="Arial" w:hAnsi="Arial" w:cs="Arial"/>
          <w:sz w:val="22"/>
          <w:szCs w:val="22"/>
        </w:rPr>
      </w:pPr>
    </w:p>
    <w:p w:rsidR="00C05105" w:rsidP="00C05105" w:rsidRDefault="00C05105" w14:paraId="5B95382C" w14:textId="77777777">
      <w:pPr>
        <w:spacing w:line="360" w:lineRule="auto"/>
        <w:jc w:val="both"/>
        <w:rPr>
          <w:rFonts w:ascii="Arial" w:hAnsi="Arial" w:cs="Arial"/>
          <w:sz w:val="22"/>
          <w:szCs w:val="22"/>
        </w:rPr>
      </w:pPr>
    </w:p>
    <w:p w:rsidR="00C05105" w:rsidP="00C05105" w:rsidRDefault="00C05105" w14:paraId="2E3E786E" w14:textId="77777777">
      <w:pPr>
        <w:spacing w:line="360" w:lineRule="auto"/>
        <w:jc w:val="both"/>
        <w:rPr>
          <w:rFonts w:ascii="Arial" w:hAnsi="Arial" w:cs="Arial"/>
          <w:sz w:val="22"/>
          <w:szCs w:val="22"/>
        </w:rPr>
      </w:pPr>
    </w:p>
    <w:p w:rsidR="00C05105" w:rsidP="00C05105" w:rsidRDefault="00C05105" w14:paraId="42977FDB" w14:textId="77777777">
      <w:pPr>
        <w:spacing w:line="360" w:lineRule="auto"/>
        <w:jc w:val="both"/>
        <w:rPr>
          <w:rFonts w:ascii="Arial" w:hAnsi="Arial" w:cs="Arial"/>
          <w:sz w:val="22"/>
          <w:szCs w:val="22"/>
        </w:rPr>
      </w:pPr>
    </w:p>
    <w:p w:rsidR="00C05105" w:rsidP="00C05105" w:rsidRDefault="00C05105" w14:paraId="23D97B98" w14:textId="77777777">
      <w:pPr>
        <w:spacing w:line="360" w:lineRule="auto"/>
        <w:jc w:val="both"/>
        <w:rPr>
          <w:rFonts w:ascii="Arial" w:hAnsi="Arial" w:cs="Arial"/>
          <w:sz w:val="22"/>
          <w:szCs w:val="22"/>
        </w:rPr>
      </w:pPr>
    </w:p>
    <w:p w:rsidR="00C05105" w:rsidP="00C05105" w:rsidRDefault="00C05105" w14:paraId="35C8A290" w14:textId="77777777">
      <w:pPr>
        <w:spacing w:line="360" w:lineRule="auto"/>
        <w:jc w:val="both"/>
        <w:rPr>
          <w:rFonts w:ascii="Arial" w:hAnsi="Arial" w:cs="Arial"/>
          <w:sz w:val="22"/>
          <w:szCs w:val="22"/>
        </w:rPr>
      </w:pPr>
    </w:p>
    <w:p w:rsidR="00C05105" w:rsidP="00C05105" w:rsidRDefault="00C05105" w14:paraId="4743FD4B" w14:textId="77777777">
      <w:pPr>
        <w:spacing w:line="360" w:lineRule="auto"/>
        <w:jc w:val="both"/>
        <w:rPr>
          <w:rFonts w:ascii="Arial" w:hAnsi="Arial" w:cs="Arial"/>
          <w:sz w:val="22"/>
          <w:szCs w:val="22"/>
        </w:rPr>
      </w:pPr>
    </w:p>
    <w:p w:rsidR="00C05105" w:rsidP="00C05105" w:rsidRDefault="00C05105" w14:paraId="6FE397F9" w14:textId="77777777">
      <w:pPr>
        <w:spacing w:line="360" w:lineRule="auto"/>
        <w:jc w:val="both"/>
        <w:rPr>
          <w:rFonts w:ascii="Arial" w:hAnsi="Arial" w:cs="Arial"/>
          <w:sz w:val="22"/>
          <w:szCs w:val="22"/>
        </w:rPr>
      </w:pPr>
    </w:p>
    <w:p w:rsidR="00C05105" w:rsidP="00C05105" w:rsidRDefault="00C05105" w14:paraId="793B3506" w14:textId="77777777">
      <w:pPr>
        <w:spacing w:line="360" w:lineRule="auto"/>
        <w:jc w:val="both"/>
        <w:rPr>
          <w:rFonts w:ascii="Arial" w:hAnsi="Arial" w:cs="Arial"/>
          <w:sz w:val="22"/>
          <w:szCs w:val="22"/>
        </w:rPr>
      </w:pPr>
    </w:p>
    <w:p w:rsidR="00C05105" w:rsidP="00C05105" w:rsidRDefault="00C05105" w14:paraId="6E9F1B25" w14:textId="77777777">
      <w:pPr>
        <w:spacing w:line="360" w:lineRule="auto"/>
        <w:jc w:val="both"/>
        <w:rPr>
          <w:rFonts w:ascii="Arial" w:hAnsi="Arial" w:cs="Arial"/>
          <w:sz w:val="22"/>
          <w:szCs w:val="22"/>
        </w:rPr>
      </w:pPr>
    </w:p>
    <w:p w:rsidR="00C05105" w:rsidP="00C05105" w:rsidRDefault="00C05105" w14:paraId="24996925" w14:textId="77777777">
      <w:pPr>
        <w:spacing w:line="360" w:lineRule="auto"/>
        <w:jc w:val="both"/>
        <w:rPr>
          <w:rFonts w:ascii="Arial" w:hAnsi="Arial" w:cs="Arial"/>
          <w:sz w:val="22"/>
          <w:szCs w:val="22"/>
        </w:rPr>
      </w:pPr>
    </w:p>
    <w:p w:rsidR="00C05105" w:rsidP="00C05105" w:rsidRDefault="00C05105" w14:paraId="7D810E95" w14:textId="77777777">
      <w:pPr>
        <w:spacing w:line="360" w:lineRule="auto"/>
        <w:jc w:val="both"/>
        <w:rPr>
          <w:rFonts w:ascii="Arial" w:hAnsi="Arial" w:cs="Arial"/>
          <w:sz w:val="22"/>
          <w:szCs w:val="22"/>
        </w:rPr>
      </w:pPr>
    </w:p>
    <w:p w:rsidR="00C05105" w:rsidP="00C05105" w:rsidRDefault="00C05105" w14:paraId="761D128F" w14:textId="77777777">
      <w:pPr>
        <w:spacing w:line="360" w:lineRule="auto"/>
        <w:jc w:val="both"/>
        <w:rPr>
          <w:rFonts w:ascii="Arial" w:hAnsi="Arial" w:cs="Arial"/>
          <w:sz w:val="22"/>
          <w:szCs w:val="22"/>
        </w:rPr>
      </w:pPr>
    </w:p>
    <w:p w:rsidR="00C05105" w:rsidP="00C05105" w:rsidRDefault="00C05105" w14:paraId="35675215" w14:textId="77777777">
      <w:pPr>
        <w:spacing w:line="360" w:lineRule="auto"/>
        <w:jc w:val="both"/>
        <w:rPr>
          <w:rFonts w:ascii="Arial" w:hAnsi="Arial" w:cs="Arial"/>
          <w:sz w:val="22"/>
          <w:szCs w:val="22"/>
        </w:rPr>
      </w:pPr>
    </w:p>
    <w:p w:rsidR="00C05105" w:rsidP="00C05105" w:rsidRDefault="00C05105" w14:paraId="343DE916" w14:textId="77777777">
      <w:pPr>
        <w:spacing w:line="360" w:lineRule="auto"/>
        <w:jc w:val="both"/>
        <w:rPr>
          <w:rFonts w:ascii="Arial" w:hAnsi="Arial" w:cs="Arial"/>
          <w:sz w:val="22"/>
          <w:szCs w:val="22"/>
        </w:rPr>
      </w:pPr>
    </w:p>
    <w:p w:rsidR="00C05105" w:rsidP="00C05105" w:rsidRDefault="00C05105" w14:paraId="627D2957" w14:textId="77777777">
      <w:pPr>
        <w:spacing w:line="360" w:lineRule="auto"/>
        <w:jc w:val="both"/>
        <w:rPr>
          <w:rFonts w:ascii="Arial" w:hAnsi="Arial" w:cs="Arial"/>
          <w:sz w:val="22"/>
          <w:szCs w:val="22"/>
        </w:rPr>
      </w:pPr>
    </w:p>
    <w:p w:rsidRPr="00C05105" w:rsidR="00C05105" w:rsidP="00C05105" w:rsidRDefault="00C05105" w14:paraId="1E6B2775" w14:textId="77777777">
      <w:pPr>
        <w:spacing w:line="360" w:lineRule="auto"/>
        <w:jc w:val="both"/>
        <w:rPr>
          <w:rFonts w:ascii="Arial" w:hAnsi="Arial" w:cs="Arial"/>
          <w:sz w:val="22"/>
          <w:szCs w:val="22"/>
        </w:rPr>
      </w:pPr>
    </w:p>
    <w:p w:rsidRPr="00C05105" w:rsidR="00C05105" w:rsidP="00C05105" w:rsidRDefault="00C05105" w14:paraId="49BB2B0D" w14:textId="5A6CB9BB">
      <w:pPr>
        <w:pStyle w:val="Heading1"/>
      </w:pPr>
      <w:bookmarkStart w:name="_Toc224638523" w:id="3"/>
      <w:r w:rsidRPr="00C05105">
        <w:t>Task 3: Research Methodologies</w:t>
      </w:r>
      <w:bookmarkEnd w:id="3"/>
    </w:p>
    <w:p w:rsidRPr="00C05105" w:rsidR="00C05105" w:rsidP="00C05105" w:rsidRDefault="00C05105" w14:paraId="6E0B816A" w14:textId="77777777">
      <w:pPr>
        <w:spacing w:line="360" w:lineRule="auto"/>
        <w:jc w:val="both"/>
        <w:rPr>
          <w:rFonts w:ascii="Arial" w:hAnsi="Arial" w:cs="Arial"/>
          <w:sz w:val="22"/>
          <w:szCs w:val="22"/>
        </w:rPr>
      </w:pPr>
      <w:r w:rsidRPr="00C05105">
        <w:rPr>
          <w:rFonts w:ascii="Arial" w:hAnsi="Arial" w:cs="Arial"/>
          <w:sz w:val="22"/>
          <w:szCs w:val="22"/>
        </w:rPr>
        <w:t>Research methodologies refer to the systematic approaches used to collect and analyse data in order to answer a research question. The three main types of research methodologies are quantitative, qualitative, and mixed-methods research, each offering distinct advantages depending on the nature of the study.</w:t>
      </w:r>
    </w:p>
    <w:p w:rsidRPr="00C05105" w:rsidR="00C05105" w:rsidP="00C05105" w:rsidRDefault="00C05105" w14:paraId="4A70A290" w14:textId="77777777">
      <w:pPr>
        <w:spacing w:line="360" w:lineRule="auto"/>
        <w:jc w:val="both"/>
        <w:rPr>
          <w:rFonts w:ascii="Arial" w:hAnsi="Arial" w:cs="Arial"/>
          <w:sz w:val="22"/>
          <w:szCs w:val="22"/>
        </w:rPr>
      </w:pPr>
      <w:r w:rsidRPr="00C05105">
        <w:rPr>
          <w:rFonts w:ascii="Arial" w:hAnsi="Arial" w:cs="Arial"/>
          <w:sz w:val="22"/>
          <w:szCs w:val="22"/>
        </w:rPr>
        <w:t>Quantitative research involves the collection of numerical data that can be analysed using statistical techniques. For example, structured surveys measuring burnout levels among NHS staff can provide measurable and comparable data on the prevalence and severity of the issue (Bryman, 2016). This approach is particularly useful for identifying patterns, trends, and correlations across large populations, making it effective for assessing the scale of burnout within the healthcare workforce. However, it may not fully capture the complexity of individual experiences.</w:t>
      </w:r>
    </w:p>
    <w:p w:rsidRPr="00C05105" w:rsidR="00C05105" w:rsidP="00C05105" w:rsidRDefault="00C05105" w14:paraId="5E194D3F" w14:textId="77777777">
      <w:pPr>
        <w:spacing w:line="360" w:lineRule="auto"/>
        <w:jc w:val="both"/>
        <w:rPr>
          <w:rFonts w:ascii="Arial" w:hAnsi="Arial" w:cs="Arial"/>
          <w:sz w:val="22"/>
          <w:szCs w:val="22"/>
        </w:rPr>
      </w:pPr>
      <w:r w:rsidRPr="00C05105">
        <w:rPr>
          <w:rFonts w:ascii="Arial" w:hAnsi="Arial" w:cs="Arial"/>
          <w:sz w:val="22"/>
          <w:szCs w:val="22"/>
        </w:rPr>
        <w:t>Qualitative research, in contrast, focuses on non-numerical data such as interviews, focus groups, or open-ended questionnaires. This approach allows researchers to explore individuals’ experiences, perceptions, and emotions in greater depth. In the context of NHS burnout, qualitative methods can provide valuable insights into how staff perceive workplace pressures, organisational support, and the emotional impact of their roles. However, findings may be less generalisable due to smaller sample sizes.</w:t>
      </w:r>
    </w:p>
    <w:p w:rsidRPr="00C05105" w:rsidR="00C05105" w:rsidP="00C05105" w:rsidRDefault="00C05105" w14:paraId="0BB5490D" w14:textId="77777777">
      <w:pPr>
        <w:spacing w:line="360" w:lineRule="auto"/>
        <w:jc w:val="both"/>
        <w:rPr>
          <w:rFonts w:ascii="Arial" w:hAnsi="Arial" w:cs="Arial"/>
          <w:sz w:val="22"/>
          <w:szCs w:val="22"/>
        </w:rPr>
      </w:pPr>
      <w:r w:rsidRPr="00C05105">
        <w:rPr>
          <w:rFonts w:ascii="Arial" w:hAnsi="Arial" w:cs="Arial"/>
          <w:sz w:val="22"/>
          <w:szCs w:val="22"/>
        </w:rPr>
        <w:t>Mixed-methods research combines both quantitative and qualitative approaches, allowing researchers to benefit from the strengths of each. For this study, a mixed-methods approach is most appropriate, as burnout is both a measurable phenomenon and a subjective experience. Combining statistical data with personal insights enables a more comprehensive understanding of the causes, impact, and potential solutions to staff burnout, supporting more robust and evidence-based conclusions.</w:t>
      </w:r>
    </w:p>
    <w:p w:rsidR="00C05105" w:rsidP="00C05105" w:rsidRDefault="00C05105" w14:paraId="17C1007C" w14:textId="646C666F">
      <w:pPr>
        <w:spacing w:line="360" w:lineRule="auto"/>
        <w:jc w:val="both"/>
        <w:rPr>
          <w:rFonts w:ascii="Arial" w:hAnsi="Arial" w:cs="Arial"/>
          <w:sz w:val="22"/>
          <w:szCs w:val="22"/>
        </w:rPr>
      </w:pPr>
    </w:p>
    <w:p w:rsidR="00C05105" w:rsidP="00C05105" w:rsidRDefault="00C05105" w14:paraId="520822FF" w14:textId="77777777">
      <w:pPr>
        <w:spacing w:line="360" w:lineRule="auto"/>
        <w:jc w:val="both"/>
        <w:rPr>
          <w:rFonts w:ascii="Arial" w:hAnsi="Arial" w:cs="Arial"/>
          <w:sz w:val="22"/>
          <w:szCs w:val="22"/>
        </w:rPr>
      </w:pPr>
    </w:p>
    <w:p w:rsidR="00C05105" w:rsidP="00C05105" w:rsidRDefault="00C05105" w14:paraId="574C6A38" w14:textId="77777777">
      <w:pPr>
        <w:spacing w:line="360" w:lineRule="auto"/>
        <w:jc w:val="both"/>
        <w:rPr>
          <w:rFonts w:ascii="Arial" w:hAnsi="Arial" w:cs="Arial"/>
          <w:sz w:val="22"/>
          <w:szCs w:val="22"/>
        </w:rPr>
      </w:pPr>
    </w:p>
    <w:p w:rsidR="00C05105" w:rsidP="00C05105" w:rsidRDefault="00C05105" w14:paraId="232129AE" w14:textId="77777777">
      <w:pPr>
        <w:spacing w:line="360" w:lineRule="auto"/>
        <w:jc w:val="both"/>
        <w:rPr>
          <w:rFonts w:ascii="Arial" w:hAnsi="Arial" w:cs="Arial"/>
          <w:sz w:val="22"/>
          <w:szCs w:val="22"/>
        </w:rPr>
      </w:pPr>
    </w:p>
    <w:p w:rsidR="00C05105" w:rsidP="00C05105" w:rsidRDefault="00C05105" w14:paraId="6522603D" w14:textId="77777777">
      <w:pPr>
        <w:spacing w:line="360" w:lineRule="auto"/>
        <w:jc w:val="both"/>
        <w:rPr>
          <w:rFonts w:ascii="Arial" w:hAnsi="Arial" w:cs="Arial"/>
          <w:sz w:val="22"/>
          <w:szCs w:val="22"/>
        </w:rPr>
      </w:pPr>
    </w:p>
    <w:p w:rsidR="00C05105" w:rsidP="00C05105" w:rsidRDefault="00C05105" w14:paraId="689C89A2" w14:textId="77777777">
      <w:pPr>
        <w:spacing w:line="360" w:lineRule="auto"/>
        <w:jc w:val="both"/>
        <w:rPr>
          <w:rFonts w:ascii="Arial" w:hAnsi="Arial" w:cs="Arial"/>
          <w:sz w:val="22"/>
          <w:szCs w:val="22"/>
        </w:rPr>
      </w:pPr>
    </w:p>
    <w:p w:rsidRPr="00C05105" w:rsidR="00C05105" w:rsidP="00C05105" w:rsidRDefault="00C05105" w14:paraId="68FCE01A" w14:textId="77777777">
      <w:pPr>
        <w:spacing w:line="360" w:lineRule="auto"/>
        <w:jc w:val="both"/>
        <w:rPr>
          <w:rFonts w:ascii="Arial" w:hAnsi="Arial" w:cs="Arial"/>
          <w:sz w:val="22"/>
          <w:szCs w:val="22"/>
        </w:rPr>
      </w:pPr>
    </w:p>
    <w:p w:rsidRPr="00C05105" w:rsidR="00C05105" w:rsidP="00C05105" w:rsidRDefault="00C05105" w14:paraId="623C4FA4" w14:textId="501EED04">
      <w:pPr>
        <w:pStyle w:val="Heading1"/>
      </w:pPr>
      <w:bookmarkStart w:name="_Toc224638524" w:id="4"/>
      <w:r w:rsidRPr="00C05105">
        <w:t>Task 4: Data Collection</w:t>
      </w:r>
      <w:bookmarkEnd w:id="4"/>
      <w:r w:rsidRPr="00C05105">
        <w:t xml:space="preserve"> </w:t>
      </w:r>
    </w:p>
    <w:p w:rsidRPr="00C05105" w:rsidR="00C05105" w:rsidP="00C05105" w:rsidRDefault="00C05105" w14:paraId="3EC82211" w14:textId="77777777">
      <w:pPr>
        <w:spacing w:line="360" w:lineRule="auto"/>
        <w:jc w:val="both"/>
        <w:rPr>
          <w:rFonts w:ascii="Arial" w:hAnsi="Arial" w:cs="Arial"/>
          <w:sz w:val="22"/>
          <w:szCs w:val="22"/>
        </w:rPr>
      </w:pPr>
      <w:r w:rsidRPr="00C05105">
        <w:rPr>
          <w:rFonts w:ascii="Arial" w:hAnsi="Arial" w:cs="Arial"/>
          <w:sz w:val="22"/>
          <w:szCs w:val="22"/>
        </w:rPr>
        <w:t>Data collection involves gathering information to address a research question and can be divided into primary and secondary data.</w:t>
      </w:r>
    </w:p>
    <w:p w:rsidRPr="00C05105" w:rsidR="00C05105" w:rsidP="00C05105" w:rsidRDefault="00C05105" w14:paraId="1ECFB7B3" w14:textId="77777777">
      <w:pPr>
        <w:spacing w:line="360" w:lineRule="auto"/>
        <w:jc w:val="both"/>
        <w:rPr>
          <w:rFonts w:ascii="Arial" w:hAnsi="Arial" w:cs="Arial"/>
          <w:sz w:val="22"/>
          <w:szCs w:val="22"/>
        </w:rPr>
      </w:pPr>
      <w:r w:rsidRPr="00C05105">
        <w:rPr>
          <w:rFonts w:ascii="Arial" w:hAnsi="Arial" w:cs="Arial"/>
          <w:sz w:val="22"/>
          <w:szCs w:val="22"/>
        </w:rPr>
        <w:t>Primary data is collected directly by the researcher through methods such as surveys, interviews, or observations. In this study, primary data could include surveys measuring burnout levels among NHS staff and interviews exploring their personal experiences. The advantage of primary data is that it is specific and directly relevant to the research topic. However, it can be time-consuming and may require ethical approval.</w:t>
      </w:r>
    </w:p>
    <w:p w:rsidRPr="00C05105" w:rsidR="00C05105" w:rsidP="00C05105" w:rsidRDefault="00C05105" w14:paraId="21C7197B" w14:textId="77777777">
      <w:pPr>
        <w:spacing w:line="360" w:lineRule="auto"/>
        <w:jc w:val="both"/>
        <w:rPr>
          <w:rFonts w:ascii="Arial" w:hAnsi="Arial" w:cs="Arial"/>
          <w:sz w:val="22"/>
          <w:szCs w:val="22"/>
        </w:rPr>
      </w:pPr>
      <w:r w:rsidRPr="00C05105">
        <w:rPr>
          <w:rFonts w:ascii="Arial" w:hAnsi="Arial" w:cs="Arial"/>
          <w:sz w:val="22"/>
          <w:szCs w:val="22"/>
        </w:rPr>
        <w:t>Secondary data refers to existing information collected by other organisations, such as NHS reports, academic journals, and statistical data (ONS, 2023). This type of data is more accessible and cost-effective but may not fully align with the specific research objectives.</w:t>
      </w:r>
    </w:p>
    <w:p w:rsidRPr="00C05105" w:rsidR="00C05105" w:rsidP="00C05105" w:rsidRDefault="00C05105" w14:paraId="6E295A26" w14:textId="77777777">
      <w:pPr>
        <w:spacing w:line="360" w:lineRule="auto"/>
        <w:jc w:val="both"/>
        <w:rPr>
          <w:rFonts w:ascii="Arial" w:hAnsi="Arial" w:cs="Arial"/>
          <w:sz w:val="22"/>
          <w:szCs w:val="22"/>
        </w:rPr>
      </w:pPr>
      <w:r w:rsidRPr="00C05105">
        <w:rPr>
          <w:rFonts w:ascii="Arial" w:hAnsi="Arial" w:cs="Arial"/>
          <w:sz w:val="22"/>
          <w:szCs w:val="22"/>
        </w:rPr>
        <w:t>For this research, a combination of both primary and secondary data is recommended. Secondary data can provide context and identify trends, while primary data can offer detailed insights into staff experiences.</w:t>
      </w:r>
    </w:p>
    <w:p w:rsidRPr="00C05105" w:rsidR="00C05105" w:rsidP="00C05105" w:rsidRDefault="00C05105" w14:paraId="4374552C" w14:textId="77777777">
      <w:pPr>
        <w:spacing w:line="360" w:lineRule="auto"/>
        <w:jc w:val="both"/>
        <w:rPr>
          <w:rFonts w:ascii="Arial" w:hAnsi="Arial" w:cs="Arial"/>
          <w:sz w:val="22"/>
          <w:szCs w:val="22"/>
        </w:rPr>
      </w:pPr>
      <w:r w:rsidRPr="00C05105">
        <w:rPr>
          <w:rFonts w:ascii="Arial" w:hAnsi="Arial" w:cs="Arial"/>
          <w:sz w:val="22"/>
          <w:szCs w:val="22"/>
        </w:rPr>
        <w:t>For example, data from the Office for National Statistics shows that 185.6 million working days were lost due to sickness absence in the UK, highlighting the broader impact of health-related issues on workforce productivity (ONS, 2023). This supports the importance of investigating burnout as a contributing factor.</w:t>
      </w:r>
    </w:p>
    <w:p w:rsidRPr="00C05105" w:rsidR="00C05105" w:rsidP="00C05105" w:rsidRDefault="00C05105" w14:paraId="60F44C14" w14:textId="77777777">
      <w:pPr>
        <w:spacing w:line="360" w:lineRule="auto"/>
        <w:jc w:val="both"/>
        <w:rPr>
          <w:rFonts w:ascii="Arial" w:hAnsi="Arial" w:cs="Arial"/>
          <w:sz w:val="22"/>
          <w:szCs w:val="22"/>
        </w:rPr>
      </w:pPr>
      <w:r w:rsidRPr="00C05105">
        <w:rPr>
          <w:rFonts w:ascii="Arial" w:hAnsi="Arial" w:cs="Arial"/>
          <w:sz w:val="22"/>
          <w:szCs w:val="22"/>
        </w:rPr>
        <w:t>The main advantage of combining both data types is improved reliability and validity. However, challenges include ensuring data accuracy and addressing ethical considerations. Overall, using both types of data enables a more comprehensive analysis.</w:t>
      </w:r>
    </w:p>
    <w:p w:rsidR="00C05105" w:rsidP="00C05105" w:rsidRDefault="00C05105" w14:paraId="171785F7" w14:textId="4DF30BBD">
      <w:pPr>
        <w:spacing w:line="360" w:lineRule="auto"/>
        <w:jc w:val="both"/>
        <w:rPr>
          <w:rFonts w:ascii="Arial" w:hAnsi="Arial" w:cs="Arial"/>
          <w:sz w:val="22"/>
          <w:szCs w:val="22"/>
        </w:rPr>
      </w:pPr>
    </w:p>
    <w:p w:rsidR="00C05105" w:rsidP="00C05105" w:rsidRDefault="00C05105" w14:paraId="7107D735" w14:textId="77777777">
      <w:pPr>
        <w:spacing w:line="360" w:lineRule="auto"/>
        <w:jc w:val="both"/>
        <w:rPr>
          <w:rFonts w:ascii="Arial" w:hAnsi="Arial" w:cs="Arial"/>
          <w:sz w:val="22"/>
          <w:szCs w:val="22"/>
        </w:rPr>
      </w:pPr>
    </w:p>
    <w:p w:rsidR="00C05105" w:rsidP="00C05105" w:rsidRDefault="00C05105" w14:paraId="7E34F18A" w14:textId="77777777">
      <w:pPr>
        <w:spacing w:line="360" w:lineRule="auto"/>
        <w:jc w:val="both"/>
        <w:rPr>
          <w:rFonts w:ascii="Arial" w:hAnsi="Arial" w:cs="Arial"/>
          <w:sz w:val="22"/>
          <w:szCs w:val="22"/>
        </w:rPr>
      </w:pPr>
    </w:p>
    <w:p w:rsidR="00C05105" w:rsidP="00C05105" w:rsidRDefault="00C05105" w14:paraId="70DF1879" w14:textId="77777777">
      <w:pPr>
        <w:spacing w:line="360" w:lineRule="auto"/>
        <w:jc w:val="both"/>
        <w:rPr>
          <w:rFonts w:ascii="Arial" w:hAnsi="Arial" w:cs="Arial"/>
          <w:sz w:val="22"/>
          <w:szCs w:val="22"/>
        </w:rPr>
      </w:pPr>
    </w:p>
    <w:p w:rsidR="00C05105" w:rsidP="00C05105" w:rsidRDefault="00C05105" w14:paraId="50B4C430" w14:textId="77777777">
      <w:pPr>
        <w:spacing w:line="360" w:lineRule="auto"/>
        <w:jc w:val="both"/>
        <w:rPr>
          <w:rFonts w:ascii="Arial" w:hAnsi="Arial" w:cs="Arial"/>
          <w:sz w:val="22"/>
          <w:szCs w:val="22"/>
        </w:rPr>
      </w:pPr>
    </w:p>
    <w:p w:rsidR="00C05105" w:rsidP="00C05105" w:rsidRDefault="00C05105" w14:paraId="7D0A5147" w14:textId="77777777">
      <w:pPr>
        <w:spacing w:line="360" w:lineRule="auto"/>
        <w:jc w:val="both"/>
        <w:rPr>
          <w:rFonts w:ascii="Arial" w:hAnsi="Arial" w:cs="Arial"/>
          <w:sz w:val="22"/>
          <w:szCs w:val="22"/>
        </w:rPr>
      </w:pPr>
    </w:p>
    <w:p w:rsidR="00C05105" w:rsidP="00C05105" w:rsidRDefault="00C05105" w14:paraId="2BA8DD6D" w14:textId="77777777">
      <w:pPr>
        <w:spacing w:line="360" w:lineRule="auto"/>
        <w:jc w:val="both"/>
        <w:rPr>
          <w:rFonts w:ascii="Arial" w:hAnsi="Arial" w:cs="Arial"/>
          <w:sz w:val="22"/>
          <w:szCs w:val="22"/>
        </w:rPr>
      </w:pPr>
    </w:p>
    <w:p w:rsidRPr="00C05105" w:rsidR="00C05105" w:rsidP="00C05105" w:rsidRDefault="00C05105" w14:paraId="072CF2EF" w14:textId="77777777">
      <w:pPr>
        <w:spacing w:line="360" w:lineRule="auto"/>
        <w:jc w:val="both"/>
        <w:rPr>
          <w:rFonts w:ascii="Arial" w:hAnsi="Arial" w:cs="Arial"/>
          <w:sz w:val="22"/>
          <w:szCs w:val="22"/>
        </w:rPr>
      </w:pPr>
    </w:p>
    <w:p w:rsidRPr="00C05105" w:rsidR="00C05105" w:rsidP="00C05105" w:rsidRDefault="00C05105" w14:paraId="7C7B2161" w14:textId="306FE7DE">
      <w:pPr>
        <w:pStyle w:val="Heading1"/>
      </w:pPr>
      <w:bookmarkStart w:name="_Toc224638525" w:id="5"/>
      <w:r w:rsidRPr="00C05105">
        <w:t>Conclusion</w:t>
      </w:r>
      <w:bookmarkEnd w:id="5"/>
      <w:r w:rsidRPr="00C05105">
        <w:t xml:space="preserve"> </w:t>
      </w:r>
    </w:p>
    <w:p w:rsidR="00C05105" w:rsidP="00C05105" w:rsidRDefault="00C05105" w14:paraId="4C731AE6" w14:textId="0F9D080D">
      <w:pPr>
        <w:spacing w:line="360" w:lineRule="auto"/>
        <w:jc w:val="both"/>
        <w:rPr>
          <w:rFonts w:ascii="Arial" w:hAnsi="Arial" w:cs="Arial"/>
          <w:sz w:val="22"/>
          <w:szCs w:val="22"/>
        </w:rPr>
      </w:pPr>
      <w:r w:rsidRPr="00C05105">
        <w:rPr>
          <w:rFonts w:ascii="Arial" w:hAnsi="Arial" w:cs="Arial"/>
          <w:sz w:val="22"/>
          <w:szCs w:val="22"/>
        </w:rPr>
        <w:t>In conclusion, staff burnout in the NHS is a significant issue affecting workforce wellbeing, organisational performance, and patient safety. This report has demonstrated that burnout is driven by factors such as staffing shortages, workload pressures, and systemic challenges. The evaluation of credible sources highlights both the scale of the issue and gaps in current research. A mixed-methods approach, supported by both primary and secondary data, has been proposed to explore burnout more effectively. Addressing this issue is essential for ensuring the sustainability of the NHS and maintaining high standards of care delivery.</w:t>
      </w:r>
    </w:p>
    <w:p w:rsidR="00C05105" w:rsidP="00C05105" w:rsidRDefault="00C05105" w14:paraId="44F34F90" w14:textId="77777777">
      <w:pPr>
        <w:spacing w:line="360" w:lineRule="auto"/>
        <w:jc w:val="both"/>
        <w:rPr>
          <w:rFonts w:ascii="Arial" w:hAnsi="Arial" w:cs="Arial"/>
          <w:sz w:val="22"/>
          <w:szCs w:val="22"/>
        </w:rPr>
      </w:pPr>
    </w:p>
    <w:p w:rsidR="00C05105" w:rsidP="00C05105" w:rsidRDefault="00C05105" w14:paraId="4702B553" w14:textId="77777777">
      <w:pPr>
        <w:spacing w:line="360" w:lineRule="auto"/>
        <w:jc w:val="both"/>
        <w:rPr>
          <w:rFonts w:ascii="Arial" w:hAnsi="Arial" w:cs="Arial"/>
          <w:sz w:val="22"/>
          <w:szCs w:val="22"/>
        </w:rPr>
      </w:pPr>
    </w:p>
    <w:p w:rsidR="00C05105" w:rsidP="00C05105" w:rsidRDefault="00C05105" w14:paraId="0F3E6665" w14:textId="77777777">
      <w:pPr>
        <w:spacing w:line="360" w:lineRule="auto"/>
        <w:jc w:val="both"/>
        <w:rPr>
          <w:rFonts w:ascii="Arial" w:hAnsi="Arial" w:cs="Arial"/>
          <w:sz w:val="22"/>
          <w:szCs w:val="22"/>
        </w:rPr>
      </w:pPr>
    </w:p>
    <w:p w:rsidR="00C05105" w:rsidP="00C05105" w:rsidRDefault="00C05105" w14:paraId="3CF1CCBF" w14:textId="77777777">
      <w:pPr>
        <w:spacing w:line="360" w:lineRule="auto"/>
        <w:jc w:val="both"/>
        <w:rPr>
          <w:rFonts w:ascii="Arial" w:hAnsi="Arial" w:cs="Arial"/>
          <w:sz w:val="22"/>
          <w:szCs w:val="22"/>
        </w:rPr>
      </w:pPr>
    </w:p>
    <w:p w:rsidR="00C05105" w:rsidP="00C05105" w:rsidRDefault="00C05105" w14:paraId="30895B27" w14:textId="77777777">
      <w:pPr>
        <w:spacing w:line="360" w:lineRule="auto"/>
        <w:jc w:val="both"/>
        <w:rPr>
          <w:rFonts w:ascii="Arial" w:hAnsi="Arial" w:cs="Arial"/>
          <w:sz w:val="22"/>
          <w:szCs w:val="22"/>
        </w:rPr>
      </w:pPr>
    </w:p>
    <w:p w:rsidR="00C05105" w:rsidP="00C05105" w:rsidRDefault="00C05105" w14:paraId="1D06C109" w14:textId="77777777">
      <w:pPr>
        <w:spacing w:line="360" w:lineRule="auto"/>
        <w:jc w:val="both"/>
        <w:rPr>
          <w:rFonts w:ascii="Arial" w:hAnsi="Arial" w:cs="Arial"/>
          <w:sz w:val="22"/>
          <w:szCs w:val="22"/>
        </w:rPr>
      </w:pPr>
    </w:p>
    <w:p w:rsidR="00C05105" w:rsidP="00C05105" w:rsidRDefault="00C05105" w14:paraId="4C4365A2" w14:textId="77777777">
      <w:pPr>
        <w:spacing w:line="360" w:lineRule="auto"/>
        <w:jc w:val="both"/>
        <w:rPr>
          <w:rFonts w:ascii="Arial" w:hAnsi="Arial" w:cs="Arial"/>
          <w:sz w:val="22"/>
          <w:szCs w:val="22"/>
        </w:rPr>
      </w:pPr>
    </w:p>
    <w:p w:rsidR="00C05105" w:rsidP="00C05105" w:rsidRDefault="00C05105" w14:paraId="79DC0E14" w14:textId="77777777">
      <w:pPr>
        <w:spacing w:line="360" w:lineRule="auto"/>
        <w:jc w:val="both"/>
        <w:rPr>
          <w:rFonts w:ascii="Arial" w:hAnsi="Arial" w:cs="Arial"/>
          <w:sz w:val="22"/>
          <w:szCs w:val="22"/>
        </w:rPr>
      </w:pPr>
    </w:p>
    <w:p w:rsidR="00C05105" w:rsidP="00C05105" w:rsidRDefault="00C05105" w14:paraId="65C01018" w14:textId="77777777">
      <w:pPr>
        <w:spacing w:line="360" w:lineRule="auto"/>
        <w:jc w:val="both"/>
        <w:rPr>
          <w:rFonts w:ascii="Arial" w:hAnsi="Arial" w:cs="Arial"/>
          <w:sz w:val="22"/>
          <w:szCs w:val="22"/>
        </w:rPr>
      </w:pPr>
    </w:p>
    <w:p w:rsidR="00C05105" w:rsidP="00C05105" w:rsidRDefault="00C05105" w14:paraId="04F12818" w14:textId="77777777">
      <w:pPr>
        <w:spacing w:line="360" w:lineRule="auto"/>
        <w:jc w:val="both"/>
        <w:rPr>
          <w:rFonts w:ascii="Arial" w:hAnsi="Arial" w:cs="Arial"/>
          <w:sz w:val="22"/>
          <w:szCs w:val="22"/>
        </w:rPr>
      </w:pPr>
    </w:p>
    <w:p w:rsidR="00C05105" w:rsidP="00C05105" w:rsidRDefault="00C05105" w14:paraId="1E453E0E" w14:textId="77777777">
      <w:pPr>
        <w:spacing w:line="360" w:lineRule="auto"/>
        <w:jc w:val="both"/>
        <w:rPr>
          <w:rFonts w:ascii="Arial" w:hAnsi="Arial" w:cs="Arial"/>
          <w:sz w:val="22"/>
          <w:szCs w:val="22"/>
        </w:rPr>
      </w:pPr>
    </w:p>
    <w:p w:rsidR="00C05105" w:rsidP="00C05105" w:rsidRDefault="00C05105" w14:paraId="49A8B08F" w14:textId="77777777">
      <w:pPr>
        <w:spacing w:line="360" w:lineRule="auto"/>
        <w:jc w:val="both"/>
        <w:rPr>
          <w:rFonts w:ascii="Arial" w:hAnsi="Arial" w:cs="Arial"/>
          <w:sz w:val="22"/>
          <w:szCs w:val="22"/>
        </w:rPr>
      </w:pPr>
    </w:p>
    <w:p w:rsidR="00C05105" w:rsidP="00C05105" w:rsidRDefault="00C05105" w14:paraId="3BE179AF" w14:textId="77777777">
      <w:pPr>
        <w:spacing w:line="360" w:lineRule="auto"/>
        <w:jc w:val="both"/>
        <w:rPr>
          <w:rFonts w:ascii="Arial" w:hAnsi="Arial" w:cs="Arial"/>
          <w:sz w:val="22"/>
          <w:szCs w:val="22"/>
        </w:rPr>
      </w:pPr>
    </w:p>
    <w:p w:rsidR="00C05105" w:rsidP="00C05105" w:rsidRDefault="00C05105" w14:paraId="085DA696" w14:textId="77777777">
      <w:pPr>
        <w:spacing w:line="360" w:lineRule="auto"/>
        <w:jc w:val="both"/>
        <w:rPr>
          <w:rFonts w:ascii="Arial" w:hAnsi="Arial" w:cs="Arial"/>
          <w:sz w:val="22"/>
          <w:szCs w:val="22"/>
        </w:rPr>
      </w:pPr>
    </w:p>
    <w:p w:rsidR="00C05105" w:rsidP="00C05105" w:rsidRDefault="00C05105" w14:paraId="3F048788" w14:textId="77777777">
      <w:pPr>
        <w:spacing w:line="360" w:lineRule="auto"/>
        <w:jc w:val="both"/>
        <w:rPr>
          <w:rFonts w:ascii="Arial" w:hAnsi="Arial" w:cs="Arial"/>
          <w:sz w:val="22"/>
          <w:szCs w:val="22"/>
        </w:rPr>
      </w:pPr>
    </w:p>
    <w:p w:rsidR="00C05105" w:rsidP="00C05105" w:rsidRDefault="00C05105" w14:paraId="71E13C83" w14:textId="77777777">
      <w:pPr>
        <w:spacing w:line="360" w:lineRule="auto"/>
        <w:jc w:val="both"/>
        <w:rPr>
          <w:rFonts w:ascii="Arial" w:hAnsi="Arial" w:cs="Arial"/>
          <w:sz w:val="22"/>
          <w:szCs w:val="22"/>
        </w:rPr>
      </w:pPr>
    </w:p>
    <w:p w:rsidR="00C05105" w:rsidP="00C05105" w:rsidRDefault="00C05105" w14:paraId="41416242" w14:textId="77777777">
      <w:pPr>
        <w:spacing w:line="360" w:lineRule="auto"/>
        <w:jc w:val="both"/>
        <w:rPr>
          <w:rFonts w:ascii="Arial" w:hAnsi="Arial" w:cs="Arial"/>
          <w:sz w:val="22"/>
          <w:szCs w:val="22"/>
        </w:rPr>
      </w:pPr>
    </w:p>
    <w:p w:rsidR="00C05105" w:rsidP="00C05105" w:rsidRDefault="00C05105" w14:paraId="747FC3D3" w14:textId="77777777">
      <w:pPr>
        <w:spacing w:line="360" w:lineRule="auto"/>
        <w:jc w:val="both"/>
        <w:rPr>
          <w:rFonts w:ascii="Arial" w:hAnsi="Arial" w:cs="Arial"/>
          <w:sz w:val="22"/>
          <w:szCs w:val="22"/>
        </w:rPr>
      </w:pPr>
    </w:p>
    <w:p w:rsidRPr="00C05105" w:rsidR="00C05105" w:rsidP="00C05105" w:rsidRDefault="00C05105" w14:paraId="2D8FD721" w14:textId="77777777">
      <w:pPr>
        <w:spacing w:line="360" w:lineRule="auto"/>
        <w:jc w:val="both"/>
        <w:rPr>
          <w:rFonts w:ascii="Arial" w:hAnsi="Arial" w:cs="Arial"/>
          <w:sz w:val="22"/>
          <w:szCs w:val="22"/>
        </w:rPr>
      </w:pPr>
    </w:p>
    <w:p w:rsidRPr="00C05105" w:rsidR="00C05105" w:rsidP="00C05105" w:rsidRDefault="00C05105" w14:paraId="76DBD081" w14:textId="715CB3A1">
      <w:pPr>
        <w:pStyle w:val="Heading1"/>
      </w:pPr>
      <w:bookmarkStart w:name="_Toc224638526" w:id="6"/>
      <w:r w:rsidRPr="00C05105">
        <w:t>Reference List</w:t>
      </w:r>
      <w:bookmarkEnd w:id="6"/>
      <w:r w:rsidRPr="00C05105">
        <w:t xml:space="preserve"> </w:t>
      </w:r>
    </w:p>
    <w:p w:rsidRPr="00C05105" w:rsidR="00C05105" w:rsidP="00C05105" w:rsidRDefault="00C05105" w14:paraId="69DAD4BB" w14:textId="77777777">
      <w:pPr>
        <w:pStyle w:val="ListParagraph"/>
        <w:numPr>
          <w:ilvl w:val="0"/>
          <w:numId w:val="1"/>
        </w:numPr>
        <w:spacing w:line="360" w:lineRule="auto"/>
        <w:rPr>
          <w:rFonts w:ascii="Arial" w:hAnsi="Arial" w:cs="Arial"/>
          <w:sz w:val="22"/>
          <w:szCs w:val="22"/>
        </w:rPr>
      </w:pPr>
      <w:r w:rsidRPr="00C05105">
        <w:rPr>
          <w:rFonts w:ascii="Arial" w:hAnsi="Arial" w:cs="Arial"/>
          <w:sz w:val="22"/>
          <w:szCs w:val="22"/>
        </w:rPr>
        <w:t xml:space="preserve">Bryman, A. (2016) </w:t>
      </w:r>
      <w:r w:rsidRPr="00C05105">
        <w:rPr>
          <w:rFonts w:ascii="Arial" w:hAnsi="Arial" w:cs="Arial"/>
          <w:i/>
          <w:iCs/>
          <w:sz w:val="22"/>
          <w:szCs w:val="22"/>
        </w:rPr>
        <w:t>Social Research Methods</w:t>
      </w:r>
      <w:r w:rsidRPr="00C05105">
        <w:rPr>
          <w:rFonts w:ascii="Arial" w:hAnsi="Arial" w:cs="Arial"/>
          <w:sz w:val="22"/>
          <w:szCs w:val="22"/>
        </w:rPr>
        <w:t>. 5th edn. Oxford: Oxford University Press.</w:t>
      </w:r>
    </w:p>
    <w:p w:rsidRPr="00BD1778" w:rsidR="00C05105" w:rsidP="00C05105" w:rsidRDefault="00C05105" w14:paraId="0B1FEB1F" w14:textId="77777777">
      <w:pPr>
        <w:pStyle w:val="ListParagraph"/>
        <w:numPr>
          <w:ilvl w:val="0"/>
          <w:numId w:val="1"/>
        </w:numPr>
        <w:spacing w:line="360" w:lineRule="auto"/>
        <w:rPr>
          <w:rFonts w:ascii="Arial" w:hAnsi="Arial" w:cs="Arial"/>
          <w:sz w:val="22"/>
          <w:szCs w:val="22"/>
          <w:lang w:val="fr-FR"/>
        </w:rPr>
      </w:pPr>
      <w:r w:rsidRPr="00C05105">
        <w:rPr>
          <w:rFonts w:ascii="Arial" w:hAnsi="Arial" w:cs="Arial"/>
          <w:sz w:val="22"/>
          <w:szCs w:val="22"/>
        </w:rPr>
        <w:t xml:space="preserve">Maslach, C. and Leiter, M.P. (2016) ‘Understanding the burnout experience: recent research and its implications’, </w:t>
      </w:r>
      <w:r w:rsidRPr="00C05105">
        <w:rPr>
          <w:rFonts w:ascii="Arial" w:hAnsi="Arial" w:cs="Arial"/>
          <w:i/>
          <w:iCs/>
          <w:sz w:val="22"/>
          <w:szCs w:val="22"/>
        </w:rPr>
        <w:t>World Psychiatry</w:t>
      </w:r>
      <w:r w:rsidRPr="00C05105">
        <w:rPr>
          <w:rFonts w:ascii="Arial" w:hAnsi="Arial" w:cs="Arial"/>
          <w:sz w:val="22"/>
          <w:szCs w:val="22"/>
        </w:rPr>
        <w:t xml:space="preserve">, 15(2), pp. 103–111. </w:t>
      </w:r>
      <w:r w:rsidRPr="00BD1778">
        <w:rPr>
          <w:rFonts w:ascii="Arial" w:hAnsi="Arial" w:cs="Arial"/>
          <w:sz w:val="22"/>
          <w:szCs w:val="22"/>
          <w:lang w:val="fr-FR"/>
        </w:rPr>
        <w:t>Available at:</w:t>
      </w:r>
      <w:r w:rsidRPr="00BD1778">
        <w:rPr>
          <w:rFonts w:ascii="Arial" w:hAnsi="Arial" w:cs="Arial"/>
          <w:sz w:val="22"/>
          <w:szCs w:val="22"/>
          <w:lang w:val="fr-FR"/>
        </w:rPr>
        <w:br/>
      </w:r>
      <w:hyperlink w:tgtFrame="_new" w:history="1" r:id="rId9">
        <w:r w:rsidRPr="00BD1778">
          <w:rPr>
            <w:rStyle w:val="Hyperlink"/>
            <w:rFonts w:ascii="Arial" w:hAnsi="Arial" w:cs="Arial"/>
            <w:sz w:val="22"/>
            <w:szCs w:val="22"/>
            <w:lang w:val="fr-FR"/>
          </w:rPr>
          <w:t>https://www.ncbi.nlm.nih.gov/pmc/articles/PMC4911781/</w:t>
        </w:r>
      </w:hyperlink>
    </w:p>
    <w:p w:rsidRPr="00BD1778" w:rsidR="00C05105" w:rsidP="00C05105" w:rsidRDefault="00C05105" w14:paraId="628BA7ED" w14:textId="77777777">
      <w:pPr>
        <w:pStyle w:val="ListParagraph"/>
        <w:numPr>
          <w:ilvl w:val="0"/>
          <w:numId w:val="1"/>
        </w:numPr>
        <w:spacing w:line="360" w:lineRule="auto"/>
        <w:rPr>
          <w:rFonts w:ascii="Arial" w:hAnsi="Arial" w:cs="Arial"/>
          <w:sz w:val="22"/>
          <w:szCs w:val="22"/>
          <w:lang w:val="fr-FR"/>
        </w:rPr>
      </w:pPr>
      <w:r w:rsidRPr="00C05105">
        <w:rPr>
          <w:rFonts w:ascii="Arial" w:hAnsi="Arial" w:cs="Arial"/>
          <w:sz w:val="22"/>
          <w:szCs w:val="22"/>
        </w:rPr>
        <w:t xml:space="preserve">NHS England (2023) </w:t>
      </w:r>
      <w:r w:rsidRPr="00C05105">
        <w:rPr>
          <w:rFonts w:ascii="Arial" w:hAnsi="Arial" w:cs="Arial"/>
          <w:i/>
          <w:iCs/>
          <w:sz w:val="22"/>
          <w:szCs w:val="22"/>
        </w:rPr>
        <w:t>Supporting our NHS people</w:t>
      </w:r>
      <w:r w:rsidRPr="00C05105">
        <w:rPr>
          <w:rFonts w:ascii="Arial" w:hAnsi="Arial" w:cs="Arial"/>
          <w:sz w:val="22"/>
          <w:szCs w:val="22"/>
        </w:rPr>
        <w:t xml:space="preserve">. </w:t>
      </w:r>
      <w:r w:rsidRPr="00BD1778">
        <w:rPr>
          <w:rFonts w:ascii="Arial" w:hAnsi="Arial" w:cs="Arial"/>
          <w:sz w:val="22"/>
          <w:szCs w:val="22"/>
          <w:lang w:val="fr-FR"/>
        </w:rPr>
        <w:t>Available at:</w:t>
      </w:r>
      <w:r w:rsidRPr="00BD1778">
        <w:rPr>
          <w:rFonts w:ascii="Arial" w:hAnsi="Arial" w:cs="Arial"/>
          <w:sz w:val="22"/>
          <w:szCs w:val="22"/>
          <w:lang w:val="fr-FR"/>
        </w:rPr>
        <w:br/>
      </w:r>
      <w:hyperlink w:tgtFrame="_new" w:history="1" r:id="rId10">
        <w:r w:rsidRPr="00BD1778">
          <w:rPr>
            <w:rStyle w:val="Hyperlink"/>
            <w:rFonts w:ascii="Arial" w:hAnsi="Arial" w:cs="Arial"/>
            <w:sz w:val="22"/>
            <w:szCs w:val="22"/>
            <w:lang w:val="fr-FR"/>
          </w:rPr>
          <w:t>https://www.england.nhs.uk/supporting-our-nhs-people/</w:t>
        </w:r>
      </w:hyperlink>
    </w:p>
    <w:p w:rsidRPr="00BD1778" w:rsidR="00C05105" w:rsidP="00C05105" w:rsidRDefault="00C05105" w14:paraId="22B61A9F" w14:textId="77777777">
      <w:pPr>
        <w:pStyle w:val="ListParagraph"/>
        <w:numPr>
          <w:ilvl w:val="0"/>
          <w:numId w:val="1"/>
        </w:numPr>
        <w:spacing w:line="360" w:lineRule="auto"/>
        <w:rPr>
          <w:rFonts w:ascii="Arial" w:hAnsi="Arial" w:cs="Arial"/>
          <w:sz w:val="22"/>
          <w:szCs w:val="22"/>
          <w:lang w:val="fr-FR"/>
        </w:rPr>
      </w:pPr>
      <w:r w:rsidRPr="00C05105">
        <w:rPr>
          <w:rFonts w:ascii="Arial" w:hAnsi="Arial" w:cs="Arial"/>
          <w:sz w:val="22"/>
          <w:szCs w:val="22"/>
        </w:rPr>
        <w:t xml:space="preserve">Nuffield Trust (2023) </w:t>
      </w:r>
      <w:r w:rsidRPr="00C05105">
        <w:rPr>
          <w:rFonts w:ascii="Arial" w:hAnsi="Arial" w:cs="Arial"/>
          <w:i/>
          <w:iCs/>
          <w:sz w:val="22"/>
          <w:szCs w:val="22"/>
        </w:rPr>
        <w:t>The NHS workforce in numbers</w:t>
      </w:r>
      <w:r w:rsidRPr="00C05105">
        <w:rPr>
          <w:rFonts w:ascii="Arial" w:hAnsi="Arial" w:cs="Arial"/>
          <w:sz w:val="22"/>
          <w:szCs w:val="22"/>
        </w:rPr>
        <w:t xml:space="preserve">. </w:t>
      </w:r>
      <w:r w:rsidRPr="00BD1778">
        <w:rPr>
          <w:rFonts w:ascii="Arial" w:hAnsi="Arial" w:cs="Arial"/>
          <w:sz w:val="22"/>
          <w:szCs w:val="22"/>
          <w:lang w:val="fr-FR"/>
        </w:rPr>
        <w:t>Available at:</w:t>
      </w:r>
      <w:r w:rsidRPr="00BD1778">
        <w:rPr>
          <w:rFonts w:ascii="Arial" w:hAnsi="Arial" w:cs="Arial"/>
          <w:sz w:val="22"/>
          <w:szCs w:val="22"/>
          <w:lang w:val="fr-FR"/>
        </w:rPr>
        <w:br/>
      </w:r>
      <w:hyperlink w:tgtFrame="_new" w:history="1" r:id="rId11">
        <w:r w:rsidRPr="00BD1778">
          <w:rPr>
            <w:rStyle w:val="Hyperlink"/>
            <w:rFonts w:ascii="Arial" w:hAnsi="Arial" w:cs="Arial"/>
            <w:sz w:val="22"/>
            <w:szCs w:val="22"/>
            <w:lang w:val="fr-FR"/>
          </w:rPr>
          <w:t>https://www.nuffieldtrust.org.uk/resource/the-nhs-workforce-in-numbers</w:t>
        </w:r>
      </w:hyperlink>
    </w:p>
    <w:p w:rsidRPr="00BD1778" w:rsidR="00C05105" w:rsidP="00C05105" w:rsidRDefault="00C05105" w14:paraId="3F281257" w14:textId="77777777">
      <w:pPr>
        <w:pStyle w:val="ListParagraph"/>
        <w:numPr>
          <w:ilvl w:val="0"/>
          <w:numId w:val="1"/>
        </w:numPr>
        <w:spacing w:line="360" w:lineRule="auto"/>
        <w:rPr>
          <w:rFonts w:ascii="Arial" w:hAnsi="Arial" w:cs="Arial"/>
          <w:sz w:val="22"/>
          <w:szCs w:val="22"/>
          <w:lang w:val="fr-FR"/>
        </w:rPr>
      </w:pPr>
      <w:r w:rsidRPr="00C05105">
        <w:rPr>
          <w:rFonts w:ascii="Arial" w:hAnsi="Arial" w:cs="Arial"/>
          <w:sz w:val="22"/>
          <w:szCs w:val="22"/>
        </w:rPr>
        <w:t xml:space="preserve">Office for National Statistics (2023) </w:t>
      </w:r>
      <w:r w:rsidRPr="00C05105">
        <w:rPr>
          <w:rFonts w:ascii="Arial" w:hAnsi="Arial" w:cs="Arial"/>
          <w:i/>
          <w:iCs/>
          <w:sz w:val="22"/>
          <w:szCs w:val="22"/>
        </w:rPr>
        <w:t>Sickness absence in the UK labour market: 2022</w:t>
      </w:r>
      <w:r w:rsidRPr="00C05105">
        <w:rPr>
          <w:rFonts w:ascii="Arial" w:hAnsi="Arial" w:cs="Arial"/>
          <w:sz w:val="22"/>
          <w:szCs w:val="22"/>
        </w:rPr>
        <w:t xml:space="preserve">. </w:t>
      </w:r>
      <w:r w:rsidRPr="00BD1778">
        <w:rPr>
          <w:rFonts w:ascii="Arial" w:hAnsi="Arial" w:cs="Arial"/>
          <w:sz w:val="22"/>
          <w:szCs w:val="22"/>
          <w:lang w:val="fr-FR"/>
        </w:rPr>
        <w:t>Available at:</w:t>
      </w:r>
      <w:r w:rsidRPr="00BD1778">
        <w:rPr>
          <w:rFonts w:ascii="Arial" w:hAnsi="Arial" w:cs="Arial"/>
          <w:sz w:val="22"/>
          <w:szCs w:val="22"/>
          <w:lang w:val="fr-FR"/>
        </w:rPr>
        <w:br/>
      </w:r>
      <w:hyperlink w:tgtFrame="_new" w:history="1" r:id="rId12">
        <w:r w:rsidRPr="00BD1778">
          <w:rPr>
            <w:rStyle w:val="Hyperlink"/>
            <w:rFonts w:ascii="Arial" w:hAnsi="Arial" w:cs="Arial"/>
            <w:sz w:val="22"/>
            <w:szCs w:val="22"/>
            <w:lang w:val="fr-FR"/>
          </w:rPr>
          <w:t>https://www.ons.gov.uk/employmentandlabourmarket/peopleinwork/labourproductivity/articles/sicknessabsenceinthelabourmarket/2022</w:t>
        </w:r>
      </w:hyperlink>
    </w:p>
    <w:p w:rsidRPr="00BD1778" w:rsidR="00C05105" w:rsidP="00C05105" w:rsidRDefault="00C05105" w14:paraId="7F545F81" w14:textId="77777777">
      <w:pPr>
        <w:pStyle w:val="ListParagraph"/>
        <w:numPr>
          <w:ilvl w:val="0"/>
          <w:numId w:val="1"/>
        </w:numPr>
        <w:spacing w:line="360" w:lineRule="auto"/>
        <w:rPr>
          <w:rFonts w:ascii="Arial" w:hAnsi="Arial" w:cs="Arial"/>
          <w:sz w:val="22"/>
          <w:szCs w:val="22"/>
          <w:lang w:val="fr-FR"/>
        </w:rPr>
      </w:pPr>
      <w:r w:rsidRPr="00C05105">
        <w:rPr>
          <w:rFonts w:ascii="Arial" w:hAnsi="Arial" w:cs="Arial"/>
          <w:sz w:val="22"/>
          <w:szCs w:val="22"/>
        </w:rPr>
        <w:t xml:space="preserve">The Health Foundation (2022) </w:t>
      </w:r>
      <w:r w:rsidRPr="00C05105">
        <w:rPr>
          <w:rFonts w:ascii="Arial" w:hAnsi="Arial" w:cs="Arial"/>
          <w:i/>
          <w:iCs/>
          <w:sz w:val="22"/>
          <w:szCs w:val="22"/>
        </w:rPr>
        <w:t>How can we think long term when the issues facing the health service are so immediate?</w:t>
      </w:r>
      <w:r w:rsidRPr="00C05105">
        <w:rPr>
          <w:rFonts w:ascii="Arial" w:hAnsi="Arial" w:cs="Arial"/>
          <w:sz w:val="22"/>
          <w:szCs w:val="22"/>
        </w:rPr>
        <w:t xml:space="preserve"> </w:t>
      </w:r>
      <w:r w:rsidRPr="00BD1778">
        <w:rPr>
          <w:rFonts w:ascii="Arial" w:hAnsi="Arial" w:cs="Arial"/>
          <w:sz w:val="22"/>
          <w:szCs w:val="22"/>
          <w:lang w:val="fr-FR"/>
        </w:rPr>
        <w:t>Available at:</w:t>
      </w:r>
      <w:r w:rsidRPr="00BD1778">
        <w:rPr>
          <w:rFonts w:ascii="Arial" w:hAnsi="Arial" w:cs="Arial"/>
          <w:sz w:val="22"/>
          <w:szCs w:val="22"/>
          <w:lang w:val="fr-FR"/>
        </w:rPr>
        <w:br/>
      </w:r>
      <w:hyperlink w:tgtFrame="_new" w:history="1" r:id="rId13">
        <w:r w:rsidRPr="00BD1778">
          <w:rPr>
            <w:rStyle w:val="Hyperlink"/>
            <w:rFonts w:ascii="Arial" w:hAnsi="Arial" w:cs="Arial"/>
            <w:sz w:val="22"/>
            <w:szCs w:val="22"/>
            <w:lang w:val="fr-FR"/>
          </w:rPr>
          <w:t>https://www.health.org.uk/features-and-opinion/blogs/how-can-we-think-long-term-when-the-issues-facing-the-health-service-are</w:t>
        </w:r>
      </w:hyperlink>
    </w:p>
    <w:p w:rsidRPr="00BD1778" w:rsidR="00C05105" w:rsidP="00C05105" w:rsidRDefault="00C05105" w14:paraId="62E0D824" w14:textId="77777777">
      <w:pPr>
        <w:pStyle w:val="ListParagraph"/>
        <w:numPr>
          <w:ilvl w:val="0"/>
          <w:numId w:val="1"/>
        </w:numPr>
        <w:spacing w:line="360" w:lineRule="auto"/>
        <w:rPr>
          <w:rFonts w:ascii="Arial" w:hAnsi="Arial" w:cs="Arial"/>
          <w:sz w:val="22"/>
          <w:szCs w:val="22"/>
          <w:lang w:val="fr-FR"/>
        </w:rPr>
      </w:pPr>
      <w:r w:rsidRPr="00C05105">
        <w:rPr>
          <w:rFonts w:ascii="Arial" w:hAnsi="Arial" w:cs="Arial"/>
          <w:sz w:val="22"/>
          <w:szCs w:val="22"/>
        </w:rPr>
        <w:t xml:space="preserve">The King’s Fund (2022) </w:t>
      </w:r>
      <w:r w:rsidRPr="00C05105">
        <w:rPr>
          <w:rFonts w:ascii="Arial" w:hAnsi="Arial" w:cs="Arial"/>
          <w:i/>
          <w:iCs/>
          <w:sz w:val="22"/>
          <w:szCs w:val="22"/>
        </w:rPr>
        <w:t>NHS workforce</w:t>
      </w:r>
      <w:r w:rsidRPr="00C05105">
        <w:rPr>
          <w:rFonts w:ascii="Arial" w:hAnsi="Arial" w:cs="Arial"/>
          <w:sz w:val="22"/>
          <w:szCs w:val="22"/>
        </w:rPr>
        <w:t xml:space="preserve">. </w:t>
      </w:r>
      <w:r w:rsidRPr="00BD1778">
        <w:rPr>
          <w:rFonts w:ascii="Arial" w:hAnsi="Arial" w:cs="Arial"/>
          <w:sz w:val="22"/>
          <w:szCs w:val="22"/>
          <w:lang w:val="fr-FR"/>
        </w:rPr>
        <w:t>Available at:</w:t>
      </w:r>
      <w:r w:rsidRPr="00BD1778">
        <w:rPr>
          <w:rFonts w:ascii="Arial" w:hAnsi="Arial" w:cs="Arial"/>
          <w:sz w:val="22"/>
          <w:szCs w:val="22"/>
          <w:lang w:val="fr-FR"/>
        </w:rPr>
        <w:br/>
      </w:r>
      <w:hyperlink w:tgtFrame="_new" w:history="1" r:id="rId14">
        <w:r w:rsidRPr="00BD1778">
          <w:rPr>
            <w:rStyle w:val="Hyperlink"/>
            <w:rFonts w:ascii="Arial" w:hAnsi="Arial" w:cs="Arial"/>
            <w:sz w:val="22"/>
            <w:szCs w:val="22"/>
            <w:lang w:val="fr-FR"/>
          </w:rPr>
          <w:t>https://www.kingsfund.org.uk/projects/nhs-in-a-nutshell/nhs-workforce</w:t>
        </w:r>
      </w:hyperlink>
    </w:p>
    <w:p w:rsidRPr="00C05105" w:rsidR="00C05105" w:rsidP="00C05105" w:rsidRDefault="00C05105" w14:paraId="66D0B5B7" w14:textId="77777777">
      <w:pPr>
        <w:pStyle w:val="ListParagraph"/>
        <w:numPr>
          <w:ilvl w:val="0"/>
          <w:numId w:val="1"/>
        </w:numPr>
        <w:spacing w:line="360" w:lineRule="auto"/>
        <w:rPr>
          <w:rFonts w:ascii="Arial" w:hAnsi="Arial" w:cs="Arial"/>
          <w:sz w:val="22"/>
          <w:szCs w:val="22"/>
        </w:rPr>
      </w:pPr>
      <w:r w:rsidRPr="00C05105">
        <w:rPr>
          <w:rFonts w:ascii="Arial" w:hAnsi="Arial" w:cs="Arial"/>
          <w:sz w:val="22"/>
          <w:szCs w:val="22"/>
        </w:rPr>
        <w:t xml:space="preserve">West, C.P., Dyrbye, L.N. and Shanafelt, T.D. (2018) ‘Physician burnout: contributors, consequences and solutions’, </w:t>
      </w:r>
      <w:r w:rsidRPr="00C05105">
        <w:rPr>
          <w:rFonts w:ascii="Arial" w:hAnsi="Arial" w:cs="Arial"/>
          <w:i/>
          <w:iCs/>
          <w:sz w:val="22"/>
          <w:szCs w:val="22"/>
        </w:rPr>
        <w:t>BMJ</w:t>
      </w:r>
      <w:r w:rsidRPr="00C05105">
        <w:rPr>
          <w:rFonts w:ascii="Arial" w:hAnsi="Arial" w:cs="Arial"/>
          <w:sz w:val="22"/>
          <w:szCs w:val="22"/>
        </w:rPr>
        <w:t>, 363. Available at:</w:t>
      </w:r>
      <w:r w:rsidRPr="00C05105">
        <w:rPr>
          <w:rFonts w:ascii="Arial" w:hAnsi="Arial" w:cs="Arial"/>
          <w:sz w:val="22"/>
          <w:szCs w:val="22"/>
        </w:rPr>
        <w:br/>
      </w:r>
      <w:hyperlink w:tgtFrame="_new" w:history="1" r:id="rId15">
        <w:r w:rsidRPr="00C05105">
          <w:rPr>
            <w:rStyle w:val="Hyperlink"/>
            <w:rFonts w:ascii="Arial" w:hAnsi="Arial" w:cs="Arial"/>
            <w:sz w:val="22"/>
            <w:szCs w:val="22"/>
          </w:rPr>
          <w:t>https://www.bmj.com/content/363/bmj.k4649</w:t>
        </w:r>
      </w:hyperlink>
    </w:p>
    <w:p w:rsidRPr="00BD1778" w:rsidR="00C05105" w:rsidP="00C05105" w:rsidRDefault="00C05105" w14:paraId="6FD8291C" w14:textId="77777777">
      <w:pPr>
        <w:pStyle w:val="ListParagraph"/>
        <w:numPr>
          <w:ilvl w:val="0"/>
          <w:numId w:val="1"/>
        </w:numPr>
        <w:spacing w:line="360" w:lineRule="auto"/>
        <w:rPr>
          <w:rFonts w:ascii="Arial" w:hAnsi="Arial" w:cs="Arial"/>
          <w:sz w:val="22"/>
          <w:szCs w:val="22"/>
          <w:lang w:val="fr-FR"/>
        </w:rPr>
      </w:pPr>
      <w:r w:rsidRPr="00C05105">
        <w:rPr>
          <w:rFonts w:ascii="Arial" w:hAnsi="Arial" w:cs="Arial"/>
          <w:sz w:val="22"/>
          <w:szCs w:val="22"/>
        </w:rPr>
        <w:t xml:space="preserve">World Health Organization (2019) </w:t>
      </w:r>
      <w:r w:rsidRPr="00C05105">
        <w:rPr>
          <w:rFonts w:ascii="Arial" w:hAnsi="Arial" w:cs="Arial"/>
          <w:i/>
          <w:iCs/>
          <w:sz w:val="22"/>
          <w:szCs w:val="22"/>
        </w:rPr>
        <w:t>Burn-out an occupational phenomenon (ICD-11)</w:t>
      </w:r>
      <w:r w:rsidRPr="00C05105">
        <w:rPr>
          <w:rFonts w:ascii="Arial" w:hAnsi="Arial" w:cs="Arial"/>
          <w:sz w:val="22"/>
          <w:szCs w:val="22"/>
        </w:rPr>
        <w:t xml:space="preserve">. </w:t>
      </w:r>
      <w:r w:rsidRPr="00BD1778">
        <w:rPr>
          <w:rFonts w:ascii="Arial" w:hAnsi="Arial" w:cs="Arial"/>
          <w:sz w:val="22"/>
          <w:szCs w:val="22"/>
          <w:lang w:val="fr-FR"/>
        </w:rPr>
        <w:t>Available at:</w:t>
      </w:r>
      <w:r w:rsidRPr="00BD1778">
        <w:rPr>
          <w:rFonts w:ascii="Arial" w:hAnsi="Arial" w:cs="Arial"/>
          <w:sz w:val="22"/>
          <w:szCs w:val="22"/>
          <w:lang w:val="fr-FR"/>
        </w:rPr>
        <w:br/>
      </w:r>
      <w:hyperlink w:tgtFrame="_new" w:history="1" r:id="rId16">
        <w:r w:rsidRPr="00BD1778">
          <w:rPr>
            <w:rStyle w:val="Hyperlink"/>
            <w:rFonts w:ascii="Arial" w:hAnsi="Arial" w:cs="Arial"/>
            <w:sz w:val="22"/>
            <w:szCs w:val="22"/>
            <w:lang w:val="fr-FR"/>
          </w:rPr>
          <w:t>https://www.who.int/standards/classifications/frequently-asked-questions/burn-out-an-occupational-phenomenon</w:t>
        </w:r>
      </w:hyperlink>
    </w:p>
    <w:p w:rsidRPr="00BD1778" w:rsidR="00693A9D" w:rsidP="00C05105" w:rsidRDefault="00693A9D" w14:paraId="7EDB7310" w14:textId="77777777">
      <w:pPr>
        <w:spacing w:line="360" w:lineRule="auto"/>
        <w:jc w:val="both"/>
        <w:rPr>
          <w:rFonts w:ascii="Arial" w:hAnsi="Arial" w:cs="Arial"/>
          <w:sz w:val="22"/>
          <w:szCs w:val="22"/>
          <w:lang w:val="fr-FR"/>
        </w:rPr>
      </w:pPr>
    </w:p>
    <w:sectPr w:rsidRPr="00BD1778" w:rsidR="00693A9D">
      <w:headerReference w:type="default" r:id="rId17"/>
      <w:footerReference w:type="default" r:id="rId18"/>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F1272C" w:rsidP="00C05105" w:rsidRDefault="00F1272C" w14:paraId="34AF0179" w14:textId="77777777">
      <w:pPr>
        <w:spacing w:after="0" w:line="240" w:lineRule="auto"/>
      </w:pPr>
      <w:r>
        <w:separator/>
      </w:r>
    </w:p>
  </w:endnote>
  <w:endnote w:type="continuationSeparator" w:id="0">
    <w:p w:rsidR="00F1272C" w:rsidP="00C05105" w:rsidRDefault="00F1272C" w14:paraId="5CDC5269"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64048447"/>
      <w:docPartObj>
        <w:docPartGallery w:val="Page Numbers (Bottom of Page)"/>
        <w:docPartUnique/>
      </w:docPartObj>
    </w:sdtPr>
    <w:sdtEndPr>
      <w:rPr>
        <w:noProof/>
      </w:rPr>
    </w:sdtEndPr>
    <w:sdtContent>
      <w:p w:rsidR="00C05105" w:rsidRDefault="00C05105" w14:paraId="7242CB72" w14:textId="505280A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C05105" w:rsidRDefault="00C05105" w14:paraId="36678AD9"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F1272C" w:rsidP="00C05105" w:rsidRDefault="00F1272C" w14:paraId="6CF00C9D" w14:textId="77777777">
      <w:pPr>
        <w:spacing w:after="0" w:line="240" w:lineRule="auto"/>
      </w:pPr>
      <w:r>
        <w:separator/>
      </w:r>
    </w:p>
  </w:footnote>
  <w:footnote w:type="continuationSeparator" w:id="0">
    <w:p w:rsidR="00F1272C" w:rsidP="00C05105" w:rsidRDefault="00F1272C" w14:paraId="17811B15"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C05105" w:rsidRDefault="00C05105" w14:paraId="42D5635F" w14:textId="7CE7E1F4">
    <w:pPr>
      <w:pStyle w:val="Header"/>
    </w:pPr>
    <w:r w:rsidRPr="00A406E5">
      <w:rPr>
        <w:rFonts w:ascii="Arial" w:hAnsi="Arial" w:cs="Arial"/>
        <w:noProof/>
      </w:rPr>
      <w:drawing>
        <wp:anchor distT="0" distB="0" distL="114300" distR="114300" simplePos="0" relativeHeight="251659264" behindDoc="0" locked="0" layoutInCell="1" allowOverlap="1" wp14:anchorId="66D43BDC" wp14:editId="77094840">
          <wp:simplePos x="0" y="0"/>
          <wp:positionH relativeFrom="column">
            <wp:posOffset>0</wp:posOffset>
          </wp:positionH>
          <wp:positionV relativeFrom="paragraph">
            <wp:posOffset>183515</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A0F61DE"/>
    <w:multiLevelType w:val="hybridMultilevel"/>
    <w:tmpl w:val="B4DAA27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1359162782">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trackRevisions w:val="false"/>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5105"/>
    <w:rsid w:val="00243901"/>
    <w:rsid w:val="00614B13"/>
    <w:rsid w:val="00693A9D"/>
    <w:rsid w:val="00785FB2"/>
    <w:rsid w:val="007909F0"/>
    <w:rsid w:val="007D120B"/>
    <w:rsid w:val="00BD1778"/>
    <w:rsid w:val="00C05105"/>
    <w:rsid w:val="00F1272C"/>
    <w:rsid w:val="093BA78B"/>
    <w:rsid w:val="0E94B82F"/>
    <w:rsid w:val="1CD7C21A"/>
    <w:rsid w:val="3BB9A7E6"/>
    <w:rsid w:val="457D1967"/>
    <w:rsid w:val="5F211990"/>
    <w:rsid w:val="6052CB54"/>
    <w:rsid w:val="63197371"/>
    <w:rsid w:val="693FA0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4799DC"/>
  <w15:chartTrackingRefBased/>
  <w15:docId w15:val="{C18D58D8-9B3B-436C-A79C-CBEC0CD0D94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C05105"/>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05105"/>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0510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0510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0510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0510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0510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0510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05105"/>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C05105"/>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C05105"/>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C05105"/>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C05105"/>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C05105"/>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C05105"/>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C05105"/>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C05105"/>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C05105"/>
    <w:rPr>
      <w:rFonts w:eastAsiaTheme="majorEastAsia" w:cstheme="majorBidi"/>
      <w:color w:val="272727" w:themeColor="text1" w:themeTint="D8"/>
    </w:rPr>
  </w:style>
  <w:style w:type="paragraph" w:styleId="Title">
    <w:name w:val="Title"/>
    <w:basedOn w:val="Normal"/>
    <w:next w:val="Normal"/>
    <w:link w:val="TitleChar"/>
    <w:uiPriority w:val="10"/>
    <w:qFormat/>
    <w:rsid w:val="00C05105"/>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C05105"/>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C05105"/>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C0510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05105"/>
    <w:pPr>
      <w:spacing w:before="160"/>
      <w:jc w:val="center"/>
    </w:pPr>
    <w:rPr>
      <w:i/>
      <w:iCs/>
      <w:color w:val="404040" w:themeColor="text1" w:themeTint="BF"/>
    </w:rPr>
  </w:style>
  <w:style w:type="character" w:styleId="QuoteChar" w:customStyle="1">
    <w:name w:val="Quote Char"/>
    <w:basedOn w:val="DefaultParagraphFont"/>
    <w:link w:val="Quote"/>
    <w:uiPriority w:val="29"/>
    <w:rsid w:val="00C05105"/>
    <w:rPr>
      <w:i/>
      <w:iCs/>
      <w:color w:val="404040" w:themeColor="text1" w:themeTint="BF"/>
    </w:rPr>
  </w:style>
  <w:style w:type="paragraph" w:styleId="ListParagraph">
    <w:name w:val="List Paragraph"/>
    <w:basedOn w:val="Normal"/>
    <w:uiPriority w:val="34"/>
    <w:qFormat/>
    <w:rsid w:val="00C05105"/>
    <w:pPr>
      <w:ind w:left="720"/>
      <w:contextualSpacing/>
    </w:pPr>
  </w:style>
  <w:style w:type="character" w:styleId="IntenseEmphasis">
    <w:name w:val="Intense Emphasis"/>
    <w:basedOn w:val="DefaultParagraphFont"/>
    <w:uiPriority w:val="21"/>
    <w:qFormat/>
    <w:rsid w:val="00C05105"/>
    <w:rPr>
      <w:i/>
      <w:iCs/>
      <w:color w:val="0F4761" w:themeColor="accent1" w:themeShade="BF"/>
    </w:rPr>
  </w:style>
  <w:style w:type="paragraph" w:styleId="IntenseQuote">
    <w:name w:val="Intense Quote"/>
    <w:basedOn w:val="Normal"/>
    <w:next w:val="Normal"/>
    <w:link w:val="IntenseQuoteChar"/>
    <w:uiPriority w:val="30"/>
    <w:qFormat/>
    <w:rsid w:val="00C05105"/>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C05105"/>
    <w:rPr>
      <w:i/>
      <w:iCs/>
      <w:color w:val="0F4761" w:themeColor="accent1" w:themeShade="BF"/>
    </w:rPr>
  </w:style>
  <w:style w:type="character" w:styleId="IntenseReference">
    <w:name w:val="Intense Reference"/>
    <w:basedOn w:val="DefaultParagraphFont"/>
    <w:uiPriority w:val="32"/>
    <w:qFormat/>
    <w:rsid w:val="00C05105"/>
    <w:rPr>
      <w:b/>
      <w:bCs/>
      <w:smallCaps/>
      <w:color w:val="0F4761" w:themeColor="accent1" w:themeShade="BF"/>
      <w:spacing w:val="5"/>
    </w:rPr>
  </w:style>
  <w:style w:type="character" w:styleId="Hyperlink">
    <w:name w:val="Hyperlink"/>
    <w:basedOn w:val="DefaultParagraphFont"/>
    <w:uiPriority w:val="99"/>
    <w:unhideWhenUsed/>
    <w:rsid w:val="00C05105"/>
    <w:rPr>
      <w:color w:val="467886" w:themeColor="hyperlink"/>
      <w:u w:val="single"/>
    </w:rPr>
  </w:style>
  <w:style w:type="character" w:styleId="UnresolvedMention">
    <w:name w:val="Unresolved Mention"/>
    <w:basedOn w:val="DefaultParagraphFont"/>
    <w:uiPriority w:val="99"/>
    <w:semiHidden/>
    <w:unhideWhenUsed/>
    <w:rsid w:val="00C05105"/>
    <w:rPr>
      <w:color w:val="605E5C"/>
      <w:shd w:val="clear" w:color="auto" w:fill="E1DFDD"/>
    </w:rPr>
  </w:style>
  <w:style w:type="paragraph" w:styleId="Header">
    <w:name w:val="header"/>
    <w:basedOn w:val="Normal"/>
    <w:link w:val="HeaderChar"/>
    <w:uiPriority w:val="99"/>
    <w:unhideWhenUsed/>
    <w:rsid w:val="00C05105"/>
    <w:pPr>
      <w:tabs>
        <w:tab w:val="center" w:pos="4513"/>
        <w:tab w:val="right" w:pos="9026"/>
      </w:tabs>
      <w:spacing w:after="0" w:line="240" w:lineRule="auto"/>
    </w:pPr>
  </w:style>
  <w:style w:type="character" w:styleId="HeaderChar" w:customStyle="1">
    <w:name w:val="Header Char"/>
    <w:basedOn w:val="DefaultParagraphFont"/>
    <w:link w:val="Header"/>
    <w:uiPriority w:val="99"/>
    <w:rsid w:val="00C05105"/>
  </w:style>
  <w:style w:type="paragraph" w:styleId="Footer">
    <w:name w:val="footer"/>
    <w:basedOn w:val="Normal"/>
    <w:link w:val="FooterChar"/>
    <w:uiPriority w:val="99"/>
    <w:unhideWhenUsed/>
    <w:rsid w:val="00C05105"/>
    <w:pPr>
      <w:tabs>
        <w:tab w:val="center" w:pos="4513"/>
        <w:tab w:val="right" w:pos="9026"/>
      </w:tabs>
      <w:spacing w:after="0" w:line="240" w:lineRule="auto"/>
    </w:pPr>
  </w:style>
  <w:style w:type="character" w:styleId="FooterChar" w:customStyle="1">
    <w:name w:val="Footer Char"/>
    <w:basedOn w:val="DefaultParagraphFont"/>
    <w:link w:val="Footer"/>
    <w:uiPriority w:val="99"/>
    <w:rsid w:val="00C05105"/>
  </w:style>
  <w:style w:type="paragraph" w:styleId="TOCHeading">
    <w:name w:val="TOC Heading"/>
    <w:basedOn w:val="Heading1"/>
    <w:next w:val="Normal"/>
    <w:uiPriority w:val="39"/>
    <w:unhideWhenUsed/>
    <w:qFormat/>
    <w:rsid w:val="00243901"/>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243901"/>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jpeg" Id="rId8" /><Relationship Type="http://schemas.openxmlformats.org/officeDocument/2006/relationships/hyperlink" Target="https://www.health.org.uk/features-and-opinion/blogs/how-can-we-think-long-term-when-the-issues-facing-the-health-service-are" TargetMode="External" Id="rId13" /><Relationship Type="http://schemas.openxmlformats.org/officeDocument/2006/relationships/footer" Target="footer1.xml" Id="rId1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hyperlink" Target="https://www.ons.gov.uk/employmentandlabourmarket/peopleinwork/labourproductivity/articles/sicknessabsenceinthelabourmarket/2022?utm_source=chatgpt.com" TargetMode="External" Id="rId12" /><Relationship Type="http://schemas.openxmlformats.org/officeDocument/2006/relationships/header" Target="header1.xml" Id="rId17" /><Relationship Type="http://schemas.openxmlformats.org/officeDocument/2006/relationships/numbering" Target="numbering.xml" Id="rId2" /><Relationship Type="http://schemas.openxmlformats.org/officeDocument/2006/relationships/hyperlink" Target="https://www.who.int/standards/classifications/frequently-asked-questions/burn-out-an-occupational-phenomenon" TargetMode="External" Id="rId16" /><Relationship Type="http://schemas.openxmlformats.org/officeDocument/2006/relationships/theme" Target="theme/theme1.xml" Id="rId20"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hyperlink" Target="https://www.nuffieldtrust.org.uk/resource/the-nhs-workforce-in-numbers" TargetMode="External" Id="rId11" /><Relationship Type="http://schemas.openxmlformats.org/officeDocument/2006/relationships/webSettings" Target="webSettings.xml" Id="rId5" /><Relationship Type="http://schemas.openxmlformats.org/officeDocument/2006/relationships/hyperlink" Target="https://www.bmj.com/content/363/bmj.k4649" TargetMode="External" Id="rId15" /><Relationship Type="http://schemas.openxmlformats.org/officeDocument/2006/relationships/hyperlink" Target="https://www.england.nhs.uk/supporting-our-nhs-people/" TargetMode="External" Id="rId10" /><Relationship Type="http://schemas.openxmlformats.org/officeDocument/2006/relationships/fontTable" Target="fontTable.xml" Id="rId19" /><Relationship Type="http://schemas.openxmlformats.org/officeDocument/2006/relationships/settings" Target="settings.xml" Id="rId4" /><Relationship Type="http://schemas.openxmlformats.org/officeDocument/2006/relationships/hyperlink" Target="https://www.ncbi.nlm.nih.gov/pmc/articles/PMC4911781/" TargetMode="External" Id="rId9" /><Relationship Type="http://schemas.openxmlformats.org/officeDocument/2006/relationships/hyperlink" Target="https://www.kingsfund.org.uk/projects/nhs-in-a-nutshell/nhs-workforce" TargetMode="External" Id="rId14" /></Relationships>
</file>

<file path=word/_rels/header1.xml.rels><?xml version="1.0" encoding="UTF-8" standalone="yes"?>
<Relationships xmlns="http://schemas.openxmlformats.org/package/2006/relationships"><Relationship Id="rId2" Type="http://schemas.openxmlformats.org/officeDocument/2006/relationships/image" Target="cid:image001.png@01D0EA4A.2BD679A0" TargetMode="External"/><Relationship Id="rId1" Type="http://schemas.openxmlformats.org/officeDocument/2006/relationships/image" Target="media/image2.png"/></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92CDE7-B427-4CFD-A13E-6CE8C572BC55}">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Andreea Mirea</dc:creator>
  <keywords/>
  <dc:description/>
  <lastModifiedBy>Andreea Mirea (2523016)</lastModifiedBy>
  <revision>3</revision>
  <dcterms:created xsi:type="dcterms:W3CDTF">2026-03-17T10:48:00.0000000Z</dcterms:created>
  <dcterms:modified xsi:type="dcterms:W3CDTF">2026-03-21T14:18:21.5373641Z</dcterms:modified>
</coreProperties>
</file>