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2924677"/>
        <w:docPartObj>
          <w:docPartGallery w:val="Cover Pages"/>
          <w:docPartUnique/>
        </w:docPartObj>
      </w:sdtPr>
      <w:sdtEndPr>
        <w:rPr>
          <w:rFonts w:ascii="Arial" w:hAnsi="Arial" w:cs="Arial"/>
          <w:b/>
          <w:bCs/>
          <w:sz w:val="32"/>
          <w:szCs w:val="32"/>
        </w:rPr>
      </w:sdtEndPr>
      <w:sdtContent>
        <w:p w14:paraId="66F0B4F7" w14:textId="3B5B5487" w:rsidR="000554EA" w:rsidRDefault="000554EA" w:rsidP="000554EA">
          <w:pPr>
            <w:spacing w:before="120" w:after="120"/>
            <w:rPr>
              <w:rFonts w:ascii="Arial" w:hAnsi="Arial" w:cs="Arial"/>
              <w:b/>
              <w:bCs/>
              <w:sz w:val="22"/>
              <w:szCs w:val="22"/>
            </w:rPr>
          </w:pPr>
          <w:r>
            <w:rPr>
              <w:rFonts w:ascii="Arial" w:hAnsi="Arial" w:cs="Arial"/>
              <w:b/>
              <w:bCs/>
              <w:sz w:val="22"/>
              <w:szCs w:val="22"/>
            </w:rPr>
            <w:t>Certificate</w:t>
          </w:r>
          <w:r>
            <w:rPr>
              <w:rFonts w:ascii="Arial" w:hAnsi="Arial" w:cs="Arial"/>
              <w:b/>
              <w:bCs/>
              <w:spacing w:val="-5"/>
              <w:sz w:val="22"/>
              <w:szCs w:val="22"/>
            </w:rPr>
            <w:t xml:space="preserve"> </w:t>
          </w:r>
          <w:r>
            <w:rPr>
              <w:rFonts w:ascii="Arial" w:hAnsi="Arial" w:cs="Arial"/>
              <w:b/>
              <w:bCs/>
              <w:sz w:val="22"/>
              <w:szCs w:val="22"/>
            </w:rPr>
            <w:t>of</w:t>
          </w:r>
          <w:r>
            <w:rPr>
              <w:rFonts w:ascii="Arial" w:hAnsi="Arial" w:cs="Arial"/>
              <w:b/>
              <w:bCs/>
              <w:spacing w:val="-5"/>
              <w:sz w:val="22"/>
              <w:szCs w:val="22"/>
            </w:rPr>
            <w:t xml:space="preserve"> </w:t>
          </w:r>
          <w:r>
            <w:rPr>
              <w:rFonts w:ascii="Arial" w:hAnsi="Arial" w:cs="Arial"/>
              <w:b/>
              <w:bCs/>
              <w:sz w:val="22"/>
              <w:szCs w:val="22"/>
            </w:rPr>
            <w:t>Higher</w:t>
          </w:r>
          <w:r>
            <w:rPr>
              <w:rFonts w:ascii="Arial" w:hAnsi="Arial" w:cs="Arial"/>
              <w:b/>
              <w:bCs/>
              <w:spacing w:val="-4"/>
              <w:sz w:val="22"/>
              <w:szCs w:val="22"/>
            </w:rPr>
            <w:t xml:space="preserve"> </w:t>
          </w:r>
          <w:r>
            <w:rPr>
              <w:rFonts w:ascii="Arial" w:hAnsi="Arial" w:cs="Arial"/>
              <w:b/>
              <w:bCs/>
              <w:sz w:val="22"/>
              <w:szCs w:val="22"/>
            </w:rPr>
            <w:t>Education</w:t>
          </w:r>
          <w:r>
            <w:rPr>
              <w:rFonts w:ascii="Arial" w:hAnsi="Arial" w:cs="Arial"/>
              <w:b/>
              <w:bCs/>
              <w:spacing w:val="-3"/>
              <w:sz w:val="22"/>
              <w:szCs w:val="22"/>
            </w:rPr>
            <w:t xml:space="preserve"> </w:t>
          </w:r>
          <w:r>
            <w:rPr>
              <w:rFonts w:ascii="Arial" w:hAnsi="Arial" w:cs="Arial"/>
              <w:b/>
              <w:bCs/>
              <w:sz w:val="22"/>
              <w:szCs w:val="22"/>
            </w:rPr>
            <w:t>Skills</w:t>
          </w:r>
          <w:r>
            <w:rPr>
              <w:rFonts w:ascii="Arial" w:hAnsi="Arial" w:cs="Arial"/>
              <w:b/>
              <w:bCs/>
              <w:spacing w:val="-5"/>
              <w:sz w:val="22"/>
              <w:szCs w:val="22"/>
            </w:rPr>
            <w:t xml:space="preserve"> </w:t>
          </w:r>
          <w:r>
            <w:rPr>
              <w:rFonts w:ascii="Arial" w:hAnsi="Arial" w:cs="Arial"/>
              <w:b/>
              <w:bCs/>
              <w:sz w:val="22"/>
              <w:szCs w:val="22"/>
            </w:rPr>
            <w:t>for</w:t>
          </w:r>
          <w:r>
            <w:rPr>
              <w:rFonts w:ascii="Arial" w:hAnsi="Arial" w:cs="Arial"/>
              <w:b/>
              <w:bCs/>
              <w:spacing w:val="-4"/>
              <w:sz w:val="22"/>
              <w:szCs w:val="22"/>
            </w:rPr>
            <w:t xml:space="preserve"> </w:t>
          </w:r>
          <w:r>
            <w:rPr>
              <w:rFonts w:ascii="Arial" w:hAnsi="Arial" w:cs="Arial"/>
              <w:b/>
              <w:bCs/>
              <w:sz w:val="22"/>
              <w:szCs w:val="22"/>
            </w:rPr>
            <w:t>the</w:t>
          </w:r>
          <w:r>
            <w:rPr>
              <w:rFonts w:ascii="Arial" w:hAnsi="Arial" w:cs="Arial"/>
              <w:b/>
              <w:bCs/>
              <w:spacing w:val="-8"/>
              <w:sz w:val="22"/>
              <w:szCs w:val="22"/>
            </w:rPr>
            <w:t xml:space="preserve"> </w:t>
          </w:r>
          <w:r>
            <w:rPr>
              <w:rFonts w:ascii="Arial" w:hAnsi="Arial" w:cs="Arial"/>
              <w:b/>
              <w:bCs/>
              <w:spacing w:val="-2"/>
              <w:sz w:val="22"/>
              <w:szCs w:val="22"/>
            </w:rPr>
            <w:t>Workplace (Health &amp; Social Care)</w:t>
          </w:r>
        </w:p>
        <w:p w14:paraId="3C072B88" w14:textId="2F32D92E" w:rsidR="000554EA" w:rsidRDefault="000554EA">
          <w:r>
            <w:rPr>
              <w:noProof/>
            </w:rPr>
            <mc:AlternateContent>
              <mc:Choice Requires="wpg">
                <w:drawing>
                  <wp:anchor distT="0" distB="0" distL="114300" distR="114300" simplePos="0" relativeHeight="251662336" behindDoc="0" locked="0" layoutInCell="1" allowOverlap="1" wp14:anchorId="7A1DCACF" wp14:editId="63FA4F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D7E3B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34FF193A" w14:textId="77777777" w:rsidR="00D73532" w:rsidRDefault="000554EA" w:rsidP="000554EA">
          <w:pPr>
            <w:spacing w:before="120" w:after="120"/>
            <w:rPr>
              <w:rFonts w:ascii="Arial" w:hAnsi="Arial" w:cs="Arial"/>
              <w:b/>
              <w:bCs/>
              <w:sz w:val="32"/>
              <w:szCs w:val="32"/>
            </w:rPr>
          </w:pPr>
          <w:r>
            <w:rPr>
              <w:rFonts w:ascii="Arial" w:hAnsi="Arial" w:cs="Arial"/>
              <w:b/>
              <w:bCs/>
              <w:sz w:val="32"/>
              <w:szCs w:val="32"/>
            </w:rPr>
            <w:t xml:space="preserve">   </w:t>
          </w:r>
        </w:p>
        <w:p w14:paraId="3AD47B1F" w14:textId="77777777" w:rsidR="00D73532" w:rsidRDefault="00D73532" w:rsidP="000554EA">
          <w:pPr>
            <w:spacing w:before="120" w:after="120"/>
            <w:rPr>
              <w:rFonts w:ascii="Arial" w:hAnsi="Arial" w:cs="Arial"/>
              <w:b/>
              <w:bCs/>
              <w:sz w:val="32"/>
              <w:szCs w:val="32"/>
            </w:rPr>
          </w:pPr>
        </w:p>
        <w:p w14:paraId="4850564C" w14:textId="39778FCD" w:rsidR="000554EA" w:rsidRDefault="000554EA" w:rsidP="000554EA">
          <w:pPr>
            <w:spacing w:before="120" w:after="120"/>
            <w:rPr>
              <w:rFonts w:ascii="Arial" w:hAnsi="Arial" w:cs="Arial"/>
              <w:b/>
              <w:bCs/>
              <w:spacing w:val="-2"/>
              <w:sz w:val="32"/>
              <w:szCs w:val="32"/>
            </w:rPr>
          </w:pPr>
          <w:r>
            <w:rPr>
              <w:rFonts w:ascii="Arial" w:hAnsi="Arial" w:cs="Arial"/>
              <w:b/>
              <w:bCs/>
              <w:sz w:val="32"/>
              <w:szCs w:val="32"/>
            </w:rPr>
            <w:t xml:space="preserve"> </w:t>
          </w:r>
          <w:r w:rsidRPr="000554EA">
            <w:rPr>
              <w:rFonts w:ascii="Arial" w:hAnsi="Arial" w:cs="Arial"/>
              <w:b/>
              <w:bCs/>
              <w:sz w:val="32"/>
              <w:szCs w:val="32"/>
            </w:rPr>
            <w:t>Certificate</w:t>
          </w:r>
          <w:r w:rsidRPr="000554EA">
            <w:rPr>
              <w:rFonts w:ascii="Arial" w:hAnsi="Arial" w:cs="Arial"/>
              <w:b/>
              <w:bCs/>
              <w:spacing w:val="-5"/>
              <w:sz w:val="32"/>
              <w:szCs w:val="32"/>
            </w:rPr>
            <w:t xml:space="preserve"> </w:t>
          </w:r>
          <w:r w:rsidRPr="000554EA">
            <w:rPr>
              <w:rFonts w:ascii="Arial" w:hAnsi="Arial" w:cs="Arial"/>
              <w:b/>
              <w:bCs/>
              <w:sz w:val="32"/>
              <w:szCs w:val="32"/>
            </w:rPr>
            <w:t>of</w:t>
          </w:r>
          <w:r w:rsidRPr="000554EA">
            <w:rPr>
              <w:rFonts w:ascii="Arial" w:hAnsi="Arial" w:cs="Arial"/>
              <w:b/>
              <w:bCs/>
              <w:spacing w:val="-5"/>
              <w:sz w:val="32"/>
              <w:szCs w:val="32"/>
            </w:rPr>
            <w:t xml:space="preserve"> </w:t>
          </w:r>
          <w:r w:rsidRPr="000554EA">
            <w:rPr>
              <w:rFonts w:ascii="Arial" w:hAnsi="Arial" w:cs="Arial"/>
              <w:b/>
              <w:bCs/>
              <w:sz w:val="32"/>
              <w:szCs w:val="32"/>
            </w:rPr>
            <w:t>Higher</w:t>
          </w:r>
          <w:r w:rsidRPr="000554EA">
            <w:rPr>
              <w:rFonts w:ascii="Arial" w:hAnsi="Arial" w:cs="Arial"/>
              <w:b/>
              <w:bCs/>
              <w:spacing w:val="-4"/>
              <w:sz w:val="32"/>
              <w:szCs w:val="32"/>
            </w:rPr>
            <w:t xml:space="preserve"> </w:t>
          </w:r>
          <w:r w:rsidRPr="000554EA">
            <w:rPr>
              <w:rFonts w:ascii="Arial" w:hAnsi="Arial" w:cs="Arial"/>
              <w:b/>
              <w:bCs/>
              <w:sz w:val="32"/>
              <w:szCs w:val="32"/>
            </w:rPr>
            <w:t>Education</w:t>
          </w:r>
          <w:r w:rsidRPr="000554EA">
            <w:rPr>
              <w:rFonts w:ascii="Arial" w:hAnsi="Arial" w:cs="Arial"/>
              <w:b/>
              <w:bCs/>
              <w:spacing w:val="-3"/>
              <w:sz w:val="32"/>
              <w:szCs w:val="32"/>
            </w:rPr>
            <w:t xml:space="preserve"> </w:t>
          </w:r>
          <w:r w:rsidRPr="000554EA">
            <w:rPr>
              <w:rFonts w:ascii="Arial" w:hAnsi="Arial" w:cs="Arial"/>
              <w:b/>
              <w:bCs/>
              <w:sz w:val="32"/>
              <w:szCs w:val="32"/>
            </w:rPr>
            <w:t>Skills</w:t>
          </w:r>
          <w:r w:rsidRPr="000554EA">
            <w:rPr>
              <w:rFonts w:ascii="Arial" w:hAnsi="Arial" w:cs="Arial"/>
              <w:b/>
              <w:bCs/>
              <w:spacing w:val="-5"/>
              <w:sz w:val="32"/>
              <w:szCs w:val="32"/>
            </w:rPr>
            <w:t xml:space="preserve"> </w:t>
          </w:r>
          <w:r w:rsidRPr="000554EA">
            <w:rPr>
              <w:rFonts w:ascii="Arial" w:hAnsi="Arial" w:cs="Arial"/>
              <w:b/>
              <w:bCs/>
              <w:sz w:val="32"/>
              <w:szCs w:val="32"/>
            </w:rPr>
            <w:t>for</w:t>
          </w:r>
          <w:r w:rsidRPr="000554EA">
            <w:rPr>
              <w:rFonts w:ascii="Arial" w:hAnsi="Arial" w:cs="Arial"/>
              <w:b/>
              <w:bCs/>
              <w:spacing w:val="-4"/>
              <w:sz w:val="32"/>
              <w:szCs w:val="32"/>
            </w:rPr>
            <w:t xml:space="preserve"> </w:t>
          </w:r>
          <w:r w:rsidRPr="000554EA">
            <w:rPr>
              <w:rFonts w:ascii="Arial" w:hAnsi="Arial" w:cs="Arial"/>
              <w:b/>
              <w:bCs/>
              <w:sz w:val="32"/>
              <w:szCs w:val="32"/>
            </w:rPr>
            <w:t>the</w:t>
          </w:r>
          <w:r w:rsidRPr="000554EA">
            <w:rPr>
              <w:rFonts w:ascii="Arial" w:hAnsi="Arial" w:cs="Arial"/>
              <w:b/>
              <w:bCs/>
              <w:spacing w:val="-8"/>
              <w:sz w:val="32"/>
              <w:szCs w:val="32"/>
            </w:rPr>
            <w:t xml:space="preserve"> </w:t>
          </w:r>
          <w:r w:rsidRPr="000554EA">
            <w:rPr>
              <w:rFonts w:ascii="Arial" w:hAnsi="Arial" w:cs="Arial"/>
              <w:b/>
              <w:bCs/>
              <w:spacing w:val="-2"/>
              <w:sz w:val="32"/>
              <w:szCs w:val="32"/>
            </w:rPr>
            <w:t xml:space="preserve">Workplace </w:t>
          </w:r>
          <w:r>
            <w:rPr>
              <w:rFonts w:ascii="Arial" w:hAnsi="Arial" w:cs="Arial"/>
              <w:b/>
              <w:bCs/>
              <w:spacing w:val="-2"/>
              <w:sz w:val="32"/>
              <w:szCs w:val="32"/>
            </w:rPr>
            <w:t xml:space="preserve"> </w:t>
          </w:r>
        </w:p>
        <w:p w14:paraId="64738040" w14:textId="48A86918" w:rsidR="000554EA" w:rsidRDefault="000554EA" w:rsidP="000554EA">
          <w:pPr>
            <w:spacing w:before="120" w:after="120"/>
            <w:rPr>
              <w:rFonts w:ascii="Arial" w:hAnsi="Arial" w:cs="Arial"/>
              <w:b/>
              <w:bCs/>
              <w:spacing w:val="-2"/>
              <w:sz w:val="32"/>
              <w:szCs w:val="32"/>
            </w:rPr>
          </w:pPr>
          <w:r>
            <w:rPr>
              <w:rFonts w:ascii="Arial" w:hAnsi="Arial" w:cs="Arial"/>
              <w:b/>
              <w:bCs/>
              <w:spacing w:val="-2"/>
              <w:sz w:val="32"/>
              <w:szCs w:val="32"/>
            </w:rPr>
            <w:t xml:space="preserve">                                </w:t>
          </w:r>
          <w:r w:rsidRPr="000554EA">
            <w:rPr>
              <w:rFonts w:ascii="Arial" w:hAnsi="Arial" w:cs="Arial"/>
              <w:b/>
              <w:bCs/>
              <w:spacing w:val="-2"/>
              <w:sz w:val="32"/>
              <w:szCs w:val="32"/>
            </w:rPr>
            <w:t>(Health &amp; Social Care)</w:t>
          </w:r>
        </w:p>
        <w:p w14:paraId="344E26D4" w14:textId="77777777" w:rsidR="00D73532" w:rsidRDefault="00D73532" w:rsidP="000554EA">
          <w:pPr>
            <w:spacing w:before="120" w:after="120"/>
            <w:rPr>
              <w:rFonts w:ascii="Arial" w:hAnsi="Arial" w:cs="Arial"/>
              <w:b/>
              <w:bCs/>
              <w:spacing w:val="-2"/>
              <w:sz w:val="32"/>
              <w:szCs w:val="32"/>
            </w:rPr>
          </w:pPr>
        </w:p>
        <w:p w14:paraId="46BAA8D8" w14:textId="77777777" w:rsidR="00D73532" w:rsidRDefault="00D73532" w:rsidP="000554EA">
          <w:pPr>
            <w:spacing w:before="120" w:after="120"/>
            <w:rPr>
              <w:rFonts w:ascii="Arial" w:hAnsi="Arial" w:cs="Arial"/>
              <w:b/>
              <w:bCs/>
              <w:spacing w:val="-2"/>
              <w:sz w:val="32"/>
              <w:szCs w:val="32"/>
            </w:rPr>
          </w:pPr>
        </w:p>
        <w:p w14:paraId="5BEA4F64" w14:textId="77777777" w:rsidR="00D73532" w:rsidRDefault="00D73532" w:rsidP="000554EA">
          <w:pPr>
            <w:spacing w:before="120" w:after="120"/>
            <w:rPr>
              <w:rFonts w:ascii="Arial" w:hAnsi="Arial" w:cs="Arial"/>
              <w:b/>
              <w:bCs/>
              <w:spacing w:val="-2"/>
              <w:sz w:val="32"/>
              <w:szCs w:val="32"/>
            </w:rPr>
          </w:pPr>
        </w:p>
        <w:p w14:paraId="2DD4AD14" w14:textId="77777777" w:rsidR="00D73532" w:rsidRDefault="00D73532" w:rsidP="000554EA">
          <w:pPr>
            <w:spacing w:before="120" w:after="120"/>
            <w:rPr>
              <w:rFonts w:ascii="Arial" w:hAnsi="Arial" w:cs="Arial"/>
              <w:b/>
              <w:bCs/>
              <w:spacing w:val="-2"/>
              <w:sz w:val="32"/>
              <w:szCs w:val="32"/>
            </w:rPr>
          </w:pPr>
        </w:p>
        <w:p w14:paraId="5C86E9F0" w14:textId="77777777" w:rsidR="00D73532" w:rsidRDefault="00D73532" w:rsidP="000554EA">
          <w:pPr>
            <w:spacing w:before="120" w:after="120"/>
            <w:rPr>
              <w:rFonts w:ascii="Arial" w:hAnsi="Arial" w:cs="Arial"/>
              <w:b/>
              <w:bCs/>
              <w:spacing w:val="-2"/>
              <w:sz w:val="32"/>
              <w:szCs w:val="32"/>
            </w:rPr>
          </w:pPr>
        </w:p>
        <w:p w14:paraId="51ECDA46" w14:textId="77777777" w:rsidR="00D73532" w:rsidRDefault="00D73532" w:rsidP="000554EA">
          <w:pPr>
            <w:spacing w:before="120" w:after="120"/>
            <w:rPr>
              <w:rFonts w:ascii="Arial" w:hAnsi="Arial" w:cs="Arial"/>
              <w:b/>
              <w:bCs/>
              <w:spacing w:val="-2"/>
              <w:sz w:val="32"/>
              <w:szCs w:val="32"/>
            </w:rPr>
          </w:pPr>
        </w:p>
        <w:p w14:paraId="418FB4C7" w14:textId="77777777" w:rsidR="00D73532" w:rsidRDefault="00D73532" w:rsidP="000554EA">
          <w:pPr>
            <w:spacing w:before="120" w:after="120"/>
            <w:rPr>
              <w:rFonts w:ascii="Arial" w:hAnsi="Arial" w:cs="Arial"/>
              <w:b/>
              <w:bCs/>
              <w:spacing w:val="-2"/>
              <w:sz w:val="32"/>
              <w:szCs w:val="32"/>
            </w:rPr>
          </w:pPr>
        </w:p>
        <w:p w14:paraId="2E4B4915" w14:textId="77777777" w:rsidR="00D73532" w:rsidRDefault="00D73532" w:rsidP="000554EA">
          <w:pPr>
            <w:spacing w:before="120" w:after="120"/>
            <w:rPr>
              <w:rFonts w:ascii="Arial" w:hAnsi="Arial" w:cs="Arial"/>
              <w:b/>
              <w:bCs/>
              <w:spacing w:val="-2"/>
              <w:sz w:val="32"/>
              <w:szCs w:val="32"/>
            </w:rPr>
          </w:pPr>
        </w:p>
        <w:p w14:paraId="19A49C2D" w14:textId="77777777" w:rsidR="000554EA" w:rsidRDefault="000554EA" w:rsidP="00D73532">
          <w:pPr>
            <w:spacing w:before="120" w:after="120"/>
            <w:rPr>
              <w:rFonts w:ascii="Arial" w:hAnsi="Arial" w:cs="Arial"/>
              <w:b/>
              <w:bCs/>
              <w:spacing w:val="-2"/>
              <w:sz w:val="32"/>
              <w:szCs w:val="32"/>
            </w:rPr>
          </w:pPr>
        </w:p>
        <w:p w14:paraId="630AE6B3" w14:textId="683B5632" w:rsidR="000554EA" w:rsidRDefault="00D73532" w:rsidP="00D73532">
          <w:pPr>
            <w:spacing w:before="120" w:after="120"/>
            <w:rPr>
              <w:rFonts w:ascii="Arial" w:hAnsi="Arial" w:cs="Arial"/>
              <w:b/>
              <w:bCs/>
              <w:spacing w:val="-2"/>
              <w:sz w:val="32"/>
              <w:szCs w:val="32"/>
            </w:rPr>
          </w:pPr>
          <w:r>
            <w:rPr>
              <w:rFonts w:ascii="Arial" w:hAnsi="Arial" w:cs="Arial"/>
              <w:b/>
              <w:bCs/>
              <w:spacing w:val="-2"/>
              <w:sz w:val="32"/>
              <w:szCs w:val="32"/>
            </w:rPr>
            <w:t>Module name: Introduction to Health and Social Care</w:t>
          </w:r>
        </w:p>
        <w:p w14:paraId="4878C5EB" w14:textId="3F39EAE9" w:rsidR="000554EA" w:rsidRDefault="000554EA" w:rsidP="00D73532">
          <w:pPr>
            <w:spacing w:before="120" w:after="120"/>
            <w:rPr>
              <w:rFonts w:ascii="Arial" w:hAnsi="Arial" w:cs="Arial"/>
              <w:b/>
              <w:bCs/>
              <w:spacing w:val="-2"/>
              <w:sz w:val="32"/>
              <w:szCs w:val="32"/>
            </w:rPr>
          </w:pPr>
          <w:r>
            <w:rPr>
              <w:rFonts w:ascii="Arial" w:hAnsi="Arial" w:cs="Arial"/>
              <w:b/>
              <w:bCs/>
              <w:spacing w:val="-2"/>
              <w:sz w:val="32"/>
              <w:szCs w:val="32"/>
            </w:rPr>
            <w:t xml:space="preserve">Student </w:t>
          </w:r>
          <w:r w:rsidR="00D73532">
            <w:rPr>
              <w:rFonts w:ascii="Arial" w:hAnsi="Arial" w:cs="Arial"/>
              <w:b/>
              <w:bCs/>
              <w:spacing w:val="-2"/>
              <w:sz w:val="32"/>
              <w:szCs w:val="32"/>
            </w:rPr>
            <w:t>name: Lavinia</w:t>
          </w:r>
          <w:r>
            <w:rPr>
              <w:rFonts w:ascii="Arial" w:hAnsi="Arial" w:cs="Arial"/>
              <w:b/>
              <w:bCs/>
              <w:spacing w:val="-2"/>
              <w:sz w:val="32"/>
              <w:szCs w:val="32"/>
            </w:rPr>
            <w:t xml:space="preserve"> Groceanu</w:t>
          </w:r>
        </w:p>
        <w:p w14:paraId="4B4D311F" w14:textId="10916269" w:rsidR="000554EA" w:rsidRDefault="000554EA" w:rsidP="00D73532">
          <w:pPr>
            <w:spacing w:before="120" w:after="120"/>
            <w:rPr>
              <w:rFonts w:ascii="Arial" w:hAnsi="Arial" w:cs="Arial"/>
              <w:b/>
              <w:bCs/>
              <w:spacing w:val="-2"/>
              <w:sz w:val="32"/>
              <w:szCs w:val="32"/>
            </w:rPr>
          </w:pPr>
          <w:r>
            <w:rPr>
              <w:rFonts w:ascii="Arial" w:hAnsi="Arial" w:cs="Arial"/>
              <w:b/>
              <w:bCs/>
              <w:spacing w:val="-2"/>
              <w:sz w:val="32"/>
              <w:szCs w:val="32"/>
            </w:rPr>
            <w:t>Student ID:2508612</w:t>
          </w:r>
        </w:p>
        <w:p w14:paraId="22506BFD" w14:textId="668E8CC1" w:rsidR="000554EA" w:rsidRDefault="000554EA" w:rsidP="00D73532">
          <w:pPr>
            <w:spacing w:before="120" w:after="120"/>
            <w:rPr>
              <w:rFonts w:ascii="Arial" w:hAnsi="Arial" w:cs="Arial"/>
              <w:b/>
              <w:bCs/>
              <w:sz w:val="32"/>
              <w:szCs w:val="32"/>
            </w:rPr>
          </w:pPr>
          <w:r>
            <w:rPr>
              <w:rFonts w:ascii="Arial" w:hAnsi="Arial" w:cs="Arial"/>
              <w:b/>
              <w:bCs/>
              <w:spacing w:val="-2"/>
              <w:sz w:val="32"/>
              <w:szCs w:val="32"/>
            </w:rPr>
            <w:t>Module code:</w:t>
          </w:r>
          <w:r w:rsidRPr="000554EA">
            <w:rPr>
              <w:rFonts w:ascii="Arial" w:hAnsi="Arial" w:cs="Arial"/>
              <w:b/>
              <w:bCs/>
              <w:sz w:val="22"/>
              <w:szCs w:val="22"/>
            </w:rPr>
            <w:t xml:space="preserve"> </w:t>
          </w:r>
          <w:r w:rsidRPr="000554EA">
            <w:rPr>
              <w:rFonts w:ascii="Arial" w:hAnsi="Arial" w:cs="Arial"/>
              <w:b/>
              <w:bCs/>
              <w:sz w:val="32"/>
              <w:szCs w:val="32"/>
            </w:rPr>
            <w:t>LCHS4003</w:t>
          </w:r>
          <w:r>
            <w:rPr>
              <w:rFonts w:ascii="Arial" w:hAnsi="Arial" w:cs="Arial"/>
              <w:b/>
              <w:bCs/>
              <w:sz w:val="32"/>
              <w:szCs w:val="32"/>
            </w:rPr>
            <w:t>_BIRM</w:t>
          </w:r>
        </w:p>
        <w:p w14:paraId="5D4B751F" w14:textId="2071C375" w:rsidR="00D73532" w:rsidRDefault="00D73532" w:rsidP="00D73532">
          <w:pPr>
            <w:spacing w:before="120" w:after="120"/>
            <w:rPr>
              <w:rFonts w:ascii="Arial" w:hAnsi="Arial" w:cs="Arial"/>
              <w:b/>
              <w:bCs/>
              <w:sz w:val="32"/>
              <w:szCs w:val="32"/>
            </w:rPr>
          </w:pPr>
          <w:r>
            <w:rPr>
              <w:rFonts w:ascii="Arial" w:hAnsi="Arial" w:cs="Arial"/>
              <w:b/>
              <w:bCs/>
              <w:sz w:val="32"/>
              <w:szCs w:val="32"/>
            </w:rPr>
            <w:t xml:space="preserve">Lecturer </w:t>
          </w:r>
          <w:proofErr w:type="spellStart"/>
          <w:r>
            <w:rPr>
              <w:rFonts w:ascii="Arial" w:hAnsi="Arial" w:cs="Arial"/>
              <w:b/>
              <w:bCs/>
              <w:sz w:val="32"/>
              <w:szCs w:val="32"/>
            </w:rPr>
            <w:t>name:Azida</w:t>
          </w:r>
          <w:proofErr w:type="spellEnd"/>
          <w:r>
            <w:rPr>
              <w:rFonts w:ascii="Arial" w:hAnsi="Arial" w:cs="Arial"/>
              <w:b/>
              <w:bCs/>
              <w:sz w:val="32"/>
              <w:szCs w:val="32"/>
            </w:rPr>
            <w:t xml:space="preserve"> Zainol</w:t>
          </w:r>
        </w:p>
        <w:p w14:paraId="4E4F5CAF" w14:textId="7A6A2861" w:rsidR="004A0480" w:rsidRDefault="00D73532" w:rsidP="000554EA">
          <w:pPr>
            <w:spacing w:before="120" w:after="120"/>
            <w:rPr>
              <w:rFonts w:ascii="Arial" w:hAnsi="Arial" w:cs="Arial"/>
              <w:b/>
              <w:bCs/>
              <w:sz w:val="32"/>
              <w:szCs w:val="32"/>
            </w:rPr>
          </w:pPr>
          <w:r>
            <w:rPr>
              <w:rFonts w:ascii="Arial" w:hAnsi="Arial" w:cs="Arial"/>
              <w:b/>
              <w:bCs/>
              <w:sz w:val="32"/>
              <w:szCs w:val="32"/>
            </w:rPr>
            <w:t>Component 2</w:t>
          </w:r>
        </w:p>
        <w:p w14:paraId="3225A060" w14:textId="20FA3799" w:rsidR="009432D8" w:rsidRDefault="00746031" w:rsidP="000554EA">
          <w:pPr>
            <w:spacing w:before="120" w:after="120"/>
            <w:rPr>
              <w:rFonts w:ascii="Arial" w:hAnsi="Arial" w:cs="Arial"/>
              <w:b/>
              <w:bCs/>
              <w:sz w:val="32"/>
              <w:szCs w:val="32"/>
            </w:rPr>
          </w:pPr>
          <w:proofErr w:type="spellStart"/>
          <w:r>
            <w:rPr>
              <w:rFonts w:ascii="Arial" w:hAnsi="Arial" w:cs="Arial"/>
              <w:b/>
              <w:bCs/>
              <w:sz w:val="32"/>
              <w:szCs w:val="32"/>
            </w:rPr>
            <w:t>Mr.Ahmed</w:t>
          </w:r>
          <w:proofErr w:type="spellEnd"/>
          <w:r>
            <w:rPr>
              <w:rFonts w:ascii="Arial" w:hAnsi="Arial" w:cs="Arial"/>
              <w:b/>
              <w:bCs/>
              <w:sz w:val="32"/>
              <w:szCs w:val="32"/>
            </w:rPr>
            <w:t xml:space="preserve"> Case</w:t>
          </w:r>
        </w:p>
        <w:p w14:paraId="450059DC" w14:textId="77777777" w:rsidR="00521C25" w:rsidRDefault="004A0480" w:rsidP="00521C25">
          <w:pPr>
            <w:rPr>
              <w:rFonts w:ascii="Arial" w:hAnsi="Arial" w:cs="Arial"/>
              <w:b/>
              <w:bCs/>
              <w:sz w:val="32"/>
              <w:szCs w:val="32"/>
            </w:rPr>
          </w:pPr>
          <w:r>
            <w:rPr>
              <w:rFonts w:ascii="Arial" w:hAnsi="Arial" w:cs="Arial"/>
              <w:b/>
              <w:bCs/>
              <w:sz w:val="32"/>
              <w:szCs w:val="32"/>
            </w:rPr>
            <w:br w:type="page"/>
          </w:r>
        </w:p>
      </w:sdtContent>
    </w:sdt>
    <w:p w14:paraId="3AF438E8" w14:textId="687C7356" w:rsidR="00B1591A" w:rsidRDefault="009432D8" w:rsidP="00B1591A">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9F0FC6">
        <w:rPr>
          <w:rFonts w:ascii="Arial" w:eastAsia="Times New Roman" w:hAnsi="Arial" w:cs="Arial"/>
          <w:b/>
          <w:bCs/>
          <w:kern w:val="0"/>
          <w:sz w:val="32"/>
          <w:szCs w:val="32"/>
          <w:lang w:eastAsia="en-GB"/>
          <w14:ligatures w14:val="none"/>
        </w:rPr>
        <w:lastRenderedPageBreak/>
        <w:t xml:space="preserve">                                </w:t>
      </w:r>
      <w:r w:rsidR="009F0FC6">
        <w:rPr>
          <w:rFonts w:ascii="Arial" w:eastAsia="Times New Roman" w:hAnsi="Arial" w:cs="Arial"/>
          <w:b/>
          <w:bCs/>
          <w:kern w:val="0"/>
          <w:sz w:val="32"/>
          <w:szCs w:val="32"/>
          <w:lang w:eastAsia="en-GB"/>
          <w14:ligatures w14:val="none"/>
        </w:rPr>
        <w:t xml:space="preserve">      </w:t>
      </w:r>
      <w:r w:rsidR="00B1591A" w:rsidRPr="00B1591A">
        <w:rPr>
          <w:rFonts w:ascii="Arial" w:eastAsia="Times New Roman" w:hAnsi="Arial" w:cs="Arial"/>
          <w:b/>
          <w:bCs/>
          <w:kern w:val="0"/>
          <w:sz w:val="32"/>
          <w:szCs w:val="32"/>
          <w:lang w:eastAsia="en-GB"/>
          <w14:ligatures w14:val="none"/>
        </w:rPr>
        <w:t>Introduction</w:t>
      </w:r>
    </w:p>
    <w:p w14:paraId="00B111C4" w14:textId="77777777" w:rsidR="009F0FC6" w:rsidRPr="00B1591A" w:rsidRDefault="009F0FC6" w:rsidP="00B1591A">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4637F479"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Mr Ahmed is a 68-year-old man who has recently been discharged from hospital following treatment for a stroke. He lives with his wife in a ground-floor flat and receives domiciliary care three times daily to assist him with personal care, medication administration, and meal preparation. His first language is Bengali, and although he understands some English, he struggles with complex conversations. Following his stroke, Mr Ahmed requires a coordinated, multidisciplinary approach to ensure his safety, well-being, and rehabilitation progress. His care team includes a GP, a district nurse who monitors his blood pressure and wound care, domiciliary care workers, and a speech and language therapist. Ensuring safe and effective care relies on three key components: effective communication, robust administrative practices, and interprofessional collaboration. Communication challenges must be addressed to promote understanding and autonomy, administrative competence ensures accountability and continuity, and collaboration ensures that all aspects of his care are coordinated. This report critically explores these three areas within the context of Mr Ahmed’s care, examining practical applications, challenges, and the legislative frameworks underpinning professional practice (Brennan, 2020).</w:t>
      </w:r>
    </w:p>
    <w:p w14:paraId="6BAA97C7" w14:textId="13E11B80" w:rsidR="00B1591A" w:rsidRPr="00B1591A" w:rsidRDefault="00B1591A" w:rsidP="00B1591A">
      <w:pPr>
        <w:spacing w:after="0" w:line="240" w:lineRule="auto"/>
        <w:rPr>
          <w:rFonts w:ascii="Times New Roman" w:eastAsia="Times New Roman" w:hAnsi="Times New Roman" w:cs="Times New Roman"/>
          <w:kern w:val="0"/>
          <w:lang w:eastAsia="en-GB"/>
          <w14:ligatures w14:val="none"/>
        </w:rPr>
      </w:pPr>
    </w:p>
    <w:p w14:paraId="0A8D949F" w14:textId="2F8B73AA" w:rsidR="00B1591A" w:rsidRPr="009F0FC6" w:rsidRDefault="009432D8" w:rsidP="00B1591A">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Pr>
          <w:rFonts w:ascii="Times New Roman" w:eastAsia="Times New Roman" w:hAnsi="Times New Roman" w:cs="Times New Roman"/>
          <w:b/>
          <w:bCs/>
          <w:kern w:val="0"/>
          <w:sz w:val="36"/>
          <w:szCs w:val="36"/>
          <w:lang w:eastAsia="en-GB"/>
          <w14:ligatures w14:val="none"/>
        </w:rPr>
        <w:t xml:space="preserve">      </w:t>
      </w:r>
      <w:r w:rsidR="00B1591A" w:rsidRPr="00B1591A">
        <w:rPr>
          <w:rFonts w:ascii="Times New Roman" w:eastAsia="Times New Roman" w:hAnsi="Times New Roman" w:cs="Times New Roman"/>
          <w:b/>
          <w:bCs/>
          <w:kern w:val="0"/>
          <w:sz w:val="36"/>
          <w:szCs w:val="36"/>
          <w:lang w:eastAsia="en-GB"/>
          <w14:ligatures w14:val="none"/>
        </w:rPr>
        <w:t xml:space="preserve"> </w:t>
      </w:r>
      <w:r w:rsidR="00B1591A" w:rsidRPr="00B1591A">
        <w:rPr>
          <w:rFonts w:ascii="Arial" w:eastAsia="Times New Roman" w:hAnsi="Arial" w:cs="Arial"/>
          <w:b/>
          <w:bCs/>
          <w:kern w:val="0"/>
          <w:sz w:val="32"/>
          <w:szCs w:val="32"/>
          <w:lang w:eastAsia="en-GB"/>
          <w14:ligatures w14:val="none"/>
        </w:rPr>
        <w:t>Effective Communication in Mr Ahmed’s Care</w:t>
      </w:r>
    </w:p>
    <w:p w14:paraId="22A95AB1" w14:textId="77777777" w:rsidR="009432D8" w:rsidRPr="00B1591A" w:rsidRDefault="009432D8" w:rsidP="00B1591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48B5DD1"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 xml:space="preserve">Effective communication is a cornerstone of health and social care practice, particularly for individuals like Mr Ahmed, who face language barriers and post-stroke impairments. Miscommunication can lead to medication errors, delayed rehabilitation, reduced adherence to therapy, and decreased quality of life. Ensuring that Mr Ahmed understands instructions and is able to express his preferences is therefore essential for safe and person-centred care. Communication must be tailored to his individual abilities and needs, reflecting the principles of the </w:t>
      </w:r>
      <w:r w:rsidRPr="00B1591A">
        <w:rPr>
          <w:rFonts w:ascii="Arial" w:eastAsia="Times New Roman" w:hAnsi="Arial" w:cs="Arial"/>
          <w:b/>
          <w:bCs/>
          <w:kern w:val="0"/>
          <w:sz w:val="22"/>
          <w:szCs w:val="22"/>
          <w:lang w:eastAsia="en-GB"/>
          <w14:ligatures w14:val="none"/>
        </w:rPr>
        <w:t>Equality Act 2010</w:t>
      </w:r>
      <w:r w:rsidRPr="00B1591A">
        <w:rPr>
          <w:rFonts w:ascii="Arial" w:eastAsia="Times New Roman" w:hAnsi="Arial" w:cs="Arial"/>
          <w:kern w:val="0"/>
          <w:sz w:val="22"/>
          <w:szCs w:val="22"/>
          <w:lang w:eastAsia="en-GB"/>
          <w14:ligatures w14:val="none"/>
        </w:rPr>
        <w:t>, which promotes equality and non-discrimination and ensures that individuals have equal access to health and social care services regardless of language, disability, or cultural background (UK Government, 2010).</w:t>
      </w:r>
    </w:p>
    <w:p w14:paraId="219B14C3"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Healthcare professionals should implement strategies such as clear, simple language, short sentences, and visual cues to enhance understanding. Non-verbal communication, including gestures, demonstrations, facial expressions, and written prompts, reinforces verbal messages and compensates for limitations caused by stroke-related cognitive or speech impairments. Involving his wife as an interpreter helps bridge the language gap; however, professionals must take care to ensure that Mr Ahmed remains central to decision-making, promoting dignity and autonomy. Regularly checking for understanding and encouraging feedback, including the use of “teach-back” techniques, is crucial to reduce errors and enhance engagement (NMC, 2018).</w:t>
      </w:r>
    </w:p>
    <w:p w14:paraId="55783DCD"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 xml:space="preserve">Structured communication models can enhance clarity and reliability. The </w:t>
      </w:r>
      <w:r w:rsidRPr="00B1591A">
        <w:rPr>
          <w:rFonts w:ascii="Arial" w:eastAsia="Times New Roman" w:hAnsi="Arial" w:cs="Arial"/>
          <w:b/>
          <w:bCs/>
          <w:kern w:val="0"/>
          <w:sz w:val="22"/>
          <w:szCs w:val="22"/>
          <w:lang w:eastAsia="en-GB"/>
          <w14:ligatures w14:val="none"/>
        </w:rPr>
        <w:t>Berlo SMCR model</w:t>
      </w:r>
      <w:r w:rsidRPr="00B1591A">
        <w:rPr>
          <w:rFonts w:ascii="Arial" w:eastAsia="Times New Roman" w:hAnsi="Arial" w:cs="Arial"/>
          <w:kern w:val="0"/>
          <w:sz w:val="22"/>
          <w:szCs w:val="22"/>
          <w:lang w:eastAsia="en-GB"/>
          <w14:ligatures w14:val="none"/>
        </w:rPr>
        <w:t xml:space="preserve"> identifies four key components: source, message, channel, and receiver (Berlo, 1960). The source, usually a health professional, encodes a message about medication instructions, rehabilitation exercises, or care routines, selecting a suitable channel to transmit the information. The receiver, in this case Mr Ahmed, decodes the message and provides feedback. Applying this model in practice may involve verbal explanations </w:t>
      </w:r>
      <w:r w:rsidRPr="00B1591A">
        <w:rPr>
          <w:rFonts w:ascii="Arial" w:eastAsia="Times New Roman" w:hAnsi="Arial" w:cs="Arial"/>
          <w:kern w:val="0"/>
          <w:sz w:val="22"/>
          <w:szCs w:val="22"/>
          <w:lang w:eastAsia="en-GB"/>
          <w14:ligatures w14:val="none"/>
        </w:rPr>
        <w:lastRenderedPageBreak/>
        <w:t>supplemented with visual guides in Bengali and demonstrations, followed by confirmation of understanding through feedback from Mr Ahmed or his wife. This structured approach reduces the risk of miscommunication and ensures that complex instructions are understood, particularly for patients experiencing aphasia or memory difficulties post-stroke. For example, when teaching swallowing exercises, a domiciliary care worker can provide a live demonstration, a pictorial guide, and a brief verbal explanation in simple English, checking for understanding after each step (Brennan, 2020).</w:t>
      </w:r>
    </w:p>
    <w:p w14:paraId="00E7CDD3"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Cultural and individual considerations are equally important in facilitating communication. Mr Ahmed’s Bengali heritage may influence his preferences regarding care, the manner in which information is delivered, and his involvement in decision-making. Providing bilingual resources, professional interpreters, or translated written materials ensures inclusivity and aligns with best practice guidelines (NHS England, 2020). Stroke-related impairments, such as reduced attention span, memory loss, or expressive difficulties, necessitate patience, repetition, and adaptive strategies. Incorporating these techniques enhances adherence to treatment plans, promotes rehabilitation progress, and reduces the likelihood of adverse events, such as missed medication or ineffective therapy sessions. Assistive technology, including communication boards or simple mobile applications with reminders in Bengali, can further support independence and engagement.</w:t>
      </w:r>
    </w:p>
    <w:p w14:paraId="57CFBDCA" w14:textId="621182C2" w:rsidR="00B1591A" w:rsidRPr="008A6D6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In summary, effective communication for Mr Ahmed requires a combination of tailored verbal and non-verbal strategies, structured models such as Berlo’s SMCR, and active involvement of his family. These strategies ensure understanding, support autonomy, and foster engagement in care, while complying with legislative requirements and delivering person-centred, culturally sensitive care. Failure to apply these strategies increases the risk of harm, poor adherence, and reduced quality of life.</w:t>
      </w:r>
      <w:r w:rsidR="006811D8" w:rsidRPr="008A6D6A">
        <w:rPr>
          <w:rFonts w:ascii="Arial" w:eastAsia="Times New Roman" w:hAnsi="Arial" w:cs="Arial"/>
          <w:kern w:val="0"/>
          <w:sz w:val="22"/>
          <w:szCs w:val="22"/>
          <w:lang w:eastAsia="en-GB"/>
          <w14:ligatures w14:val="none"/>
        </w:rPr>
        <w:t xml:space="preserve"> </w:t>
      </w:r>
    </w:p>
    <w:p w14:paraId="17E5DD77" w14:textId="77777777" w:rsidR="00A94589" w:rsidRDefault="00A94589" w:rsidP="006811D8">
      <w:pPr>
        <w:spacing w:after="0" w:line="240" w:lineRule="auto"/>
        <w:rPr>
          <w:rFonts w:ascii="Times New Roman" w:eastAsia="Times New Roman" w:hAnsi="Times New Roman" w:cs="Times New Roman"/>
          <w:kern w:val="0"/>
          <w:lang w:eastAsia="en-GB"/>
          <w14:ligatures w14:val="none"/>
        </w:rPr>
      </w:pPr>
    </w:p>
    <w:p w14:paraId="369BD1B6" w14:textId="18988218" w:rsidR="00B1591A" w:rsidRPr="009F0FC6" w:rsidRDefault="006811D8" w:rsidP="006811D8">
      <w:pPr>
        <w:spacing w:after="0" w:line="240" w:lineRule="auto"/>
        <w:rPr>
          <w:rFonts w:ascii="Arial" w:eastAsia="Times New Roman" w:hAnsi="Arial" w:cs="Arial"/>
          <w:b/>
          <w:bCs/>
          <w:kern w:val="0"/>
          <w:sz w:val="32"/>
          <w:szCs w:val="32"/>
          <w:lang w:eastAsia="en-GB"/>
          <w14:ligatures w14:val="none"/>
        </w:rPr>
      </w:pPr>
      <w:r w:rsidRPr="009F0FC6">
        <w:rPr>
          <w:rFonts w:ascii="Arial" w:eastAsia="Times New Roman" w:hAnsi="Arial" w:cs="Arial"/>
          <w:kern w:val="0"/>
          <w:sz w:val="32"/>
          <w:szCs w:val="32"/>
          <w:lang w:eastAsia="en-GB"/>
          <w14:ligatures w14:val="none"/>
        </w:rPr>
        <w:t xml:space="preserve"> </w:t>
      </w:r>
      <w:r w:rsidR="00B1591A" w:rsidRPr="00B1591A">
        <w:rPr>
          <w:rFonts w:ascii="Arial" w:eastAsia="Times New Roman" w:hAnsi="Arial" w:cs="Arial"/>
          <w:b/>
          <w:bCs/>
          <w:kern w:val="0"/>
          <w:sz w:val="32"/>
          <w:szCs w:val="32"/>
          <w:lang w:eastAsia="en-GB"/>
          <w14:ligatures w14:val="none"/>
        </w:rPr>
        <w:t xml:space="preserve"> Importance of Administrative Skills and </w:t>
      </w:r>
      <w:r w:rsidR="002B72B5" w:rsidRPr="00B1591A">
        <w:rPr>
          <w:rFonts w:ascii="Arial" w:eastAsia="Times New Roman" w:hAnsi="Arial" w:cs="Arial"/>
          <w:b/>
          <w:bCs/>
          <w:kern w:val="0"/>
          <w:sz w:val="32"/>
          <w:szCs w:val="32"/>
          <w:lang w:eastAsia="en-GB"/>
          <w14:ligatures w14:val="none"/>
        </w:rPr>
        <w:t xml:space="preserve">Record </w:t>
      </w:r>
      <w:r w:rsidR="002B72B5" w:rsidRPr="009F0FC6">
        <w:rPr>
          <w:rFonts w:ascii="Arial" w:eastAsia="Times New Roman" w:hAnsi="Arial" w:cs="Arial"/>
          <w:b/>
          <w:bCs/>
          <w:kern w:val="0"/>
          <w:sz w:val="32"/>
          <w:szCs w:val="32"/>
          <w:lang w:eastAsia="en-GB"/>
          <w14:ligatures w14:val="none"/>
        </w:rPr>
        <w:t>Keeping</w:t>
      </w:r>
      <w:r w:rsidR="00746031" w:rsidRPr="009F0FC6">
        <w:rPr>
          <w:rFonts w:ascii="Arial" w:eastAsia="Times New Roman" w:hAnsi="Arial" w:cs="Arial"/>
          <w:b/>
          <w:bCs/>
          <w:kern w:val="0"/>
          <w:sz w:val="32"/>
          <w:szCs w:val="32"/>
          <w:lang w:eastAsia="en-GB"/>
          <w14:ligatures w14:val="none"/>
        </w:rPr>
        <w:t xml:space="preserve">   </w:t>
      </w:r>
      <w:r w:rsidR="009F0FC6">
        <w:rPr>
          <w:rFonts w:ascii="Arial" w:eastAsia="Times New Roman" w:hAnsi="Arial" w:cs="Arial"/>
          <w:b/>
          <w:bCs/>
          <w:kern w:val="0"/>
          <w:sz w:val="32"/>
          <w:szCs w:val="32"/>
          <w:lang w:eastAsia="en-GB"/>
          <w14:ligatures w14:val="none"/>
        </w:rPr>
        <w:t xml:space="preserve">   </w:t>
      </w:r>
    </w:p>
    <w:p w14:paraId="79E18CAC" w14:textId="77777777" w:rsidR="006811D8" w:rsidRPr="00B1591A" w:rsidRDefault="006811D8" w:rsidP="006811D8">
      <w:pPr>
        <w:spacing w:after="0" w:line="240" w:lineRule="auto"/>
        <w:rPr>
          <w:rFonts w:ascii="Times New Roman" w:eastAsia="Times New Roman" w:hAnsi="Times New Roman" w:cs="Times New Roman"/>
          <w:kern w:val="0"/>
          <w:lang w:eastAsia="en-GB"/>
          <w14:ligatures w14:val="none"/>
        </w:rPr>
      </w:pPr>
    </w:p>
    <w:p w14:paraId="12C9035E"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Administrative competence is equally critical for safe and effective health and social care practice. Accurate record keeping ensures continuity of care, enables monitoring of the service user’s condition, and provides legal and professional accountability. In Mr Ahmed’s case, the recent missed domiciliary visit that resulted in delayed medication illustrates the risks associated with inadequate administrative practices. Clear, structured documentation allows professionals to identify gaps in care, investigate incidents, and implement corrective measures to prevent recurrence, thereby supporting safe, effective service delivery (Hughes, 2018).</w:t>
      </w:r>
    </w:p>
    <w:p w14:paraId="4492F53B"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 xml:space="preserve">The </w:t>
      </w:r>
      <w:r w:rsidRPr="00B1591A">
        <w:rPr>
          <w:rFonts w:ascii="Arial" w:eastAsia="Times New Roman" w:hAnsi="Arial" w:cs="Arial"/>
          <w:b/>
          <w:bCs/>
          <w:kern w:val="0"/>
          <w:sz w:val="22"/>
          <w:szCs w:val="22"/>
          <w:lang w:eastAsia="en-GB"/>
          <w14:ligatures w14:val="none"/>
        </w:rPr>
        <w:t>Data Protection Act 2018</w:t>
      </w:r>
      <w:r w:rsidRPr="00B1591A">
        <w:rPr>
          <w:rFonts w:ascii="Arial" w:eastAsia="Times New Roman" w:hAnsi="Arial" w:cs="Arial"/>
          <w:kern w:val="0"/>
          <w:sz w:val="22"/>
          <w:szCs w:val="22"/>
          <w:lang w:eastAsia="en-GB"/>
          <w14:ligatures w14:val="none"/>
        </w:rPr>
        <w:t xml:space="preserve"> mandates that personal information must be collected, stored, and shared lawfully, securely, and only on a need-to-know basis (UK Government, 2018). Professionals are responsible for maintaining accurate, up-to-date records that are accessible to authorised staff only. For Mr Ahmed, this includes daily logs from domiciliary care workers, district nurse observations, GP consultations, and speech and language therapy notes. Digital care systems can facilitate real-time documentation and information sharing, provided that security and confidentiality protocols are followed.</w:t>
      </w:r>
    </w:p>
    <w:p w14:paraId="54D6A83B"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 xml:space="preserve">Policy frameworks, such as the </w:t>
      </w:r>
      <w:r w:rsidRPr="00B1591A">
        <w:rPr>
          <w:rFonts w:ascii="Arial" w:eastAsia="Times New Roman" w:hAnsi="Arial" w:cs="Arial"/>
          <w:b/>
          <w:bCs/>
          <w:kern w:val="0"/>
          <w:sz w:val="22"/>
          <w:szCs w:val="22"/>
          <w:lang w:eastAsia="en-GB"/>
          <w14:ligatures w14:val="none"/>
        </w:rPr>
        <w:t>Health and Social Care Act 2012</w:t>
      </w:r>
      <w:r w:rsidRPr="00B1591A">
        <w:rPr>
          <w:rFonts w:ascii="Arial" w:eastAsia="Times New Roman" w:hAnsi="Arial" w:cs="Arial"/>
          <w:kern w:val="0"/>
          <w:sz w:val="22"/>
          <w:szCs w:val="22"/>
          <w:lang w:eastAsia="en-GB"/>
          <w14:ligatures w14:val="none"/>
        </w:rPr>
        <w:t xml:space="preserve"> and </w:t>
      </w:r>
      <w:r w:rsidRPr="00B1591A">
        <w:rPr>
          <w:rFonts w:ascii="Arial" w:eastAsia="Times New Roman" w:hAnsi="Arial" w:cs="Arial"/>
          <w:b/>
          <w:bCs/>
          <w:kern w:val="0"/>
          <w:sz w:val="22"/>
          <w:szCs w:val="22"/>
          <w:lang w:eastAsia="en-GB"/>
          <w14:ligatures w14:val="none"/>
        </w:rPr>
        <w:t>Care Quality Commission (CQC) Fundamental Standards</w:t>
      </w:r>
      <w:r w:rsidRPr="00B1591A">
        <w:rPr>
          <w:rFonts w:ascii="Arial" w:eastAsia="Times New Roman" w:hAnsi="Arial" w:cs="Arial"/>
          <w:kern w:val="0"/>
          <w:sz w:val="22"/>
          <w:szCs w:val="22"/>
          <w:lang w:eastAsia="en-GB"/>
          <w14:ligatures w14:val="none"/>
        </w:rPr>
        <w:t xml:space="preserve">, emphasise the importance of timely, accurate, and secure record keeping to ensure safe, accountable care (UK Government, 2012; CQC, 2019). Records must document interventions, observations, and incidents, including missed visits, enabling investigations and improvements. Administrative </w:t>
      </w:r>
      <w:r w:rsidRPr="00B1591A">
        <w:rPr>
          <w:rFonts w:ascii="Arial" w:eastAsia="Times New Roman" w:hAnsi="Arial" w:cs="Arial"/>
          <w:kern w:val="0"/>
          <w:sz w:val="22"/>
          <w:szCs w:val="22"/>
          <w:lang w:eastAsia="en-GB"/>
          <w14:ligatures w14:val="none"/>
        </w:rPr>
        <w:lastRenderedPageBreak/>
        <w:t>competence also protects service users and staff by providing evidence of care, adherence to protocols, and compliance with professional standards. Furthermore, meticulous record keeping supports audit processes and quality improvement initiatives by identifying trends, such as repeated missed visits or adherence challenges, and informing service redesign or staff training needs.</w:t>
      </w:r>
    </w:p>
    <w:p w14:paraId="4A00CA6E" w14:textId="77777777" w:rsidR="00B1591A" w:rsidRPr="00043FBC"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Administrative skills extend beyond documentation to organisational and planning competencies. Scheduling domiciliary visits, therapy sessions, and medical appointments ensures that Mr Ahmed receives consistent and timely care. Poor organisation can result in missed appointments, delayed interventions, and increased risk of harm. Detailed documentation facilitates communication between professionals, allowing the GP, district nurse, and speech therapist to make informed decisions, monitor progress, and adjust care plans as needed. Comprehensive records also capture communication strategies used, patient preferences, and family involvement, which are essential for culturally competent, person-centred care. Strong administrative skills thus directly contribute to safe, high-quality, and legally compliant care, reducing risk and supporting rehabilitation outcomes (Hughes, 2018).</w:t>
      </w:r>
    </w:p>
    <w:p w14:paraId="16A88C44" w14:textId="77777777" w:rsidR="006811D8" w:rsidRPr="00B1591A" w:rsidRDefault="006811D8" w:rsidP="00B1591A">
      <w:pPr>
        <w:spacing w:before="100" w:beforeAutospacing="1" w:after="100" w:afterAutospacing="1" w:line="240" w:lineRule="auto"/>
        <w:rPr>
          <w:rFonts w:ascii="Arial" w:eastAsia="Times New Roman" w:hAnsi="Arial" w:cs="Arial"/>
          <w:kern w:val="0"/>
          <w:sz w:val="22"/>
          <w:szCs w:val="22"/>
          <w:lang w:eastAsia="en-GB"/>
          <w14:ligatures w14:val="none"/>
        </w:rPr>
      </w:pPr>
    </w:p>
    <w:p w14:paraId="37656BCC" w14:textId="517E01BC" w:rsidR="00B1591A" w:rsidRPr="00A94589" w:rsidRDefault="006811D8" w:rsidP="00B1591A">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Pr>
          <w:rFonts w:ascii="Times New Roman" w:eastAsia="Times New Roman" w:hAnsi="Times New Roman" w:cs="Times New Roman"/>
          <w:kern w:val="0"/>
          <w:lang w:eastAsia="en-GB"/>
          <w14:ligatures w14:val="none"/>
        </w:rPr>
        <w:t xml:space="preserve">          </w:t>
      </w:r>
      <w:r w:rsidR="00B1591A" w:rsidRPr="00B1591A">
        <w:rPr>
          <w:rFonts w:ascii="Times New Roman" w:eastAsia="Times New Roman" w:hAnsi="Times New Roman" w:cs="Times New Roman"/>
          <w:b/>
          <w:bCs/>
          <w:kern w:val="0"/>
          <w:sz w:val="36"/>
          <w:szCs w:val="36"/>
          <w:lang w:eastAsia="en-GB"/>
          <w14:ligatures w14:val="none"/>
        </w:rPr>
        <w:t xml:space="preserve"> </w:t>
      </w:r>
      <w:r w:rsidR="00B1591A" w:rsidRPr="00B1591A">
        <w:rPr>
          <w:rFonts w:ascii="Arial" w:eastAsia="Times New Roman" w:hAnsi="Arial" w:cs="Arial"/>
          <w:b/>
          <w:bCs/>
          <w:kern w:val="0"/>
          <w:sz w:val="32"/>
          <w:szCs w:val="32"/>
          <w:lang w:eastAsia="en-GB"/>
          <w14:ligatures w14:val="none"/>
        </w:rPr>
        <w:t>Collaborative Working with Professionals</w:t>
      </w:r>
    </w:p>
    <w:p w14:paraId="54B0C30C" w14:textId="77777777" w:rsidR="006811D8" w:rsidRPr="00B1591A" w:rsidRDefault="006811D8" w:rsidP="00B1591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8E54867"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Collaborative working is vital for delivering holistic care that meets all of Mr Ahmed’s needs. His care involves multiple professionals working together to provide medical management, rehabilitation, and daily living support. Effective collaboration ensures interventions are coordinated, reduces duplication of effort, and minimizes the risk of errors, such as missed medication or therapy sessions (Reeves et al., 2017).</w:t>
      </w:r>
    </w:p>
    <w:p w14:paraId="1F176259" w14:textId="77777777"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Structured approaches, including regular multidisciplinary meetings, shared care plans, and clearly defined roles, promote effective collaboration. Domiciliary care workers provide daily support, the district nurse monitors clinical parameters and wound care, the GP oversees medical management, and the speech and language therapist addresses communication and swallowing needs. Involving Mr Ahmed’s wife ensures continuity of information, addresses language barriers, and supports decision-making. Clear role definitions help avoid confusion, ensuring that all aspects of care are addressed efficiently.</w:t>
      </w:r>
    </w:p>
    <w:p w14:paraId="1F5BE374" w14:textId="42DD889A" w:rsidR="00B1591A" w:rsidRPr="00B1591A"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 xml:space="preserve">Challenges in collaborative working include conflicting schedules, unclear responsibilities, communication gaps, and limited resources. Strategies to overcome these challenges include using structured tools such as </w:t>
      </w:r>
      <w:r w:rsidRPr="00B1591A">
        <w:rPr>
          <w:rFonts w:ascii="Arial" w:eastAsia="Times New Roman" w:hAnsi="Arial" w:cs="Arial"/>
          <w:b/>
          <w:bCs/>
          <w:kern w:val="0"/>
          <w:sz w:val="22"/>
          <w:szCs w:val="22"/>
          <w:lang w:eastAsia="en-GB"/>
          <w14:ligatures w14:val="none"/>
        </w:rPr>
        <w:t>SBAR (Situation, Background, Assessment, Recommendation)</w:t>
      </w:r>
      <w:r w:rsidRPr="00B1591A">
        <w:rPr>
          <w:rFonts w:ascii="Arial" w:eastAsia="Times New Roman" w:hAnsi="Arial" w:cs="Arial"/>
          <w:kern w:val="0"/>
          <w:sz w:val="22"/>
          <w:szCs w:val="22"/>
          <w:lang w:eastAsia="en-GB"/>
          <w14:ligatures w14:val="none"/>
        </w:rPr>
        <w:t xml:space="preserve"> for handovers, establishing clear protocols, scheduling regular team meetings, and training staff in interprofessional communication (Royal College of Nursing, 2020). Prompt documentation of incidents, such as missed visits, ensures accountability and supports quality improvement, while joint goal-setting fosters alignment of care objectives among all team </w:t>
      </w:r>
      <w:r w:rsidR="00AD10A7" w:rsidRPr="00043FBC">
        <w:rPr>
          <w:rFonts w:ascii="Arial" w:eastAsia="Times New Roman" w:hAnsi="Arial" w:cs="Arial"/>
          <w:kern w:val="0"/>
          <w:sz w:val="22"/>
          <w:szCs w:val="22"/>
          <w:lang w:eastAsia="en-GB"/>
          <w14:ligatures w14:val="none"/>
        </w:rPr>
        <w:t>members. Effective</w:t>
      </w:r>
      <w:r w:rsidRPr="00B1591A">
        <w:rPr>
          <w:rFonts w:ascii="Arial" w:eastAsia="Times New Roman" w:hAnsi="Arial" w:cs="Arial"/>
          <w:kern w:val="0"/>
          <w:sz w:val="22"/>
          <w:szCs w:val="22"/>
          <w:lang w:eastAsia="en-GB"/>
          <w14:ligatures w14:val="none"/>
        </w:rPr>
        <w:t xml:space="preserve"> collaboration enables timely, coordinated interventions that support rehabilitation, recovery, and independence. By integrating diverse professional expertise, the team delivers holistic care tailored to Mr Ahmed’s individual needs, improving patient safety and outcomes while enhancing quality of life.</w:t>
      </w:r>
    </w:p>
    <w:p w14:paraId="2331A98A" w14:textId="43410651" w:rsidR="00B1591A" w:rsidRPr="00B1591A" w:rsidRDefault="00B1591A" w:rsidP="00B1591A">
      <w:pPr>
        <w:spacing w:after="0" w:line="240" w:lineRule="auto"/>
        <w:rPr>
          <w:rFonts w:ascii="Arial" w:eastAsia="Times New Roman" w:hAnsi="Arial" w:cs="Arial"/>
          <w:kern w:val="0"/>
          <w:sz w:val="22"/>
          <w:szCs w:val="22"/>
          <w:lang w:eastAsia="en-GB"/>
          <w14:ligatures w14:val="none"/>
        </w:rPr>
      </w:pPr>
    </w:p>
    <w:p w14:paraId="4341E927" w14:textId="7FF4F69B" w:rsidR="00B1591A" w:rsidRPr="00A94589" w:rsidRDefault="00792143" w:rsidP="00B1591A">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6C6D40">
        <w:rPr>
          <w:rFonts w:ascii="Times New Roman" w:eastAsia="Times New Roman" w:hAnsi="Times New Roman" w:cs="Times New Roman"/>
          <w:b/>
          <w:bCs/>
          <w:kern w:val="0"/>
          <w:sz w:val="36"/>
          <w:szCs w:val="36"/>
          <w:lang w:eastAsia="en-GB"/>
          <w14:ligatures w14:val="none"/>
        </w:rPr>
        <w:lastRenderedPageBreak/>
        <w:t xml:space="preserve">                                     </w:t>
      </w:r>
      <w:r w:rsidR="00B1591A" w:rsidRPr="00B1591A">
        <w:rPr>
          <w:rFonts w:ascii="Arial" w:eastAsia="Times New Roman" w:hAnsi="Arial" w:cs="Arial"/>
          <w:b/>
          <w:bCs/>
          <w:kern w:val="0"/>
          <w:sz w:val="32"/>
          <w:szCs w:val="32"/>
          <w:lang w:eastAsia="en-GB"/>
          <w14:ligatures w14:val="none"/>
        </w:rPr>
        <w:t>Conclusion</w:t>
      </w:r>
    </w:p>
    <w:p w14:paraId="529A44B9" w14:textId="77777777" w:rsidR="00B1591A" w:rsidRPr="00043FBC" w:rsidRDefault="00B1591A" w:rsidP="00B1591A">
      <w:pPr>
        <w:spacing w:before="100" w:beforeAutospacing="1" w:after="100" w:afterAutospacing="1" w:line="240" w:lineRule="auto"/>
        <w:rPr>
          <w:rFonts w:ascii="Arial" w:eastAsia="Times New Roman" w:hAnsi="Arial" w:cs="Arial"/>
          <w:kern w:val="0"/>
          <w:sz w:val="22"/>
          <w:szCs w:val="22"/>
          <w:lang w:eastAsia="en-GB"/>
          <w14:ligatures w14:val="none"/>
        </w:rPr>
      </w:pPr>
      <w:r w:rsidRPr="00B1591A">
        <w:rPr>
          <w:rFonts w:ascii="Arial" w:eastAsia="Times New Roman" w:hAnsi="Arial" w:cs="Arial"/>
          <w:kern w:val="0"/>
          <w:sz w:val="22"/>
          <w:szCs w:val="22"/>
          <w:lang w:eastAsia="en-GB"/>
          <w14:ligatures w14:val="none"/>
        </w:rPr>
        <w:t xml:space="preserve">In conclusion, effective communication, administrative competence, and collaborative working are fundamental to safe, person-centred care for Mr Ahmed. Tailored communication strategies, structured models such as Berlo’s SMCR, and family involvement promote understanding, adherence, and autonomy. Accurate record keeping ensures continuity, accountability, and compliance with legal frameworks. Collaborative working among the GP, district nurse, domiciliary care workers, and speech and language therapist facilitates coordinated, holistic care, while structured tools such as SBAR address common challenges. Legislative frameworks, including the </w:t>
      </w:r>
      <w:r w:rsidRPr="00B1591A">
        <w:rPr>
          <w:rFonts w:ascii="Arial" w:eastAsia="Times New Roman" w:hAnsi="Arial" w:cs="Arial"/>
          <w:b/>
          <w:bCs/>
          <w:kern w:val="0"/>
          <w:sz w:val="22"/>
          <w:szCs w:val="22"/>
          <w:lang w:eastAsia="en-GB"/>
          <w14:ligatures w14:val="none"/>
        </w:rPr>
        <w:t>Equality Act 2010</w:t>
      </w:r>
      <w:r w:rsidRPr="00B1591A">
        <w:rPr>
          <w:rFonts w:ascii="Arial" w:eastAsia="Times New Roman" w:hAnsi="Arial" w:cs="Arial"/>
          <w:kern w:val="0"/>
          <w:sz w:val="22"/>
          <w:szCs w:val="22"/>
          <w:lang w:eastAsia="en-GB"/>
          <w14:ligatures w14:val="none"/>
        </w:rPr>
        <w:t>, underpin inclusive and non-discriminatory practice. Ongoing monitoring, professional training, and family involvement further support safe, effective, and personalised post-stroke care. Implementing these principles ensures that Mr Ahmed receives comprehensive, high-quality care that promotes rehabilitation, independence, and overall well-being.</w:t>
      </w:r>
    </w:p>
    <w:p w14:paraId="6BF06D28" w14:textId="77777777" w:rsidR="00430DBE" w:rsidRDefault="00430DBE" w:rsidP="00B1591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5DF5A98" w14:textId="341CF2F2" w:rsidR="00430DBE" w:rsidRPr="00B1591A" w:rsidRDefault="00430DBE" w:rsidP="00B1591A">
      <w:pPr>
        <w:spacing w:before="100" w:beforeAutospacing="1" w:after="100" w:afterAutospacing="1" w:line="240" w:lineRule="auto"/>
        <w:rPr>
          <w:rFonts w:ascii="Arial" w:eastAsia="Times New Roman" w:hAnsi="Arial" w:cs="Arial"/>
          <w:b/>
          <w:bCs/>
          <w:kern w:val="0"/>
          <w:sz w:val="32"/>
          <w:szCs w:val="32"/>
          <w:lang w:eastAsia="en-GB"/>
          <w14:ligatures w14:val="none"/>
        </w:rPr>
      </w:pPr>
      <w:r w:rsidRPr="00A94589">
        <w:rPr>
          <w:rFonts w:ascii="Times New Roman" w:eastAsia="Times New Roman" w:hAnsi="Times New Roman" w:cs="Times New Roman"/>
          <w:kern w:val="0"/>
          <w:sz w:val="32"/>
          <w:szCs w:val="32"/>
          <w:lang w:eastAsia="en-GB"/>
          <w14:ligatures w14:val="none"/>
        </w:rPr>
        <w:t xml:space="preserve">                                  </w:t>
      </w:r>
      <w:r w:rsidR="00A94589">
        <w:rPr>
          <w:rFonts w:ascii="Times New Roman" w:eastAsia="Times New Roman" w:hAnsi="Times New Roman" w:cs="Times New Roman"/>
          <w:kern w:val="0"/>
          <w:sz w:val="32"/>
          <w:szCs w:val="32"/>
          <w:lang w:eastAsia="en-GB"/>
          <w14:ligatures w14:val="none"/>
        </w:rPr>
        <w:t xml:space="preserve">  </w:t>
      </w:r>
      <w:r w:rsidRPr="00A94589">
        <w:rPr>
          <w:rFonts w:ascii="Times New Roman" w:eastAsia="Times New Roman" w:hAnsi="Times New Roman" w:cs="Times New Roman"/>
          <w:kern w:val="0"/>
          <w:sz w:val="32"/>
          <w:szCs w:val="32"/>
          <w:lang w:eastAsia="en-GB"/>
          <w14:ligatures w14:val="none"/>
        </w:rPr>
        <w:t xml:space="preserve">  </w:t>
      </w:r>
      <w:r w:rsidR="00BB71E4">
        <w:rPr>
          <w:rFonts w:ascii="Times New Roman" w:eastAsia="Times New Roman" w:hAnsi="Times New Roman" w:cs="Times New Roman"/>
          <w:kern w:val="0"/>
          <w:sz w:val="32"/>
          <w:szCs w:val="32"/>
          <w:lang w:eastAsia="en-GB"/>
          <w14:ligatures w14:val="none"/>
        </w:rPr>
        <w:t xml:space="preserve">    </w:t>
      </w:r>
      <w:r w:rsidRPr="00A94589">
        <w:rPr>
          <w:rFonts w:ascii="Times New Roman" w:eastAsia="Times New Roman" w:hAnsi="Times New Roman" w:cs="Times New Roman"/>
          <w:b/>
          <w:bCs/>
          <w:kern w:val="0"/>
          <w:sz w:val="32"/>
          <w:szCs w:val="32"/>
          <w:lang w:eastAsia="en-GB"/>
          <w14:ligatures w14:val="none"/>
        </w:rPr>
        <w:t xml:space="preserve"> </w:t>
      </w:r>
      <w:r w:rsidR="00792143" w:rsidRPr="00A94589">
        <w:rPr>
          <w:rFonts w:ascii="Arial" w:eastAsia="Times New Roman" w:hAnsi="Arial" w:cs="Arial"/>
          <w:b/>
          <w:bCs/>
          <w:kern w:val="0"/>
          <w:sz w:val="32"/>
          <w:szCs w:val="32"/>
          <w:lang w:eastAsia="en-GB"/>
          <w14:ligatures w14:val="none"/>
        </w:rPr>
        <w:t>References</w:t>
      </w:r>
    </w:p>
    <w:p w14:paraId="5582C843" w14:textId="77777777" w:rsidR="005F2BA8" w:rsidRDefault="005F2BA8"/>
    <w:p w14:paraId="743DA9E9" w14:textId="77777777" w:rsidR="00430DBE" w:rsidRDefault="00430DBE"/>
    <w:p w14:paraId="45965CA0"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Berlo, D.K., 1960. </w:t>
      </w:r>
      <w:r w:rsidRPr="00043FBC">
        <w:rPr>
          <w:rStyle w:val="bzpyqfadein"/>
          <w:rFonts w:ascii="Arial" w:eastAsiaTheme="majorEastAsia" w:hAnsi="Arial" w:cs="Arial"/>
          <w:i/>
          <w:iCs/>
          <w:sz w:val="22"/>
          <w:szCs w:val="22"/>
        </w:rPr>
        <w:t>The Process of Communication: An Introduction to Theory and Practice</w:t>
      </w:r>
      <w:r w:rsidRPr="00043FBC">
        <w:rPr>
          <w:rStyle w:val="bzpyqfadein"/>
          <w:rFonts w:ascii="Arial" w:eastAsiaTheme="majorEastAsia" w:hAnsi="Arial" w:cs="Arial"/>
          <w:sz w:val="22"/>
          <w:szCs w:val="22"/>
        </w:rPr>
        <w:t>. New York: Holt, Rinehart and Winston.</w:t>
      </w:r>
    </w:p>
    <w:p w14:paraId="346C41EA"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Brennan, J., 2020. </w:t>
      </w:r>
      <w:r w:rsidRPr="00043FBC">
        <w:rPr>
          <w:rStyle w:val="bzpyqfadein"/>
          <w:rFonts w:ascii="Arial" w:eastAsiaTheme="majorEastAsia" w:hAnsi="Arial" w:cs="Arial"/>
          <w:i/>
          <w:iCs/>
          <w:sz w:val="22"/>
          <w:szCs w:val="22"/>
        </w:rPr>
        <w:t>Communication in Health and Social Care</w:t>
      </w:r>
      <w:r w:rsidRPr="00043FBC">
        <w:rPr>
          <w:rStyle w:val="bzpyqfadein"/>
          <w:rFonts w:ascii="Arial" w:eastAsiaTheme="majorEastAsia" w:hAnsi="Arial" w:cs="Arial"/>
          <w:sz w:val="22"/>
          <w:szCs w:val="22"/>
        </w:rPr>
        <w:t>. 2nd ed. London: Sage.</w:t>
      </w:r>
    </w:p>
    <w:p w14:paraId="3829750A"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Care Quality Commission (CQC), 2019. </w:t>
      </w:r>
      <w:r w:rsidRPr="00043FBC">
        <w:rPr>
          <w:rStyle w:val="bzpyqfadein"/>
          <w:rFonts w:ascii="Arial" w:eastAsiaTheme="majorEastAsia" w:hAnsi="Arial" w:cs="Arial"/>
          <w:i/>
          <w:iCs/>
          <w:sz w:val="22"/>
          <w:szCs w:val="22"/>
        </w:rPr>
        <w:t>Fundamental Standards</w:t>
      </w:r>
      <w:r w:rsidRPr="00043FBC">
        <w:rPr>
          <w:rStyle w:val="bzpyqfadein"/>
          <w:rFonts w:ascii="Arial" w:eastAsiaTheme="majorEastAsia" w:hAnsi="Arial" w:cs="Arial"/>
          <w:sz w:val="22"/>
          <w:szCs w:val="22"/>
        </w:rPr>
        <w:t>. [online] Available at: https://www.cqc.org.uk/guidance-providers/regulations-enforcement/regulation-standards [Accessed 14 March 2026].</w:t>
      </w:r>
    </w:p>
    <w:p w14:paraId="297BE1F7"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Hughes, R., 2018. </w:t>
      </w:r>
      <w:r w:rsidRPr="00043FBC">
        <w:rPr>
          <w:rStyle w:val="bzpyqfadein"/>
          <w:rFonts w:ascii="Arial" w:eastAsiaTheme="majorEastAsia" w:hAnsi="Arial" w:cs="Arial"/>
          <w:i/>
          <w:iCs/>
          <w:sz w:val="22"/>
          <w:szCs w:val="22"/>
        </w:rPr>
        <w:t>Patient Safety and Quality in Healthcare: Record-Keeping and Administration</w:t>
      </w:r>
      <w:r w:rsidRPr="00043FBC">
        <w:rPr>
          <w:rStyle w:val="bzpyqfadein"/>
          <w:rFonts w:ascii="Arial" w:eastAsiaTheme="majorEastAsia" w:hAnsi="Arial" w:cs="Arial"/>
          <w:sz w:val="22"/>
          <w:szCs w:val="22"/>
        </w:rPr>
        <w:t>. London: Routledge.</w:t>
      </w:r>
    </w:p>
    <w:p w14:paraId="109898B3"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NHS England, 2020. </w:t>
      </w:r>
      <w:r w:rsidRPr="00043FBC">
        <w:rPr>
          <w:rStyle w:val="bzpyqfadein"/>
          <w:rFonts w:ascii="Arial" w:eastAsiaTheme="majorEastAsia" w:hAnsi="Arial" w:cs="Arial"/>
          <w:i/>
          <w:iCs/>
          <w:sz w:val="22"/>
          <w:szCs w:val="22"/>
        </w:rPr>
        <w:t>Effective Communication in Health and Care Settings</w:t>
      </w:r>
      <w:r w:rsidRPr="00043FBC">
        <w:rPr>
          <w:rStyle w:val="bzpyqfadein"/>
          <w:rFonts w:ascii="Arial" w:eastAsiaTheme="majorEastAsia" w:hAnsi="Arial" w:cs="Arial"/>
          <w:sz w:val="22"/>
          <w:szCs w:val="22"/>
        </w:rPr>
        <w:t>. [online] Available at: https://www.england.nhs.uk/publication/effective-communication/ [Accessed 14 March 2026].</w:t>
      </w:r>
    </w:p>
    <w:p w14:paraId="4926C7F2"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NMC, 2018. </w:t>
      </w:r>
      <w:r w:rsidRPr="00043FBC">
        <w:rPr>
          <w:rStyle w:val="bzpyqfadein"/>
          <w:rFonts w:ascii="Arial" w:eastAsiaTheme="majorEastAsia" w:hAnsi="Arial" w:cs="Arial"/>
          <w:i/>
          <w:iCs/>
          <w:sz w:val="22"/>
          <w:szCs w:val="22"/>
        </w:rPr>
        <w:t>The Code: Professional Standards of Practice and Behaviour for Nurses, Midwives and Nursing Associates</w:t>
      </w:r>
      <w:r w:rsidRPr="00043FBC">
        <w:rPr>
          <w:rStyle w:val="bzpyqfadein"/>
          <w:rFonts w:ascii="Arial" w:eastAsiaTheme="majorEastAsia" w:hAnsi="Arial" w:cs="Arial"/>
          <w:sz w:val="22"/>
          <w:szCs w:val="22"/>
        </w:rPr>
        <w:t>. London: Nursing and Midwifery Council.</w:t>
      </w:r>
    </w:p>
    <w:p w14:paraId="6FD15C3D"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Reeves, S., Lewin, S., Espin, S. and </w:t>
      </w:r>
      <w:proofErr w:type="spellStart"/>
      <w:r w:rsidRPr="00043FBC">
        <w:rPr>
          <w:rStyle w:val="bzpyqfadein"/>
          <w:rFonts w:ascii="Arial" w:eastAsiaTheme="majorEastAsia" w:hAnsi="Arial" w:cs="Arial"/>
          <w:sz w:val="22"/>
          <w:szCs w:val="22"/>
        </w:rPr>
        <w:t>Zwarenstein</w:t>
      </w:r>
      <w:proofErr w:type="spellEnd"/>
      <w:r w:rsidRPr="00043FBC">
        <w:rPr>
          <w:rStyle w:val="bzpyqfadein"/>
          <w:rFonts w:ascii="Arial" w:eastAsiaTheme="majorEastAsia" w:hAnsi="Arial" w:cs="Arial"/>
          <w:sz w:val="22"/>
          <w:szCs w:val="22"/>
        </w:rPr>
        <w:t xml:space="preserve">, M., 2017. </w:t>
      </w:r>
      <w:r w:rsidRPr="00043FBC">
        <w:rPr>
          <w:rStyle w:val="bzpyqfadein"/>
          <w:rFonts w:ascii="Arial" w:eastAsiaTheme="majorEastAsia" w:hAnsi="Arial" w:cs="Arial"/>
          <w:i/>
          <w:iCs/>
          <w:sz w:val="22"/>
          <w:szCs w:val="22"/>
        </w:rPr>
        <w:t>Interprofessional Teamwork for Health and Social Care</w:t>
      </w:r>
      <w:r w:rsidRPr="00043FBC">
        <w:rPr>
          <w:rStyle w:val="bzpyqfadein"/>
          <w:rFonts w:ascii="Arial" w:eastAsiaTheme="majorEastAsia" w:hAnsi="Arial" w:cs="Arial"/>
          <w:sz w:val="22"/>
          <w:szCs w:val="22"/>
        </w:rPr>
        <w:t>. 2nd ed. London: Wiley-Blackwell.</w:t>
      </w:r>
    </w:p>
    <w:p w14:paraId="4DCC7B62"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Royal College of Nursing, 2020. </w:t>
      </w:r>
      <w:r w:rsidRPr="00043FBC">
        <w:rPr>
          <w:rStyle w:val="bzpyqfadein"/>
          <w:rFonts w:ascii="Arial" w:eastAsiaTheme="majorEastAsia" w:hAnsi="Arial" w:cs="Arial"/>
          <w:i/>
          <w:iCs/>
          <w:sz w:val="22"/>
          <w:szCs w:val="22"/>
        </w:rPr>
        <w:t>Communication and Team Working in Health Care</w:t>
      </w:r>
      <w:r w:rsidRPr="00043FBC">
        <w:rPr>
          <w:rStyle w:val="bzpyqfadein"/>
          <w:rFonts w:ascii="Arial" w:eastAsiaTheme="majorEastAsia" w:hAnsi="Arial" w:cs="Arial"/>
          <w:sz w:val="22"/>
          <w:szCs w:val="22"/>
        </w:rPr>
        <w:t>. [online] Available at: https://www.rcn.org.uk/professional-development/publications/pub-007662 [Accessed 14 March 2026].</w:t>
      </w:r>
    </w:p>
    <w:p w14:paraId="38A635BE"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UK Government, 2010. </w:t>
      </w:r>
      <w:r w:rsidRPr="00043FBC">
        <w:rPr>
          <w:rStyle w:val="bzpyqfadein"/>
          <w:rFonts w:ascii="Arial" w:eastAsiaTheme="majorEastAsia" w:hAnsi="Arial" w:cs="Arial"/>
          <w:i/>
          <w:iCs/>
          <w:sz w:val="22"/>
          <w:szCs w:val="22"/>
        </w:rPr>
        <w:t>Equality Act 2010</w:t>
      </w:r>
      <w:r w:rsidRPr="00043FBC">
        <w:rPr>
          <w:rStyle w:val="bzpyqfadein"/>
          <w:rFonts w:ascii="Arial" w:eastAsiaTheme="majorEastAsia" w:hAnsi="Arial" w:cs="Arial"/>
          <w:sz w:val="22"/>
          <w:szCs w:val="22"/>
        </w:rPr>
        <w:t>. London: HMSO.</w:t>
      </w:r>
    </w:p>
    <w:p w14:paraId="5B689D61"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t xml:space="preserve">UK Government, 2012. </w:t>
      </w:r>
      <w:r w:rsidRPr="00043FBC">
        <w:rPr>
          <w:rStyle w:val="bzpyqfadein"/>
          <w:rFonts w:ascii="Arial" w:eastAsiaTheme="majorEastAsia" w:hAnsi="Arial" w:cs="Arial"/>
          <w:i/>
          <w:iCs/>
          <w:sz w:val="22"/>
          <w:szCs w:val="22"/>
        </w:rPr>
        <w:t>Health and Social Care Act 2012</w:t>
      </w:r>
      <w:r w:rsidRPr="00043FBC">
        <w:rPr>
          <w:rStyle w:val="bzpyqfadein"/>
          <w:rFonts w:ascii="Arial" w:eastAsiaTheme="majorEastAsia" w:hAnsi="Arial" w:cs="Arial"/>
          <w:sz w:val="22"/>
          <w:szCs w:val="22"/>
        </w:rPr>
        <w:t>. London: HMSO.</w:t>
      </w:r>
    </w:p>
    <w:p w14:paraId="576A6688" w14:textId="77777777" w:rsidR="00430DBE" w:rsidRPr="00043FBC" w:rsidRDefault="00430DBE" w:rsidP="00430DBE">
      <w:pPr>
        <w:pStyle w:val="NormalWeb"/>
        <w:rPr>
          <w:rFonts w:ascii="Arial" w:hAnsi="Arial" w:cs="Arial"/>
          <w:sz w:val="22"/>
          <w:szCs w:val="22"/>
        </w:rPr>
      </w:pPr>
      <w:r w:rsidRPr="00043FBC">
        <w:rPr>
          <w:rStyle w:val="bzpyqfadein"/>
          <w:rFonts w:ascii="Arial" w:eastAsiaTheme="majorEastAsia" w:hAnsi="Arial" w:cs="Arial"/>
          <w:sz w:val="22"/>
          <w:szCs w:val="22"/>
        </w:rPr>
        <w:lastRenderedPageBreak/>
        <w:t xml:space="preserve">UK Government, 2018. </w:t>
      </w:r>
      <w:r w:rsidRPr="00043FBC">
        <w:rPr>
          <w:rStyle w:val="bzpyqfadein"/>
          <w:rFonts w:ascii="Arial" w:eastAsiaTheme="majorEastAsia" w:hAnsi="Arial" w:cs="Arial"/>
          <w:i/>
          <w:iCs/>
          <w:sz w:val="22"/>
          <w:szCs w:val="22"/>
        </w:rPr>
        <w:t>Data Protection Act 2018</w:t>
      </w:r>
      <w:r w:rsidRPr="00043FBC">
        <w:rPr>
          <w:rStyle w:val="bzpyqfadein"/>
          <w:rFonts w:ascii="Arial" w:eastAsiaTheme="majorEastAsia" w:hAnsi="Arial" w:cs="Arial"/>
          <w:sz w:val="22"/>
          <w:szCs w:val="22"/>
        </w:rPr>
        <w:t>. London: HMSO.</w:t>
      </w:r>
    </w:p>
    <w:p w14:paraId="355B0842" w14:textId="77777777" w:rsidR="00430DBE" w:rsidRPr="00043FBC" w:rsidRDefault="00430DBE">
      <w:pPr>
        <w:rPr>
          <w:rFonts w:ascii="Arial" w:hAnsi="Arial" w:cs="Arial"/>
          <w:sz w:val="22"/>
          <w:szCs w:val="22"/>
        </w:rPr>
      </w:pPr>
    </w:p>
    <w:sectPr w:rsidR="00430DBE" w:rsidRPr="00043FBC" w:rsidSect="000554E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DBF47" w14:textId="77777777" w:rsidR="00DF0A12" w:rsidRDefault="00DF0A12" w:rsidP="00BB71E4">
      <w:pPr>
        <w:spacing w:after="0" w:line="240" w:lineRule="auto"/>
      </w:pPr>
      <w:r>
        <w:separator/>
      </w:r>
    </w:p>
  </w:endnote>
  <w:endnote w:type="continuationSeparator" w:id="0">
    <w:p w14:paraId="70E35D83" w14:textId="77777777" w:rsidR="00DF0A12" w:rsidRDefault="00DF0A12" w:rsidP="00BB7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3132040"/>
      <w:docPartObj>
        <w:docPartGallery w:val="Page Numbers (Bottom of Page)"/>
        <w:docPartUnique/>
      </w:docPartObj>
    </w:sdtPr>
    <w:sdtEndPr>
      <w:rPr>
        <w:noProof/>
      </w:rPr>
    </w:sdtEndPr>
    <w:sdtContent>
      <w:p w14:paraId="3ABD385F" w14:textId="0EFF2853" w:rsidR="00BB71E4" w:rsidRDefault="00BB71E4">
        <w:pPr>
          <w:pStyle w:val="Footer"/>
        </w:pPr>
        <w:r>
          <w:fldChar w:fldCharType="begin"/>
        </w:r>
        <w:r>
          <w:instrText xml:space="preserve"> PAGE   \* MERGEFORMAT </w:instrText>
        </w:r>
        <w:r>
          <w:fldChar w:fldCharType="separate"/>
        </w:r>
        <w:r>
          <w:rPr>
            <w:noProof/>
          </w:rPr>
          <w:t>2</w:t>
        </w:r>
        <w:r>
          <w:rPr>
            <w:noProof/>
          </w:rPr>
          <w:fldChar w:fldCharType="end"/>
        </w:r>
      </w:p>
    </w:sdtContent>
  </w:sdt>
  <w:p w14:paraId="72478F80" w14:textId="77777777" w:rsidR="00BB71E4" w:rsidRDefault="00BB7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2AB5A" w14:textId="77777777" w:rsidR="00DF0A12" w:rsidRDefault="00DF0A12" w:rsidP="00BB71E4">
      <w:pPr>
        <w:spacing w:after="0" w:line="240" w:lineRule="auto"/>
      </w:pPr>
      <w:r>
        <w:separator/>
      </w:r>
    </w:p>
  </w:footnote>
  <w:footnote w:type="continuationSeparator" w:id="0">
    <w:p w14:paraId="5A14632E" w14:textId="77777777" w:rsidR="00DF0A12" w:rsidRDefault="00DF0A12" w:rsidP="00BB71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4EA"/>
    <w:rsid w:val="00043FBC"/>
    <w:rsid w:val="000554EA"/>
    <w:rsid w:val="0021674F"/>
    <w:rsid w:val="0023063E"/>
    <w:rsid w:val="00264533"/>
    <w:rsid w:val="002B72B5"/>
    <w:rsid w:val="002F4077"/>
    <w:rsid w:val="0032188A"/>
    <w:rsid w:val="00334C51"/>
    <w:rsid w:val="0035196A"/>
    <w:rsid w:val="00430DBE"/>
    <w:rsid w:val="004A0480"/>
    <w:rsid w:val="004B4D47"/>
    <w:rsid w:val="004D248D"/>
    <w:rsid w:val="00521C25"/>
    <w:rsid w:val="005F2BA8"/>
    <w:rsid w:val="005F6FD8"/>
    <w:rsid w:val="00610226"/>
    <w:rsid w:val="00655B0E"/>
    <w:rsid w:val="006811D8"/>
    <w:rsid w:val="006C6D40"/>
    <w:rsid w:val="0070561A"/>
    <w:rsid w:val="007326C1"/>
    <w:rsid w:val="00746031"/>
    <w:rsid w:val="00792143"/>
    <w:rsid w:val="00796E93"/>
    <w:rsid w:val="007E50E6"/>
    <w:rsid w:val="00834869"/>
    <w:rsid w:val="008523C3"/>
    <w:rsid w:val="00891040"/>
    <w:rsid w:val="008A6D6A"/>
    <w:rsid w:val="00931603"/>
    <w:rsid w:val="009432D8"/>
    <w:rsid w:val="00994210"/>
    <w:rsid w:val="009F0FC6"/>
    <w:rsid w:val="00A94589"/>
    <w:rsid w:val="00AA559B"/>
    <w:rsid w:val="00AD10A7"/>
    <w:rsid w:val="00B11B0C"/>
    <w:rsid w:val="00B1591A"/>
    <w:rsid w:val="00B46E0B"/>
    <w:rsid w:val="00B9177A"/>
    <w:rsid w:val="00BB71E4"/>
    <w:rsid w:val="00C31BFF"/>
    <w:rsid w:val="00CA73FE"/>
    <w:rsid w:val="00CB1EC0"/>
    <w:rsid w:val="00D73532"/>
    <w:rsid w:val="00D81B93"/>
    <w:rsid w:val="00DF0A12"/>
    <w:rsid w:val="00E174FF"/>
    <w:rsid w:val="00E336FD"/>
    <w:rsid w:val="00EB56E5"/>
    <w:rsid w:val="00ED0672"/>
    <w:rsid w:val="00EE70C7"/>
    <w:rsid w:val="00F0293D"/>
    <w:rsid w:val="00F22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5F2C6"/>
  <w15:chartTrackingRefBased/>
  <w15:docId w15:val="{D1A65DAB-F678-41A1-9FA4-D20636EEC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4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54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54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4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4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4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4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4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4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4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54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54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4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4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4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4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4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4EA"/>
    <w:rPr>
      <w:rFonts w:eastAsiaTheme="majorEastAsia" w:cstheme="majorBidi"/>
      <w:color w:val="272727" w:themeColor="text1" w:themeTint="D8"/>
    </w:rPr>
  </w:style>
  <w:style w:type="paragraph" w:styleId="Title">
    <w:name w:val="Title"/>
    <w:basedOn w:val="Normal"/>
    <w:next w:val="Normal"/>
    <w:link w:val="TitleChar"/>
    <w:uiPriority w:val="10"/>
    <w:qFormat/>
    <w:rsid w:val="000554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4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4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4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4EA"/>
    <w:pPr>
      <w:spacing w:before="160"/>
      <w:jc w:val="center"/>
    </w:pPr>
    <w:rPr>
      <w:i/>
      <w:iCs/>
      <w:color w:val="404040" w:themeColor="text1" w:themeTint="BF"/>
    </w:rPr>
  </w:style>
  <w:style w:type="character" w:customStyle="1" w:styleId="QuoteChar">
    <w:name w:val="Quote Char"/>
    <w:basedOn w:val="DefaultParagraphFont"/>
    <w:link w:val="Quote"/>
    <w:uiPriority w:val="29"/>
    <w:rsid w:val="000554EA"/>
    <w:rPr>
      <w:i/>
      <w:iCs/>
      <w:color w:val="404040" w:themeColor="text1" w:themeTint="BF"/>
    </w:rPr>
  </w:style>
  <w:style w:type="paragraph" w:styleId="ListParagraph">
    <w:name w:val="List Paragraph"/>
    <w:basedOn w:val="Normal"/>
    <w:uiPriority w:val="34"/>
    <w:qFormat/>
    <w:rsid w:val="000554EA"/>
    <w:pPr>
      <w:ind w:left="720"/>
      <w:contextualSpacing/>
    </w:pPr>
  </w:style>
  <w:style w:type="character" w:styleId="IntenseEmphasis">
    <w:name w:val="Intense Emphasis"/>
    <w:basedOn w:val="DefaultParagraphFont"/>
    <w:uiPriority w:val="21"/>
    <w:qFormat/>
    <w:rsid w:val="000554EA"/>
    <w:rPr>
      <w:i/>
      <w:iCs/>
      <w:color w:val="0F4761" w:themeColor="accent1" w:themeShade="BF"/>
    </w:rPr>
  </w:style>
  <w:style w:type="paragraph" w:styleId="IntenseQuote">
    <w:name w:val="Intense Quote"/>
    <w:basedOn w:val="Normal"/>
    <w:next w:val="Normal"/>
    <w:link w:val="IntenseQuoteChar"/>
    <w:uiPriority w:val="30"/>
    <w:qFormat/>
    <w:rsid w:val="000554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4EA"/>
    <w:rPr>
      <w:i/>
      <w:iCs/>
      <w:color w:val="0F4761" w:themeColor="accent1" w:themeShade="BF"/>
    </w:rPr>
  </w:style>
  <w:style w:type="character" w:styleId="IntenseReference">
    <w:name w:val="Intense Reference"/>
    <w:basedOn w:val="DefaultParagraphFont"/>
    <w:uiPriority w:val="32"/>
    <w:qFormat/>
    <w:rsid w:val="000554EA"/>
    <w:rPr>
      <w:b/>
      <w:bCs/>
      <w:smallCaps/>
      <w:color w:val="0F4761" w:themeColor="accent1" w:themeShade="BF"/>
      <w:spacing w:val="5"/>
    </w:rPr>
  </w:style>
  <w:style w:type="paragraph" w:styleId="NoSpacing">
    <w:name w:val="No Spacing"/>
    <w:link w:val="NoSpacingChar"/>
    <w:uiPriority w:val="1"/>
    <w:qFormat/>
    <w:rsid w:val="000554E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554EA"/>
    <w:rPr>
      <w:rFonts w:eastAsiaTheme="minorEastAsia"/>
      <w:kern w:val="0"/>
      <w:sz w:val="22"/>
      <w:szCs w:val="22"/>
      <w:lang w:val="en-US"/>
      <w14:ligatures w14:val="none"/>
    </w:rPr>
  </w:style>
  <w:style w:type="paragraph" w:styleId="NormalWeb">
    <w:name w:val="Normal (Web)"/>
    <w:basedOn w:val="Normal"/>
    <w:uiPriority w:val="99"/>
    <w:semiHidden/>
    <w:unhideWhenUsed/>
    <w:rsid w:val="00CB1E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31BFF"/>
    <w:rPr>
      <w:b/>
      <w:bCs/>
    </w:rPr>
  </w:style>
  <w:style w:type="character" w:customStyle="1" w:styleId="bzpyqfadein">
    <w:name w:val="bz_pyq_fadein"/>
    <w:basedOn w:val="DefaultParagraphFont"/>
    <w:rsid w:val="00430DBE"/>
  </w:style>
  <w:style w:type="paragraph" w:styleId="Header">
    <w:name w:val="header"/>
    <w:basedOn w:val="Normal"/>
    <w:link w:val="HeaderChar"/>
    <w:uiPriority w:val="99"/>
    <w:unhideWhenUsed/>
    <w:rsid w:val="00BB7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1E4"/>
  </w:style>
  <w:style w:type="paragraph" w:styleId="Footer">
    <w:name w:val="footer"/>
    <w:basedOn w:val="Normal"/>
    <w:link w:val="FooterChar"/>
    <w:uiPriority w:val="99"/>
    <w:unhideWhenUsed/>
    <w:rsid w:val="00BB7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A67FC-5515-4DAF-925E-277882C4D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Groceanu</dc:creator>
  <cp:keywords/>
  <dc:description/>
  <cp:lastModifiedBy>Lavinia Groceanu</cp:lastModifiedBy>
  <cp:revision>8</cp:revision>
  <dcterms:created xsi:type="dcterms:W3CDTF">2026-03-15T09:12:00Z</dcterms:created>
  <dcterms:modified xsi:type="dcterms:W3CDTF">2026-03-21T08:56:00Z</dcterms:modified>
</cp:coreProperties>
</file>