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pPr>
      <w:r w:rsidDel="00000000" w:rsidR="00000000" w:rsidRPr="00000000">
        <w:rPr>
          <w:rtl w:val="0"/>
        </w:rPr>
        <w:t xml:space="preserve">Rwy'n cydnabod y defnydd o'r offer AI a restrir isod. Rwy'n cadarnhau nad wyf wedi cyflwyno unrhyw destun a gynhyrchwyd gan AI fel fy ngwaith fy hun. Rwy'n cadarnhau bod gennyf gopïau o fy nrafftiau, nodiadau ac adnoddau eraill a ddefnyddiais cyn ac ar ôl defnyddio offer AI, y gellir gofyn i mi eu darparu fel tystiolaeth.</w:t>
      </w:r>
    </w:p>
    <w:p w:rsidR="00000000" w:rsidDel="00000000" w:rsidP="00000000" w:rsidRDefault="00000000" w:rsidRPr="00000000" w14:paraId="00000002">
      <w:pPr>
        <w:spacing w:line="240" w:lineRule="auto"/>
        <w:ind w:left="720" w:firstLine="0"/>
        <w:rPr>
          <w:sz w:val="24"/>
          <w:szCs w:val="24"/>
        </w:rPr>
      </w:pPr>
      <w:r w:rsidDel="00000000" w:rsidR="00000000" w:rsidRPr="00000000">
        <w:rPr>
          <w:rtl w:val="0"/>
        </w:rPr>
      </w:r>
    </w:p>
    <w:tbl>
      <w:tblPr>
        <w:tblStyle w:val="Table1"/>
        <w:tblW w:w="10845.0" w:type="dxa"/>
        <w:jc w:val="left"/>
        <w:tblInd w:w="-885.0" w:type="dxa"/>
        <w:tblBorders>
          <w:top w:color="000000" w:space="0" w:sz="6" w:val="single"/>
          <w:left w:color="000000" w:space="0" w:sz="6" w:val="single"/>
          <w:bottom w:color="000000" w:space="0" w:sz="6" w:val="single"/>
          <w:right w:color="000000" w:space="0" w:sz="6" w:val="single"/>
        </w:tblBorders>
        <w:tblLayout w:type="fixed"/>
        <w:tblLook w:val="0400"/>
      </w:tblPr>
      <w:tblGrid>
        <w:gridCol w:w="2820"/>
        <w:gridCol w:w="1410"/>
        <w:gridCol w:w="1365"/>
        <w:gridCol w:w="5250"/>
        <w:tblGridChange w:id="0">
          <w:tblGrid>
            <w:gridCol w:w="2820"/>
            <w:gridCol w:w="1410"/>
            <w:gridCol w:w="1365"/>
            <w:gridCol w:w="5250"/>
          </w:tblGrid>
        </w:tblGridChange>
      </w:tblGrid>
      <w:tr>
        <w:trPr>
          <w:cantSplit w:val="0"/>
          <w:trHeight w:val="300" w:hRule="atLeast"/>
          <w:tblHeader w:val="0"/>
        </w:trPr>
        <w:tc>
          <w:tcPr>
            <w:tcBorders>
              <w:top w:color="000000" w:space="0" w:sz="6" w:val="single"/>
              <w:left w:color="000000" w:space="0" w:sz="6" w:val="single"/>
              <w:bottom w:color="000000" w:space="0" w:sz="6" w:val="single"/>
              <w:right w:color="000000" w:space="0" w:sz="6" w:val="single"/>
            </w:tcBorders>
            <w:shd w:fill="auto" w:val="clear"/>
          </w:tcPr>
          <w:p w:rsidR="00000000" w:rsidDel="00000000" w:rsidP="00000000" w:rsidRDefault="00000000" w:rsidRPr="00000000" w14:paraId="00000003">
            <w:pPr>
              <w:spacing w:line="240" w:lineRule="auto"/>
              <w:ind w:left="116" w:firstLine="0"/>
              <w:jc w:val="center"/>
              <w:rPr/>
            </w:pPr>
            <w:r w:rsidDel="00000000" w:rsidR="00000000" w:rsidRPr="00000000">
              <w:rPr>
                <w:b w:val="1"/>
                <w:bCs w:val="1"/>
                <w:rtl w:val="0"/>
              </w:rPr>
              <w:t xml:space="preserve">AI Tool (with url)</w:t>
            </w: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shd w:fill="auto" w:val="clear"/>
          </w:tcPr>
          <w:p w:rsidR="00000000" w:rsidDel="00000000" w:rsidP="00000000" w:rsidRDefault="00000000" w:rsidRPr="00000000" w14:paraId="00000004">
            <w:pPr>
              <w:spacing w:line="240" w:lineRule="auto"/>
              <w:ind w:left="116" w:firstLine="0"/>
              <w:jc w:val="center"/>
              <w:rPr/>
            </w:pPr>
            <w:r w:rsidDel="00000000" w:rsidR="00000000" w:rsidRPr="00000000">
              <w:rPr>
                <w:b w:val="1"/>
                <w:bCs w:val="1"/>
                <w:rtl w:val="0"/>
              </w:rPr>
              <w:t xml:space="preserve">Dyddiad defnyddiwyd</w:t>
            </w: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shd w:fill="auto" w:val="clear"/>
          </w:tcPr>
          <w:p w:rsidR="00000000" w:rsidDel="00000000" w:rsidP="00000000" w:rsidRDefault="00000000" w:rsidRPr="00000000" w14:paraId="00000005">
            <w:pPr>
              <w:spacing w:line="240" w:lineRule="auto"/>
              <w:jc w:val="center"/>
              <w:rPr/>
            </w:pPr>
            <w:r w:rsidDel="00000000" w:rsidR="00000000" w:rsidRPr="00000000">
              <w:rPr>
                <w:b w:val="1"/>
                <w:bCs w:val="1"/>
                <w:rtl w:val="0"/>
              </w:rPr>
              <w:t xml:space="preserve">Pam defnyddio ‘tool’</w:t>
            </w: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shd w:fill="auto" w:val="clear"/>
          </w:tcPr>
          <w:p w:rsidR="00000000" w:rsidDel="00000000" w:rsidP="00000000" w:rsidRDefault="00000000" w:rsidRPr="00000000" w14:paraId="00000006">
            <w:pPr>
              <w:spacing w:line="240" w:lineRule="auto"/>
              <w:ind w:left="116" w:firstLine="0"/>
              <w:jc w:val="center"/>
              <w:rPr/>
            </w:pPr>
            <w:r w:rsidDel="00000000" w:rsidR="00000000" w:rsidRPr="00000000">
              <w:rPr>
                <w:b w:val="1"/>
                <w:bCs w:val="1"/>
                <w:rtl w:val="0"/>
              </w:rPr>
              <w:t xml:space="preserve">Esiampl o’r prompt(s)</w:t>
            </w:r>
            <w:r w:rsidDel="00000000" w:rsidR="00000000" w:rsidRPr="00000000">
              <w:rPr>
                <w:rtl w:val="0"/>
              </w:rPr>
            </w:r>
          </w:p>
        </w:tc>
      </w:tr>
      <w:tr>
        <w:trPr>
          <w:cantSplit w:val="0"/>
          <w:trHeight w:val="300" w:hRule="atLeast"/>
          <w:tblHeader w:val="0"/>
        </w:trPr>
        <w:tc>
          <w:tcPr>
            <w:tcBorders>
              <w:top w:color="000000" w:space="0" w:sz="6" w:val="single"/>
              <w:left w:color="000000" w:space="0" w:sz="6" w:val="single"/>
              <w:bottom w:color="000000" w:space="0" w:sz="6" w:val="single"/>
              <w:right w:color="000000" w:space="0" w:sz="6" w:val="single"/>
            </w:tcBorders>
            <w:shd w:fill="auto" w:val="clear"/>
          </w:tcPr>
          <w:p w:rsidR="00000000" w:rsidDel="00000000" w:rsidP="00000000" w:rsidRDefault="00000000" w:rsidRPr="00000000" w14:paraId="00000007">
            <w:pPr>
              <w:spacing w:line="240" w:lineRule="auto"/>
              <w:ind w:left="116" w:firstLine="0"/>
              <w:rPr>
                <w:sz w:val="20"/>
                <w:szCs w:val="20"/>
              </w:rPr>
            </w:pPr>
            <w:hyperlink r:id="rId6">
              <w:r w:rsidDel="00000000" w:rsidR="00000000" w:rsidRPr="00000000">
                <w:rPr>
                  <w:color w:val="1155cc"/>
                  <w:sz w:val="20"/>
                  <w:szCs w:val="20"/>
                  <w:u w:val="single"/>
                  <w:rtl w:val="0"/>
                </w:rPr>
                <w:t xml:space="preserve">https://www.cysgliad.com/cysill/arlein/</w:t>
              </w:r>
            </w:hyperlink>
            <w:r w:rsidDel="00000000" w:rsidR="00000000" w:rsidRPr="00000000">
              <w:rPr>
                <w:sz w:val="20"/>
                <w:szCs w:val="20"/>
                <w:rtl w:val="0"/>
              </w:rPr>
              <w:t xml:space="preserve"> </w:t>
            </w:r>
          </w:p>
        </w:tc>
        <w:tc>
          <w:tcPr>
            <w:tcBorders>
              <w:top w:color="000000" w:space="0" w:sz="6" w:val="single"/>
              <w:left w:color="000000" w:space="0" w:sz="6" w:val="single"/>
              <w:bottom w:color="000000" w:space="0" w:sz="6" w:val="single"/>
              <w:right w:color="000000" w:space="0" w:sz="6" w:val="single"/>
            </w:tcBorders>
            <w:shd w:fill="auto" w:val="clear"/>
          </w:tcPr>
          <w:p w:rsidR="00000000" w:rsidDel="00000000" w:rsidP="00000000" w:rsidRDefault="00000000" w:rsidRPr="00000000" w14:paraId="00000008">
            <w:pPr>
              <w:spacing w:line="240" w:lineRule="auto"/>
              <w:ind w:left="116" w:firstLine="0"/>
              <w:rPr>
                <w:sz w:val="20"/>
                <w:szCs w:val="20"/>
              </w:rPr>
            </w:pPr>
            <w:r w:rsidDel="00000000" w:rsidR="00000000" w:rsidRPr="00000000">
              <w:rPr>
                <w:sz w:val="20"/>
                <w:szCs w:val="20"/>
                <w:rtl w:val="0"/>
              </w:rPr>
              <w:t xml:space="preserve">26/11/25 </w:t>
            </w:r>
          </w:p>
        </w:tc>
        <w:tc>
          <w:tcPr>
            <w:tcBorders>
              <w:top w:color="000000" w:space="0" w:sz="6" w:val="single"/>
              <w:left w:color="000000" w:space="0" w:sz="6" w:val="single"/>
              <w:bottom w:color="000000" w:space="0" w:sz="6" w:val="single"/>
              <w:right w:color="000000" w:space="0" w:sz="6" w:val="single"/>
            </w:tcBorders>
            <w:shd w:fill="auto" w:val="clear"/>
          </w:tcPr>
          <w:p w:rsidR="00000000" w:rsidDel="00000000" w:rsidP="00000000" w:rsidRDefault="00000000" w:rsidRPr="00000000" w14:paraId="00000009">
            <w:pPr>
              <w:spacing w:line="240" w:lineRule="auto"/>
              <w:rPr/>
            </w:pPr>
            <w:r w:rsidDel="00000000" w:rsidR="00000000" w:rsidRPr="00000000">
              <w:rPr>
                <w:rtl w:val="0"/>
              </w:rPr>
              <w:t xml:space="preserve">Gwirio fy Ngwaith </w:t>
            </w:r>
          </w:p>
        </w:tc>
        <w:tc>
          <w:tcPr>
            <w:tcBorders>
              <w:top w:color="000000" w:space="0" w:sz="6" w:val="single"/>
              <w:left w:color="000000" w:space="0" w:sz="6" w:val="single"/>
              <w:bottom w:color="000000" w:space="0" w:sz="6" w:val="single"/>
              <w:right w:color="000000" w:space="0" w:sz="6" w:val="single"/>
            </w:tcBorders>
            <w:shd w:fill="auto" w:val="clear"/>
          </w:tcPr>
          <w:p w:rsidR="00000000" w:rsidDel="00000000" w:rsidP="00000000" w:rsidRDefault="00000000" w:rsidRPr="00000000" w14:paraId="0000000A">
            <w:pPr>
              <w:spacing w:line="240" w:lineRule="auto"/>
              <w:ind w:left="116" w:firstLine="0"/>
              <w:rPr>
                <w:i w:val="1"/>
                <w:iCs w:val="1"/>
                <w:sz w:val="20"/>
                <w:szCs w:val="20"/>
              </w:rPr>
            </w:pPr>
            <w:r w:rsidDel="00000000" w:rsidR="00000000" w:rsidRPr="00000000">
              <w:rPr>
                <w:i w:val="1"/>
                <w:iCs w:val="1"/>
                <w:sz w:val="20"/>
                <w:szCs w:val="20"/>
                <w:rtl w:val="0"/>
              </w:rPr>
              <w:t xml:space="preserve">Gwiriwch y testun canlynol am ddarllenadwy, gramadeg a chystrawen.</w:t>
            </w:r>
          </w:p>
        </w:tc>
      </w:tr>
    </w:tbl>
    <w:p w:rsidR="00000000" w:rsidDel="00000000" w:rsidP="00000000" w:rsidRDefault="00000000" w:rsidRPr="00000000" w14:paraId="0000000B">
      <w:pPr>
        <w:spacing w:line="240" w:lineRule="auto"/>
        <w:jc w:val="both"/>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t xml:space="preserve">  </w:t>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jc w:val="center"/>
        <w:rPr>
          <w:b w:val="1"/>
          <w:bCs w:val="1"/>
        </w:rPr>
      </w:pPr>
      <w:r w:rsidDel="00000000" w:rsidR="00000000" w:rsidRPr="00000000">
        <w:rPr>
          <w:b w:val="1"/>
          <w:bCs w:val="1"/>
          <w:rtl w:val="0"/>
        </w:rPr>
        <w:t xml:space="preserve">Newid y stori: Gwerthuswch sut y gellir datblygu sgiliau llythrennedd corfforol plant trwy ddysgu yn yr awyr agored / antur.</w:t>
      </w:r>
    </w:p>
    <w:p w:rsidR="00000000" w:rsidDel="00000000" w:rsidP="00000000" w:rsidRDefault="00000000" w:rsidRPr="00000000" w14:paraId="00000031">
      <w:pPr>
        <w:rPr>
          <w:b w:val="1"/>
          <w:bCs w:val="1"/>
        </w:rPr>
      </w:pPr>
      <w:r w:rsidDel="00000000" w:rsidR="00000000" w:rsidRPr="00000000">
        <w:rPr>
          <w:rtl w:val="0"/>
        </w:rPr>
      </w:r>
    </w:p>
    <w:p w:rsidR="00000000" w:rsidDel="00000000" w:rsidP="00000000" w:rsidRDefault="00000000" w:rsidRPr="00000000" w14:paraId="00000032">
      <w:pPr>
        <w:rPr>
          <w:b w:val="1"/>
          <w:bCs w:val="1"/>
        </w:rPr>
      </w:pPr>
      <w:r w:rsidDel="00000000" w:rsidR="00000000" w:rsidRPr="00000000">
        <w:rPr>
          <w:b w:val="1"/>
          <w:bCs w:val="1"/>
          <w:rtl w:val="0"/>
        </w:rPr>
        <w:t xml:space="preserve">Cyflwyniad </w:t>
      </w:r>
    </w:p>
    <w:p w:rsidR="00000000" w:rsidDel="00000000" w:rsidP="00000000" w:rsidRDefault="00000000" w:rsidRPr="00000000" w14:paraId="00000033">
      <w:pPr>
        <w:rPr/>
      </w:pPr>
      <w:r w:rsidDel="00000000" w:rsidR="00000000" w:rsidRPr="00000000">
        <w:rPr>
          <w:b w:val="1"/>
          <w:bCs w:val="1"/>
          <w:rtl w:val="0"/>
        </w:rPr>
        <w:t xml:space="preserve">    </w:t>
      </w:r>
      <w:r w:rsidDel="00000000" w:rsidR="00000000" w:rsidRPr="00000000">
        <w:rPr>
          <w:rtl w:val="0"/>
        </w:rPr>
        <w:t xml:space="preserve">Mae cyfnod plentyndod yn hollol allweddol ar gyfer datblygu’r sgiliau, yr agweddau a’r gwerthoedd sydd yn siapio ymddygiad corfforol unigolion drwy gydol eu bywydau. O fewn y cyd-destun hwn, mae’r cysyniad o lythrennedd corfforol wedi ennill sylw sylweddol ym maes addysg gorfforol ac addysg ehangach. Yn ôl Whitehead (2010), mae llythrennedd corfforol yn cynnwys cymhelliant, hyder, cymhwysedd corfforol, ynghyd â gwybodaeth a dealltwriaeth sydd yn galluogi unigolion i werthfawrogi ac ymgysylltu â gweithgarwch corfforol drwy gydol eu bywydau. Felly, nid datblygu sgiliau corfforol yn unig yw’r nod, ond meithrin perthynas gadarnhaol a pharhaus â symud, yn yr ysgol ond hefyd tu allan yn yr awyr agored. Mewn cyd-destun addysgol, mae dysgu yn yr awyr agored ac antur yn cynnig cyfleoedd unigryw i blant brofi symudiad mewn ffyrdd ystyrlon, heriol a chydweithredol sydd yn digwydd tu allan i leoliadau dosbarth traddodiadol. Wrth weithio yn yr awyr agored, darperir siawns iddynt gymryd risgiau, herio eu hunan a hefyd cael cyfle i archwilio profiadau newydd.  Nod yr aseiniad hwn yw gwerthuso i ba raddau y gall dysgu yn yr awyr agored gyfrannu at ddatblygu sgiliau llythrennedd corfforol plant, gan ystyried ei botensial i feithrin cymhwysedd, hyder a chymhelliant, ond hefyd cydnabod cyfyngiadau a heriau cysylltiedig wrth ei weithredu’n effeithiol.</w:t>
      </w:r>
    </w:p>
    <w:p w:rsidR="00000000" w:rsidDel="00000000" w:rsidP="00000000" w:rsidRDefault="00000000" w:rsidRPr="00000000" w14:paraId="00000034">
      <w:pPr>
        <w:rPr/>
      </w:pPr>
      <w:r w:rsidDel="00000000" w:rsidR="00000000" w:rsidRPr="00000000">
        <w:rPr>
          <w:rtl w:val="0"/>
        </w:rPr>
      </w:r>
    </w:p>
    <w:p w:rsidR="00000000" w:rsidDel="00000000" w:rsidP="00000000" w:rsidRDefault="00000000" w:rsidRPr="00000000" w14:paraId="00000035">
      <w:pPr>
        <w:rPr/>
      </w:pPr>
      <w:r w:rsidDel="00000000" w:rsidR="00000000" w:rsidRPr="00000000">
        <w:rPr>
          <w:b w:val="1"/>
          <w:bCs w:val="1"/>
          <w:rtl w:val="0"/>
        </w:rPr>
        <w:t xml:space="preserve">Corff yr Asesiad </w:t>
      </w:r>
      <w:r w:rsidDel="00000000" w:rsidR="00000000" w:rsidRPr="00000000">
        <w:rPr>
          <w:rtl w:val="0"/>
        </w:rPr>
      </w:r>
    </w:p>
    <w:p w:rsidR="00000000" w:rsidDel="00000000" w:rsidP="00000000" w:rsidRDefault="00000000" w:rsidRPr="00000000" w14:paraId="00000036">
      <w:pPr>
        <w:rPr>
          <w:shd w:fill="b6d7a8" w:val="clear"/>
        </w:rPr>
      </w:pPr>
      <w:r w:rsidDel="00000000" w:rsidR="00000000" w:rsidRPr="00000000">
        <w:rPr>
          <w:rtl w:val="0"/>
        </w:rPr>
        <w:t xml:space="preserve">    Wrth adfyfyrio dros fy mhrofiadau ysgol fel plentyn, profwyd nifer o weithgareddau a ddatblygodd fy llythrennedd corfforol. O ran gwersi addysg gorfforol rheolaidd, cynhaliwyd rhai o'r gwersi yn yr awyr agored, a fu’n help mawr i ddatblygu fy ngwerthfawrogiad o fanteision yr awyr agored. Trwy gynnal gwersi allan yn yr awyr agored hybir hyder, sgiliau cymdeithasol, cyfathrebu, cymhelliant, sgiliau corfforol, gwybodaeth a dealltwriaeth (Harvey, 2022). Mae hefyd wedi’i ganfod i hybu hunan-barch y plant, eu hunanhyder, a hefyd eu gallu i gydweithio a’u hagwedd gadarnhaol at ddysgu yn gyfan gwbl. Fodd bynnag, rhaid gwneud yn siŵr hefyd bod y chwaraeon yn fwy cynhwysol yn hytrach na chanolbwyntio ar berfformiad (Harvey, 2022). Derbyniais y cyfle i ddatblygu’r holl sgiliau yn y cynnradd, trwy gyfleoedd i feithrin sgiliau amrywiol trwy gymryd rhan mewn gweithgareddau heriol mewn amgylchedd cefnogol iawn. Wrth gael cefnogaeth gadarnhaol oddi wrth athrawon a’r hyfforddwyr, a'r cyfle i brofi llwyddiant, chwaraea hyn ran hanfodol wrth gryfhau'r sgiliau gwahanol sydd hefyd wedi cael eu profi gan Bandura (1977, cyfeirnodwyd ym McLeod, 2025). Trwy’r cynradd, darparodd athrawon brofiadau chwaraeon gwahanol er mwyn cynnwys pawb mewn gwersi, a rhoi'r cyfle i blant ddeall bod yna amrywiaeth o chwaraeon. Mae profiad Addysg Gorfforol gynradd cadarnhaol yn hanfodol ar gyfer sefydlu arferion iechyd gydol oes, meithrin hyder a gwella swyddogaeth wybyddol (Kolh </w:t>
      </w:r>
      <w:r w:rsidDel="00000000" w:rsidR="00000000" w:rsidRPr="00000000">
        <w:rPr>
          <w:i w:val="1"/>
          <w:iCs w:val="1"/>
          <w:rtl w:val="0"/>
        </w:rPr>
        <w:t xml:space="preserve">et al.,</w:t>
      </w:r>
      <w:r w:rsidDel="00000000" w:rsidR="00000000" w:rsidRPr="00000000">
        <w:rPr>
          <w:rtl w:val="0"/>
        </w:rPr>
        <w:t xml:space="preserve"> 2013). </w:t>
      </w:r>
      <w:r w:rsidDel="00000000" w:rsidR="00000000" w:rsidRPr="00000000">
        <w:rPr>
          <w:rtl w:val="0"/>
        </w:rPr>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rPr/>
      </w:pPr>
      <w:r w:rsidDel="00000000" w:rsidR="00000000" w:rsidRPr="00000000">
        <w:rPr>
          <w:rtl w:val="0"/>
        </w:rPr>
        <w:t xml:space="preserve">Mae llythrennedd corfforol plant yn holl bwysig ar gyfer hunan dyfiant yn ystod y blynyddoedd cynnar. Cynhwysa nifer o gydrannau allweddol sydd yn cydblethu i gefnogi datblygiad cyfannol plentyn. Yn ôl Whitehead (2010), mae’r cydrannau hyn yn cynnwys cynhwysedd corfforol, hyder, cymhelliant, gwybodaeth a dealltwriaeth, ynghyd â chyfrifoldeb i ymgysylltu a gweithgareddau corfforol dros amser. Cyfeiria cymhwysedd corfforol at allu plentyn i berfformio ystod eang o symudiadau’n effeithiol ac yn hyderus, tra bod hyder yn ymwneud â chanolbwyntio ar gynnydd personol plentyn, gosod nodau bach er mwyn iddo adnabod llwyddiant, ond hefyd yn cofleidio camgymeriadau fel rhan o’r broses ddysgu, rhag ystyried camgymeriadau yn bwynt negyddol. Mae cymhelliant yn gyrru’r awydd egnïol, ac mae gwybodaeth a dealltwriaeth yn galluogi unigolion i wneud penderfyniadau gwybodus am eu hiechyd a’u lles presennol ac hefyd i’r dyfodol. Fodd bynnag, nid yw’r elfennau hyn yn bodoli ar wahân. Maent yn dylanwadu ar ei gilydd a hefo’r gallu i weithio gyda’i gilydd mewn ffordd ddeinamig. Er enghraifft, gall profiad cadarnhaol blaenorol y maent wedi bod yn rhan ohono yn gallu datblygu cymhwysedd, cryfhau hyder a chymhelliant. Ar y llaw arall, os ydynt wedi cael profiadau negyddol, ac na chaiff un elfen ei meithrin yn iawn, gall hyn effeithio ar gyfranogiad hirdymor. Felly, mae deall a datblygu’r holl gydrannau hyn yn hanfodol wrth ystyried sut y gellir hyrwyddo llythrennedd corfforol mewn cyd-destunau addysgol fel dysgu yn yr awyr agored. </w:t>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rPr/>
      </w:pPr>
      <w:r w:rsidDel="00000000" w:rsidR="00000000" w:rsidRPr="00000000">
        <w:rPr>
          <w:rtl w:val="0"/>
        </w:rPr>
        <w:t xml:space="preserve">Er hyn, wrth adolygu gofynion llythrennedd corfforol mewn ysgolion, cânt eu herio gan yr angen i fesur datblygiad cyfannol, meysydd corfforol, gwybyddol ac affeithiol, yn hytrach na asesu perfformiad a ffitrwydd plant yn unig. Rhwystrau posib fyddai diffyg athrawon wedi’u hyfforddi, diffyg offer safonedig, dilysu ar gyfer galluoedd amrywiol, a diwylliant ysgolion sydd yn canolbwyntio ar berfformiad cystadleuol yn hytrach na chanolbwyntio ar gymryd rhan ac ymgysylltu corfforol gydol oes (Lundvall, 2015). </w:t>
      </w:r>
    </w:p>
    <w:p w:rsidR="00000000" w:rsidDel="00000000" w:rsidP="00000000" w:rsidRDefault="00000000" w:rsidRPr="00000000" w14:paraId="0000003B">
      <w:pPr>
        <w:rPr/>
      </w:pPr>
      <w:r w:rsidDel="00000000" w:rsidR="00000000" w:rsidRPr="00000000">
        <w:rPr>
          <w:rtl w:val="0"/>
        </w:rPr>
      </w:r>
    </w:p>
    <w:p w:rsidR="00000000" w:rsidDel="00000000" w:rsidP="00000000" w:rsidRDefault="00000000" w:rsidRPr="00000000" w14:paraId="0000003C">
      <w:pPr>
        <w:rPr/>
      </w:pPr>
      <w:r w:rsidDel="00000000" w:rsidR="00000000" w:rsidRPr="00000000">
        <w:rPr>
          <w:rtl w:val="0"/>
        </w:rPr>
        <w:t xml:space="preserve">Mae theori datblygiad cymdeithasol Vygotsky (2003, cyfeirnodwyd yn Barnett, 2019) yn pwysleisio bod dysgu yn digwydd trwy rhyngweithio cymdeithasol ac o fewn y Parth Datblygiad Procsimol, lle gall plant gyflawni mwy gyda chanllawiau a chydweithrediad nag yn annibynnol. O fewn y cyd-destun dysgu yn yr awyr agored, mae gweithgareddau fel adeiladu llochesi, cyfeiriannu, cwblhau heriau mewn tîm, neu ddatrys map fel rhan o dîm yn berthnasol (Barnett, 2019). Cefnogir dysgu yn yr awyr agored ac antur gan ddamcaniaethau addysgol gwahanol, sydd yn  cefnogi ei effeithlonrwydd. Cynniga damcaniaeth dysgu profiadol Kolb (2019, cyferinodwyd yn Parry ac Allison, 2021) fod dysgu’n digwydd trwy brofiad uniongyrchol ac yna myfyrio fel rhan o dîm. Trwy weithgareddau ymarferol fel dringo, archwilio amgylcheddau naturiol, neu ddatrys heriau corfforol, mae plant yn ymgysylltu mewn dysgu corfforol sydd yn cefnogi eu datblygu unigolion cyfan. Darpara’r amgylchedd awyr agored heriau dilys ac yn aml yn anrheigladwy gan annog plant i gyfathrebu hefo’i gilydd i drafod strategaethau a chefnogi ei gilydd fel rhan o dîm. Trwy’r rhyngweithiadau hyn, mae plant nid yn unig yn datblygu eu cymhwysedd corfforol, ond hefyd  yn magu sgiliau cymdeithasol ac emosiynol, sydd yn elfennau allweddol o lythrennedd corfforol. Felly, mae’n ystyrlon fod datblygiad cymdeithasol a datblygiad corfforol ddigwydd ar yr un pryd. </w:t>
      </w:r>
    </w:p>
    <w:p w:rsidR="00000000" w:rsidDel="00000000" w:rsidP="00000000" w:rsidRDefault="00000000" w:rsidRPr="00000000" w14:paraId="0000003D">
      <w:pPr>
        <w:rPr/>
      </w:pPr>
      <w:r w:rsidDel="00000000" w:rsidR="00000000" w:rsidRPr="00000000">
        <w:rPr>
          <w:rtl w:val="0"/>
        </w:rPr>
      </w:r>
    </w:p>
    <w:p w:rsidR="00000000" w:rsidDel="00000000" w:rsidP="00000000" w:rsidRDefault="00000000" w:rsidRPr="00000000" w14:paraId="0000003E">
      <w:pPr>
        <w:rPr/>
      </w:pPr>
      <w:r w:rsidDel="00000000" w:rsidR="00000000" w:rsidRPr="00000000">
        <w:rPr>
          <w:rtl w:val="0"/>
        </w:rPr>
        <w:t xml:space="preserve">Fodd bynna,  nid yw dysgu yn yr awyr agored yn arwain yn awtomatig at ddatblygiad llythrennedd corfforol. Er bod yr amgylchedd yn darparu cyfleodd cyfoethog ar gyfer symud a chydweithio, mae ansawdd addysgeg yn hanfodol wrth sicrhau bod dysgu yn bwrpasol ac yn gynhwysol. Heb arweinyddiaeth drwythedig a chyfleoedd cyfartal i fyfyrwyr, gall profiadau negyddol efallai aros yn y cof, gan atal datblygu dealltwriaeth ddyfnach. Yn ogystal, gall diffyg hyder neu ddiffyg hyfforddiant athrawon mewn addysg awyr agored gyfyngu ar ei effeithlonrwydd. Felly, er bod potensial cadarnhaol gan ddysgu awyr agored i gefnogi datblygiad llythrennedd corfforol, mae ei lwyddiant yn dibynnu ar gynllunio bwriadol, cefnogaeth briodol gywir, ac ymarfer myfyriol.</w:t>
      </w:r>
    </w:p>
    <w:p w:rsidR="00000000" w:rsidDel="00000000" w:rsidP="00000000" w:rsidRDefault="00000000" w:rsidRPr="00000000" w14:paraId="0000003F">
      <w:pPr>
        <w:rPr/>
      </w:pPr>
      <w:r w:rsidDel="00000000" w:rsidR="00000000" w:rsidRPr="00000000">
        <w:rPr>
          <w:rtl w:val="0"/>
        </w:rPr>
      </w:r>
    </w:p>
    <w:p w:rsidR="00000000" w:rsidDel="00000000" w:rsidP="00000000" w:rsidRDefault="00000000" w:rsidRPr="00000000" w14:paraId="00000040">
      <w:pPr>
        <w:rPr/>
      </w:pPr>
      <w:r w:rsidDel="00000000" w:rsidR="00000000" w:rsidRPr="00000000">
        <w:rPr>
          <w:rtl w:val="0"/>
        </w:rPr>
        <w:t xml:space="preserve">Mae dysgu awyr agored ac antur yn darparu cyfleoedd cyfoethog ar gyfer datblygu cynhwysedd corfforol. Cynniga amgylcheddau naturiol dirwedd amrywiol ac anrhagweladwy, fel tir anwastad, llethrau, coed a rhwystrau, sydd yn gofyn i blant addasu a mireinio eu patrymau symud. Mae gweithgareddau fel dringo, cydbwyso ar foncyffion, neidio ar draws nentydd, a chyfeiriannu yn cefnogi datblygiad sgiliau symud sylfaenol gan gynnwys cydlyniad, ystwythder a sefydlogrwydd (Smith</w:t>
      </w:r>
      <w:r w:rsidDel="00000000" w:rsidR="00000000" w:rsidRPr="00000000">
        <w:rPr>
          <w:i w:val="1"/>
          <w:iCs w:val="1"/>
          <w:rtl w:val="0"/>
        </w:rPr>
        <w:t xml:space="preserve"> et al</w:t>
      </w:r>
      <w:r w:rsidDel="00000000" w:rsidR="00000000" w:rsidRPr="00000000">
        <w:rPr>
          <w:rtl w:val="0"/>
        </w:rPr>
        <w:t xml:space="preserve">., 2022). Yn wahanol i wersi addysg gorfforol dan do strwythuredig, mae cyd-destunau awyr agored yn mynnu addasiad cyson, sydd yn gwella ymwybyddiaeth ofodol a rheolaeth echddygol. Yn ogystal, cefnogi’r plant i ganolbwyntio yn fwy gyda gwahaniaeth rhwng  y gofodau ddysgu. Mae’r profiadau hyn yn cyfrannu’n uniongyrchol at lythrennedd corfforol, gan fod cymhwysedd yn elfen graidd o ymgysylltu gydol oes mewn gweithgareddau corfforol. Wrth i blant lywio heriau corfforol yn llwyddiannus, maent yn datblygu yn symudwyr mwy abl ac yn magu ymdeimlad cryfach o ymwybyddiaeth gorfforol. Fodd bynnag, mae datblygiad cymhwysedd yn dibynnu ar her a chefnogaeth briodol, gan y gall tasgau rhy anodd ddigalonni cyfranogiad plant yn hytrach na gwella datblygiad eu sgiliau.</w:t>
      </w:r>
    </w:p>
    <w:p w:rsidR="00000000" w:rsidDel="00000000" w:rsidP="00000000" w:rsidRDefault="00000000" w:rsidRPr="00000000" w14:paraId="00000041">
      <w:pPr>
        <w:rPr/>
      </w:pPr>
      <w:r w:rsidDel="00000000" w:rsidR="00000000" w:rsidRPr="00000000">
        <w:rPr>
          <w:rtl w:val="0"/>
        </w:rPr>
      </w:r>
    </w:p>
    <w:p w:rsidR="00000000" w:rsidDel="00000000" w:rsidP="00000000" w:rsidRDefault="00000000" w:rsidRPr="00000000" w14:paraId="00000042">
      <w:pPr>
        <w:rPr/>
      </w:pPr>
      <w:r w:rsidDel="00000000" w:rsidR="00000000" w:rsidRPr="00000000">
        <w:rPr>
          <w:rtl w:val="0"/>
        </w:rPr>
        <w:t xml:space="preserve">Gall</w:t>
      </w:r>
      <w:r w:rsidDel="00000000" w:rsidR="00000000" w:rsidRPr="00000000">
        <w:rPr>
          <w:b w:val="1"/>
          <w:bCs w:val="1"/>
          <w:rtl w:val="0"/>
        </w:rPr>
        <w:t xml:space="preserve"> </w:t>
      </w:r>
      <w:r w:rsidDel="00000000" w:rsidR="00000000" w:rsidRPr="00000000">
        <w:rPr>
          <w:rtl w:val="0"/>
        </w:rPr>
        <w:t xml:space="preserve">Dysgu yn yr awyr agored wella hyder a chymhelliant plant yn sylweddol (</w:t>
      </w:r>
      <w:r w:rsidDel="00000000" w:rsidR="00000000" w:rsidRPr="00000000">
        <w:rPr>
          <w:rtl w:val="0"/>
        </w:rPr>
        <w:t xml:space="preserve">Reiss, M. J., </w:t>
      </w:r>
      <w:r w:rsidDel="00000000" w:rsidR="00000000" w:rsidRPr="00000000">
        <w:rPr>
          <w:i w:val="1"/>
          <w:iCs w:val="1"/>
          <w:rtl w:val="0"/>
        </w:rPr>
        <w:t xml:space="preserve">et al,</w:t>
      </w:r>
      <w:r w:rsidDel="00000000" w:rsidR="00000000" w:rsidRPr="00000000">
        <w:rPr>
          <w:rtl w:val="0"/>
        </w:rPr>
        <w:t xml:space="preserve"> 2019). </w:t>
      </w:r>
      <w:r w:rsidDel="00000000" w:rsidR="00000000" w:rsidRPr="00000000">
        <w:rPr>
          <w:rtl w:val="0"/>
        </w:rPr>
        <w:t xml:space="preserve">Yn aml, mae gweithgareddau seiliedig ar antur yn darparu her gwahaniaethol, gan ganiatáu i blant brofi llwyddiant trwy ymdrech a dyfalbarhad. Yn ôl Bandura (2017), mae hunan effeithlonrwydd unigolion yn eu galluogi i lwyddo trwy brofiadau cadarnhaol. Gall yr hunanhyder cynyddol hwn arwain at gymhelliant mewnol a hybu nhw i gymryd rhan mewn gweithgareddau corfforol i’r dyfodol, gan gefnogi ymgysylltiad hirdymor (Bandura, 2017). Fodd bynnag, mae’n pwysig cydnabod nad yw pob plentyn yn ymateb yn gadarnhaol i her. Efallai fod rhai unigolyn wedi cael profiad negyddol, ac na fyddant am grymyd rhan o gwbl. Felly, mae sgaffaldiau gofalus a chefnogaeth athrawon yn hanfodol i sicrhau bod profiadau awyr agored yn meithrin, yn hytrach na lleihau hyder (Barrable </w:t>
      </w:r>
      <w:r w:rsidDel="00000000" w:rsidR="00000000" w:rsidRPr="00000000">
        <w:rPr>
          <w:i w:val="1"/>
          <w:iCs w:val="1"/>
          <w:rtl w:val="0"/>
        </w:rPr>
        <w:t xml:space="preserve">et al.</w:t>
      </w:r>
      <w:r w:rsidDel="00000000" w:rsidR="00000000" w:rsidRPr="00000000">
        <w:rPr>
          <w:rtl w:val="0"/>
        </w:rPr>
        <w:t xml:space="preserve">, 2020).</w:t>
      </w:r>
    </w:p>
    <w:p w:rsidR="00000000" w:rsidDel="00000000" w:rsidP="00000000" w:rsidRDefault="00000000" w:rsidRPr="00000000" w14:paraId="00000043">
      <w:pPr>
        <w:rPr/>
      </w:pPr>
      <w:r w:rsidDel="00000000" w:rsidR="00000000" w:rsidRPr="00000000">
        <w:rPr>
          <w:rtl w:val="0"/>
        </w:rPr>
      </w:r>
    </w:p>
    <w:p w:rsidR="00000000" w:rsidDel="00000000" w:rsidP="00000000" w:rsidRDefault="00000000" w:rsidRPr="00000000" w14:paraId="00000044">
      <w:pPr>
        <w:rPr/>
      </w:pPr>
      <w:r w:rsidDel="00000000" w:rsidR="00000000" w:rsidRPr="00000000">
        <w:rPr>
          <w:rtl w:val="0"/>
        </w:rPr>
        <w:t xml:space="preserve">Mae Cwricwlwm i Cymru yn cefnogi datblygiad llythrennedd corfforol plant drwy’r Maes Dysgu a Phrofiad Iechyd a Lles, sydd yn pwysleisio datblygu hyder, gwytnwch a gweithgareddau corfforol gydol oes. Mae’r nodau hyn yn cyd-fynd yn agos ag elfennau allweddol llythrennedd corfforol, gan gynnwys cymhwysedd, cymhelliant a hyder. Yn ogystal, mae’r pedwar diben, yn enwedig datblygu “unigolion iach, hyderus” yn atgyfnerthu pwysigrwydd profiadau symud ystyrlon (Davies, 2025). Mae ffocws y cwricwlwm ar ddysgu profiadol a dilys yn cefnogi’r defnydd o addysg awyr agored ac antur fel cyd-destun effeithiol ar gyfer datblygu llythrennedd corfforol plant.</w:t>
      </w:r>
    </w:p>
    <w:p w:rsidR="00000000" w:rsidDel="00000000" w:rsidP="00000000" w:rsidRDefault="00000000" w:rsidRPr="00000000" w14:paraId="00000045">
      <w:pPr>
        <w:rPr/>
      </w:pPr>
      <w:r w:rsidDel="00000000" w:rsidR="00000000" w:rsidRPr="00000000">
        <w:rPr>
          <w:rtl w:val="0"/>
        </w:rPr>
      </w:r>
    </w:p>
    <w:p w:rsidR="00000000" w:rsidDel="00000000" w:rsidP="00000000" w:rsidRDefault="00000000" w:rsidRPr="00000000" w14:paraId="00000046">
      <w:pPr>
        <w:rPr/>
      </w:pPr>
      <w:r w:rsidDel="00000000" w:rsidR="00000000" w:rsidRPr="00000000">
        <w:rPr>
          <w:b w:val="1"/>
          <w:bCs w:val="1"/>
          <w:rtl w:val="0"/>
        </w:rPr>
        <w:t xml:space="preserve">Casgliad</w:t>
      </w:r>
      <w:r w:rsidDel="00000000" w:rsidR="00000000" w:rsidRPr="00000000">
        <w:rPr>
          <w:b w:val="1"/>
          <w:bCs w:val="1"/>
          <w:color w:val="f1c232"/>
          <w:rtl w:val="0"/>
        </w:rPr>
        <w:t xml:space="preserve"> </w:t>
      </w:r>
      <w:r w:rsidDel="00000000" w:rsidR="00000000" w:rsidRPr="00000000">
        <w:rPr>
          <w:rtl w:val="0"/>
        </w:rPr>
      </w:r>
    </w:p>
    <w:p w:rsidR="00000000" w:rsidDel="00000000" w:rsidP="00000000" w:rsidRDefault="00000000" w:rsidRPr="00000000" w14:paraId="00000047">
      <w:pPr>
        <w:rPr/>
      </w:pPr>
      <w:r w:rsidDel="00000000" w:rsidR="00000000" w:rsidRPr="00000000">
        <w:rPr>
          <w:rtl w:val="0"/>
        </w:rPr>
        <w:t xml:space="preserve">I gloi, mae llythrennedd corfforol yn gysyniad cyfannol sydd yn cynnwys datblygiad cymhwysedd, hyder, cymhelliant a dealltwriaeth mewn perthynas hefo gweithgareddau corfforol gydol oes. Mae dysgu yn yr awyr agored ac addysg antur yn darparu cyd-destun ystyron a dilys lle gellir meithrin yr elfennau hyn trwy ryngweithio cymdeithasol, her a dysgu profiadol. Fodd bynnag, nid yw datblygiad llythrennedd corfforol yn digwydd yn awtomatig. Dibynna ar gynllunio bwriadus, addysgeg gynhwysol, ac ymarfer hwylus ac effeithiol. Felly, er bod dysgu yn yr awyr agored yn cynnig potensial sylweddol i gefnogi llythrennedd corfforol plant, mae ei effaith yn ddibynnol ar bennu addysgeg a gweithredu o ansawdd. </w:t>
      </w:r>
    </w:p>
    <w:p w:rsidR="00000000" w:rsidDel="00000000" w:rsidP="00000000" w:rsidRDefault="00000000" w:rsidRPr="00000000" w14:paraId="00000048">
      <w:pPr>
        <w:rPr/>
      </w:pPr>
      <w:r w:rsidDel="00000000" w:rsidR="00000000" w:rsidRPr="00000000">
        <w:rPr>
          <w:rtl w:val="0"/>
        </w:rPr>
      </w:r>
    </w:p>
    <w:p w:rsidR="00000000" w:rsidDel="00000000" w:rsidP="00000000" w:rsidRDefault="00000000" w:rsidRPr="00000000" w14:paraId="00000049">
      <w:pPr>
        <w:rPr/>
      </w:pPr>
      <w:r w:rsidDel="00000000" w:rsidR="00000000" w:rsidRPr="00000000">
        <w:rPr>
          <w:rtl w:val="0"/>
        </w:rPr>
        <w:t xml:space="preserve">1589</w:t>
      </w:r>
      <w:r w:rsidDel="00000000" w:rsidR="00000000" w:rsidRPr="00000000">
        <w:rPr>
          <w:rtl w:val="0"/>
        </w:rPr>
      </w:r>
    </w:p>
    <w:p w:rsidR="00000000" w:rsidDel="00000000" w:rsidP="00000000" w:rsidRDefault="00000000" w:rsidRPr="00000000" w14:paraId="0000004A">
      <w:pPr>
        <w:rPr>
          <w:b w:val="1"/>
          <w:bCs w:val="1"/>
        </w:rPr>
      </w:pPr>
      <w:r w:rsidDel="00000000" w:rsidR="00000000" w:rsidRPr="00000000">
        <w:rPr>
          <w:rtl w:val="0"/>
        </w:rPr>
      </w:r>
    </w:p>
    <w:p w:rsidR="00000000" w:rsidDel="00000000" w:rsidP="00000000" w:rsidRDefault="00000000" w:rsidRPr="00000000" w14:paraId="0000004B">
      <w:pPr>
        <w:rPr>
          <w:b w:val="1"/>
          <w:bCs w:val="1"/>
        </w:rPr>
      </w:pPr>
      <w:r w:rsidDel="00000000" w:rsidR="00000000" w:rsidRPr="00000000">
        <w:rPr>
          <w:rtl w:val="0"/>
        </w:rPr>
      </w:r>
    </w:p>
    <w:p w:rsidR="00000000" w:rsidDel="00000000" w:rsidP="00000000" w:rsidRDefault="00000000" w:rsidRPr="00000000" w14:paraId="0000004C">
      <w:pPr>
        <w:rPr>
          <w:b w:val="1"/>
          <w:bCs w:val="1"/>
        </w:rPr>
      </w:pPr>
      <w:r w:rsidDel="00000000" w:rsidR="00000000" w:rsidRPr="00000000">
        <w:rPr>
          <w:rtl w:val="0"/>
        </w:rPr>
      </w:r>
    </w:p>
    <w:p w:rsidR="00000000" w:rsidDel="00000000" w:rsidP="00000000" w:rsidRDefault="00000000" w:rsidRPr="00000000" w14:paraId="0000004D">
      <w:pPr>
        <w:rPr>
          <w:b w:val="1"/>
          <w:bCs w:val="1"/>
        </w:rPr>
      </w:pPr>
      <w:r w:rsidDel="00000000" w:rsidR="00000000" w:rsidRPr="00000000">
        <w:rPr>
          <w:rtl w:val="0"/>
        </w:rPr>
      </w:r>
    </w:p>
    <w:p w:rsidR="00000000" w:rsidDel="00000000" w:rsidP="00000000" w:rsidRDefault="00000000" w:rsidRPr="00000000" w14:paraId="0000004E">
      <w:pPr>
        <w:rPr>
          <w:b w:val="1"/>
          <w:bCs w:val="1"/>
        </w:rPr>
      </w:pPr>
      <w:r w:rsidDel="00000000" w:rsidR="00000000" w:rsidRPr="00000000">
        <w:rPr>
          <w:b w:val="1"/>
          <w:bCs w:val="1"/>
          <w:rtl w:val="0"/>
        </w:rPr>
        <w:t xml:space="preserve">Rhestr Cyfeirnodi ​</w:t>
      </w:r>
    </w:p>
    <w:p w:rsidR="00000000" w:rsidDel="00000000" w:rsidP="00000000" w:rsidRDefault="00000000" w:rsidRPr="00000000" w14:paraId="0000004F">
      <w:pPr>
        <w:rPr/>
      </w:pPr>
      <w:r w:rsidDel="00000000" w:rsidR="00000000" w:rsidRPr="00000000">
        <w:rPr>
          <w:rtl w:val="0"/>
        </w:rPr>
      </w:r>
    </w:p>
    <w:p w:rsidR="00000000" w:rsidDel="00000000" w:rsidP="00000000" w:rsidRDefault="00000000" w:rsidRPr="00000000" w14:paraId="00000050">
      <w:pPr>
        <w:numPr>
          <w:ilvl w:val="0"/>
          <w:numId w:val="1"/>
        </w:numPr>
        <w:ind w:left="720" w:hanging="360"/>
      </w:pPr>
      <w:r w:rsidDel="00000000" w:rsidR="00000000" w:rsidRPr="00000000">
        <w:rPr>
          <w:rtl w:val="0"/>
        </w:rPr>
        <w:t xml:space="preserve">Barnett, S. (2019) ‘</w:t>
      </w:r>
      <w:r w:rsidDel="00000000" w:rsidR="00000000" w:rsidRPr="00000000">
        <w:rPr>
          <w:rtl w:val="0"/>
        </w:rPr>
        <w:t xml:space="preserve">Application of Vygotsky’s Social Development Theory’, </w:t>
      </w:r>
      <w:r w:rsidDel="00000000" w:rsidR="00000000" w:rsidRPr="00000000">
        <w:rPr>
          <w:i w:val="1"/>
          <w:iCs w:val="1"/>
          <w:rtl w:val="0"/>
        </w:rPr>
        <w:t xml:space="preserve">Journal of Education and Practice,</w:t>
      </w:r>
      <w:r w:rsidDel="00000000" w:rsidR="00000000" w:rsidRPr="00000000">
        <w:rPr>
          <w:rtl w:val="0"/>
        </w:rPr>
        <w:t xml:space="preserve"> 10(35), tt. 1–4. Ar gael yn: </w:t>
      </w:r>
      <w:hyperlink r:id="rId7">
        <w:r w:rsidDel="00000000" w:rsidR="00000000" w:rsidRPr="00000000">
          <w:rPr>
            <w:color w:val="1155cc"/>
            <w:u w:val="single"/>
            <w:rtl w:val="0"/>
          </w:rPr>
          <w:t xml:space="preserve">https://doi.org/10.7176/jep/10-35-01</w:t>
        </w:r>
      </w:hyperlink>
      <w:r w:rsidDel="00000000" w:rsidR="00000000" w:rsidRPr="00000000">
        <w:rPr>
          <w:rtl w:val="0"/>
        </w:rPr>
        <w:t xml:space="preserve"> (Cyrchwyd: 20 Chwefror 2026).</w:t>
      </w:r>
    </w:p>
    <w:p w:rsidR="00000000" w:rsidDel="00000000" w:rsidP="00000000" w:rsidRDefault="00000000" w:rsidRPr="00000000" w14:paraId="00000051">
      <w:pPr>
        <w:ind w:left="720" w:firstLine="0"/>
        <w:rPr/>
      </w:pPr>
      <w:r w:rsidDel="00000000" w:rsidR="00000000" w:rsidRPr="00000000">
        <w:rPr>
          <w:rtl w:val="0"/>
        </w:rPr>
      </w:r>
    </w:p>
    <w:p w:rsidR="00000000" w:rsidDel="00000000" w:rsidP="00000000" w:rsidRDefault="00000000" w:rsidRPr="00000000" w14:paraId="00000052">
      <w:pPr>
        <w:numPr>
          <w:ilvl w:val="0"/>
          <w:numId w:val="1"/>
        </w:numPr>
        <w:ind w:left="720" w:hanging="360"/>
      </w:pPr>
      <w:r w:rsidDel="00000000" w:rsidR="00000000" w:rsidRPr="00000000">
        <w:rPr>
          <w:rtl w:val="0"/>
        </w:rPr>
        <w:t xml:space="preserve">Barrable, A., Touloumakos, A. a Lapere, L. (2020) ‘</w:t>
      </w:r>
      <w:r w:rsidDel="00000000" w:rsidR="00000000" w:rsidRPr="00000000">
        <w:rPr>
          <w:rtl w:val="0"/>
        </w:rPr>
        <w:t xml:space="preserve">Exploring student teachers’ motivations and sources of confidence: the case of outdoor learning’, </w:t>
      </w:r>
      <w:r w:rsidDel="00000000" w:rsidR="00000000" w:rsidRPr="00000000">
        <w:rPr>
          <w:i w:val="1"/>
          <w:iCs w:val="1"/>
          <w:rtl w:val="0"/>
        </w:rPr>
        <w:t xml:space="preserve">European Journal of Teacher Education, </w:t>
      </w:r>
      <w:r w:rsidDel="00000000" w:rsidR="00000000" w:rsidRPr="00000000">
        <w:rPr>
          <w:rtl w:val="0"/>
        </w:rPr>
        <w:t xml:space="preserve">45(3), tt. 1–17. Ar gael yn: </w:t>
      </w:r>
      <w:hyperlink r:id="rId8">
        <w:r w:rsidDel="00000000" w:rsidR="00000000" w:rsidRPr="00000000">
          <w:rPr>
            <w:color w:val="1155cc"/>
            <w:u w:val="single"/>
            <w:rtl w:val="0"/>
          </w:rPr>
          <w:t xml:space="preserve">https://doi.org/10.1080/02619768.2020.1827386</w:t>
        </w:r>
      </w:hyperlink>
      <w:r w:rsidDel="00000000" w:rsidR="00000000" w:rsidRPr="00000000">
        <w:rPr>
          <w:rtl w:val="0"/>
        </w:rPr>
        <w:t xml:space="preserve"> (Cyrchwyd: 21 Chwefror 2026).</w:t>
      </w:r>
    </w:p>
    <w:p w:rsidR="00000000" w:rsidDel="00000000" w:rsidP="00000000" w:rsidRDefault="00000000" w:rsidRPr="00000000" w14:paraId="00000053">
      <w:pPr>
        <w:ind w:left="720" w:firstLine="0"/>
        <w:rPr/>
      </w:pPr>
      <w:r w:rsidDel="00000000" w:rsidR="00000000" w:rsidRPr="00000000">
        <w:rPr>
          <w:rtl w:val="0"/>
        </w:rPr>
      </w:r>
    </w:p>
    <w:p w:rsidR="00000000" w:rsidDel="00000000" w:rsidP="00000000" w:rsidRDefault="00000000" w:rsidRPr="00000000" w14:paraId="00000054">
      <w:pPr>
        <w:numPr>
          <w:ilvl w:val="0"/>
          <w:numId w:val="1"/>
        </w:numPr>
        <w:ind w:left="720" w:hanging="360"/>
      </w:pPr>
      <w:r w:rsidDel="00000000" w:rsidR="00000000" w:rsidRPr="00000000">
        <w:rPr>
          <w:rtl w:val="0"/>
        </w:rPr>
        <w:t xml:space="preserve">Davies, A.J. (2025) ‘</w:t>
      </w:r>
      <w:r w:rsidDel="00000000" w:rsidR="00000000" w:rsidRPr="00000000">
        <w:rPr>
          <w:rtl w:val="0"/>
        </w:rPr>
        <w:t xml:space="preserve">O Gynefin i Gymru a thu hwnt – trafod y Cwricwlwm i Gymru a lleoli cenedl’ </w:t>
      </w:r>
      <w:r w:rsidDel="00000000" w:rsidR="00000000" w:rsidRPr="00000000">
        <w:rPr>
          <w:i w:val="1"/>
          <w:iCs w:val="1"/>
          <w:rtl w:val="0"/>
        </w:rPr>
        <w:t xml:space="preserve">Cylchgrawn Addysg Cymru / Wales Journal of Education, </w:t>
      </w:r>
      <w:r w:rsidDel="00000000" w:rsidR="00000000" w:rsidRPr="00000000">
        <w:rPr>
          <w:rtl w:val="0"/>
        </w:rPr>
        <w:t xml:space="preserve">27(1). </w:t>
      </w:r>
      <w:r w:rsidDel="00000000" w:rsidR="00000000" w:rsidRPr="00000000">
        <w:rPr>
          <w:rtl w:val="0"/>
        </w:rPr>
        <w:t xml:space="preserve">Ar gael yn: </w:t>
      </w:r>
      <w:hyperlink r:id="rId9">
        <w:r w:rsidDel="00000000" w:rsidR="00000000" w:rsidRPr="00000000">
          <w:rPr>
            <w:color w:val="1155cc"/>
            <w:u w:val="single"/>
            <w:rtl w:val="0"/>
          </w:rPr>
          <w:t xml:space="preserve">https://doi.org/10.16922/wje.27.1.5cym</w:t>
        </w:r>
      </w:hyperlink>
      <w:r w:rsidDel="00000000" w:rsidR="00000000" w:rsidRPr="00000000">
        <w:rPr>
          <w:rtl w:val="0"/>
        </w:rPr>
        <w:t xml:space="preserve"> (Cyrchwyd: 20 Chwefror 2026).</w:t>
      </w:r>
    </w:p>
    <w:p w:rsidR="00000000" w:rsidDel="00000000" w:rsidP="00000000" w:rsidRDefault="00000000" w:rsidRPr="00000000" w14:paraId="00000055">
      <w:pPr>
        <w:ind w:left="720" w:firstLine="0"/>
        <w:rPr/>
      </w:pPr>
      <w:r w:rsidDel="00000000" w:rsidR="00000000" w:rsidRPr="00000000">
        <w:rPr>
          <w:rtl w:val="0"/>
        </w:rPr>
      </w:r>
    </w:p>
    <w:p w:rsidR="00000000" w:rsidDel="00000000" w:rsidP="00000000" w:rsidRDefault="00000000" w:rsidRPr="00000000" w14:paraId="00000056">
      <w:pPr>
        <w:numPr>
          <w:ilvl w:val="0"/>
          <w:numId w:val="1"/>
        </w:numPr>
        <w:ind w:left="720" w:hanging="360"/>
      </w:pPr>
      <w:r w:rsidDel="00000000" w:rsidR="00000000" w:rsidRPr="00000000">
        <w:rPr>
          <w:rtl w:val="0"/>
        </w:rPr>
        <w:t xml:space="preserve">Harinie, L.T., Sudiro, A., Rahayu, M. a Fatchan, A. (2017) ‘</w:t>
      </w:r>
      <w:r w:rsidDel="00000000" w:rsidR="00000000" w:rsidRPr="00000000">
        <w:rPr>
          <w:rtl w:val="0"/>
        </w:rPr>
        <w:t xml:space="preserve">Study of the Bandura’s Social Cognitive Learning Theory for the Entrepreneurship Learning Process’,</w:t>
      </w:r>
      <w:r w:rsidDel="00000000" w:rsidR="00000000" w:rsidRPr="00000000">
        <w:rPr>
          <w:i w:val="1"/>
          <w:iCs w:val="1"/>
          <w:rtl w:val="0"/>
        </w:rPr>
        <w:t xml:space="preserve"> Social Sciences, </w:t>
      </w:r>
      <w:r w:rsidDel="00000000" w:rsidR="00000000" w:rsidRPr="00000000">
        <w:rPr>
          <w:rtl w:val="0"/>
        </w:rPr>
        <w:t xml:space="preserve">6(1), t. 1. </w:t>
      </w:r>
      <w:r w:rsidDel="00000000" w:rsidR="00000000" w:rsidRPr="00000000">
        <w:rPr>
          <w:rtl w:val="0"/>
        </w:rPr>
        <w:t xml:space="preserve">Ar gael yn: </w:t>
      </w:r>
      <w:hyperlink r:id="rId10">
        <w:r w:rsidDel="00000000" w:rsidR="00000000" w:rsidRPr="00000000">
          <w:rPr>
            <w:color w:val="1155cc"/>
            <w:u w:val="single"/>
            <w:rtl w:val="0"/>
          </w:rPr>
          <w:t xml:space="preserve">https://doi.org/10.11648/j.ss.20170601.11</w:t>
        </w:r>
      </w:hyperlink>
      <w:r w:rsidDel="00000000" w:rsidR="00000000" w:rsidRPr="00000000">
        <w:rPr>
          <w:rtl w:val="0"/>
        </w:rPr>
        <w:t xml:space="preserve"> (Cyrchwyd: 20 Chwefror 2026).</w:t>
      </w:r>
    </w:p>
    <w:p w:rsidR="00000000" w:rsidDel="00000000" w:rsidP="00000000" w:rsidRDefault="00000000" w:rsidRPr="00000000" w14:paraId="00000057">
      <w:pPr>
        <w:ind w:left="720" w:firstLine="0"/>
        <w:rPr/>
      </w:pPr>
      <w:r w:rsidDel="00000000" w:rsidR="00000000" w:rsidRPr="00000000">
        <w:rPr>
          <w:rtl w:val="0"/>
        </w:rPr>
      </w:r>
    </w:p>
    <w:p w:rsidR="00000000" w:rsidDel="00000000" w:rsidP="00000000" w:rsidRDefault="00000000" w:rsidRPr="00000000" w14:paraId="00000058">
      <w:pPr>
        <w:numPr>
          <w:ilvl w:val="0"/>
          <w:numId w:val="1"/>
        </w:numPr>
        <w:ind w:left="720" w:hanging="360"/>
      </w:pPr>
      <w:r w:rsidDel="00000000" w:rsidR="00000000" w:rsidRPr="00000000">
        <w:rPr>
          <w:rtl w:val="0"/>
        </w:rPr>
        <w:t xml:space="preserve">Harvey, D. (2022) </w:t>
      </w:r>
      <w:r w:rsidDel="00000000" w:rsidR="00000000" w:rsidRPr="00000000">
        <w:rPr>
          <w:i w:val="1"/>
          <w:iCs w:val="1"/>
          <w:rtl w:val="0"/>
        </w:rPr>
        <w:t xml:space="preserve">5 key benefits of outdoor learning. Learning through Landscapes. </w:t>
      </w:r>
      <w:r w:rsidDel="00000000" w:rsidR="00000000" w:rsidRPr="00000000">
        <w:rPr>
          <w:rtl w:val="0"/>
        </w:rPr>
        <w:t xml:space="preserve">Ar gael yn: </w:t>
      </w:r>
      <w:hyperlink r:id="rId11">
        <w:r w:rsidDel="00000000" w:rsidR="00000000" w:rsidRPr="00000000">
          <w:rPr>
            <w:color w:val="1155cc"/>
            <w:u w:val="single"/>
            <w:rtl w:val="0"/>
          </w:rPr>
          <w:t xml:space="preserve">https://ltl.org.uk/news/5-key-benefits-of-outdoor-learning/</w:t>
        </w:r>
      </w:hyperlink>
      <w:r w:rsidDel="00000000" w:rsidR="00000000" w:rsidRPr="00000000">
        <w:rPr>
          <w:rtl w:val="0"/>
        </w:rPr>
        <w:t xml:space="preserve"> (Cyrchwyd: 23 Chwefror 2026).</w:t>
      </w:r>
    </w:p>
    <w:p w:rsidR="00000000" w:rsidDel="00000000" w:rsidP="00000000" w:rsidRDefault="00000000" w:rsidRPr="00000000" w14:paraId="00000059">
      <w:pPr>
        <w:ind w:left="720" w:firstLine="0"/>
        <w:rPr/>
      </w:pPr>
      <w:r w:rsidDel="00000000" w:rsidR="00000000" w:rsidRPr="00000000">
        <w:rPr>
          <w:rtl w:val="0"/>
        </w:rPr>
      </w:r>
    </w:p>
    <w:p w:rsidR="00000000" w:rsidDel="00000000" w:rsidP="00000000" w:rsidRDefault="00000000" w:rsidRPr="00000000" w14:paraId="0000005A">
      <w:pPr>
        <w:numPr>
          <w:ilvl w:val="0"/>
          <w:numId w:val="1"/>
        </w:numPr>
        <w:ind w:left="720" w:hanging="360"/>
        <w:rPr/>
      </w:pPr>
      <w:r w:rsidDel="00000000" w:rsidR="00000000" w:rsidRPr="00000000">
        <w:rPr>
          <w:rtl w:val="0"/>
        </w:rPr>
        <w:t xml:space="preserve">Kohl, H.W., Cook, H.D.,</w:t>
      </w:r>
      <w:r w:rsidDel="00000000" w:rsidR="00000000" w:rsidRPr="00000000">
        <w:rPr>
          <w:rtl w:val="0"/>
        </w:rPr>
        <w:t xml:space="preserve"> (2013) Institute Of Medicine, Committee On Physical Activity And Physical Education, The, I. and Institute Of Medicine, Food And Nutrition Board. </w:t>
      </w:r>
      <w:r w:rsidDel="00000000" w:rsidR="00000000" w:rsidRPr="00000000">
        <w:rPr>
          <w:i w:val="1"/>
          <w:iCs w:val="1"/>
          <w:rtl w:val="0"/>
        </w:rPr>
        <w:t xml:space="preserve">Educating the student body : taking physical activity and physical education to school.</w:t>
      </w:r>
      <w:r w:rsidDel="00000000" w:rsidR="00000000" w:rsidRPr="00000000">
        <w:rPr>
          <w:rtl w:val="0"/>
        </w:rPr>
        <w:t xml:space="preserve"> The National Academies Press.</w:t>
      </w:r>
    </w:p>
    <w:p w:rsidR="00000000" w:rsidDel="00000000" w:rsidP="00000000" w:rsidRDefault="00000000" w:rsidRPr="00000000" w14:paraId="0000005B">
      <w:pPr>
        <w:ind w:left="720" w:firstLine="0"/>
        <w:rPr/>
      </w:pPr>
      <w:r w:rsidDel="00000000" w:rsidR="00000000" w:rsidRPr="00000000">
        <w:rPr>
          <w:rtl w:val="0"/>
        </w:rPr>
      </w:r>
    </w:p>
    <w:p w:rsidR="00000000" w:rsidDel="00000000" w:rsidP="00000000" w:rsidRDefault="00000000" w:rsidRPr="00000000" w14:paraId="0000005C">
      <w:pPr>
        <w:numPr>
          <w:ilvl w:val="0"/>
          <w:numId w:val="1"/>
        </w:numPr>
        <w:ind w:left="720" w:hanging="360"/>
      </w:pPr>
      <w:r w:rsidDel="00000000" w:rsidR="00000000" w:rsidRPr="00000000">
        <w:rPr>
          <w:rtl w:val="0"/>
        </w:rPr>
        <w:t xml:space="preserve">Lundvall, S. (2015)</w:t>
      </w:r>
      <w:r w:rsidDel="00000000" w:rsidR="00000000" w:rsidRPr="00000000">
        <w:rPr>
          <w:i w:val="1"/>
          <w:iCs w:val="1"/>
          <w:rtl w:val="0"/>
        </w:rPr>
        <w:t xml:space="preserve"> ‘</w:t>
      </w:r>
      <w:r w:rsidDel="00000000" w:rsidR="00000000" w:rsidRPr="00000000">
        <w:rPr>
          <w:rtl w:val="0"/>
        </w:rPr>
        <w:t xml:space="preserve">Physical literacy in the field of physical education – A challenge and a possibility’, </w:t>
      </w:r>
      <w:r w:rsidDel="00000000" w:rsidR="00000000" w:rsidRPr="00000000">
        <w:rPr>
          <w:i w:val="1"/>
          <w:iCs w:val="1"/>
          <w:rtl w:val="0"/>
        </w:rPr>
        <w:t xml:space="preserve">Journal of Sport and Health Science, </w:t>
      </w:r>
      <w:r w:rsidDel="00000000" w:rsidR="00000000" w:rsidRPr="00000000">
        <w:rPr>
          <w:rtl w:val="0"/>
        </w:rPr>
        <w:t xml:space="preserve">4(2), tt. 113–118. </w:t>
      </w:r>
      <w:r w:rsidDel="00000000" w:rsidR="00000000" w:rsidRPr="00000000">
        <w:rPr>
          <w:rtl w:val="0"/>
        </w:rPr>
        <w:t xml:space="preserve">Ar gael yn: </w:t>
      </w:r>
      <w:hyperlink r:id="rId12">
        <w:r w:rsidDel="00000000" w:rsidR="00000000" w:rsidRPr="00000000">
          <w:rPr>
            <w:color w:val="1155cc"/>
            <w:u w:val="single"/>
            <w:rtl w:val="0"/>
          </w:rPr>
          <w:t xml:space="preserve">https://doi.org/10.1016/j.jshs.2015.02.001</w:t>
        </w:r>
      </w:hyperlink>
      <w:r w:rsidDel="00000000" w:rsidR="00000000" w:rsidRPr="00000000">
        <w:rPr>
          <w:rtl w:val="0"/>
        </w:rPr>
        <w:t xml:space="preserve"> (Cyrchwyd: 20 Chwefror 2026).</w:t>
      </w:r>
    </w:p>
    <w:p w:rsidR="00000000" w:rsidDel="00000000" w:rsidP="00000000" w:rsidRDefault="00000000" w:rsidRPr="00000000" w14:paraId="0000005D">
      <w:pPr>
        <w:ind w:left="720" w:firstLine="0"/>
        <w:rPr/>
      </w:pPr>
      <w:r w:rsidDel="00000000" w:rsidR="00000000" w:rsidRPr="00000000">
        <w:rPr>
          <w:rtl w:val="0"/>
        </w:rPr>
      </w:r>
    </w:p>
    <w:p w:rsidR="00000000" w:rsidDel="00000000" w:rsidP="00000000" w:rsidRDefault="00000000" w:rsidRPr="00000000" w14:paraId="0000005E">
      <w:pPr>
        <w:numPr>
          <w:ilvl w:val="0"/>
          <w:numId w:val="1"/>
        </w:numPr>
        <w:ind w:left="720" w:hanging="360"/>
      </w:pPr>
      <w:r w:rsidDel="00000000" w:rsidR="00000000" w:rsidRPr="00000000">
        <w:rPr>
          <w:rtl w:val="0"/>
        </w:rPr>
        <w:t xml:space="preserve">McLeod, S. (2025) </w:t>
      </w:r>
      <w:r w:rsidDel="00000000" w:rsidR="00000000" w:rsidRPr="00000000">
        <w:rPr>
          <w:i w:val="1"/>
          <w:iCs w:val="1"/>
          <w:rtl w:val="0"/>
        </w:rPr>
        <w:t xml:space="preserve">Albert Bandura’s Social Learning Theory. </w:t>
      </w:r>
      <w:r w:rsidDel="00000000" w:rsidR="00000000" w:rsidRPr="00000000">
        <w:rPr>
          <w:rtl w:val="0"/>
        </w:rPr>
        <w:t xml:space="preserve">Ar gael yn: </w:t>
      </w:r>
      <w:hyperlink r:id="rId13">
        <w:r w:rsidDel="00000000" w:rsidR="00000000" w:rsidRPr="00000000">
          <w:rPr>
            <w:color w:val="1155cc"/>
            <w:u w:val="single"/>
            <w:rtl w:val="0"/>
          </w:rPr>
          <w:t xml:space="preserve">https://www.simplypsychology.org/bandura.html</w:t>
        </w:r>
      </w:hyperlink>
      <w:r w:rsidDel="00000000" w:rsidR="00000000" w:rsidRPr="00000000">
        <w:rPr>
          <w:rtl w:val="0"/>
        </w:rPr>
        <w:t xml:space="preserve"> (Cyrchwyd: 21 Chwefror 2026).</w:t>
      </w:r>
    </w:p>
    <w:p w:rsidR="00000000" w:rsidDel="00000000" w:rsidP="00000000" w:rsidRDefault="00000000" w:rsidRPr="00000000" w14:paraId="0000005F">
      <w:pPr>
        <w:ind w:left="720" w:firstLine="0"/>
        <w:rPr/>
      </w:pPr>
      <w:r w:rsidDel="00000000" w:rsidR="00000000" w:rsidRPr="00000000">
        <w:rPr>
          <w:rtl w:val="0"/>
        </w:rPr>
      </w:r>
    </w:p>
    <w:p w:rsidR="00000000" w:rsidDel="00000000" w:rsidP="00000000" w:rsidRDefault="00000000" w:rsidRPr="00000000" w14:paraId="00000060">
      <w:pPr>
        <w:numPr>
          <w:ilvl w:val="0"/>
          <w:numId w:val="1"/>
        </w:numPr>
        <w:ind w:left="720" w:hanging="360"/>
      </w:pPr>
      <w:r w:rsidDel="00000000" w:rsidR="00000000" w:rsidRPr="00000000">
        <w:rPr>
          <w:rtl w:val="0"/>
        </w:rPr>
        <w:t xml:space="preserve">Parry, S.J. ac Allison, P. (2021). </w:t>
      </w:r>
      <w:r w:rsidDel="00000000" w:rsidR="00000000" w:rsidRPr="00000000">
        <w:rPr>
          <w:i w:val="1"/>
          <w:iCs w:val="1"/>
          <w:rtl w:val="0"/>
        </w:rPr>
        <w:t xml:space="preserve">Experiential learning and outdoor education: traditions of practice and philosophical perspectives.</w:t>
      </w:r>
      <w:r w:rsidDel="00000000" w:rsidR="00000000" w:rsidRPr="00000000">
        <w:rPr>
          <w:rtl w:val="0"/>
        </w:rPr>
        <w:t xml:space="preserve"> Routledge.</w:t>
      </w:r>
    </w:p>
    <w:p w:rsidR="00000000" w:rsidDel="00000000" w:rsidP="00000000" w:rsidRDefault="00000000" w:rsidRPr="00000000" w14:paraId="00000061">
      <w:pPr>
        <w:ind w:left="720" w:firstLine="0"/>
        <w:rPr/>
      </w:pPr>
      <w:r w:rsidDel="00000000" w:rsidR="00000000" w:rsidRPr="00000000">
        <w:rPr>
          <w:rtl w:val="0"/>
        </w:rPr>
      </w:r>
    </w:p>
    <w:p w:rsidR="00000000" w:rsidDel="00000000" w:rsidP="00000000" w:rsidRDefault="00000000" w:rsidRPr="00000000" w14:paraId="00000062">
      <w:pPr>
        <w:numPr>
          <w:ilvl w:val="0"/>
          <w:numId w:val="1"/>
        </w:numPr>
        <w:ind w:left="720" w:hanging="360"/>
      </w:pPr>
      <w:r w:rsidDel="00000000" w:rsidR="00000000" w:rsidRPr="00000000">
        <w:rPr>
          <w:rtl w:val="0"/>
        </w:rPr>
        <w:t xml:space="preserve">Rendon, T. a Stier, Z. (2025)</w:t>
      </w:r>
      <w:r w:rsidDel="00000000" w:rsidR="00000000" w:rsidRPr="00000000">
        <w:rPr>
          <w:i w:val="1"/>
          <w:iCs w:val="1"/>
          <w:rtl w:val="0"/>
        </w:rPr>
        <w:t xml:space="preserve"> Creativity in Young Children. </w:t>
      </w:r>
      <w:r w:rsidDel="00000000" w:rsidR="00000000" w:rsidRPr="00000000">
        <w:rPr>
          <w:rtl w:val="0"/>
        </w:rPr>
        <w:t xml:space="preserve">Redleaf Press.</w:t>
      </w:r>
    </w:p>
    <w:p w:rsidR="00000000" w:rsidDel="00000000" w:rsidP="00000000" w:rsidRDefault="00000000" w:rsidRPr="00000000" w14:paraId="00000063">
      <w:pPr>
        <w:ind w:left="720" w:firstLine="0"/>
        <w:rPr/>
      </w:pPr>
      <w:r w:rsidDel="00000000" w:rsidR="00000000" w:rsidRPr="00000000">
        <w:rPr>
          <w:rtl w:val="0"/>
        </w:rPr>
      </w:r>
    </w:p>
    <w:p w:rsidR="00000000" w:rsidDel="00000000" w:rsidP="00000000" w:rsidRDefault="00000000" w:rsidRPr="00000000" w14:paraId="00000064">
      <w:pPr>
        <w:numPr>
          <w:ilvl w:val="0"/>
          <w:numId w:val="1"/>
        </w:numPr>
        <w:ind w:left="720" w:hanging="360"/>
      </w:pPr>
      <w:r w:rsidDel="00000000" w:rsidR="00000000" w:rsidRPr="00000000">
        <w:rPr>
          <w:rtl w:val="0"/>
        </w:rPr>
        <w:t xml:space="preserve">Reiss, M. J., et al. (2019). Children and Nature: A Research Evaluation for The Wildlife Trusts. UCL Institute of Education, University College London.</w:t>
      </w:r>
    </w:p>
    <w:p w:rsidR="00000000" w:rsidDel="00000000" w:rsidP="00000000" w:rsidRDefault="00000000" w:rsidRPr="00000000" w14:paraId="00000065">
      <w:pPr>
        <w:ind w:left="720" w:firstLine="0"/>
        <w:rPr/>
      </w:pPr>
      <w:r w:rsidDel="00000000" w:rsidR="00000000" w:rsidRPr="00000000">
        <w:rPr>
          <w:rtl w:val="0"/>
        </w:rPr>
      </w:r>
    </w:p>
    <w:p w:rsidR="00000000" w:rsidDel="00000000" w:rsidP="00000000" w:rsidRDefault="00000000" w:rsidRPr="00000000" w14:paraId="00000066">
      <w:pPr>
        <w:numPr>
          <w:ilvl w:val="0"/>
          <w:numId w:val="1"/>
        </w:numPr>
        <w:ind w:left="720" w:hanging="360"/>
      </w:pPr>
      <w:r w:rsidDel="00000000" w:rsidR="00000000" w:rsidRPr="00000000">
        <w:rPr>
          <w:rtl w:val="0"/>
        </w:rPr>
        <w:t xml:space="preserve">Rosalinde, A., Janssen, M., Busch, V., Kat, I.T. a Scholte, R.H.J. (2023) ‘</w:t>
      </w:r>
      <w:r w:rsidDel="00000000" w:rsidR="00000000" w:rsidRPr="00000000">
        <w:rPr>
          <w:rtl w:val="0"/>
        </w:rPr>
        <w:t xml:space="preserve">The relationships between children’s motor competence, physical activity, perceived motor competence, physical fitness and weight status in relation to age’, </w:t>
      </w:r>
      <w:r w:rsidDel="00000000" w:rsidR="00000000" w:rsidRPr="00000000">
        <w:rPr>
          <w:i w:val="1"/>
          <w:iCs w:val="1"/>
          <w:sz w:val="20"/>
          <w:szCs w:val="20"/>
          <w:rtl w:val="0"/>
        </w:rPr>
        <w:t xml:space="preserve">PLoS ONE, </w:t>
      </w:r>
      <w:r w:rsidDel="00000000" w:rsidR="00000000" w:rsidRPr="00000000">
        <w:rPr>
          <w:rtl w:val="0"/>
        </w:rPr>
        <w:t xml:space="preserve">18(4), tt. e0278438–e0278438. Ar gael yn: </w:t>
      </w:r>
      <w:hyperlink r:id="rId14">
        <w:r w:rsidDel="00000000" w:rsidR="00000000" w:rsidRPr="00000000">
          <w:rPr>
            <w:color w:val="1155cc"/>
            <w:u w:val="single"/>
            <w:rtl w:val="0"/>
          </w:rPr>
          <w:t xml:space="preserve">https://doi.org/10.1371/journal.pone.0278438</w:t>
        </w:r>
      </w:hyperlink>
      <w:r w:rsidDel="00000000" w:rsidR="00000000" w:rsidRPr="00000000">
        <w:rPr>
          <w:rtl w:val="0"/>
        </w:rPr>
        <w:t xml:space="preserve"> (Cyrchwyd: 23 Chwefror 2026).</w:t>
      </w:r>
    </w:p>
    <w:p w:rsidR="00000000" w:rsidDel="00000000" w:rsidP="00000000" w:rsidRDefault="00000000" w:rsidRPr="00000000" w14:paraId="00000067">
      <w:pPr>
        <w:ind w:left="720" w:firstLine="0"/>
        <w:rPr/>
      </w:pPr>
      <w:r w:rsidDel="00000000" w:rsidR="00000000" w:rsidRPr="00000000">
        <w:rPr>
          <w:rtl w:val="0"/>
        </w:rPr>
      </w:r>
    </w:p>
    <w:p w:rsidR="00000000" w:rsidDel="00000000" w:rsidP="00000000" w:rsidRDefault="00000000" w:rsidRPr="00000000" w14:paraId="00000068">
      <w:pPr>
        <w:numPr>
          <w:ilvl w:val="0"/>
          <w:numId w:val="1"/>
        </w:numPr>
        <w:ind w:left="720" w:hanging="360"/>
      </w:pPr>
      <w:r w:rsidDel="00000000" w:rsidR="00000000" w:rsidRPr="00000000">
        <w:rPr>
          <w:rtl w:val="0"/>
        </w:rPr>
        <w:t xml:space="preserve">Whitehead, M. (2001) ‘</w:t>
      </w:r>
      <w:r w:rsidDel="00000000" w:rsidR="00000000" w:rsidRPr="00000000">
        <w:rPr>
          <w:rtl w:val="0"/>
        </w:rPr>
        <w:t xml:space="preserve">The Concept of Physical Literacy’,</w:t>
      </w:r>
      <w:r w:rsidDel="00000000" w:rsidR="00000000" w:rsidRPr="00000000">
        <w:rPr>
          <w:i w:val="1"/>
          <w:iCs w:val="1"/>
          <w:rtl w:val="0"/>
        </w:rPr>
        <w:t xml:space="preserve"> European Journal of Physical Education, </w:t>
      </w:r>
      <w:r w:rsidDel="00000000" w:rsidR="00000000" w:rsidRPr="00000000">
        <w:rPr>
          <w:rtl w:val="0"/>
        </w:rPr>
        <w:t xml:space="preserve">6(2), tt,. 127–138.</w:t>
      </w:r>
      <w:r w:rsidDel="00000000" w:rsidR="00000000" w:rsidRPr="00000000">
        <w:rPr>
          <w:i w:val="1"/>
          <w:iCs w:val="1"/>
          <w:rtl w:val="0"/>
        </w:rPr>
        <w:t xml:space="preserve"> </w:t>
      </w:r>
      <w:r w:rsidDel="00000000" w:rsidR="00000000" w:rsidRPr="00000000">
        <w:rPr>
          <w:rtl w:val="0"/>
        </w:rPr>
        <w:t xml:space="preserve">Ar gael yn: </w:t>
      </w:r>
      <w:hyperlink r:id="rId15">
        <w:r w:rsidDel="00000000" w:rsidR="00000000" w:rsidRPr="00000000">
          <w:rPr>
            <w:color w:val="1155cc"/>
            <w:u w:val="single"/>
            <w:rtl w:val="0"/>
          </w:rPr>
          <w:t xml:space="preserve">https://www.tandfonline.com/doi/epdf/10.1080/1740898010060205?needAccess=true</w:t>
        </w:r>
      </w:hyperlink>
      <w:r w:rsidDel="00000000" w:rsidR="00000000" w:rsidRPr="00000000">
        <w:rPr>
          <w:rtl w:val="0"/>
        </w:rPr>
        <w:t xml:space="preserve"> (Cyrchwyd: 21 Chwefror 2026).</w:t>
      </w:r>
    </w:p>
    <w:p w:rsidR="00000000" w:rsidDel="00000000" w:rsidP="00000000" w:rsidRDefault="00000000" w:rsidRPr="00000000" w14:paraId="00000069">
      <w:pPr>
        <w:ind w:left="720" w:firstLine="0"/>
        <w:rPr/>
      </w:pPr>
      <w:r w:rsidDel="00000000" w:rsidR="00000000" w:rsidRPr="00000000">
        <w:rPr>
          <w:rtl w:val="0"/>
        </w:rPr>
      </w:r>
    </w:p>
    <w:p w:rsidR="00000000" w:rsidDel="00000000" w:rsidP="00000000" w:rsidRDefault="00000000" w:rsidRPr="00000000" w14:paraId="0000006A">
      <w:pPr>
        <w:numPr>
          <w:ilvl w:val="0"/>
          <w:numId w:val="1"/>
        </w:numPr>
        <w:ind w:left="720" w:hanging="360"/>
      </w:pPr>
      <w:r w:rsidDel="00000000" w:rsidR="00000000" w:rsidRPr="00000000">
        <w:rPr>
          <w:rtl w:val="0"/>
        </w:rPr>
        <w:t xml:space="preserve">Whitehead, M. (2010) </w:t>
      </w:r>
      <w:r w:rsidDel="00000000" w:rsidR="00000000" w:rsidRPr="00000000">
        <w:rPr>
          <w:i w:val="1"/>
          <w:iCs w:val="1"/>
          <w:rtl w:val="0"/>
        </w:rPr>
        <w:t xml:space="preserve">Physical Literacy Throughout the Lifecourse.</w:t>
      </w:r>
      <w:r w:rsidDel="00000000" w:rsidR="00000000" w:rsidRPr="00000000">
        <w:rPr>
          <w:rtl w:val="0"/>
        </w:rPr>
        <w:t xml:space="preserve"> Routledge.</w:t>
      </w:r>
    </w:p>
    <w:p w:rsidR="00000000" w:rsidDel="00000000" w:rsidP="00000000" w:rsidRDefault="00000000" w:rsidRPr="00000000" w14:paraId="0000006B">
      <w:pPr>
        <w:rPr/>
      </w:pPr>
      <w:r w:rsidDel="00000000" w:rsidR="00000000" w:rsidRPr="00000000">
        <w:rPr>
          <w:rtl w:val="0"/>
        </w:rPr>
      </w:r>
    </w:p>
    <w:p w:rsidR="00000000" w:rsidDel="00000000" w:rsidP="00000000" w:rsidRDefault="00000000" w:rsidRPr="00000000" w14:paraId="0000006C">
      <w:pPr>
        <w:rPr/>
      </w:pPr>
      <w:r w:rsidDel="00000000" w:rsidR="00000000" w:rsidRPr="00000000">
        <w:rPr>
          <w:rtl w:val="0"/>
        </w:rPr>
      </w:r>
    </w:p>
    <w:p w:rsidR="00000000" w:rsidDel="00000000" w:rsidP="00000000" w:rsidRDefault="00000000" w:rsidRPr="00000000" w14:paraId="0000006D">
      <w:pPr>
        <w:rPr/>
      </w:pPr>
      <w:r w:rsidDel="00000000" w:rsidR="00000000" w:rsidRPr="00000000">
        <w:rPr>
          <w:rtl w:val="0"/>
        </w:rPr>
        <w:t xml:space="preserve">.</w:t>
      </w:r>
    </w:p>
    <w:sectPr>
      <w:headerReference r:id="rId16"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6E">
    <w:pPr>
      <w:rPr/>
    </w:pPr>
    <w:r w:rsidDel="00000000" w:rsidR="00000000" w:rsidRPr="00000000">
      <w:rPr>
        <w:rtl w:val="0"/>
      </w:rPr>
      <w:t xml:space="preserve">2501183</w:t>
    </w:r>
  </w:p>
  <w:p w:rsidR="00000000" w:rsidDel="00000000" w:rsidP="00000000" w:rsidRDefault="00000000" w:rsidRPr="00000000" w14:paraId="0000006F">
    <w:pPr>
      <w:rPr/>
    </w:pPr>
    <w:r w:rsidDel="00000000" w:rsidR="00000000" w:rsidRPr="00000000">
      <w:rPr>
        <w:rtl w:val="0"/>
      </w:rPr>
      <w:t xml:space="preserve">BMSH4102/C                                                                                               3ydd o Ebrill 2026</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 w:type="table" w:styleId="Table1">
    <w:basedOn w:val="TableNormal"/>
    <w:tblPr>
      <w:tblStyleRowBandSize w:val="1"/>
      <w:tblStyleColBandSize w:val="1"/>
      <w:tblCellMar>
        <w:top w:w="0.0" w:type="dxa"/>
        <w:left w:w="0.0" w:type="dxa"/>
        <w:bottom w:w="0.0" w:type="dxa"/>
        <w:right w:w="0.0" w:type="dxa"/>
      </w:tblCellMar>
    </w:tblPr>
  </w:style>
</w:styles>
</file>

<file path=word/_rels/document.xml.rels><?xml version="1.0" encoding="UTF-8" standalone="yes"?><Relationships xmlns="http://schemas.openxmlformats.org/package/2006/relationships"><Relationship Id="rId11" Type="http://schemas.openxmlformats.org/officeDocument/2006/relationships/hyperlink" Target="https://ltl.org.uk/news/5-key-benefits-of-outdoor-learning/" TargetMode="External"/><Relationship Id="rId10" Type="http://schemas.openxmlformats.org/officeDocument/2006/relationships/hyperlink" Target="https://doi.org/10.11648/j.ss.20170601.11" TargetMode="External"/><Relationship Id="rId13" Type="http://schemas.openxmlformats.org/officeDocument/2006/relationships/hyperlink" Target="https://www.simplypsychology.org/bandura.html" TargetMode="External"/><Relationship Id="rId12" Type="http://schemas.openxmlformats.org/officeDocument/2006/relationships/hyperlink" Target="https://doi.org/10.1016/j.jshs.2015.02.001"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doi.org/10.16922/wje.27.1.5cym" TargetMode="External"/><Relationship Id="rId15" Type="http://schemas.openxmlformats.org/officeDocument/2006/relationships/hyperlink" Target="https://www.tandfonline.com/doi/epdf/10.1080/1740898010060205?needAccess=true" TargetMode="External"/><Relationship Id="rId14" Type="http://schemas.openxmlformats.org/officeDocument/2006/relationships/hyperlink" Target="https://doi.org/10.1371/journal.pone.0278438" TargetMode="External"/><Relationship Id="rId16" Type="http://schemas.openxmlformats.org/officeDocument/2006/relationships/header" Target="header1.xml"/><Relationship Id="rId5" Type="http://schemas.openxmlformats.org/officeDocument/2006/relationships/styles" Target="styles.xml"/><Relationship Id="rId6" Type="http://schemas.openxmlformats.org/officeDocument/2006/relationships/hyperlink" Target="https://www.cysgliad.com/cysill/arlein/" TargetMode="External"/><Relationship Id="rId7" Type="http://schemas.openxmlformats.org/officeDocument/2006/relationships/hyperlink" Target="https://doi.org/10.7176/jep/10-35-01" TargetMode="External"/><Relationship Id="rId8" Type="http://schemas.openxmlformats.org/officeDocument/2006/relationships/hyperlink" Target="https://doi.org/10.1080/02619768.2020.182738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