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85512BD" w14:textId="77777777" w:rsidR="004640F1" w:rsidRDefault="004640F1">
      <w:pPr>
        <w:pBdr>
          <w:top w:val="nil"/>
          <w:left w:val="nil"/>
          <w:bottom w:val="nil"/>
          <w:right w:val="nil"/>
          <w:between w:val="nil"/>
        </w:pBdr>
        <w:rPr>
          <w:b/>
          <w:color w:val="000000"/>
          <w:sz w:val="28"/>
          <w:szCs w:val="28"/>
        </w:rPr>
      </w:pPr>
    </w:p>
    <w:p w14:paraId="22BCDC6A" w14:textId="77777777" w:rsidR="004640F1" w:rsidRDefault="004640F1">
      <w:pPr>
        <w:pBdr>
          <w:top w:val="nil"/>
          <w:left w:val="nil"/>
          <w:bottom w:val="nil"/>
          <w:right w:val="nil"/>
          <w:between w:val="nil"/>
        </w:pBdr>
        <w:rPr>
          <w:b/>
          <w:color w:val="000000"/>
          <w:sz w:val="28"/>
          <w:szCs w:val="28"/>
        </w:rPr>
      </w:pPr>
    </w:p>
    <w:p w14:paraId="4897597A" w14:textId="77777777" w:rsidR="004640F1" w:rsidRDefault="00773669" w:rsidP="00BD04EC">
      <w:pPr>
        <w:pBdr>
          <w:top w:val="nil"/>
          <w:left w:val="nil"/>
          <w:bottom w:val="nil"/>
          <w:right w:val="nil"/>
          <w:between w:val="nil"/>
        </w:pBdr>
        <w:rPr>
          <w:b/>
          <w:color w:val="000000"/>
          <w:sz w:val="28"/>
          <w:szCs w:val="28"/>
        </w:rPr>
      </w:pPr>
      <w:r>
        <w:rPr>
          <w:b/>
          <w:color w:val="000000"/>
          <w:sz w:val="28"/>
          <w:szCs w:val="28"/>
        </w:rPr>
        <w:t>Assignment Title: Planning and Delivering an International Meeting/Event</w:t>
      </w:r>
    </w:p>
    <w:p w14:paraId="71506639" w14:textId="77777777" w:rsidR="004640F1" w:rsidRDefault="00773669">
      <w:pPr>
        <w:pBdr>
          <w:top w:val="nil"/>
          <w:left w:val="nil"/>
          <w:bottom w:val="nil"/>
          <w:right w:val="nil"/>
          <w:between w:val="nil"/>
        </w:pBdr>
        <w:jc w:val="center"/>
        <w:rPr>
          <w:b/>
          <w:color w:val="000000"/>
          <w:sz w:val="28"/>
          <w:szCs w:val="28"/>
        </w:rPr>
      </w:pPr>
      <w:r>
        <w:rPr>
          <w:b/>
          <w:color w:val="000000"/>
          <w:sz w:val="28"/>
          <w:szCs w:val="28"/>
        </w:rPr>
        <w:t>Module Title: International Meetings Management BMIH6007</w:t>
      </w:r>
    </w:p>
    <w:p w14:paraId="346E8ECC" w14:textId="46AD1A46" w:rsidR="004640F1" w:rsidRDefault="00773669">
      <w:pPr>
        <w:pBdr>
          <w:top w:val="nil"/>
          <w:left w:val="nil"/>
          <w:bottom w:val="nil"/>
          <w:right w:val="nil"/>
          <w:between w:val="nil"/>
        </w:pBdr>
        <w:jc w:val="center"/>
        <w:rPr>
          <w:b/>
          <w:color w:val="000000"/>
          <w:sz w:val="28"/>
          <w:szCs w:val="28"/>
        </w:rPr>
      </w:pPr>
      <w:r>
        <w:rPr>
          <w:b/>
          <w:color w:val="000000"/>
          <w:sz w:val="28"/>
          <w:szCs w:val="28"/>
        </w:rPr>
        <w:t>Lecturer’s Name:</w:t>
      </w:r>
      <w:r w:rsidR="00BD04EC">
        <w:rPr>
          <w:b/>
          <w:color w:val="000000"/>
          <w:sz w:val="28"/>
          <w:szCs w:val="28"/>
        </w:rPr>
        <w:t xml:space="preserve"> Kathryn Flinn</w:t>
      </w:r>
    </w:p>
    <w:p w14:paraId="19FEA916" w14:textId="77777777" w:rsidR="00BD04EC" w:rsidRDefault="00BD04EC">
      <w:pPr>
        <w:pBdr>
          <w:top w:val="nil"/>
          <w:left w:val="nil"/>
          <w:bottom w:val="nil"/>
          <w:right w:val="nil"/>
          <w:between w:val="nil"/>
        </w:pBdr>
        <w:jc w:val="center"/>
        <w:rPr>
          <w:b/>
          <w:color w:val="000000"/>
          <w:sz w:val="28"/>
          <w:szCs w:val="28"/>
        </w:rPr>
      </w:pPr>
    </w:p>
    <w:p w14:paraId="533818FD" w14:textId="537AE7A8" w:rsidR="00BD04EC" w:rsidRDefault="00BD04EC">
      <w:pPr>
        <w:pBdr>
          <w:top w:val="nil"/>
          <w:left w:val="nil"/>
          <w:bottom w:val="nil"/>
          <w:right w:val="nil"/>
          <w:between w:val="nil"/>
        </w:pBdr>
        <w:jc w:val="center"/>
        <w:rPr>
          <w:b/>
          <w:color w:val="000000"/>
          <w:sz w:val="28"/>
          <w:szCs w:val="28"/>
        </w:rPr>
      </w:pPr>
      <w:r>
        <w:rPr>
          <w:b/>
          <w:color w:val="000000"/>
          <w:sz w:val="28"/>
          <w:szCs w:val="28"/>
        </w:rPr>
        <w:t>Student name: Ana Maria Ndreka</w:t>
      </w:r>
    </w:p>
    <w:p w14:paraId="3C715AC1" w14:textId="4ACA1299" w:rsidR="00BD04EC" w:rsidRDefault="00BD04EC">
      <w:pPr>
        <w:pBdr>
          <w:top w:val="nil"/>
          <w:left w:val="nil"/>
          <w:bottom w:val="nil"/>
          <w:right w:val="nil"/>
          <w:between w:val="nil"/>
        </w:pBdr>
        <w:jc w:val="center"/>
        <w:rPr>
          <w:b/>
          <w:color w:val="000000"/>
          <w:sz w:val="28"/>
          <w:szCs w:val="28"/>
        </w:rPr>
      </w:pPr>
      <w:r>
        <w:rPr>
          <w:b/>
          <w:color w:val="000000"/>
          <w:sz w:val="28"/>
          <w:szCs w:val="28"/>
        </w:rPr>
        <w:t>Student number: 2118393</w:t>
      </w:r>
    </w:p>
    <w:p w14:paraId="1068E5C7" w14:textId="77777777" w:rsidR="004640F1" w:rsidRDefault="004640F1">
      <w:pPr>
        <w:pBdr>
          <w:top w:val="nil"/>
          <w:left w:val="nil"/>
          <w:bottom w:val="nil"/>
          <w:right w:val="nil"/>
          <w:between w:val="nil"/>
        </w:pBdr>
        <w:rPr>
          <w:b/>
          <w:color w:val="000000"/>
          <w:sz w:val="28"/>
          <w:szCs w:val="28"/>
        </w:rPr>
      </w:pPr>
    </w:p>
    <w:p w14:paraId="2343C994" w14:textId="77777777" w:rsidR="004640F1" w:rsidRDefault="00773669">
      <w:pPr>
        <w:pBdr>
          <w:top w:val="nil"/>
          <w:left w:val="nil"/>
          <w:bottom w:val="nil"/>
          <w:right w:val="nil"/>
          <w:between w:val="nil"/>
        </w:pBdr>
        <w:rPr>
          <w:b/>
          <w:color w:val="000000"/>
          <w:sz w:val="28"/>
          <w:szCs w:val="28"/>
        </w:rPr>
      </w:pPr>
      <w:r>
        <w:br w:type="page"/>
      </w:r>
    </w:p>
    <w:p w14:paraId="7A98F4C6" w14:textId="77777777" w:rsidR="004640F1" w:rsidRDefault="00773669">
      <w:pPr>
        <w:pBdr>
          <w:top w:val="nil"/>
          <w:left w:val="nil"/>
          <w:bottom w:val="nil"/>
          <w:right w:val="nil"/>
          <w:between w:val="nil"/>
        </w:pBdr>
        <w:jc w:val="center"/>
        <w:rPr>
          <w:b/>
          <w:color w:val="000000"/>
          <w:sz w:val="28"/>
          <w:szCs w:val="28"/>
        </w:rPr>
      </w:pPr>
      <w:r>
        <w:rPr>
          <w:b/>
          <w:color w:val="000000"/>
          <w:sz w:val="28"/>
          <w:szCs w:val="28"/>
        </w:rPr>
        <w:lastRenderedPageBreak/>
        <w:t>Executive Summary</w:t>
      </w:r>
    </w:p>
    <w:p w14:paraId="58F3511B" w14:textId="77777777" w:rsidR="004640F1" w:rsidRDefault="00773669">
      <w:pPr>
        <w:pBdr>
          <w:top w:val="nil"/>
          <w:left w:val="nil"/>
          <w:bottom w:val="nil"/>
          <w:right w:val="nil"/>
          <w:between w:val="nil"/>
        </w:pBdr>
        <w:rPr>
          <w:color w:val="000000"/>
        </w:rPr>
      </w:pPr>
      <w:r>
        <w:rPr>
          <w:color w:val="000000"/>
        </w:rPr>
        <w:t xml:space="preserve">The following report is based on understanding the international meeting events that have been critically measured from London's environmental dispute programs. Also, the program will be based on promoting the "Sustainable Summit 2024" which might be effective towards London's GreenVista Convention Centre. However, the industry will be based on tourism principles by accommodating certain criteria behind London's hotel and hospitality services. Therefore, the report will represent the SMART goal framework to accommodate certain sustainable practices for promoting the "Sustainable Summit 2024" program. </w:t>
      </w:r>
    </w:p>
    <w:p w14:paraId="097B5859" w14:textId="77777777" w:rsidR="004640F1" w:rsidRDefault="004640F1">
      <w:pPr>
        <w:pBdr>
          <w:top w:val="nil"/>
          <w:left w:val="nil"/>
          <w:bottom w:val="nil"/>
          <w:right w:val="nil"/>
          <w:between w:val="nil"/>
        </w:pBdr>
        <w:rPr>
          <w:b/>
          <w:color w:val="000000"/>
          <w:sz w:val="28"/>
          <w:szCs w:val="28"/>
        </w:rPr>
      </w:pPr>
    </w:p>
    <w:p w14:paraId="5BF8F225" w14:textId="77777777" w:rsidR="004640F1" w:rsidRDefault="00773669">
      <w:pPr>
        <w:pBdr>
          <w:top w:val="nil"/>
          <w:left w:val="nil"/>
          <w:bottom w:val="nil"/>
          <w:right w:val="nil"/>
          <w:between w:val="nil"/>
        </w:pBdr>
        <w:rPr>
          <w:b/>
          <w:color w:val="000000"/>
          <w:sz w:val="28"/>
          <w:szCs w:val="28"/>
        </w:rPr>
      </w:pPr>
      <w:r>
        <w:br w:type="page"/>
      </w:r>
    </w:p>
    <w:p w14:paraId="786E6EE6" w14:textId="77777777" w:rsidR="004640F1" w:rsidRDefault="00773669">
      <w:pPr>
        <w:pBdr>
          <w:top w:val="nil"/>
          <w:left w:val="nil"/>
          <w:bottom w:val="nil"/>
          <w:right w:val="nil"/>
          <w:between w:val="nil"/>
        </w:pBdr>
        <w:jc w:val="center"/>
        <w:rPr>
          <w:b/>
          <w:color w:val="000000"/>
          <w:sz w:val="28"/>
          <w:szCs w:val="28"/>
        </w:rPr>
      </w:pPr>
      <w:r>
        <w:rPr>
          <w:b/>
          <w:color w:val="000000"/>
          <w:sz w:val="28"/>
          <w:szCs w:val="28"/>
        </w:rPr>
        <w:lastRenderedPageBreak/>
        <w:t>Table of Contents</w:t>
      </w:r>
    </w:p>
    <w:p w14:paraId="3FA15841" w14:textId="77777777" w:rsidR="004640F1" w:rsidRDefault="004640F1">
      <w:pPr>
        <w:keepNext/>
        <w:keepLines/>
        <w:pBdr>
          <w:top w:val="nil"/>
          <w:left w:val="nil"/>
          <w:bottom w:val="nil"/>
          <w:right w:val="nil"/>
          <w:between w:val="nil"/>
        </w:pBdr>
        <w:spacing w:before="240"/>
        <w:jc w:val="left"/>
        <w:rPr>
          <w:color w:val="366091"/>
        </w:rPr>
      </w:pPr>
    </w:p>
    <w:sdt>
      <w:sdtPr>
        <w:id w:val="-98258645"/>
        <w:docPartObj>
          <w:docPartGallery w:val="Table of Contents"/>
          <w:docPartUnique/>
        </w:docPartObj>
      </w:sdtPr>
      <w:sdtContent>
        <w:p w14:paraId="2BC38244" w14:textId="77777777" w:rsidR="0037320D" w:rsidRDefault="00773669">
          <w:pPr>
            <w:pStyle w:val="TOC1"/>
            <w:tabs>
              <w:tab w:val="right" w:leader="dot" w:pos="9350"/>
            </w:tabs>
            <w:rPr>
              <w:rFonts w:asciiTheme="minorHAnsi" w:eastAsiaTheme="minorEastAsia" w:hAnsiTheme="minorHAnsi" w:cstheme="minorBidi"/>
              <w:noProof/>
              <w:color w:val="auto"/>
              <w:sz w:val="22"/>
              <w:szCs w:val="22"/>
              <w:highlight w:val="none"/>
              <w:lang w:val="en-IN"/>
            </w:rPr>
          </w:pPr>
          <w:r>
            <w:fldChar w:fldCharType="begin"/>
          </w:r>
          <w:r>
            <w:instrText xml:space="preserve"> TOC \h \u \z \t "Heading 1,1,Heading 2,2,Heading 3,3,"</w:instrText>
          </w:r>
          <w:r>
            <w:fldChar w:fldCharType="separate"/>
          </w:r>
          <w:hyperlink w:anchor="_Toc160221222" w:history="1">
            <w:r w:rsidR="0037320D" w:rsidRPr="006F6F88">
              <w:rPr>
                <w:rStyle w:val="Hyperlink"/>
                <w:noProof/>
              </w:rPr>
              <w:t>Introduction</w:t>
            </w:r>
            <w:r w:rsidR="0037320D">
              <w:rPr>
                <w:noProof/>
                <w:webHidden/>
              </w:rPr>
              <w:tab/>
            </w:r>
            <w:r w:rsidR="0037320D">
              <w:rPr>
                <w:noProof/>
                <w:webHidden/>
              </w:rPr>
              <w:fldChar w:fldCharType="begin"/>
            </w:r>
            <w:r w:rsidR="0037320D">
              <w:rPr>
                <w:noProof/>
                <w:webHidden/>
              </w:rPr>
              <w:instrText xml:space="preserve"> PAGEREF _Toc160221222 \h </w:instrText>
            </w:r>
            <w:r w:rsidR="0037320D">
              <w:rPr>
                <w:noProof/>
                <w:webHidden/>
              </w:rPr>
            </w:r>
            <w:r w:rsidR="0037320D">
              <w:rPr>
                <w:noProof/>
                <w:webHidden/>
              </w:rPr>
              <w:fldChar w:fldCharType="separate"/>
            </w:r>
            <w:r w:rsidR="0037320D">
              <w:rPr>
                <w:noProof/>
                <w:webHidden/>
              </w:rPr>
              <w:t>4</w:t>
            </w:r>
            <w:r w:rsidR="0037320D">
              <w:rPr>
                <w:noProof/>
                <w:webHidden/>
              </w:rPr>
              <w:fldChar w:fldCharType="end"/>
            </w:r>
          </w:hyperlink>
        </w:p>
        <w:p w14:paraId="06693D94" w14:textId="77777777" w:rsidR="0037320D" w:rsidRDefault="00000000">
          <w:pPr>
            <w:pStyle w:val="TOC1"/>
            <w:tabs>
              <w:tab w:val="right" w:leader="dot" w:pos="9350"/>
            </w:tabs>
            <w:rPr>
              <w:rFonts w:asciiTheme="minorHAnsi" w:eastAsiaTheme="minorEastAsia" w:hAnsiTheme="minorHAnsi" w:cstheme="minorBidi"/>
              <w:noProof/>
              <w:color w:val="auto"/>
              <w:sz w:val="22"/>
              <w:szCs w:val="22"/>
              <w:highlight w:val="none"/>
              <w:lang w:val="en-IN"/>
            </w:rPr>
          </w:pPr>
          <w:hyperlink w:anchor="_Toc160221223" w:history="1">
            <w:r w:rsidR="0037320D" w:rsidRPr="006F6F88">
              <w:rPr>
                <w:rStyle w:val="Hyperlink"/>
                <w:noProof/>
              </w:rPr>
              <w:t>Event Cycle</w:t>
            </w:r>
            <w:r w:rsidR="0037320D">
              <w:rPr>
                <w:noProof/>
                <w:webHidden/>
              </w:rPr>
              <w:tab/>
            </w:r>
            <w:r w:rsidR="0037320D">
              <w:rPr>
                <w:noProof/>
                <w:webHidden/>
              </w:rPr>
              <w:fldChar w:fldCharType="begin"/>
            </w:r>
            <w:r w:rsidR="0037320D">
              <w:rPr>
                <w:noProof/>
                <w:webHidden/>
              </w:rPr>
              <w:instrText xml:space="preserve"> PAGEREF _Toc160221223 \h </w:instrText>
            </w:r>
            <w:r w:rsidR="0037320D">
              <w:rPr>
                <w:noProof/>
                <w:webHidden/>
              </w:rPr>
            </w:r>
            <w:r w:rsidR="0037320D">
              <w:rPr>
                <w:noProof/>
                <w:webHidden/>
              </w:rPr>
              <w:fldChar w:fldCharType="separate"/>
            </w:r>
            <w:r w:rsidR="0037320D">
              <w:rPr>
                <w:noProof/>
                <w:webHidden/>
              </w:rPr>
              <w:t>4</w:t>
            </w:r>
            <w:r w:rsidR="0037320D">
              <w:rPr>
                <w:noProof/>
                <w:webHidden/>
              </w:rPr>
              <w:fldChar w:fldCharType="end"/>
            </w:r>
          </w:hyperlink>
        </w:p>
        <w:p w14:paraId="0E6C0633" w14:textId="77777777" w:rsidR="0037320D" w:rsidRDefault="00000000">
          <w:pPr>
            <w:pStyle w:val="TOC1"/>
            <w:tabs>
              <w:tab w:val="right" w:leader="dot" w:pos="9350"/>
            </w:tabs>
            <w:rPr>
              <w:rFonts w:asciiTheme="minorHAnsi" w:eastAsiaTheme="minorEastAsia" w:hAnsiTheme="minorHAnsi" w:cstheme="minorBidi"/>
              <w:noProof/>
              <w:color w:val="auto"/>
              <w:sz w:val="22"/>
              <w:szCs w:val="22"/>
              <w:highlight w:val="none"/>
              <w:lang w:val="en-IN"/>
            </w:rPr>
          </w:pPr>
          <w:hyperlink w:anchor="_Toc160221224" w:history="1">
            <w:r w:rsidR="0037320D" w:rsidRPr="006F6F88">
              <w:rPr>
                <w:rStyle w:val="Hyperlink"/>
                <w:noProof/>
              </w:rPr>
              <w:t>Event Concept</w:t>
            </w:r>
            <w:r w:rsidR="0037320D">
              <w:rPr>
                <w:noProof/>
                <w:webHidden/>
              </w:rPr>
              <w:tab/>
            </w:r>
            <w:r w:rsidR="0037320D">
              <w:rPr>
                <w:noProof/>
                <w:webHidden/>
              </w:rPr>
              <w:fldChar w:fldCharType="begin"/>
            </w:r>
            <w:r w:rsidR="0037320D">
              <w:rPr>
                <w:noProof/>
                <w:webHidden/>
              </w:rPr>
              <w:instrText xml:space="preserve"> PAGEREF _Toc160221224 \h </w:instrText>
            </w:r>
            <w:r w:rsidR="0037320D">
              <w:rPr>
                <w:noProof/>
                <w:webHidden/>
              </w:rPr>
            </w:r>
            <w:r w:rsidR="0037320D">
              <w:rPr>
                <w:noProof/>
                <w:webHidden/>
              </w:rPr>
              <w:fldChar w:fldCharType="separate"/>
            </w:r>
            <w:r w:rsidR="0037320D">
              <w:rPr>
                <w:noProof/>
                <w:webHidden/>
              </w:rPr>
              <w:t>6</w:t>
            </w:r>
            <w:r w:rsidR="0037320D">
              <w:rPr>
                <w:noProof/>
                <w:webHidden/>
              </w:rPr>
              <w:fldChar w:fldCharType="end"/>
            </w:r>
          </w:hyperlink>
        </w:p>
        <w:p w14:paraId="6136852D" w14:textId="77777777" w:rsidR="0037320D" w:rsidRDefault="00000000">
          <w:pPr>
            <w:pStyle w:val="TOC1"/>
            <w:tabs>
              <w:tab w:val="right" w:leader="dot" w:pos="9350"/>
            </w:tabs>
            <w:rPr>
              <w:rFonts w:asciiTheme="minorHAnsi" w:eastAsiaTheme="minorEastAsia" w:hAnsiTheme="minorHAnsi" w:cstheme="minorBidi"/>
              <w:noProof/>
              <w:color w:val="auto"/>
              <w:sz w:val="22"/>
              <w:szCs w:val="22"/>
              <w:highlight w:val="none"/>
              <w:lang w:val="en-IN"/>
            </w:rPr>
          </w:pPr>
          <w:hyperlink w:anchor="_Toc160221225" w:history="1">
            <w:r w:rsidR="0037320D" w:rsidRPr="006F6F88">
              <w:rPr>
                <w:rStyle w:val="Hyperlink"/>
                <w:noProof/>
              </w:rPr>
              <w:t>Aim and Objectives of the Event</w:t>
            </w:r>
            <w:r w:rsidR="0037320D">
              <w:rPr>
                <w:noProof/>
                <w:webHidden/>
              </w:rPr>
              <w:tab/>
            </w:r>
            <w:r w:rsidR="0037320D">
              <w:rPr>
                <w:noProof/>
                <w:webHidden/>
              </w:rPr>
              <w:fldChar w:fldCharType="begin"/>
            </w:r>
            <w:r w:rsidR="0037320D">
              <w:rPr>
                <w:noProof/>
                <w:webHidden/>
              </w:rPr>
              <w:instrText xml:space="preserve"> PAGEREF _Toc160221225 \h </w:instrText>
            </w:r>
            <w:r w:rsidR="0037320D">
              <w:rPr>
                <w:noProof/>
                <w:webHidden/>
              </w:rPr>
            </w:r>
            <w:r w:rsidR="0037320D">
              <w:rPr>
                <w:noProof/>
                <w:webHidden/>
              </w:rPr>
              <w:fldChar w:fldCharType="separate"/>
            </w:r>
            <w:r w:rsidR="0037320D">
              <w:rPr>
                <w:noProof/>
                <w:webHidden/>
              </w:rPr>
              <w:t>8</w:t>
            </w:r>
            <w:r w:rsidR="0037320D">
              <w:rPr>
                <w:noProof/>
                <w:webHidden/>
              </w:rPr>
              <w:fldChar w:fldCharType="end"/>
            </w:r>
          </w:hyperlink>
        </w:p>
        <w:p w14:paraId="03A00776" w14:textId="77777777" w:rsidR="0037320D" w:rsidRDefault="00000000">
          <w:pPr>
            <w:pStyle w:val="TOC1"/>
            <w:tabs>
              <w:tab w:val="right" w:leader="dot" w:pos="9350"/>
            </w:tabs>
            <w:rPr>
              <w:rFonts w:asciiTheme="minorHAnsi" w:eastAsiaTheme="minorEastAsia" w:hAnsiTheme="minorHAnsi" w:cstheme="minorBidi"/>
              <w:noProof/>
              <w:color w:val="auto"/>
              <w:sz w:val="22"/>
              <w:szCs w:val="22"/>
              <w:highlight w:val="none"/>
              <w:lang w:val="en-IN"/>
            </w:rPr>
          </w:pPr>
          <w:hyperlink w:anchor="_Toc160221226" w:history="1">
            <w:r w:rsidR="0037320D" w:rsidRPr="006F6F88">
              <w:rPr>
                <w:rStyle w:val="Hyperlink"/>
                <w:noProof/>
              </w:rPr>
              <w:t>Event Operations</w:t>
            </w:r>
            <w:r w:rsidR="0037320D">
              <w:rPr>
                <w:noProof/>
                <w:webHidden/>
              </w:rPr>
              <w:tab/>
            </w:r>
            <w:r w:rsidR="0037320D">
              <w:rPr>
                <w:noProof/>
                <w:webHidden/>
              </w:rPr>
              <w:fldChar w:fldCharType="begin"/>
            </w:r>
            <w:r w:rsidR="0037320D">
              <w:rPr>
                <w:noProof/>
                <w:webHidden/>
              </w:rPr>
              <w:instrText xml:space="preserve"> PAGEREF _Toc160221226 \h </w:instrText>
            </w:r>
            <w:r w:rsidR="0037320D">
              <w:rPr>
                <w:noProof/>
                <w:webHidden/>
              </w:rPr>
            </w:r>
            <w:r w:rsidR="0037320D">
              <w:rPr>
                <w:noProof/>
                <w:webHidden/>
              </w:rPr>
              <w:fldChar w:fldCharType="separate"/>
            </w:r>
            <w:r w:rsidR="0037320D">
              <w:rPr>
                <w:noProof/>
                <w:webHidden/>
              </w:rPr>
              <w:t>10</w:t>
            </w:r>
            <w:r w:rsidR="0037320D">
              <w:rPr>
                <w:noProof/>
                <w:webHidden/>
              </w:rPr>
              <w:fldChar w:fldCharType="end"/>
            </w:r>
          </w:hyperlink>
        </w:p>
        <w:p w14:paraId="2D4AF3DD" w14:textId="77777777" w:rsidR="0037320D" w:rsidRDefault="00000000">
          <w:pPr>
            <w:pStyle w:val="TOC1"/>
            <w:tabs>
              <w:tab w:val="right" w:leader="dot" w:pos="9350"/>
            </w:tabs>
            <w:rPr>
              <w:rFonts w:asciiTheme="minorHAnsi" w:eastAsiaTheme="minorEastAsia" w:hAnsiTheme="minorHAnsi" w:cstheme="minorBidi"/>
              <w:noProof/>
              <w:color w:val="auto"/>
              <w:sz w:val="22"/>
              <w:szCs w:val="22"/>
              <w:highlight w:val="none"/>
              <w:lang w:val="en-IN"/>
            </w:rPr>
          </w:pPr>
          <w:hyperlink w:anchor="_Toc160221227" w:history="1">
            <w:r w:rsidR="0037320D" w:rsidRPr="006F6F88">
              <w:rPr>
                <w:rStyle w:val="Hyperlink"/>
                <w:noProof/>
              </w:rPr>
              <w:t>Event Budget</w:t>
            </w:r>
            <w:r w:rsidR="0037320D">
              <w:rPr>
                <w:noProof/>
                <w:webHidden/>
              </w:rPr>
              <w:tab/>
            </w:r>
            <w:r w:rsidR="0037320D">
              <w:rPr>
                <w:noProof/>
                <w:webHidden/>
              </w:rPr>
              <w:fldChar w:fldCharType="begin"/>
            </w:r>
            <w:r w:rsidR="0037320D">
              <w:rPr>
                <w:noProof/>
                <w:webHidden/>
              </w:rPr>
              <w:instrText xml:space="preserve"> PAGEREF _Toc160221227 \h </w:instrText>
            </w:r>
            <w:r w:rsidR="0037320D">
              <w:rPr>
                <w:noProof/>
                <w:webHidden/>
              </w:rPr>
            </w:r>
            <w:r w:rsidR="0037320D">
              <w:rPr>
                <w:noProof/>
                <w:webHidden/>
              </w:rPr>
              <w:fldChar w:fldCharType="separate"/>
            </w:r>
            <w:r w:rsidR="0037320D">
              <w:rPr>
                <w:noProof/>
                <w:webHidden/>
              </w:rPr>
              <w:t>10</w:t>
            </w:r>
            <w:r w:rsidR="0037320D">
              <w:rPr>
                <w:noProof/>
                <w:webHidden/>
              </w:rPr>
              <w:fldChar w:fldCharType="end"/>
            </w:r>
          </w:hyperlink>
        </w:p>
        <w:p w14:paraId="2F7A2F64" w14:textId="77777777" w:rsidR="0037320D" w:rsidRDefault="00000000">
          <w:pPr>
            <w:pStyle w:val="TOC1"/>
            <w:tabs>
              <w:tab w:val="right" w:leader="dot" w:pos="9350"/>
            </w:tabs>
            <w:rPr>
              <w:rFonts w:asciiTheme="minorHAnsi" w:eastAsiaTheme="minorEastAsia" w:hAnsiTheme="minorHAnsi" w:cstheme="minorBidi"/>
              <w:noProof/>
              <w:color w:val="auto"/>
              <w:sz w:val="22"/>
              <w:szCs w:val="22"/>
              <w:highlight w:val="none"/>
              <w:lang w:val="en-IN"/>
            </w:rPr>
          </w:pPr>
          <w:hyperlink w:anchor="_Toc160221228" w:history="1">
            <w:r w:rsidR="0037320D" w:rsidRPr="006F6F88">
              <w:rPr>
                <w:rStyle w:val="Hyperlink"/>
                <w:noProof/>
              </w:rPr>
              <w:t>Industry Trends</w:t>
            </w:r>
            <w:r w:rsidR="0037320D">
              <w:rPr>
                <w:noProof/>
                <w:webHidden/>
              </w:rPr>
              <w:tab/>
            </w:r>
            <w:r w:rsidR="0037320D">
              <w:rPr>
                <w:noProof/>
                <w:webHidden/>
              </w:rPr>
              <w:fldChar w:fldCharType="begin"/>
            </w:r>
            <w:r w:rsidR="0037320D">
              <w:rPr>
                <w:noProof/>
                <w:webHidden/>
              </w:rPr>
              <w:instrText xml:space="preserve"> PAGEREF _Toc160221228 \h </w:instrText>
            </w:r>
            <w:r w:rsidR="0037320D">
              <w:rPr>
                <w:noProof/>
                <w:webHidden/>
              </w:rPr>
            </w:r>
            <w:r w:rsidR="0037320D">
              <w:rPr>
                <w:noProof/>
                <w:webHidden/>
              </w:rPr>
              <w:fldChar w:fldCharType="separate"/>
            </w:r>
            <w:r w:rsidR="0037320D">
              <w:rPr>
                <w:noProof/>
                <w:webHidden/>
              </w:rPr>
              <w:t>12</w:t>
            </w:r>
            <w:r w:rsidR="0037320D">
              <w:rPr>
                <w:noProof/>
                <w:webHidden/>
              </w:rPr>
              <w:fldChar w:fldCharType="end"/>
            </w:r>
          </w:hyperlink>
        </w:p>
        <w:p w14:paraId="7D78DB74" w14:textId="77777777" w:rsidR="0037320D" w:rsidRDefault="00000000">
          <w:pPr>
            <w:pStyle w:val="TOC1"/>
            <w:tabs>
              <w:tab w:val="right" w:leader="dot" w:pos="9350"/>
            </w:tabs>
            <w:rPr>
              <w:rFonts w:asciiTheme="minorHAnsi" w:eastAsiaTheme="minorEastAsia" w:hAnsiTheme="minorHAnsi" w:cstheme="minorBidi"/>
              <w:noProof/>
              <w:color w:val="auto"/>
              <w:sz w:val="22"/>
              <w:szCs w:val="22"/>
              <w:highlight w:val="none"/>
              <w:lang w:val="en-IN"/>
            </w:rPr>
          </w:pPr>
          <w:hyperlink w:anchor="_Toc160221229" w:history="1">
            <w:r w:rsidR="0037320D" w:rsidRPr="006F6F88">
              <w:rPr>
                <w:rStyle w:val="Hyperlink"/>
                <w:noProof/>
              </w:rPr>
              <w:t>Cultural and Situational Considerations</w:t>
            </w:r>
            <w:r w:rsidR="0037320D">
              <w:rPr>
                <w:noProof/>
                <w:webHidden/>
              </w:rPr>
              <w:tab/>
            </w:r>
            <w:r w:rsidR="0037320D">
              <w:rPr>
                <w:noProof/>
                <w:webHidden/>
              </w:rPr>
              <w:fldChar w:fldCharType="begin"/>
            </w:r>
            <w:r w:rsidR="0037320D">
              <w:rPr>
                <w:noProof/>
                <w:webHidden/>
              </w:rPr>
              <w:instrText xml:space="preserve"> PAGEREF _Toc160221229 \h </w:instrText>
            </w:r>
            <w:r w:rsidR="0037320D">
              <w:rPr>
                <w:noProof/>
                <w:webHidden/>
              </w:rPr>
            </w:r>
            <w:r w:rsidR="0037320D">
              <w:rPr>
                <w:noProof/>
                <w:webHidden/>
              </w:rPr>
              <w:fldChar w:fldCharType="separate"/>
            </w:r>
            <w:r w:rsidR="0037320D">
              <w:rPr>
                <w:noProof/>
                <w:webHidden/>
              </w:rPr>
              <w:t>13</w:t>
            </w:r>
            <w:r w:rsidR="0037320D">
              <w:rPr>
                <w:noProof/>
                <w:webHidden/>
              </w:rPr>
              <w:fldChar w:fldCharType="end"/>
            </w:r>
          </w:hyperlink>
        </w:p>
        <w:p w14:paraId="2087DFF6" w14:textId="77777777" w:rsidR="0037320D" w:rsidRDefault="00000000">
          <w:pPr>
            <w:pStyle w:val="TOC1"/>
            <w:tabs>
              <w:tab w:val="right" w:leader="dot" w:pos="9350"/>
            </w:tabs>
            <w:rPr>
              <w:rFonts w:asciiTheme="minorHAnsi" w:eastAsiaTheme="minorEastAsia" w:hAnsiTheme="minorHAnsi" w:cstheme="minorBidi"/>
              <w:noProof/>
              <w:color w:val="auto"/>
              <w:sz w:val="22"/>
              <w:szCs w:val="22"/>
              <w:highlight w:val="none"/>
              <w:lang w:val="en-IN"/>
            </w:rPr>
          </w:pPr>
          <w:hyperlink w:anchor="_Toc160221230" w:history="1">
            <w:r w:rsidR="0037320D" w:rsidRPr="006F6F88">
              <w:rPr>
                <w:rStyle w:val="Hyperlink"/>
                <w:noProof/>
              </w:rPr>
              <w:t>Conclusion</w:t>
            </w:r>
            <w:r w:rsidR="0037320D">
              <w:rPr>
                <w:noProof/>
                <w:webHidden/>
              </w:rPr>
              <w:tab/>
            </w:r>
            <w:r w:rsidR="0037320D">
              <w:rPr>
                <w:noProof/>
                <w:webHidden/>
              </w:rPr>
              <w:fldChar w:fldCharType="begin"/>
            </w:r>
            <w:r w:rsidR="0037320D">
              <w:rPr>
                <w:noProof/>
                <w:webHidden/>
              </w:rPr>
              <w:instrText xml:space="preserve"> PAGEREF _Toc160221230 \h </w:instrText>
            </w:r>
            <w:r w:rsidR="0037320D">
              <w:rPr>
                <w:noProof/>
                <w:webHidden/>
              </w:rPr>
            </w:r>
            <w:r w:rsidR="0037320D">
              <w:rPr>
                <w:noProof/>
                <w:webHidden/>
              </w:rPr>
              <w:fldChar w:fldCharType="separate"/>
            </w:r>
            <w:r w:rsidR="0037320D">
              <w:rPr>
                <w:noProof/>
                <w:webHidden/>
              </w:rPr>
              <w:t>14</w:t>
            </w:r>
            <w:r w:rsidR="0037320D">
              <w:rPr>
                <w:noProof/>
                <w:webHidden/>
              </w:rPr>
              <w:fldChar w:fldCharType="end"/>
            </w:r>
          </w:hyperlink>
        </w:p>
        <w:p w14:paraId="17A7ACB9" w14:textId="77777777" w:rsidR="0037320D" w:rsidRDefault="00000000">
          <w:pPr>
            <w:pStyle w:val="TOC1"/>
            <w:tabs>
              <w:tab w:val="right" w:leader="dot" w:pos="9350"/>
            </w:tabs>
            <w:rPr>
              <w:rFonts w:asciiTheme="minorHAnsi" w:eastAsiaTheme="minorEastAsia" w:hAnsiTheme="minorHAnsi" w:cstheme="minorBidi"/>
              <w:noProof/>
              <w:color w:val="auto"/>
              <w:sz w:val="22"/>
              <w:szCs w:val="22"/>
              <w:highlight w:val="none"/>
              <w:lang w:val="en-IN"/>
            </w:rPr>
          </w:pPr>
          <w:hyperlink w:anchor="_Toc160221231" w:history="1">
            <w:r w:rsidR="0037320D" w:rsidRPr="006F6F88">
              <w:rPr>
                <w:rStyle w:val="Hyperlink"/>
                <w:noProof/>
              </w:rPr>
              <w:t>References</w:t>
            </w:r>
            <w:r w:rsidR="0037320D">
              <w:rPr>
                <w:noProof/>
                <w:webHidden/>
              </w:rPr>
              <w:tab/>
            </w:r>
            <w:r w:rsidR="0037320D">
              <w:rPr>
                <w:noProof/>
                <w:webHidden/>
              </w:rPr>
              <w:fldChar w:fldCharType="begin"/>
            </w:r>
            <w:r w:rsidR="0037320D">
              <w:rPr>
                <w:noProof/>
                <w:webHidden/>
              </w:rPr>
              <w:instrText xml:space="preserve"> PAGEREF _Toc160221231 \h </w:instrText>
            </w:r>
            <w:r w:rsidR="0037320D">
              <w:rPr>
                <w:noProof/>
                <w:webHidden/>
              </w:rPr>
            </w:r>
            <w:r w:rsidR="0037320D">
              <w:rPr>
                <w:noProof/>
                <w:webHidden/>
              </w:rPr>
              <w:fldChar w:fldCharType="separate"/>
            </w:r>
            <w:r w:rsidR="0037320D">
              <w:rPr>
                <w:noProof/>
                <w:webHidden/>
              </w:rPr>
              <w:t>16</w:t>
            </w:r>
            <w:r w:rsidR="0037320D">
              <w:rPr>
                <w:noProof/>
                <w:webHidden/>
              </w:rPr>
              <w:fldChar w:fldCharType="end"/>
            </w:r>
          </w:hyperlink>
        </w:p>
        <w:p w14:paraId="1699EC35" w14:textId="77777777" w:rsidR="004640F1" w:rsidRDefault="00773669">
          <w:r>
            <w:fldChar w:fldCharType="end"/>
          </w:r>
        </w:p>
      </w:sdtContent>
    </w:sdt>
    <w:p w14:paraId="2A076D2B" w14:textId="77777777" w:rsidR="004640F1" w:rsidRDefault="004640F1">
      <w:pPr>
        <w:pBdr>
          <w:top w:val="nil"/>
          <w:left w:val="nil"/>
          <w:bottom w:val="nil"/>
          <w:right w:val="nil"/>
          <w:between w:val="nil"/>
        </w:pBdr>
        <w:jc w:val="center"/>
        <w:rPr>
          <w:b/>
          <w:color w:val="000000"/>
          <w:sz w:val="28"/>
          <w:szCs w:val="28"/>
        </w:rPr>
      </w:pPr>
    </w:p>
    <w:p w14:paraId="79F3E222" w14:textId="77777777" w:rsidR="004640F1" w:rsidRDefault="004640F1">
      <w:pPr>
        <w:pBdr>
          <w:top w:val="nil"/>
          <w:left w:val="nil"/>
          <w:bottom w:val="nil"/>
          <w:right w:val="nil"/>
          <w:between w:val="nil"/>
        </w:pBdr>
        <w:rPr>
          <w:b/>
          <w:color w:val="000000"/>
          <w:sz w:val="28"/>
          <w:szCs w:val="28"/>
        </w:rPr>
      </w:pPr>
    </w:p>
    <w:p w14:paraId="1C37388D" w14:textId="77777777" w:rsidR="004640F1" w:rsidRDefault="00773669">
      <w:pPr>
        <w:pBdr>
          <w:top w:val="nil"/>
          <w:left w:val="nil"/>
          <w:bottom w:val="nil"/>
          <w:right w:val="nil"/>
          <w:between w:val="nil"/>
        </w:pBdr>
        <w:rPr>
          <w:b/>
          <w:color w:val="000000"/>
          <w:sz w:val="28"/>
          <w:szCs w:val="28"/>
        </w:rPr>
      </w:pPr>
      <w:r>
        <w:br w:type="page"/>
      </w:r>
    </w:p>
    <w:p w14:paraId="0D8138FD" w14:textId="77777777" w:rsidR="004640F1" w:rsidRDefault="00773669">
      <w:pPr>
        <w:pStyle w:val="Heading1"/>
      </w:pPr>
      <w:bookmarkStart w:id="0" w:name="_Toc160221222"/>
      <w:r>
        <w:lastRenderedPageBreak/>
        <w:t>Introduction</w:t>
      </w:r>
      <w:bookmarkEnd w:id="0"/>
    </w:p>
    <w:p w14:paraId="31740B7E" w14:textId="77777777" w:rsidR="004640F1" w:rsidRDefault="00773669">
      <w:pPr>
        <w:pBdr>
          <w:top w:val="nil"/>
          <w:left w:val="nil"/>
          <w:bottom w:val="nil"/>
          <w:right w:val="nil"/>
          <w:between w:val="nil"/>
        </w:pBdr>
        <w:rPr>
          <w:color w:val="000000"/>
        </w:rPr>
      </w:pPr>
      <w:r>
        <w:rPr>
          <w:color w:val="000000"/>
        </w:rPr>
        <w:t xml:space="preserve">According to </w:t>
      </w:r>
      <w:r>
        <w:t xml:space="preserve">Streimikiene </w:t>
      </w:r>
      <w:r>
        <w:rPr>
          <w:i/>
        </w:rPr>
        <w:t>et al.</w:t>
      </w:r>
      <w:r>
        <w:t xml:space="preserve"> (2021)</w:t>
      </w:r>
      <w:r>
        <w:rPr>
          <w:color w:val="000000"/>
        </w:rPr>
        <w:t xml:space="preserve">, tourism is one of the important perspectives towards the global industrial sector that provides dynamic business or services to a particular organisational event. However, hotel industries are of great leadership significance that intermediates every organisation to plan and develop the environmental and societal factors over their remaining industrial operations. Moreover, the event "Sustainable Summit 2024" is basically maintained through the leadership scheme that conveys to show correctness by stopping environmental disputes within the industrial organisational services </w:t>
      </w:r>
      <w:r>
        <w:t>(International Institute of Sustainable Development, 2021)</w:t>
      </w:r>
      <w:r>
        <w:rPr>
          <w:color w:val="000000"/>
        </w:rPr>
        <w:t xml:space="preserve">. Similarly, the event would be beneficial towards the UK tourism sector by which every tourist or stakeholder might be able to get known in stopping the environmental degradation laid behind the greenhouse gas and carbon-fuel emission process.  In contrast, the event or program "Sustainable Summit 2024" is of great importance to the UK region for which every industrial organisation is trying to maintain safety and peace against environmental disputes. Thus, the following event will be socially taken under the tourism places of the UK region by getting associated with the program of London's GreenVista Convention Centre. </w:t>
      </w:r>
    </w:p>
    <w:p w14:paraId="4BE9A27C" w14:textId="77777777" w:rsidR="004640F1" w:rsidRDefault="00773669">
      <w:pPr>
        <w:pStyle w:val="Heading1"/>
      </w:pPr>
      <w:bookmarkStart w:id="1" w:name="_Toc160221223"/>
      <w:r>
        <w:t>Event Cycle</w:t>
      </w:r>
      <w:bookmarkEnd w:id="1"/>
    </w:p>
    <w:p w14:paraId="5D0B5459" w14:textId="77777777" w:rsidR="004640F1" w:rsidRDefault="00773669">
      <w:pPr>
        <w:pBdr>
          <w:top w:val="nil"/>
          <w:left w:val="nil"/>
          <w:bottom w:val="nil"/>
          <w:right w:val="nil"/>
          <w:between w:val="nil"/>
        </w:pBdr>
        <w:rPr>
          <w:color w:val="000000"/>
        </w:rPr>
      </w:pPr>
      <w:r>
        <w:rPr>
          <w:color w:val="000000"/>
        </w:rPr>
        <w:t xml:space="preserve">In today's highly competitive and advanced market, there are significant management implications for an organisation that orders itself to plan and develop an alternative route for cultural events establishments </w:t>
      </w:r>
      <w:r>
        <w:t>(Holmes and Ali-Knight, 2017)</w:t>
      </w:r>
      <w:r>
        <w:rPr>
          <w:color w:val="000000"/>
        </w:rPr>
        <w:t xml:space="preserve">. Out of the bound, the event management cycle is one of the sources of the organisational implications that empower their own services to present sustainable environmental progress amongst the respective cultural event programs. Thus, the event cycle does eventually help the organisational project planners to draw sustainable factors amongst the creation of a lasting social legacy. However, the event is done through the practical solution strategy that might result in integrating social impact features and determining redistribution routes for charitable purposes </w:t>
      </w:r>
      <w:r>
        <w:t>(EventCycle.Org, 2024)</w:t>
      </w:r>
      <w:r>
        <w:rPr>
          <w:color w:val="000000"/>
        </w:rPr>
        <w:t>. Such five stages, considering plan, organise, measure, analyse and share, are the most effective principles to conclude under the principles of an organisation's event management cycle.  Alternatively, these five stages from the event management cycle can preferably create an order to maintain sustainable environment practices around London's tourism services.</w:t>
      </w:r>
    </w:p>
    <w:p w14:paraId="16AFCA5A" w14:textId="77777777" w:rsidR="004640F1" w:rsidRDefault="004640F1">
      <w:pPr>
        <w:pBdr>
          <w:top w:val="nil"/>
          <w:left w:val="nil"/>
          <w:bottom w:val="nil"/>
          <w:right w:val="nil"/>
          <w:between w:val="nil"/>
        </w:pBdr>
        <w:rPr>
          <w:color w:val="000000"/>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7200"/>
      </w:tblGrid>
      <w:tr w:rsidR="004640F1" w14:paraId="6CDEDC8D" w14:textId="77777777">
        <w:tc>
          <w:tcPr>
            <w:tcW w:w="2160" w:type="dxa"/>
            <w:shd w:val="clear" w:color="auto" w:fill="auto"/>
            <w:tcMar>
              <w:top w:w="100" w:type="dxa"/>
              <w:left w:w="100" w:type="dxa"/>
              <w:bottom w:w="100" w:type="dxa"/>
              <w:right w:w="100" w:type="dxa"/>
            </w:tcMar>
          </w:tcPr>
          <w:p w14:paraId="70F2A760" w14:textId="77777777" w:rsidR="004640F1" w:rsidRDefault="00773669">
            <w:pPr>
              <w:widowControl w:val="0"/>
              <w:pBdr>
                <w:top w:val="nil"/>
                <w:left w:val="nil"/>
                <w:bottom w:val="nil"/>
                <w:right w:val="nil"/>
                <w:between w:val="nil"/>
              </w:pBdr>
              <w:rPr>
                <w:b/>
                <w:color w:val="000000"/>
              </w:rPr>
            </w:pPr>
            <w:r>
              <w:rPr>
                <w:b/>
                <w:color w:val="000000"/>
              </w:rPr>
              <w:t>Factors</w:t>
            </w:r>
          </w:p>
        </w:tc>
        <w:tc>
          <w:tcPr>
            <w:tcW w:w="7200" w:type="dxa"/>
            <w:shd w:val="clear" w:color="auto" w:fill="auto"/>
            <w:tcMar>
              <w:top w:w="100" w:type="dxa"/>
              <w:left w:w="100" w:type="dxa"/>
              <w:bottom w:w="100" w:type="dxa"/>
              <w:right w:w="100" w:type="dxa"/>
            </w:tcMar>
          </w:tcPr>
          <w:p w14:paraId="280BEF0F" w14:textId="77777777" w:rsidR="004640F1" w:rsidRDefault="00773669">
            <w:pPr>
              <w:widowControl w:val="0"/>
              <w:pBdr>
                <w:top w:val="nil"/>
                <w:left w:val="nil"/>
                <w:bottom w:val="nil"/>
                <w:right w:val="nil"/>
                <w:between w:val="nil"/>
              </w:pBdr>
              <w:rPr>
                <w:b/>
                <w:color w:val="000000"/>
              </w:rPr>
            </w:pPr>
            <w:r>
              <w:rPr>
                <w:b/>
                <w:color w:val="000000"/>
              </w:rPr>
              <w:t>Description</w:t>
            </w:r>
          </w:p>
        </w:tc>
      </w:tr>
      <w:tr w:rsidR="004640F1" w14:paraId="2385DE77" w14:textId="77777777">
        <w:tc>
          <w:tcPr>
            <w:tcW w:w="2160" w:type="dxa"/>
            <w:shd w:val="clear" w:color="auto" w:fill="auto"/>
            <w:tcMar>
              <w:top w:w="100" w:type="dxa"/>
              <w:left w:w="100" w:type="dxa"/>
              <w:bottom w:w="100" w:type="dxa"/>
              <w:right w:w="100" w:type="dxa"/>
            </w:tcMar>
          </w:tcPr>
          <w:p w14:paraId="3CBFFFB7" w14:textId="77777777" w:rsidR="004640F1" w:rsidRDefault="00773669">
            <w:pPr>
              <w:widowControl w:val="0"/>
              <w:pBdr>
                <w:top w:val="nil"/>
                <w:left w:val="nil"/>
                <w:bottom w:val="nil"/>
                <w:right w:val="nil"/>
                <w:between w:val="nil"/>
              </w:pBdr>
              <w:rPr>
                <w:b/>
                <w:i/>
                <w:color w:val="000000"/>
              </w:rPr>
            </w:pPr>
            <w:r>
              <w:rPr>
                <w:b/>
                <w:i/>
                <w:color w:val="000000"/>
              </w:rPr>
              <w:t>Plan</w:t>
            </w:r>
          </w:p>
        </w:tc>
        <w:tc>
          <w:tcPr>
            <w:tcW w:w="7200" w:type="dxa"/>
            <w:shd w:val="clear" w:color="auto" w:fill="auto"/>
            <w:tcMar>
              <w:top w:w="100" w:type="dxa"/>
              <w:left w:w="100" w:type="dxa"/>
              <w:bottom w:w="100" w:type="dxa"/>
              <w:right w:w="100" w:type="dxa"/>
            </w:tcMar>
          </w:tcPr>
          <w:p w14:paraId="2CC1D7F0" w14:textId="77777777" w:rsidR="004640F1" w:rsidRDefault="00773669">
            <w:pPr>
              <w:widowControl w:val="0"/>
              <w:pBdr>
                <w:top w:val="nil"/>
                <w:left w:val="nil"/>
                <w:bottom w:val="nil"/>
                <w:right w:val="nil"/>
                <w:between w:val="nil"/>
              </w:pBdr>
              <w:rPr>
                <w:color w:val="000000"/>
              </w:rPr>
            </w:pPr>
            <w:r>
              <w:rPr>
                <w:color w:val="000000"/>
              </w:rPr>
              <w:t xml:space="preserve">The present plan of the "Sustainable Summit 2024" would be based on an outcome that has been critically drawn through the environmental dispute analysis of the Londons' tourism principles.  Also, the plan officially gets concluded out of the success or achievement factors by getting determined under the reduction of carbon-fuel and greenhouse-gas emission process </w:t>
            </w:r>
            <w:r>
              <w:t>(United Nations, 2024)</w:t>
            </w:r>
            <w:r>
              <w:rPr>
                <w:color w:val="000000"/>
              </w:rPr>
              <w:t>.</w:t>
            </w:r>
          </w:p>
        </w:tc>
      </w:tr>
      <w:tr w:rsidR="004640F1" w14:paraId="31009B0A" w14:textId="77777777">
        <w:tc>
          <w:tcPr>
            <w:tcW w:w="2160" w:type="dxa"/>
            <w:shd w:val="clear" w:color="auto" w:fill="auto"/>
            <w:tcMar>
              <w:top w:w="100" w:type="dxa"/>
              <w:left w:w="100" w:type="dxa"/>
              <w:bottom w:w="100" w:type="dxa"/>
              <w:right w:w="100" w:type="dxa"/>
            </w:tcMar>
          </w:tcPr>
          <w:p w14:paraId="61B4519F" w14:textId="77777777" w:rsidR="004640F1" w:rsidRDefault="00773669">
            <w:pPr>
              <w:widowControl w:val="0"/>
              <w:pBdr>
                <w:top w:val="nil"/>
                <w:left w:val="nil"/>
                <w:bottom w:val="nil"/>
                <w:right w:val="nil"/>
                <w:between w:val="nil"/>
              </w:pBdr>
              <w:rPr>
                <w:b/>
                <w:i/>
                <w:color w:val="000000"/>
              </w:rPr>
            </w:pPr>
            <w:r>
              <w:rPr>
                <w:b/>
                <w:i/>
                <w:color w:val="000000"/>
              </w:rPr>
              <w:t>Organise</w:t>
            </w:r>
          </w:p>
        </w:tc>
        <w:tc>
          <w:tcPr>
            <w:tcW w:w="7200" w:type="dxa"/>
            <w:shd w:val="clear" w:color="auto" w:fill="auto"/>
            <w:tcMar>
              <w:top w:w="100" w:type="dxa"/>
              <w:left w:w="100" w:type="dxa"/>
              <w:bottom w:w="100" w:type="dxa"/>
              <w:right w:w="100" w:type="dxa"/>
            </w:tcMar>
          </w:tcPr>
          <w:p w14:paraId="5DAC2B29" w14:textId="77777777" w:rsidR="004640F1" w:rsidRDefault="00773669">
            <w:pPr>
              <w:widowControl w:val="0"/>
              <w:pBdr>
                <w:top w:val="nil"/>
                <w:left w:val="nil"/>
                <w:bottom w:val="nil"/>
                <w:right w:val="nil"/>
                <w:between w:val="nil"/>
              </w:pBdr>
              <w:rPr>
                <w:color w:val="000000"/>
              </w:rPr>
            </w:pPr>
            <w:r>
              <w:rPr>
                <w:color w:val="000000"/>
              </w:rPr>
              <w:t xml:space="preserve">In the words of </w:t>
            </w:r>
            <w:r>
              <w:t>Lundberg |(2018), t</w:t>
            </w:r>
            <w:r>
              <w:rPr>
                <w:color w:val="000000"/>
              </w:rPr>
              <w:t xml:space="preserve">he target for "zero-net carbon footprint by 2050" will be the only progress that could help in organising the program for "Sustainable Summit 2024". However, the Climate Change Act from the UK government has already declared the reduction of 100 per cent of greenhouse gas emissions since the 1990s environmental level </w:t>
            </w:r>
            <w:r>
              <w:t>(GOV.UK, 2024)</w:t>
            </w:r>
            <w:r>
              <w:rPr>
                <w:color w:val="000000"/>
              </w:rPr>
              <w:t xml:space="preserve">. </w:t>
            </w:r>
          </w:p>
        </w:tc>
      </w:tr>
      <w:tr w:rsidR="004640F1" w14:paraId="21A3E90D" w14:textId="77777777">
        <w:tc>
          <w:tcPr>
            <w:tcW w:w="2160" w:type="dxa"/>
            <w:shd w:val="clear" w:color="auto" w:fill="auto"/>
            <w:tcMar>
              <w:top w:w="100" w:type="dxa"/>
              <w:left w:w="100" w:type="dxa"/>
              <w:bottom w:w="100" w:type="dxa"/>
              <w:right w:w="100" w:type="dxa"/>
            </w:tcMar>
          </w:tcPr>
          <w:p w14:paraId="7F488B9F" w14:textId="77777777" w:rsidR="004640F1" w:rsidRDefault="00773669">
            <w:pPr>
              <w:widowControl w:val="0"/>
              <w:pBdr>
                <w:top w:val="nil"/>
                <w:left w:val="nil"/>
                <w:bottom w:val="nil"/>
                <w:right w:val="nil"/>
                <w:between w:val="nil"/>
              </w:pBdr>
              <w:rPr>
                <w:b/>
                <w:i/>
                <w:color w:val="000000"/>
              </w:rPr>
            </w:pPr>
            <w:r>
              <w:rPr>
                <w:b/>
                <w:i/>
                <w:color w:val="000000"/>
              </w:rPr>
              <w:t>Measure</w:t>
            </w:r>
          </w:p>
        </w:tc>
        <w:tc>
          <w:tcPr>
            <w:tcW w:w="7200" w:type="dxa"/>
            <w:shd w:val="clear" w:color="auto" w:fill="auto"/>
            <w:tcMar>
              <w:top w:w="100" w:type="dxa"/>
              <w:left w:w="100" w:type="dxa"/>
              <w:bottom w:w="100" w:type="dxa"/>
              <w:right w:w="100" w:type="dxa"/>
            </w:tcMar>
          </w:tcPr>
          <w:p w14:paraId="1D214D6C" w14:textId="77777777" w:rsidR="004640F1" w:rsidRDefault="00773669">
            <w:pPr>
              <w:widowControl w:val="0"/>
              <w:pBdr>
                <w:top w:val="nil"/>
                <w:left w:val="nil"/>
                <w:bottom w:val="nil"/>
                <w:right w:val="nil"/>
                <w:between w:val="nil"/>
              </w:pBdr>
              <w:rPr>
                <w:color w:val="000000"/>
              </w:rPr>
            </w:pPr>
            <w:r>
              <w:rPr>
                <w:color w:val="000000"/>
              </w:rPr>
              <w:t>According to the United</w:t>
            </w:r>
            <w:r>
              <w:t xml:space="preserve"> Nations (2024), </w:t>
            </w:r>
            <w:r>
              <w:rPr>
                <w:color w:val="000000"/>
              </w:rPr>
              <w:t xml:space="preserve">good governance within each country and at the international level is essentially necessary to get involved in the promotion of the UK's "Sustainable Summit 2024". With governmental support from the UK region, this could measure in gaining success on their own terms of promoting sustainable environmental practices. </w:t>
            </w:r>
          </w:p>
        </w:tc>
      </w:tr>
      <w:tr w:rsidR="004640F1" w14:paraId="6C187A3F" w14:textId="77777777">
        <w:tc>
          <w:tcPr>
            <w:tcW w:w="2160" w:type="dxa"/>
            <w:shd w:val="clear" w:color="auto" w:fill="auto"/>
            <w:tcMar>
              <w:top w:w="100" w:type="dxa"/>
              <w:left w:w="100" w:type="dxa"/>
              <w:bottom w:w="100" w:type="dxa"/>
              <w:right w:w="100" w:type="dxa"/>
            </w:tcMar>
          </w:tcPr>
          <w:p w14:paraId="28304FC5" w14:textId="77777777" w:rsidR="004640F1" w:rsidRDefault="00773669">
            <w:pPr>
              <w:widowControl w:val="0"/>
              <w:pBdr>
                <w:top w:val="nil"/>
                <w:left w:val="nil"/>
                <w:bottom w:val="nil"/>
                <w:right w:val="nil"/>
                <w:between w:val="nil"/>
              </w:pBdr>
              <w:rPr>
                <w:b/>
                <w:i/>
                <w:color w:val="000000"/>
              </w:rPr>
            </w:pPr>
            <w:r>
              <w:rPr>
                <w:b/>
                <w:i/>
                <w:color w:val="000000"/>
              </w:rPr>
              <w:t xml:space="preserve">Analyse </w:t>
            </w:r>
          </w:p>
        </w:tc>
        <w:tc>
          <w:tcPr>
            <w:tcW w:w="7200" w:type="dxa"/>
            <w:shd w:val="clear" w:color="auto" w:fill="auto"/>
            <w:tcMar>
              <w:top w:w="100" w:type="dxa"/>
              <w:left w:w="100" w:type="dxa"/>
              <w:bottom w:w="100" w:type="dxa"/>
              <w:right w:w="100" w:type="dxa"/>
            </w:tcMar>
          </w:tcPr>
          <w:p w14:paraId="60710D4F" w14:textId="77777777" w:rsidR="004640F1" w:rsidRDefault="00773669">
            <w:pPr>
              <w:widowControl w:val="0"/>
              <w:pBdr>
                <w:top w:val="nil"/>
                <w:left w:val="nil"/>
                <w:bottom w:val="nil"/>
                <w:right w:val="nil"/>
                <w:between w:val="nil"/>
              </w:pBdr>
              <w:rPr>
                <w:color w:val="000000"/>
              </w:rPr>
            </w:pPr>
            <w:r>
              <w:rPr>
                <w:color w:val="000000"/>
              </w:rPr>
              <w:t xml:space="preserve">Regions of London affected by the carbon-fuel process and greenhouse gas emissions would be a substantial method of getting accommodation for the UK's "Sustainable Summit 2024" program. Detecting plastics and waste particles from the regions of London can also be considered a major priority of the respective event cycle principle. </w:t>
            </w:r>
          </w:p>
        </w:tc>
      </w:tr>
      <w:tr w:rsidR="004640F1" w14:paraId="5955D862" w14:textId="77777777">
        <w:tc>
          <w:tcPr>
            <w:tcW w:w="2160" w:type="dxa"/>
            <w:shd w:val="clear" w:color="auto" w:fill="auto"/>
            <w:tcMar>
              <w:top w:w="100" w:type="dxa"/>
              <w:left w:w="100" w:type="dxa"/>
              <w:bottom w:w="100" w:type="dxa"/>
              <w:right w:w="100" w:type="dxa"/>
            </w:tcMar>
          </w:tcPr>
          <w:p w14:paraId="0216A7F8" w14:textId="77777777" w:rsidR="004640F1" w:rsidRDefault="00773669">
            <w:pPr>
              <w:widowControl w:val="0"/>
              <w:pBdr>
                <w:top w:val="nil"/>
                <w:left w:val="nil"/>
                <w:bottom w:val="nil"/>
                <w:right w:val="nil"/>
                <w:between w:val="nil"/>
              </w:pBdr>
              <w:rPr>
                <w:b/>
                <w:i/>
                <w:color w:val="000000"/>
              </w:rPr>
            </w:pPr>
            <w:r>
              <w:rPr>
                <w:b/>
                <w:i/>
                <w:color w:val="000000"/>
              </w:rPr>
              <w:t>Share</w:t>
            </w:r>
          </w:p>
        </w:tc>
        <w:tc>
          <w:tcPr>
            <w:tcW w:w="7200" w:type="dxa"/>
            <w:shd w:val="clear" w:color="auto" w:fill="auto"/>
            <w:tcMar>
              <w:top w:w="100" w:type="dxa"/>
              <w:left w:w="100" w:type="dxa"/>
              <w:bottom w:w="100" w:type="dxa"/>
              <w:right w:w="100" w:type="dxa"/>
            </w:tcMar>
          </w:tcPr>
          <w:p w14:paraId="3A3689EB" w14:textId="77777777" w:rsidR="004640F1" w:rsidRDefault="00773669">
            <w:pPr>
              <w:widowControl w:val="0"/>
              <w:pBdr>
                <w:top w:val="nil"/>
                <w:left w:val="nil"/>
                <w:bottom w:val="nil"/>
                <w:right w:val="nil"/>
                <w:between w:val="nil"/>
              </w:pBdr>
              <w:rPr>
                <w:color w:val="000000"/>
              </w:rPr>
            </w:pPr>
            <w:r>
              <w:rPr>
                <w:color w:val="000000"/>
              </w:rPr>
              <w:t xml:space="preserve">The implementation of "Sustainable Summit 2024" outcomes and graphs should be recommended in public awareness due to the benefits resulting from the sustainable environment program </w:t>
            </w:r>
            <w:r>
              <w:t>(United Nations, 2024)</w:t>
            </w:r>
            <w:r>
              <w:rPr>
                <w:color w:val="000000"/>
              </w:rPr>
              <w:t xml:space="preserve">. </w:t>
            </w:r>
            <w:r>
              <w:rPr>
                <w:color w:val="000000"/>
              </w:rPr>
              <w:lastRenderedPageBreak/>
              <w:t>Moreover, there should be a list of waste and plastic consumption details that people might be aware of progressing the environmental dispute activities.</w:t>
            </w:r>
          </w:p>
        </w:tc>
      </w:tr>
    </w:tbl>
    <w:p w14:paraId="4D5B1A8B" w14:textId="77777777" w:rsidR="004640F1" w:rsidRDefault="00773669">
      <w:pPr>
        <w:pBdr>
          <w:top w:val="nil"/>
          <w:left w:val="nil"/>
          <w:bottom w:val="nil"/>
          <w:right w:val="nil"/>
          <w:between w:val="nil"/>
        </w:pBdr>
        <w:jc w:val="center"/>
        <w:rPr>
          <w:b/>
          <w:color w:val="000000"/>
        </w:rPr>
      </w:pPr>
      <w:r>
        <w:rPr>
          <w:b/>
          <w:color w:val="000000"/>
        </w:rPr>
        <w:lastRenderedPageBreak/>
        <w:t>Tabular Form 1: Event cycle for the program “Sustainable Summit 2024” in London’s GreenVista Convention Centre</w:t>
      </w:r>
    </w:p>
    <w:p w14:paraId="3B161266" w14:textId="77777777" w:rsidR="004640F1" w:rsidRDefault="00773669">
      <w:pPr>
        <w:pBdr>
          <w:top w:val="nil"/>
          <w:left w:val="nil"/>
          <w:bottom w:val="nil"/>
          <w:right w:val="nil"/>
          <w:between w:val="nil"/>
        </w:pBdr>
        <w:jc w:val="center"/>
        <w:rPr>
          <w:color w:val="000000"/>
        </w:rPr>
      </w:pPr>
      <w:r>
        <w:rPr>
          <w:color w:val="000000"/>
        </w:rPr>
        <w:t>(Source: self-created)</w:t>
      </w:r>
    </w:p>
    <w:p w14:paraId="58CCACF8" w14:textId="77777777" w:rsidR="004640F1" w:rsidRDefault="00773669">
      <w:pPr>
        <w:pBdr>
          <w:top w:val="nil"/>
          <w:left w:val="nil"/>
          <w:bottom w:val="nil"/>
          <w:right w:val="nil"/>
          <w:between w:val="nil"/>
        </w:pBdr>
        <w:rPr>
          <w:color w:val="000000"/>
        </w:rPr>
      </w:pPr>
      <w:r>
        <w:rPr>
          <w:color w:val="000000"/>
        </w:rPr>
        <w:t xml:space="preserve">In context, sustainable tourism development has to retain higher progress of the tourists' satisfaction needs that comprise the order placed between environmental and societal safety </w:t>
      </w:r>
      <w:r>
        <w:t xml:space="preserve">(Streimikiene </w:t>
      </w:r>
      <w:r>
        <w:rPr>
          <w:i/>
        </w:rPr>
        <w:t>et al.</w:t>
      </w:r>
      <w:r>
        <w:t xml:space="preserve"> 2021)</w:t>
      </w:r>
      <w:r>
        <w:rPr>
          <w:color w:val="000000"/>
        </w:rPr>
        <w:t xml:space="preserve">. Also, the situation assures significant experience for tourists who seek to view the outcomes possessed by the organisation's tourism sustainability development practices. Moreover, the theme "Sustainable Summit 2024" recognizes the complexity that interconnects through the challenges of environmental conditions </w:t>
      </w:r>
      <w:r>
        <w:t>(International Institute of Sustainable Development, 2021)</w:t>
      </w:r>
      <w:r>
        <w:rPr>
          <w:color w:val="000000"/>
        </w:rPr>
        <w:t xml:space="preserve">. Concerned programs upon carbon-fuel and greenhouse gas emission processes would be more valuable to get drawn under the event cycle management of the "Sustainable Summit 2024" program. </w:t>
      </w:r>
    </w:p>
    <w:p w14:paraId="3F147EBC" w14:textId="77777777" w:rsidR="004640F1" w:rsidRDefault="00773669">
      <w:pPr>
        <w:pStyle w:val="Heading1"/>
      </w:pPr>
      <w:bookmarkStart w:id="2" w:name="_Toc160221224"/>
      <w:r>
        <w:t>Event Concept</w:t>
      </w:r>
      <w:bookmarkEnd w:id="2"/>
    </w:p>
    <w:p w14:paraId="104EC792" w14:textId="77777777" w:rsidR="004640F1" w:rsidRDefault="00773669">
      <w:pPr>
        <w:pBdr>
          <w:top w:val="nil"/>
          <w:left w:val="nil"/>
          <w:bottom w:val="nil"/>
          <w:right w:val="nil"/>
          <w:between w:val="nil"/>
        </w:pBdr>
        <w:rPr>
          <w:color w:val="000000"/>
        </w:rPr>
      </w:pPr>
      <w:r>
        <w:rPr>
          <w:color w:val="000000"/>
        </w:rPr>
        <w:t xml:space="preserve">Human societies have made amazing technological achievements in the business industries which blinded people by knowing its powerful limitations </w:t>
      </w:r>
      <w:r>
        <w:t xml:space="preserve">(Leng </w:t>
      </w:r>
      <w:r>
        <w:rPr>
          <w:i/>
        </w:rPr>
        <w:t>et al.</w:t>
      </w:r>
      <w:r>
        <w:t xml:space="preserve"> 2022)</w:t>
      </w:r>
      <w:r>
        <w:rPr>
          <w:color w:val="000000"/>
        </w:rPr>
        <w:t xml:space="preserve">. Moreover, the limitations only came from the environmental disputes that harnessed and harmed the self-sustaining manner of the planet's infinite resources. Unfortunately, many tourists who actively experience hotel reservation services might constitute to get certain drawbacks from the respective environmental dispute concerns. In most cases, London is the only city around the UK's hotel services that formed throughout the conditions of air pollution effects, considering the ranges of smog, airline programs, factories, and car-transportation services </w:t>
      </w:r>
      <w:r>
        <w:t xml:space="preserve">(Walton </w:t>
      </w:r>
      <w:r>
        <w:rPr>
          <w:i/>
        </w:rPr>
        <w:t>et al.</w:t>
      </w:r>
      <w:r>
        <w:t xml:space="preserve"> 2015)</w:t>
      </w:r>
      <w:r>
        <w:rPr>
          <w:color w:val="000000"/>
        </w:rPr>
        <w:t>.</w:t>
      </w:r>
    </w:p>
    <w:p w14:paraId="394AD447" w14:textId="77777777" w:rsidR="004640F1" w:rsidRDefault="00773669">
      <w:pPr>
        <w:pBdr>
          <w:top w:val="nil"/>
          <w:left w:val="nil"/>
          <w:bottom w:val="nil"/>
          <w:right w:val="nil"/>
          <w:between w:val="nil"/>
        </w:pBdr>
        <w:jc w:val="center"/>
        <w:rPr>
          <w:color w:val="000000"/>
        </w:rPr>
      </w:pPr>
      <w:r>
        <w:rPr>
          <w:noProof/>
          <w:color w:val="000000"/>
          <w:lang w:val="en-IN"/>
        </w:rPr>
        <w:lastRenderedPageBreak/>
        <w:drawing>
          <wp:inline distT="114300" distB="114300" distL="114300" distR="114300" wp14:anchorId="6121E49B" wp14:editId="6C4BFABA">
            <wp:extent cx="4781847" cy="4200786"/>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81847" cy="4200786"/>
                    </a:xfrm>
                    <a:prstGeom prst="rect">
                      <a:avLst/>
                    </a:prstGeom>
                    <a:ln/>
                  </pic:spPr>
                </pic:pic>
              </a:graphicData>
            </a:graphic>
          </wp:inline>
        </w:drawing>
      </w:r>
    </w:p>
    <w:p w14:paraId="06BE7007" w14:textId="77777777" w:rsidR="004640F1" w:rsidRDefault="00773669">
      <w:pPr>
        <w:pBdr>
          <w:top w:val="nil"/>
          <w:left w:val="nil"/>
          <w:bottom w:val="nil"/>
          <w:right w:val="nil"/>
          <w:between w:val="nil"/>
        </w:pBdr>
        <w:jc w:val="center"/>
        <w:rPr>
          <w:b/>
          <w:color w:val="000000"/>
        </w:rPr>
      </w:pPr>
      <w:r>
        <w:rPr>
          <w:b/>
          <w:color w:val="000000"/>
        </w:rPr>
        <w:t>Figure 1: The carbon footprint of selected transport services around the UK region</w:t>
      </w:r>
    </w:p>
    <w:p w14:paraId="52DC73EA" w14:textId="77777777" w:rsidR="004640F1" w:rsidRDefault="00773669">
      <w:pPr>
        <w:pBdr>
          <w:top w:val="nil"/>
          <w:left w:val="nil"/>
          <w:bottom w:val="nil"/>
          <w:right w:val="nil"/>
          <w:between w:val="nil"/>
        </w:pBdr>
        <w:jc w:val="center"/>
        <w:rPr>
          <w:color w:val="000000"/>
        </w:rPr>
      </w:pPr>
      <w:r>
        <w:rPr>
          <w:color w:val="000000"/>
        </w:rPr>
        <w:t>(Source: Statista, 2024)</w:t>
      </w:r>
    </w:p>
    <w:p w14:paraId="6E57BAC3" w14:textId="77777777" w:rsidR="004640F1" w:rsidRDefault="00773669">
      <w:pPr>
        <w:pBdr>
          <w:top w:val="nil"/>
          <w:left w:val="nil"/>
          <w:bottom w:val="nil"/>
          <w:right w:val="nil"/>
          <w:between w:val="nil"/>
        </w:pBdr>
        <w:jc w:val="center"/>
        <w:rPr>
          <w:color w:val="000000"/>
        </w:rPr>
      </w:pPr>
      <w:r>
        <w:rPr>
          <w:noProof/>
          <w:color w:val="000000"/>
          <w:lang w:val="en-IN"/>
        </w:rPr>
        <w:drawing>
          <wp:inline distT="114300" distB="114300" distL="114300" distR="114300" wp14:anchorId="39DEAB68" wp14:editId="2E6275BF">
            <wp:extent cx="5115525" cy="2829257"/>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115525" cy="2829257"/>
                    </a:xfrm>
                    <a:prstGeom prst="rect">
                      <a:avLst/>
                    </a:prstGeom>
                    <a:ln/>
                  </pic:spPr>
                </pic:pic>
              </a:graphicData>
            </a:graphic>
          </wp:inline>
        </w:drawing>
      </w:r>
    </w:p>
    <w:p w14:paraId="36A4B41D" w14:textId="77777777" w:rsidR="004640F1" w:rsidRDefault="00773669">
      <w:pPr>
        <w:pBdr>
          <w:top w:val="nil"/>
          <w:left w:val="nil"/>
          <w:bottom w:val="nil"/>
          <w:right w:val="nil"/>
          <w:between w:val="nil"/>
        </w:pBdr>
        <w:jc w:val="center"/>
        <w:rPr>
          <w:b/>
          <w:color w:val="000000"/>
        </w:rPr>
      </w:pPr>
      <w:r>
        <w:rPr>
          <w:b/>
          <w:color w:val="000000"/>
        </w:rPr>
        <w:t>Figure 2: Average air pollution in London from 2016 to 2019</w:t>
      </w:r>
    </w:p>
    <w:p w14:paraId="679E9E51" w14:textId="77777777" w:rsidR="004640F1" w:rsidRDefault="00773669">
      <w:pPr>
        <w:pBdr>
          <w:top w:val="nil"/>
          <w:left w:val="nil"/>
          <w:bottom w:val="nil"/>
          <w:right w:val="nil"/>
          <w:between w:val="nil"/>
        </w:pBdr>
        <w:jc w:val="center"/>
        <w:rPr>
          <w:color w:val="000000"/>
        </w:rPr>
      </w:pPr>
      <w:r>
        <w:rPr>
          <w:color w:val="000000"/>
        </w:rPr>
        <w:t>(Source: Statista, 2024)</w:t>
      </w:r>
    </w:p>
    <w:p w14:paraId="4B2C64D7" w14:textId="77777777" w:rsidR="004640F1" w:rsidRDefault="00773669">
      <w:pPr>
        <w:pBdr>
          <w:top w:val="nil"/>
          <w:left w:val="nil"/>
          <w:bottom w:val="nil"/>
          <w:right w:val="nil"/>
          <w:between w:val="nil"/>
        </w:pBdr>
        <w:rPr>
          <w:color w:val="000000"/>
        </w:rPr>
      </w:pPr>
      <w:r>
        <w:rPr>
          <w:color w:val="000000"/>
        </w:rPr>
        <w:lastRenderedPageBreak/>
        <w:t>In 2023, Statista (2024) exclusively reported that visitors travelling from domestic flights had the most carbon footprint around the UK's transportation modes. Similarly, the airline services, car transportation and industrial factories that are present within popular London are quite capable of holding the nitrogen-dioxide emission process at the UK's tourism services. However, the process would definitely be considered when the UK tourism industry tries to promote the "Sustainable Summit 2024" program in the London region. Placing the "Sustainable Summit 2024" program towards London's Greenvista Conventional Centre would be an ideal strategy for representing and promoting environmental sustainability manners around the UK tourism services.</w:t>
      </w:r>
    </w:p>
    <w:p w14:paraId="012556AA" w14:textId="77777777" w:rsidR="004640F1" w:rsidRDefault="00773669">
      <w:pPr>
        <w:pStyle w:val="Heading1"/>
      </w:pPr>
      <w:bookmarkStart w:id="3" w:name="_Toc160221225"/>
      <w:r>
        <w:t>Aim and Objectives of the Event</w:t>
      </w:r>
      <w:bookmarkEnd w:id="3"/>
    </w:p>
    <w:tbl>
      <w:tblPr>
        <w:tblStyle w:val="a0"/>
        <w:tblW w:w="11925" w:type="dxa"/>
        <w:tblInd w:w="-12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3465"/>
        <w:gridCol w:w="2415"/>
        <w:gridCol w:w="2550"/>
        <w:gridCol w:w="1515"/>
      </w:tblGrid>
      <w:tr w:rsidR="004640F1" w14:paraId="689E5F8C" w14:textId="77777777">
        <w:tc>
          <w:tcPr>
            <w:tcW w:w="1980" w:type="dxa"/>
            <w:shd w:val="clear" w:color="auto" w:fill="auto"/>
            <w:tcMar>
              <w:top w:w="100" w:type="dxa"/>
              <w:left w:w="100" w:type="dxa"/>
              <w:bottom w:w="100" w:type="dxa"/>
              <w:right w:w="100" w:type="dxa"/>
            </w:tcMar>
          </w:tcPr>
          <w:p w14:paraId="107A60F9" w14:textId="77777777" w:rsidR="004640F1" w:rsidRDefault="00773669">
            <w:pPr>
              <w:widowControl w:val="0"/>
              <w:pBdr>
                <w:top w:val="nil"/>
                <w:left w:val="nil"/>
                <w:bottom w:val="nil"/>
                <w:right w:val="nil"/>
                <w:between w:val="nil"/>
              </w:pBdr>
              <w:rPr>
                <w:b/>
                <w:color w:val="000000"/>
              </w:rPr>
            </w:pPr>
            <w:r>
              <w:rPr>
                <w:b/>
                <w:color w:val="000000"/>
              </w:rPr>
              <w:t>Specific</w:t>
            </w:r>
          </w:p>
        </w:tc>
        <w:tc>
          <w:tcPr>
            <w:tcW w:w="3465" w:type="dxa"/>
            <w:shd w:val="clear" w:color="auto" w:fill="auto"/>
            <w:tcMar>
              <w:top w:w="100" w:type="dxa"/>
              <w:left w:w="100" w:type="dxa"/>
              <w:bottom w:w="100" w:type="dxa"/>
              <w:right w:w="100" w:type="dxa"/>
            </w:tcMar>
          </w:tcPr>
          <w:p w14:paraId="41E6E030" w14:textId="77777777" w:rsidR="004640F1" w:rsidRDefault="00773669">
            <w:pPr>
              <w:widowControl w:val="0"/>
              <w:pBdr>
                <w:top w:val="nil"/>
                <w:left w:val="nil"/>
                <w:bottom w:val="nil"/>
                <w:right w:val="nil"/>
                <w:between w:val="nil"/>
              </w:pBdr>
              <w:rPr>
                <w:b/>
                <w:color w:val="000000"/>
              </w:rPr>
            </w:pPr>
            <w:r>
              <w:rPr>
                <w:b/>
                <w:color w:val="000000"/>
              </w:rPr>
              <w:t>Measurable</w:t>
            </w:r>
          </w:p>
        </w:tc>
        <w:tc>
          <w:tcPr>
            <w:tcW w:w="2415" w:type="dxa"/>
            <w:shd w:val="clear" w:color="auto" w:fill="auto"/>
            <w:tcMar>
              <w:top w:w="100" w:type="dxa"/>
              <w:left w:w="100" w:type="dxa"/>
              <w:bottom w:w="100" w:type="dxa"/>
              <w:right w:w="100" w:type="dxa"/>
            </w:tcMar>
          </w:tcPr>
          <w:p w14:paraId="51336B77" w14:textId="77777777" w:rsidR="004640F1" w:rsidRDefault="00773669">
            <w:pPr>
              <w:widowControl w:val="0"/>
              <w:pBdr>
                <w:top w:val="nil"/>
                <w:left w:val="nil"/>
                <w:bottom w:val="nil"/>
                <w:right w:val="nil"/>
                <w:between w:val="nil"/>
              </w:pBdr>
              <w:rPr>
                <w:b/>
                <w:color w:val="000000"/>
              </w:rPr>
            </w:pPr>
            <w:r>
              <w:rPr>
                <w:b/>
                <w:color w:val="000000"/>
              </w:rPr>
              <w:t xml:space="preserve">Attainable </w:t>
            </w:r>
          </w:p>
        </w:tc>
        <w:tc>
          <w:tcPr>
            <w:tcW w:w="2550" w:type="dxa"/>
            <w:shd w:val="clear" w:color="auto" w:fill="auto"/>
            <w:tcMar>
              <w:top w:w="100" w:type="dxa"/>
              <w:left w:w="100" w:type="dxa"/>
              <w:bottom w:w="100" w:type="dxa"/>
              <w:right w:w="100" w:type="dxa"/>
            </w:tcMar>
          </w:tcPr>
          <w:p w14:paraId="3CAE841B" w14:textId="77777777" w:rsidR="004640F1" w:rsidRDefault="00773669">
            <w:pPr>
              <w:widowControl w:val="0"/>
              <w:pBdr>
                <w:top w:val="nil"/>
                <w:left w:val="nil"/>
                <w:bottom w:val="nil"/>
                <w:right w:val="nil"/>
                <w:between w:val="nil"/>
              </w:pBdr>
              <w:rPr>
                <w:b/>
                <w:color w:val="000000"/>
              </w:rPr>
            </w:pPr>
            <w:r>
              <w:rPr>
                <w:b/>
                <w:color w:val="000000"/>
              </w:rPr>
              <w:t>Relevant</w:t>
            </w:r>
          </w:p>
        </w:tc>
        <w:tc>
          <w:tcPr>
            <w:tcW w:w="1515" w:type="dxa"/>
            <w:shd w:val="clear" w:color="auto" w:fill="auto"/>
            <w:tcMar>
              <w:top w:w="100" w:type="dxa"/>
              <w:left w:w="100" w:type="dxa"/>
              <w:bottom w:w="100" w:type="dxa"/>
              <w:right w:w="100" w:type="dxa"/>
            </w:tcMar>
          </w:tcPr>
          <w:p w14:paraId="0E0ECB6A" w14:textId="77777777" w:rsidR="004640F1" w:rsidRDefault="00773669">
            <w:pPr>
              <w:widowControl w:val="0"/>
              <w:pBdr>
                <w:top w:val="nil"/>
                <w:left w:val="nil"/>
                <w:bottom w:val="nil"/>
                <w:right w:val="nil"/>
                <w:between w:val="nil"/>
              </w:pBdr>
              <w:rPr>
                <w:b/>
                <w:color w:val="000000"/>
              </w:rPr>
            </w:pPr>
            <w:r>
              <w:rPr>
                <w:b/>
                <w:color w:val="000000"/>
              </w:rPr>
              <w:t>Time-frame</w:t>
            </w:r>
          </w:p>
        </w:tc>
      </w:tr>
      <w:tr w:rsidR="004640F1" w14:paraId="52BA3FC5" w14:textId="77777777">
        <w:tc>
          <w:tcPr>
            <w:tcW w:w="1980" w:type="dxa"/>
            <w:shd w:val="clear" w:color="auto" w:fill="auto"/>
            <w:tcMar>
              <w:top w:w="100" w:type="dxa"/>
              <w:left w:w="100" w:type="dxa"/>
              <w:bottom w:w="100" w:type="dxa"/>
              <w:right w:w="100" w:type="dxa"/>
            </w:tcMar>
          </w:tcPr>
          <w:p w14:paraId="1EC466FC" w14:textId="77777777" w:rsidR="004640F1" w:rsidRDefault="00773669">
            <w:pPr>
              <w:widowControl w:val="0"/>
              <w:pBdr>
                <w:top w:val="nil"/>
                <w:left w:val="nil"/>
                <w:bottom w:val="nil"/>
                <w:right w:val="nil"/>
                <w:between w:val="nil"/>
              </w:pBdr>
              <w:rPr>
                <w:b/>
                <w:i/>
                <w:color w:val="000000"/>
              </w:rPr>
            </w:pPr>
            <w:r>
              <w:rPr>
                <w:b/>
                <w:i/>
                <w:color w:val="000000"/>
              </w:rPr>
              <w:t>Reduction of carbon-footprint</w:t>
            </w:r>
          </w:p>
        </w:tc>
        <w:tc>
          <w:tcPr>
            <w:tcW w:w="3465" w:type="dxa"/>
            <w:shd w:val="clear" w:color="auto" w:fill="auto"/>
            <w:tcMar>
              <w:top w:w="100" w:type="dxa"/>
              <w:left w:w="100" w:type="dxa"/>
              <w:bottom w:w="100" w:type="dxa"/>
              <w:right w:w="100" w:type="dxa"/>
            </w:tcMar>
          </w:tcPr>
          <w:p w14:paraId="6FAFA550" w14:textId="77777777" w:rsidR="004640F1" w:rsidRDefault="00773669">
            <w:pPr>
              <w:widowControl w:val="0"/>
              <w:numPr>
                <w:ilvl w:val="0"/>
                <w:numId w:val="4"/>
              </w:numPr>
              <w:pBdr>
                <w:top w:val="nil"/>
                <w:left w:val="nil"/>
                <w:bottom w:val="nil"/>
                <w:right w:val="nil"/>
                <w:between w:val="nil"/>
              </w:pBdr>
              <w:rPr>
                <w:color w:val="000000"/>
              </w:rPr>
            </w:pPr>
            <w:r>
              <w:rPr>
                <w:color w:val="000000"/>
              </w:rPr>
              <w:t>Survey the cities of London that are largely influenced by promoting the carbon footprint.</w:t>
            </w:r>
          </w:p>
          <w:p w14:paraId="4065F11D" w14:textId="77777777" w:rsidR="004640F1" w:rsidRDefault="00773669">
            <w:pPr>
              <w:widowControl w:val="0"/>
              <w:numPr>
                <w:ilvl w:val="0"/>
                <w:numId w:val="4"/>
              </w:numPr>
              <w:pBdr>
                <w:top w:val="nil"/>
                <w:left w:val="nil"/>
                <w:bottom w:val="nil"/>
                <w:right w:val="nil"/>
                <w:between w:val="nil"/>
              </w:pBdr>
              <w:rPr>
                <w:color w:val="000000"/>
              </w:rPr>
            </w:pPr>
            <w:r>
              <w:rPr>
                <w:color w:val="000000"/>
              </w:rPr>
              <w:t xml:space="preserve">Disruption of carbon-fuel vehicles could be the result of promoting the zero-net carbon footprint process around the London region </w:t>
            </w:r>
            <w:r>
              <w:t>(Vourdoubas, 2021)</w:t>
            </w:r>
            <w:r>
              <w:rPr>
                <w:color w:val="000000"/>
              </w:rPr>
              <w:t xml:space="preserve">. </w:t>
            </w:r>
          </w:p>
        </w:tc>
        <w:tc>
          <w:tcPr>
            <w:tcW w:w="2415" w:type="dxa"/>
            <w:shd w:val="clear" w:color="auto" w:fill="auto"/>
            <w:tcMar>
              <w:top w:w="100" w:type="dxa"/>
              <w:left w:w="100" w:type="dxa"/>
              <w:bottom w:w="100" w:type="dxa"/>
              <w:right w:w="100" w:type="dxa"/>
            </w:tcMar>
          </w:tcPr>
          <w:p w14:paraId="21DFB38A" w14:textId="77777777" w:rsidR="004640F1" w:rsidRDefault="00773669">
            <w:pPr>
              <w:widowControl w:val="0"/>
              <w:numPr>
                <w:ilvl w:val="0"/>
                <w:numId w:val="2"/>
              </w:numPr>
              <w:pBdr>
                <w:top w:val="nil"/>
                <w:left w:val="nil"/>
                <w:bottom w:val="nil"/>
                <w:right w:val="nil"/>
                <w:between w:val="nil"/>
              </w:pBdr>
              <w:rPr>
                <w:color w:val="000000"/>
              </w:rPr>
            </w:pPr>
            <w:r>
              <w:rPr>
                <w:color w:val="000000"/>
              </w:rPr>
              <w:t>Promotion of zero-net carbon footprint process.</w:t>
            </w:r>
          </w:p>
          <w:p w14:paraId="1DF76BFC" w14:textId="77777777" w:rsidR="004640F1" w:rsidRDefault="00773669">
            <w:pPr>
              <w:widowControl w:val="0"/>
              <w:numPr>
                <w:ilvl w:val="0"/>
                <w:numId w:val="2"/>
              </w:numPr>
              <w:pBdr>
                <w:top w:val="nil"/>
                <w:left w:val="nil"/>
                <w:bottom w:val="nil"/>
                <w:right w:val="nil"/>
                <w:between w:val="nil"/>
              </w:pBdr>
              <w:rPr>
                <w:color w:val="000000"/>
              </w:rPr>
            </w:pPr>
            <w:r>
              <w:rPr>
                <w:color w:val="000000"/>
              </w:rPr>
              <w:t>Delivering electric-motive vehicles and devices.</w:t>
            </w:r>
          </w:p>
        </w:tc>
        <w:tc>
          <w:tcPr>
            <w:tcW w:w="2550" w:type="dxa"/>
            <w:shd w:val="clear" w:color="auto" w:fill="auto"/>
            <w:tcMar>
              <w:top w:w="100" w:type="dxa"/>
              <w:left w:w="100" w:type="dxa"/>
              <w:bottom w:w="100" w:type="dxa"/>
              <w:right w:w="100" w:type="dxa"/>
            </w:tcMar>
          </w:tcPr>
          <w:p w14:paraId="37F65486" w14:textId="77777777" w:rsidR="004640F1" w:rsidRDefault="00773669">
            <w:pPr>
              <w:widowControl w:val="0"/>
              <w:pBdr>
                <w:top w:val="nil"/>
                <w:left w:val="nil"/>
                <w:bottom w:val="nil"/>
                <w:right w:val="nil"/>
                <w:between w:val="nil"/>
              </w:pBdr>
              <w:rPr>
                <w:color w:val="000000"/>
              </w:rPr>
            </w:pPr>
            <w:r>
              <w:rPr>
                <w:color w:val="000000"/>
              </w:rPr>
              <w:t xml:space="preserve">Promoting the zero-carbon footprint will be the only progress in creating sustainable manners against London's air pollutant factors. Also, the deliverance of electric-motive vehicles and devices would clearly lead to reducing the carbon and nitrogen footprints presented around London's tourism services. </w:t>
            </w:r>
          </w:p>
        </w:tc>
        <w:tc>
          <w:tcPr>
            <w:tcW w:w="1515" w:type="dxa"/>
            <w:shd w:val="clear" w:color="auto" w:fill="auto"/>
            <w:tcMar>
              <w:top w:w="100" w:type="dxa"/>
              <w:left w:w="100" w:type="dxa"/>
              <w:bottom w:w="100" w:type="dxa"/>
              <w:right w:w="100" w:type="dxa"/>
            </w:tcMar>
          </w:tcPr>
          <w:p w14:paraId="00157871" w14:textId="77777777" w:rsidR="004640F1" w:rsidRDefault="00773669">
            <w:pPr>
              <w:widowControl w:val="0"/>
              <w:pBdr>
                <w:top w:val="nil"/>
                <w:left w:val="nil"/>
                <w:bottom w:val="nil"/>
                <w:right w:val="nil"/>
                <w:between w:val="nil"/>
              </w:pBdr>
              <w:rPr>
                <w:color w:val="000000"/>
              </w:rPr>
            </w:pPr>
            <w:r>
              <w:rPr>
                <w:color w:val="000000"/>
              </w:rPr>
              <w:t>8 months</w:t>
            </w:r>
          </w:p>
        </w:tc>
      </w:tr>
      <w:tr w:rsidR="004640F1" w14:paraId="75EE3D7C" w14:textId="77777777">
        <w:tc>
          <w:tcPr>
            <w:tcW w:w="1980" w:type="dxa"/>
            <w:shd w:val="clear" w:color="auto" w:fill="auto"/>
            <w:tcMar>
              <w:top w:w="100" w:type="dxa"/>
              <w:left w:w="100" w:type="dxa"/>
              <w:bottom w:w="100" w:type="dxa"/>
              <w:right w:w="100" w:type="dxa"/>
            </w:tcMar>
          </w:tcPr>
          <w:p w14:paraId="4E2D55AA" w14:textId="77777777" w:rsidR="004640F1" w:rsidRDefault="00773669">
            <w:pPr>
              <w:widowControl w:val="0"/>
              <w:pBdr>
                <w:top w:val="nil"/>
                <w:left w:val="nil"/>
                <w:bottom w:val="nil"/>
                <w:right w:val="nil"/>
                <w:between w:val="nil"/>
              </w:pBdr>
              <w:rPr>
                <w:b/>
                <w:i/>
                <w:color w:val="000000"/>
              </w:rPr>
            </w:pPr>
            <w:r>
              <w:rPr>
                <w:b/>
                <w:i/>
                <w:color w:val="000000"/>
              </w:rPr>
              <w:t>Increase of renewable energy resource</w:t>
            </w:r>
          </w:p>
        </w:tc>
        <w:tc>
          <w:tcPr>
            <w:tcW w:w="3465" w:type="dxa"/>
            <w:shd w:val="clear" w:color="auto" w:fill="auto"/>
            <w:tcMar>
              <w:top w:w="100" w:type="dxa"/>
              <w:left w:w="100" w:type="dxa"/>
              <w:bottom w:w="100" w:type="dxa"/>
              <w:right w:w="100" w:type="dxa"/>
            </w:tcMar>
          </w:tcPr>
          <w:p w14:paraId="3C3C2DDB" w14:textId="77777777" w:rsidR="004640F1" w:rsidRDefault="00773669">
            <w:pPr>
              <w:widowControl w:val="0"/>
              <w:numPr>
                <w:ilvl w:val="0"/>
                <w:numId w:val="6"/>
              </w:numPr>
              <w:pBdr>
                <w:top w:val="nil"/>
                <w:left w:val="nil"/>
                <w:bottom w:val="nil"/>
                <w:right w:val="nil"/>
                <w:between w:val="nil"/>
              </w:pBdr>
              <w:rPr>
                <w:color w:val="000000"/>
              </w:rPr>
            </w:pPr>
            <w:r>
              <w:rPr>
                <w:color w:val="000000"/>
              </w:rPr>
              <w:t xml:space="preserve">Communities forged under the tourism development practices </w:t>
            </w:r>
            <w:r>
              <w:rPr>
                <w:color w:val="000000"/>
              </w:rPr>
              <w:lastRenderedPageBreak/>
              <w:t xml:space="preserve">must be led to utilise the electric-particle supplies. </w:t>
            </w:r>
          </w:p>
          <w:p w14:paraId="6BB7EEE4" w14:textId="77777777" w:rsidR="004640F1" w:rsidRDefault="00773669">
            <w:pPr>
              <w:widowControl w:val="0"/>
              <w:numPr>
                <w:ilvl w:val="0"/>
                <w:numId w:val="6"/>
              </w:numPr>
              <w:pBdr>
                <w:top w:val="nil"/>
                <w:left w:val="nil"/>
                <w:bottom w:val="nil"/>
                <w:right w:val="nil"/>
                <w:between w:val="nil"/>
              </w:pBdr>
              <w:rPr>
                <w:color w:val="000000"/>
              </w:rPr>
            </w:pPr>
            <w:r>
              <w:rPr>
                <w:color w:val="000000"/>
              </w:rPr>
              <w:t xml:space="preserve">Saving water and organic resource particles would be a natural thing to get implemented as a sustainable tourism development progress. </w:t>
            </w:r>
          </w:p>
        </w:tc>
        <w:tc>
          <w:tcPr>
            <w:tcW w:w="2415" w:type="dxa"/>
            <w:shd w:val="clear" w:color="auto" w:fill="auto"/>
            <w:tcMar>
              <w:top w:w="100" w:type="dxa"/>
              <w:left w:w="100" w:type="dxa"/>
              <w:bottom w:w="100" w:type="dxa"/>
              <w:right w:w="100" w:type="dxa"/>
            </w:tcMar>
          </w:tcPr>
          <w:p w14:paraId="0A5493D9" w14:textId="77777777" w:rsidR="004640F1" w:rsidRDefault="00773669">
            <w:pPr>
              <w:widowControl w:val="0"/>
              <w:numPr>
                <w:ilvl w:val="0"/>
                <w:numId w:val="1"/>
              </w:numPr>
              <w:pBdr>
                <w:top w:val="nil"/>
                <w:left w:val="nil"/>
                <w:bottom w:val="nil"/>
                <w:right w:val="nil"/>
                <w:between w:val="nil"/>
              </w:pBdr>
              <w:rPr>
                <w:color w:val="000000"/>
              </w:rPr>
            </w:pPr>
            <w:r>
              <w:rPr>
                <w:color w:val="000000"/>
              </w:rPr>
              <w:lastRenderedPageBreak/>
              <w:t xml:space="preserve">Creation of solar photovoltaic </w:t>
            </w:r>
            <w:r>
              <w:rPr>
                <w:color w:val="000000"/>
              </w:rPr>
              <w:lastRenderedPageBreak/>
              <w:t>modules.</w:t>
            </w:r>
          </w:p>
          <w:p w14:paraId="69B8986A" w14:textId="77777777" w:rsidR="004640F1" w:rsidRDefault="00773669">
            <w:pPr>
              <w:widowControl w:val="0"/>
              <w:numPr>
                <w:ilvl w:val="0"/>
                <w:numId w:val="1"/>
              </w:numPr>
              <w:pBdr>
                <w:top w:val="nil"/>
                <w:left w:val="nil"/>
                <w:bottom w:val="nil"/>
                <w:right w:val="nil"/>
                <w:between w:val="nil"/>
              </w:pBdr>
              <w:rPr>
                <w:color w:val="000000"/>
              </w:rPr>
            </w:pPr>
            <w:r>
              <w:rPr>
                <w:color w:val="000000"/>
              </w:rPr>
              <w:t>Utilisation and deliverance of biomass fuels.</w:t>
            </w:r>
          </w:p>
        </w:tc>
        <w:tc>
          <w:tcPr>
            <w:tcW w:w="2550" w:type="dxa"/>
            <w:shd w:val="clear" w:color="auto" w:fill="auto"/>
            <w:tcMar>
              <w:top w:w="100" w:type="dxa"/>
              <w:left w:w="100" w:type="dxa"/>
              <w:bottom w:w="100" w:type="dxa"/>
              <w:right w:w="100" w:type="dxa"/>
            </w:tcMar>
          </w:tcPr>
          <w:p w14:paraId="69BBF744" w14:textId="77777777" w:rsidR="004640F1" w:rsidRDefault="00773669">
            <w:pPr>
              <w:widowControl w:val="0"/>
              <w:pBdr>
                <w:top w:val="nil"/>
                <w:left w:val="nil"/>
                <w:bottom w:val="nil"/>
                <w:right w:val="nil"/>
                <w:between w:val="nil"/>
              </w:pBdr>
              <w:rPr>
                <w:color w:val="000000"/>
              </w:rPr>
            </w:pPr>
            <w:r>
              <w:rPr>
                <w:color w:val="000000"/>
              </w:rPr>
              <w:lastRenderedPageBreak/>
              <w:t xml:space="preserve">Therefore, solar photovoltaic modules would be an effective </w:t>
            </w:r>
            <w:r>
              <w:rPr>
                <w:color w:val="000000"/>
              </w:rPr>
              <w:lastRenderedPageBreak/>
              <w:t xml:space="preserve">resource to conserve the energy presented around London's sustainable environmental program </w:t>
            </w:r>
            <w:r>
              <w:t>(Almuwailhi and Zeitoun, 2023)</w:t>
            </w:r>
            <w:r>
              <w:rPr>
                <w:color w:val="000000"/>
              </w:rPr>
              <w:t>. Whilst, biomass fuels can be a great deal of renewable source acceptance instead of utilising carbon-fuel particles during London's tourism transportation services.</w:t>
            </w:r>
          </w:p>
        </w:tc>
        <w:tc>
          <w:tcPr>
            <w:tcW w:w="1515" w:type="dxa"/>
            <w:shd w:val="clear" w:color="auto" w:fill="auto"/>
            <w:tcMar>
              <w:top w:w="100" w:type="dxa"/>
              <w:left w:w="100" w:type="dxa"/>
              <w:bottom w:w="100" w:type="dxa"/>
              <w:right w:w="100" w:type="dxa"/>
            </w:tcMar>
          </w:tcPr>
          <w:p w14:paraId="6B09E6F5" w14:textId="77777777" w:rsidR="004640F1" w:rsidRDefault="00773669">
            <w:pPr>
              <w:widowControl w:val="0"/>
              <w:pBdr>
                <w:top w:val="nil"/>
                <w:left w:val="nil"/>
                <w:bottom w:val="nil"/>
                <w:right w:val="nil"/>
                <w:between w:val="nil"/>
              </w:pBdr>
              <w:spacing w:line="240" w:lineRule="auto"/>
              <w:rPr>
                <w:color w:val="000000"/>
              </w:rPr>
            </w:pPr>
            <w:r>
              <w:rPr>
                <w:color w:val="000000"/>
              </w:rPr>
              <w:lastRenderedPageBreak/>
              <w:t>10 months</w:t>
            </w:r>
          </w:p>
        </w:tc>
      </w:tr>
      <w:tr w:rsidR="004640F1" w14:paraId="4EB69E03" w14:textId="77777777">
        <w:tc>
          <w:tcPr>
            <w:tcW w:w="1980" w:type="dxa"/>
            <w:shd w:val="clear" w:color="auto" w:fill="auto"/>
            <w:tcMar>
              <w:top w:w="100" w:type="dxa"/>
              <w:left w:w="100" w:type="dxa"/>
              <w:bottom w:w="100" w:type="dxa"/>
              <w:right w:w="100" w:type="dxa"/>
            </w:tcMar>
          </w:tcPr>
          <w:p w14:paraId="4FB9C13F" w14:textId="77777777" w:rsidR="004640F1" w:rsidRDefault="00773669">
            <w:pPr>
              <w:widowControl w:val="0"/>
              <w:pBdr>
                <w:top w:val="nil"/>
                <w:left w:val="nil"/>
                <w:bottom w:val="nil"/>
                <w:right w:val="nil"/>
                <w:between w:val="nil"/>
              </w:pBdr>
              <w:rPr>
                <w:b/>
                <w:i/>
                <w:color w:val="000000"/>
              </w:rPr>
            </w:pPr>
            <w:r>
              <w:rPr>
                <w:b/>
                <w:i/>
                <w:color w:val="000000"/>
              </w:rPr>
              <w:t>Improve recycling effects</w:t>
            </w:r>
          </w:p>
        </w:tc>
        <w:tc>
          <w:tcPr>
            <w:tcW w:w="3465" w:type="dxa"/>
            <w:shd w:val="clear" w:color="auto" w:fill="auto"/>
            <w:tcMar>
              <w:top w:w="100" w:type="dxa"/>
              <w:left w:w="100" w:type="dxa"/>
              <w:bottom w:w="100" w:type="dxa"/>
              <w:right w:w="100" w:type="dxa"/>
            </w:tcMar>
          </w:tcPr>
          <w:p w14:paraId="243769D3" w14:textId="77777777" w:rsidR="004640F1" w:rsidRDefault="00773669">
            <w:pPr>
              <w:widowControl w:val="0"/>
              <w:numPr>
                <w:ilvl w:val="0"/>
                <w:numId w:val="5"/>
              </w:numPr>
              <w:pBdr>
                <w:top w:val="nil"/>
                <w:left w:val="nil"/>
                <w:bottom w:val="nil"/>
                <w:right w:val="nil"/>
                <w:between w:val="nil"/>
              </w:pBdr>
              <w:rPr>
                <w:color w:val="000000"/>
              </w:rPr>
            </w:pPr>
            <w:r>
              <w:rPr>
                <w:color w:val="000000"/>
              </w:rPr>
              <w:t>Reducing the plastics and paper could be a good use in improving the agenda of environmental recycling.</w:t>
            </w:r>
          </w:p>
          <w:p w14:paraId="7CE3989E" w14:textId="77777777" w:rsidR="004640F1" w:rsidRDefault="00773669">
            <w:pPr>
              <w:widowControl w:val="0"/>
              <w:numPr>
                <w:ilvl w:val="0"/>
                <w:numId w:val="5"/>
              </w:numPr>
              <w:pBdr>
                <w:top w:val="nil"/>
                <w:left w:val="nil"/>
                <w:bottom w:val="nil"/>
                <w:right w:val="nil"/>
                <w:between w:val="nil"/>
              </w:pBdr>
              <w:rPr>
                <w:color w:val="000000"/>
              </w:rPr>
            </w:pPr>
            <w:r>
              <w:rPr>
                <w:color w:val="000000"/>
              </w:rPr>
              <w:t xml:space="preserve">Reserving the trees and collecting the waste would be a good start in promoting improved environmental recycling progress. </w:t>
            </w:r>
          </w:p>
        </w:tc>
        <w:tc>
          <w:tcPr>
            <w:tcW w:w="2415" w:type="dxa"/>
            <w:shd w:val="clear" w:color="auto" w:fill="auto"/>
            <w:tcMar>
              <w:top w:w="100" w:type="dxa"/>
              <w:left w:w="100" w:type="dxa"/>
              <w:bottom w:w="100" w:type="dxa"/>
              <w:right w:w="100" w:type="dxa"/>
            </w:tcMar>
          </w:tcPr>
          <w:p w14:paraId="4262E4DA" w14:textId="77777777" w:rsidR="004640F1" w:rsidRDefault="00773669">
            <w:pPr>
              <w:widowControl w:val="0"/>
              <w:numPr>
                <w:ilvl w:val="0"/>
                <w:numId w:val="3"/>
              </w:numPr>
              <w:pBdr>
                <w:top w:val="nil"/>
                <w:left w:val="nil"/>
                <w:bottom w:val="nil"/>
                <w:right w:val="nil"/>
                <w:between w:val="nil"/>
              </w:pBdr>
              <w:rPr>
                <w:color w:val="000000"/>
              </w:rPr>
            </w:pPr>
            <w:r>
              <w:rPr>
                <w:color w:val="000000"/>
              </w:rPr>
              <w:t>Settling the green dustbins around the respective area.</w:t>
            </w:r>
          </w:p>
          <w:p w14:paraId="66F257FC" w14:textId="77777777" w:rsidR="004640F1" w:rsidRDefault="00773669">
            <w:pPr>
              <w:widowControl w:val="0"/>
              <w:numPr>
                <w:ilvl w:val="0"/>
                <w:numId w:val="3"/>
              </w:numPr>
              <w:pBdr>
                <w:top w:val="nil"/>
                <w:left w:val="nil"/>
                <w:bottom w:val="nil"/>
                <w:right w:val="nil"/>
                <w:between w:val="nil"/>
              </w:pBdr>
              <w:rPr>
                <w:color w:val="000000"/>
              </w:rPr>
            </w:pPr>
            <w:r>
              <w:rPr>
                <w:color w:val="000000"/>
              </w:rPr>
              <w:t>Non-usability of raw material resources.</w:t>
            </w:r>
          </w:p>
        </w:tc>
        <w:tc>
          <w:tcPr>
            <w:tcW w:w="2550" w:type="dxa"/>
            <w:shd w:val="clear" w:color="auto" w:fill="auto"/>
            <w:tcMar>
              <w:top w:w="100" w:type="dxa"/>
              <w:left w:w="100" w:type="dxa"/>
              <w:bottom w:w="100" w:type="dxa"/>
              <w:right w:w="100" w:type="dxa"/>
            </w:tcMar>
          </w:tcPr>
          <w:p w14:paraId="7A2641C0" w14:textId="77777777" w:rsidR="004640F1" w:rsidRDefault="00773669">
            <w:pPr>
              <w:widowControl w:val="0"/>
              <w:pBdr>
                <w:top w:val="nil"/>
                <w:left w:val="nil"/>
                <w:bottom w:val="nil"/>
                <w:right w:val="nil"/>
                <w:between w:val="nil"/>
              </w:pBdr>
              <w:rPr>
                <w:color w:val="000000"/>
              </w:rPr>
            </w:pPr>
            <w:r>
              <w:rPr>
                <w:color w:val="000000"/>
              </w:rPr>
              <w:t>Setting up dustbins can literally create an eco-friendly status towards the program of London's GreenVista Convention Centre. Obtaining the non-usability of raw material sources, including iron, lead, aluminium, and other particles, would be a consideration for improving the environmental recycling program</w:t>
            </w:r>
          </w:p>
        </w:tc>
        <w:tc>
          <w:tcPr>
            <w:tcW w:w="1515" w:type="dxa"/>
            <w:shd w:val="clear" w:color="auto" w:fill="auto"/>
            <w:tcMar>
              <w:top w:w="100" w:type="dxa"/>
              <w:left w:w="100" w:type="dxa"/>
              <w:bottom w:w="100" w:type="dxa"/>
              <w:right w:w="100" w:type="dxa"/>
            </w:tcMar>
          </w:tcPr>
          <w:p w14:paraId="28B54F79" w14:textId="77777777" w:rsidR="004640F1" w:rsidRDefault="00773669">
            <w:pPr>
              <w:widowControl w:val="0"/>
              <w:pBdr>
                <w:top w:val="nil"/>
                <w:left w:val="nil"/>
                <w:bottom w:val="nil"/>
                <w:right w:val="nil"/>
                <w:between w:val="nil"/>
              </w:pBdr>
              <w:spacing w:line="240" w:lineRule="auto"/>
              <w:rPr>
                <w:color w:val="000000"/>
              </w:rPr>
            </w:pPr>
            <w:r>
              <w:rPr>
                <w:color w:val="000000"/>
              </w:rPr>
              <w:t>9 months</w:t>
            </w:r>
          </w:p>
        </w:tc>
      </w:tr>
    </w:tbl>
    <w:p w14:paraId="4ED8B6C0" w14:textId="77777777" w:rsidR="004640F1" w:rsidRDefault="00773669">
      <w:pPr>
        <w:pBdr>
          <w:top w:val="nil"/>
          <w:left w:val="nil"/>
          <w:bottom w:val="nil"/>
          <w:right w:val="nil"/>
          <w:between w:val="nil"/>
        </w:pBdr>
        <w:jc w:val="center"/>
        <w:rPr>
          <w:b/>
          <w:color w:val="000000"/>
        </w:rPr>
      </w:pPr>
      <w:r>
        <w:rPr>
          <w:b/>
          <w:color w:val="000000"/>
        </w:rPr>
        <w:t>Tabular Form 2: SMART goals for the following program</w:t>
      </w:r>
    </w:p>
    <w:p w14:paraId="6AE7BF89" w14:textId="77777777" w:rsidR="004640F1" w:rsidRDefault="00773669">
      <w:pPr>
        <w:pBdr>
          <w:top w:val="nil"/>
          <w:left w:val="nil"/>
          <w:bottom w:val="nil"/>
          <w:right w:val="nil"/>
          <w:between w:val="nil"/>
        </w:pBdr>
        <w:jc w:val="center"/>
      </w:pPr>
      <w:r>
        <w:rPr>
          <w:color w:val="000000"/>
        </w:rPr>
        <w:t>(Source: self-created)</w:t>
      </w:r>
    </w:p>
    <w:p w14:paraId="57ABD82A" w14:textId="77777777" w:rsidR="004640F1" w:rsidRDefault="00773669">
      <w:pPr>
        <w:pStyle w:val="Heading1"/>
      </w:pPr>
      <w:bookmarkStart w:id="4" w:name="_heading=h.tlcpdoyq2pa" w:colFirst="0" w:colLast="0"/>
      <w:bookmarkStart w:id="5" w:name="_Toc160221226"/>
      <w:bookmarkEnd w:id="4"/>
      <w:r>
        <w:lastRenderedPageBreak/>
        <w:t>Event Operations</w:t>
      </w:r>
      <w:bookmarkEnd w:id="5"/>
    </w:p>
    <w:p w14:paraId="7690A496" w14:textId="77777777" w:rsidR="004640F1" w:rsidRDefault="00773669">
      <w:r>
        <w:rPr>
          <w:b/>
        </w:rPr>
        <w:t xml:space="preserve">Logistics Coordination: </w:t>
      </w:r>
      <w:r>
        <w:t>In order to make strategic planning for this event, the expert must handle transportation, lodging, and scheduling (Beisheim and Weinlich, 2023). Again, they need to coordinate arrivals and departures, and resource efficiency which may be helpful for reducing environmental impact.</w:t>
      </w:r>
    </w:p>
    <w:p w14:paraId="26070CD3" w14:textId="77777777" w:rsidR="004640F1" w:rsidRDefault="00773669">
      <w:r>
        <w:rPr>
          <w:b/>
        </w:rPr>
        <w:t xml:space="preserve">Technical Expertise: </w:t>
      </w:r>
      <w:r>
        <w:t>On the other hand,</w:t>
      </w:r>
      <w:r>
        <w:rPr>
          <w:b/>
        </w:rPr>
        <w:t xml:space="preserve"> </w:t>
      </w:r>
      <w:r>
        <w:t>audio-visual installations, virtual interaction platforms, and event tech can support the expertise for seamless integration and operation. Furthermore, it can resolve technical issues as well as ensure participants enjoy themselves.</w:t>
      </w:r>
    </w:p>
    <w:p w14:paraId="7783B7B7" w14:textId="77777777" w:rsidR="004640F1" w:rsidRDefault="00773669">
      <w:r>
        <w:rPr>
          <w:b/>
        </w:rPr>
        <w:t xml:space="preserve">Sustainability Training: </w:t>
      </w:r>
      <w:r>
        <w:t>Again,</w:t>
      </w:r>
      <w:r>
        <w:rPr>
          <w:b/>
        </w:rPr>
        <w:t xml:space="preserve"> </w:t>
      </w:r>
      <w:r>
        <w:t>the</w:t>
      </w:r>
      <w:r>
        <w:rPr>
          <w:b/>
        </w:rPr>
        <w:t xml:space="preserve"> </w:t>
      </w:r>
      <w:r>
        <w:t>staff of the event must be trained in sustainable methods to meet summit goals. In addition, it can help to reduce waste, recycling, and eco-friendly behaviors that can be promoted throughout the event.</w:t>
      </w:r>
    </w:p>
    <w:p w14:paraId="132BE91C" w14:textId="77777777" w:rsidR="004640F1" w:rsidRDefault="00773669">
      <w:r>
        <w:rPr>
          <w:b/>
        </w:rPr>
        <w:t xml:space="preserve">Catering Management: </w:t>
      </w:r>
      <w:r>
        <w:t>On the other hand, collaboration with caterers for local and sustainable food is important for this event. Again, staff has the ability to reduce food waste and use eco-friendly packaging in service.</w:t>
      </w:r>
    </w:p>
    <w:p w14:paraId="169A93F1" w14:textId="77777777" w:rsidR="004640F1" w:rsidRDefault="00773669">
      <w:r>
        <w:rPr>
          <w:b/>
        </w:rPr>
        <w:t xml:space="preserve">Venue Management: </w:t>
      </w:r>
      <w:r>
        <w:t>Similarly,</w:t>
      </w:r>
      <w:r>
        <w:rPr>
          <w:b/>
        </w:rPr>
        <w:t xml:space="preserve"> </w:t>
      </w:r>
      <w:r>
        <w:t>GreenVista Convention Centre administration must be efficient. They need to use solar panels and energy-efficient lighting at the venue. Again, staff must also check venue availability as well as maintain suitability for the event.</w:t>
      </w:r>
    </w:p>
    <w:p w14:paraId="432A43F1" w14:textId="77777777" w:rsidR="004640F1" w:rsidRDefault="00773669">
      <w:r>
        <w:rPr>
          <w:b/>
        </w:rPr>
        <w:t xml:space="preserve">Communication and Teamwork: </w:t>
      </w:r>
      <w:r>
        <w:t>Again, event coordination needs good communication and teamwork which can help staff to conduct this event. Furthermore, employees need to adopt teamwork, problem-solving, and clear communication which can enable smooth operations and address difficulties.</w:t>
      </w:r>
    </w:p>
    <w:p w14:paraId="477D41A7" w14:textId="77777777" w:rsidR="004640F1" w:rsidRDefault="00773669">
      <w:pPr>
        <w:pStyle w:val="Heading1"/>
      </w:pPr>
      <w:bookmarkStart w:id="6" w:name="_heading=h.w8bj56mkpzoq" w:colFirst="0" w:colLast="0"/>
      <w:bookmarkStart w:id="7" w:name="_Toc160221227"/>
      <w:bookmarkEnd w:id="6"/>
      <w:r>
        <w:lastRenderedPageBreak/>
        <w:t>Event Budget</w:t>
      </w:r>
      <w:bookmarkEnd w:id="7"/>
    </w:p>
    <w:p w14:paraId="13617783" w14:textId="1D328F8B" w:rsidR="007B7457" w:rsidRPr="007B7457" w:rsidRDefault="007B7457" w:rsidP="007B7457">
      <w:pPr>
        <w:pStyle w:val="Normal1"/>
      </w:pPr>
      <w:r>
        <w:rPr>
          <w:noProof/>
        </w:rPr>
        <w:drawing>
          <wp:inline distT="0" distB="0" distL="0" distR="0" wp14:anchorId="37B98EC1" wp14:editId="2BF6D5A0">
            <wp:extent cx="5943600" cy="3343275"/>
            <wp:effectExtent l="0" t="0" r="0" b="9525"/>
            <wp:docPr id="14459265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92656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07B7A078" w14:textId="77777777" w:rsidR="004640F1" w:rsidRDefault="00773669">
      <w:pPr>
        <w:jc w:val="center"/>
        <w:rPr>
          <w:b/>
          <w:sz w:val="28"/>
          <w:szCs w:val="28"/>
        </w:rPr>
      </w:pPr>
      <w:r>
        <w:rPr>
          <w:color w:val="000000"/>
        </w:rPr>
        <w:t>(Source: self-created)</w:t>
      </w:r>
    </w:p>
    <w:p w14:paraId="2A93DCDC" w14:textId="77777777" w:rsidR="004640F1" w:rsidRDefault="004640F1">
      <w:pPr>
        <w:jc w:val="center"/>
        <w:rPr>
          <w:b/>
          <w:sz w:val="28"/>
          <w:szCs w:val="28"/>
        </w:rPr>
      </w:pPr>
    </w:p>
    <w:p w14:paraId="058C9F6B" w14:textId="77777777" w:rsidR="004640F1" w:rsidRDefault="00773669">
      <w:r>
        <w:t xml:space="preserve">Based on the above event budget which can help zero-waste budgeting is a popular and effective event sustainability practice. This can save money, minimize the effects on the environment, and boost a good name. Local and seasonal food and beverages and eliminating single-use plastics and disposables are zero-waste budgeting strategies. Digital platforms and tools can replace printed documentation and badges for registration, communication, and feedback. Choose locations and suppliers with environmentally friendly credentials and practices, and negotiate waste management and recycling options. </w:t>
      </w:r>
    </w:p>
    <w:p w14:paraId="7ECC87E3" w14:textId="77777777" w:rsidR="004640F1" w:rsidRDefault="00773669">
      <w:pPr>
        <w:pStyle w:val="Heading1"/>
      </w:pPr>
      <w:bookmarkStart w:id="8" w:name="_heading=h.1kuwdv61gix1" w:colFirst="0" w:colLast="0"/>
      <w:bookmarkStart w:id="9" w:name="_Toc160221228"/>
      <w:bookmarkEnd w:id="8"/>
      <w:r>
        <w:t>Industry Trends</w:t>
      </w:r>
      <w:bookmarkEnd w:id="9"/>
    </w:p>
    <w:p w14:paraId="0785FC44" w14:textId="77777777" w:rsidR="004640F1" w:rsidRDefault="00773669">
      <w:r>
        <w:t>On the other hand, a number of trends are changing the meetings and events business. Again, the event of “The Sustainable Summit 2024” may be influenced by these meetings and events based on the industry trends:</w:t>
      </w:r>
    </w:p>
    <w:p w14:paraId="3A2B664A" w14:textId="77777777" w:rsidR="004640F1" w:rsidRDefault="00773669">
      <w:r>
        <w:rPr>
          <w:b/>
        </w:rPr>
        <w:t>Hybrid and Virtual Events:</w:t>
      </w:r>
      <w:r>
        <w:t xml:space="preserve"> On the other hand, technology is driving hybrid and virtual events that can allow participants to attend remotely. “The Sustainable Summit 2024” may use virtual </w:t>
      </w:r>
      <w:r>
        <w:lastRenderedPageBreak/>
        <w:t>interaction platforms, live streaming, and interactive seminars that can help employees reach more people as well as which can help to reduce trip emissions.</w:t>
      </w:r>
    </w:p>
    <w:p w14:paraId="2DFFF775" w14:textId="77777777" w:rsidR="004640F1" w:rsidRDefault="00773669">
      <w:r>
        <w:rPr>
          <w:b/>
        </w:rPr>
        <w:t xml:space="preserve">Sustainability Focus: </w:t>
      </w:r>
      <w:r>
        <w:t xml:space="preserve">The term sustainable events which are becoming more popular as companies aim to reduce their environmental effect (Nadeau </w:t>
      </w:r>
      <w:r>
        <w:rPr>
          <w:i/>
        </w:rPr>
        <w:t xml:space="preserve">et al., </w:t>
      </w:r>
      <w:r>
        <w:t>2024). Therefore, the “Sustainable Summit 2024” can promote an eco-friendly strategy and they need to use sustainable event materials, and implement carbon offsets and waste reduction.</w:t>
      </w:r>
    </w:p>
    <w:p w14:paraId="4FC4FD6C" w14:textId="77777777" w:rsidR="004640F1" w:rsidRDefault="00773669">
      <w:r>
        <w:rPr>
          <w:b/>
        </w:rPr>
        <w:t>Personalized Experiences:</w:t>
      </w:r>
      <w:r>
        <w:t xml:space="preserve"> On the other hand, people who need to attend these events want to have their unique interests and needs met. “The Sustainable Summit 2024” can follow this trend by offering personalised workshops, interactive activities, and networking opportunities for sustainability participants that pertain to different businesses and demographics at the present time.</w:t>
      </w:r>
    </w:p>
    <w:p w14:paraId="533B01BC" w14:textId="77777777" w:rsidR="004640F1" w:rsidRDefault="00773669">
      <w:r>
        <w:rPr>
          <w:b/>
        </w:rPr>
        <w:t>Health and Safety Measures:</w:t>
      </w:r>
      <w:r>
        <w:t xml:space="preserve"> Again, health and safety are the main priorities for activities due to the COVID-19 pandemic. Similarly, social distancing can improve sanitation, and flexible attendance may be needed to ensure the participant's safety at the “Sustainable Summit 2024”.</w:t>
      </w:r>
    </w:p>
    <w:p w14:paraId="19BE598C" w14:textId="77777777" w:rsidR="004640F1" w:rsidRDefault="00773669">
      <w:r>
        <w:rPr>
          <w:b/>
        </w:rPr>
        <w:t>Digital Transformation:</w:t>
      </w:r>
      <w:r>
        <w:t xml:space="preserve"> On the other hand, in this digital edge, digital transformation plays a significant role in this event. Again, event management software, smartphone apps, and data analytics are digitising the events business. The term “The Sustainable Summit 2024” needs to use these technologies which can improve event logistics participant engagement, and planning insights.</w:t>
      </w:r>
    </w:p>
    <w:p w14:paraId="367E17F1" w14:textId="77777777" w:rsidR="004640F1" w:rsidRDefault="00773669">
      <w:r>
        <w:rPr>
          <w:b/>
        </w:rPr>
        <w:t>Community Engagement:</w:t>
      </w:r>
      <w:r>
        <w:t xml:space="preserve"> Similarly, the terms of community participation and social responsibility are expanding in the events sector. The concept of “The Sustainable Summit 2024” can create community alliances, and work with local sustainability projects. They need to encourage meaningful discussions and collaboration which can improve social and environmental conditions.</w:t>
      </w:r>
    </w:p>
    <w:p w14:paraId="1E69485A" w14:textId="77777777" w:rsidR="004640F1" w:rsidRDefault="00773669">
      <w:pPr>
        <w:pStyle w:val="Heading1"/>
      </w:pPr>
      <w:bookmarkStart w:id="10" w:name="_heading=h.qelvldktrkd6" w:colFirst="0" w:colLast="0"/>
      <w:bookmarkStart w:id="11" w:name="_Toc160221229"/>
      <w:bookmarkEnd w:id="10"/>
      <w:r>
        <w:t>Cultural and Situational Considerations</w:t>
      </w:r>
      <w:bookmarkEnd w:id="11"/>
    </w:p>
    <w:p w14:paraId="48096954" w14:textId="77777777" w:rsidR="004640F1" w:rsidRDefault="00773669">
      <w:r>
        <w:t>At the present time, the environment and success of the “Sustainable Summit 2024” can be dependent on cultural and situational aspects. These factors can impact the event attendance, communication, and efficacy also. The following discussion presents the cultural and situational factors that are impacting the meeting and event:</w:t>
      </w:r>
    </w:p>
    <w:p w14:paraId="2C1AA40B" w14:textId="77777777" w:rsidR="004640F1" w:rsidRDefault="00773669">
      <w:r>
        <w:rPr>
          <w:b/>
        </w:rPr>
        <w:t>Cultural Diversity:</w:t>
      </w:r>
      <w:r>
        <w:t xml:space="preserve"> “The Sustainable Summit 2024” may draw varied cultures at the present time in the UK. In order to promote inclusivity which can encourage good communication, and create </w:t>
      </w:r>
      <w:r>
        <w:lastRenderedPageBreak/>
        <w:t>an atmosphere where all participants can feel valued and involved (Mensah, Wieck and Rudloff, 2024). Therefore, it is essential to understand and respect cultural differences among employees.</w:t>
      </w:r>
    </w:p>
    <w:p w14:paraId="1513FC63" w14:textId="77777777" w:rsidR="004640F1" w:rsidRDefault="00773669">
      <w:r>
        <w:rPr>
          <w:b/>
        </w:rPr>
        <w:t>Environmental Awareness:</w:t>
      </w:r>
      <w:r>
        <w:t xml:space="preserve"> On the other hand, environmental awareness and sustainability vary by location and community. Again, they need to understand the cultural context of environmental attitudes and behaviors that can assist adapt messages and initiatives to participants and maximize event effect.</w:t>
      </w:r>
    </w:p>
    <w:p w14:paraId="3AC612E5" w14:textId="77777777" w:rsidR="004640F1" w:rsidRDefault="00773669">
      <w:r>
        <w:rPr>
          <w:b/>
        </w:rPr>
        <w:t>Local Customs and Practices:</w:t>
      </w:r>
      <w:r>
        <w:t xml:space="preserve"> Again, the term of the event in the UK at the GreenVista Convention Centre, needs to consider local customs, norms, and regulations (Xing </w:t>
      </w:r>
      <w:r>
        <w:rPr>
          <w:i/>
        </w:rPr>
        <w:t>et al.,</w:t>
      </w:r>
      <w:r>
        <w:t xml:space="preserve"> 2024). Furthermore, language preferences, dietary limitations, and cultural conventions may impact event logistics, catering, and programming.</w:t>
      </w:r>
    </w:p>
    <w:p w14:paraId="5BCFA61E" w14:textId="77777777" w:rsidR="004640F1" w:rsidRDefault="00773669">
      <w:r>
        <w:rPr>
          <w:b/>
        </w:rPr>
        <w:t xml:space="preserve">Socio-economic Factors: </w:t>
      </w:r>
      <w:r>
        <w:t>Similarly, income, resources, and education can impact participants in the sustainability priorities. It may help to understand different variables that can help create inclusive programming and make it accessible and relevant for all participants.</w:t>
      </w:r>
    </w:p>
    <w:p w14:paraId="4824BF50" w14:textId="77777777" w:rsidR="004640F1" w:rsidRDefault="00773669">
      <w:r>
        <w:rPr>
          <w:b/>
        </w:rPr>
        <w:t>Political and Legal Landscape:</w:t>
      </w:r>
      <w:r>
        <w:t xml:space="preserve"> On the other hand, national and international politics and law can affect sustainability regulations and policies in the UK. Again, compliance and events legal issues require to remain conscious of current policies, legislation, and changes in the UK.</w:t>
      </w:r>
    </w:p>
    <w:p w14:paraId="44CC47EA" w14:textId="77777777" w:rsidR="004640F1" w:rsidRDefault="00773669">
      <w:r>
        <w:rPr>
          <w:b/>
        </w:rPr>
        <w:t>Global Events and Issues:</w:t>
      </w:r>
      <w:r>
        <w:t xml:space="preserve"> “The Sustainable Summit 2024” may be impacted by global sustainability also. It may also include climate change and environmental challenges. Similarly, these historical factors can change communication to address emergent issues and maximise collaboration and engagement.</w:t>
      </w:r>
    </w:p>
    <w:p w14:paraId="6BEFAC67" w14:textId="77777777" w:rsidR="004640F1" w:rsidRDefault="00773669">
      <w:pPr>
        <w:pStyle w:val="Heading1"/>
      </w:pPr>
      <w:bookmarkStart w:id="12" w:name="_heading=h.2kkvdookkfzj" w:colFirst="0" w:colLast="0"/>
      <w:bookmarkStart w:id="13" w:name="_Toc160221230"/>
      <w:bookmarkEnd w:id="12"/>
      <w:r>
        <w:t>Conclusion</w:t>
      </w:r>
      <w:bookmarkEnd w:id="13"/>
    </w:p>
    <w:p w14:paraId="64B5E7CC" w14:textId="77777777" w:rsidR="004640F1" w:rsidRDefault="00773669">
      <w:r>
        <w:t xml:space="preserve">In conclusion, logistic coordination, efficiency training, catering management, and venue sustainability. It also relates to communication, and cooperation is essential for the “Sustainable Summit 2024's” success. On the other hand, hybrid and virtual events, sustainability, personalised experiences to health and safety. In addition, digital transformation and social responsibility help the summit navigate the changing meetings and events landscape. Again, inclusivity, concern for the environment, local norms and practices, and socio-economic sensitivity. Similarly, political and legal conformity depends on cultural and situational factors. Furthermore, cultural diversity, environmental opinions, and socioeconomic gaps must be understood and respected which can create a friendly and impactful environment. By connecting with global events that can address </w:t>
      </w:r>
      <w:r>
        <w:lastRenderedPageBreak/>
        <w:t>sustainability issues, the summit can gain significance and effect. By adopting new concerns, which can promote collaboration, and engage stakeholders, the summit may drive local and global change. Therefore, “The Sustainable Summit 2024” can promote sustainability, innovation, and collaboration. Again, this study has discussed how technical skills, sustainability measures, and cultural awareness can help the summit meet its aims and set a pattern for future meetings. Moreover, the summit can lead to a more sustainable and inclusive events sector and beyond through collaboration, commitment, and forward-thinking concepts.</w:t>
      </w:r>
    </w:p>
    <w:p w14:paraId="318A6B08" w14:textId="77777777" w:rsidR="004640F1" w:rsidRDefault="004640F1"/>
    <w:p w14:paraId="2638D74B" w14:textId="77777777" w:rsidR="004640F1" w:rsidRDefault="00773669">
      <w:pPr>
        <w:pStyle w:val="Heading1"/>
      </w:pPr>
      <w:bookmarkStart w:id="14" w:name="_heading=h.r7hhikmtxyxu" w:colFirst="0" w:colLast="0"/>
      <w:bookmarkEnd w:id="14"/>
      <w:r>
        <w:br w:type="page"/>
      </w:r>
    </w:p>
    <w:p w14:paraId="6DA8135D" w14:textId="77777777" w:rsidR="004640F1" w:rsidRDefault="00773669">
      <w:pPr>
        <w:pStyle w:val="Heading1"/>
        <w:rPr>
          <w:sz w:val="24"/>
          <w:szCs w:val="24"/>
        </w:rPr>
      </w:pPr>
      <w:bookmarkStart w:id="15" w:name="_Toc160221231"/>
      <w:r>
        <w:lastRenderedPageBreak/>
        <w:t>References</w:t>
      </w:r>
      <w:bookmarkEnd w:id="15"/>
    </w:p>
    <w:p w14:paraId="63FBBCB0" w14:textId="77777777" w:rsidR="0037320D" w:rsidRDefault="0037320D">
      <w:pPr>
        <w:pBdr>
          <w:top w:val="nil"/>
          <w:left w:val="nil"/>
          <w:bottom w:val="nil"/>
          <w:right w:val="nil"/>
          <w:between w:val="nil"/>
        </w:pBdr>
      </w:pPr>
      <w:r>
        <w:t xml:space="preserve">Almuwailhi, A. and Zeitoun, O., (2023). Investigating the cooling of solar photovoltaic modules under the conditions of Riyadh. </w:t>
      </w:r>
      <w:r>
        <w:rPr>
          <w:i/>
        </w:rPr>
        <w:t>Journal of King Saud University-Engineering Sciences</w:t>
      </w:r>
      <w:r>
        <w:t xml:space="preserve">, </w:t>
      </w:r>
      <w:r>
        <w:rPr>
          <w:i/>
        </w:rPr>
        <w:t>35</w:t>
      </w:r>
      <w:r>
        <w:t>(2), pp.123-136.</w:t>
      </w:r>
    </w:p>
    <w:p w14:paraId="4B8286FA" w14:textId="1F38B6F0" w:rsidR="0037320D" w:rsidRDefault="0037320D">
      <w:r>
        <w:t>Beisheim, M. and Weinlich, S., (2023). Germany and Namibia as co-leads for the United Nations: chances and challenges on the road to the 2024 UN Summit of the Future (No. 3/2023). SWP Comment</w:t>
      </w:r>
    </w:p>
    <w:p w14:paraId="6980F2E5" w14:textId="6C1AD25F" w:rsidR="0037320D" w:rsidRDefault="0037320D">
      <w:pPr>
        <w:pBdr>
          <w:top w:val="nil"/>
          <w:left w:val="nil"/>
          <w:bottom w:val="nil"/>
          <w:right w:val="nil"/>
          <w:between w:val="nil"/>
        </w:pBdr>
      </w:pPr>
      <w:r>
        <w:t xml:space="preserve">EventCycle.Org, (2024). </w:t>
      </w:r>
      <w:r>
        <w:rPr>
          <w:i/>
        </w:rPr>
        <w:t>Who we are</w:t>
      </w:r>
      <w:r w:rsidR="00053D42">
        <w:t xml:space="preserve"> </w:t>
      </w:r>
      <w:r>
        <w:t>Event Cycle. Available at:</w:t>
      </w:r>
      <w:r w:rsidR="00053D42">
        <w:t xml:space="preserve"> </w:t>
      </w:r>
      <w:hyperlink r:id="rId12" w:history="1">
        <w:r w:rsidR="00053D42">
          <w:rPr>
            <w:rStyle w:val="Hyperlink"/>
          </w:rPr>
          <w:t>Who we are | Event Cycle</w:t>
        </w:r>
      </w:hyperlink>
      <w:r w:rsidR="00053D42">
        <w:t xml:space="preserve"> </w:t>
      </w:r>
      <w:r>
        <w:t xml:space="preserve">(Accessed: </w:t>
      </w:r>
      <w:r w:rsidR="00053D42">
        <w:t xml:space="preserve">29 February </w:t>
      </w:r>
      <w:r>
        <w:t>2024)</w:t>
      </w:r>
    </w:p>
    <w:p w14:paraId="57D4F145" w14:textId="77777777" w:rsidR="00053D42" w:rsidRDefault="00053D42">
      <w:pPr>
        <w:pBdr>
          <w:top w:val="nil"/>
          <w:left w:val="nil"/>
          <w:bottom w:val="nil"/>
          <w:right w:val="nil"/>
          <w:between w:val="nil"/>
        </w:pBdr>
      </w:pPr>
    </w:p>
    <w:p w14:paraId="562ABE23" w14:textId="77777777" w:rsidR="00053D42" w:rsidRDefault="0037320D" w:rsidP="00053D42">
      <w:pPr>
        <w:pBdr>
          <w:top w:val="nil"/>
          <w:left w:val="nil"/>
          <w:bottom w:val="nil"/>
          <w:right w:val="nil"/>
          <w:between w:val="nil"/>
        </w:pBdr>
      </w:pPr>
      <w:r>
        <w:t xml:space="preserve">GOV.UK, (2024). </w:t>
      </w:r>
      <w:r>
        <w:rPr>
          <w:i/>
        </w:rPr>
        <w:t>Net Zero Government Initiative: UK roadmap to net zero government emissions</w:t>
      </w:r>
      <w:r>
        <w:t xml:space="preserve">  Available at: </w:t>
      </w:r>
      <w:hyperlink r:id="rId13" w:history="1">
        <w:r w:rsidR="00053D42">
          <w:rPr>
            <w:rStyle w:val="Hyperlink"/>
          </w:rPr>
          <w:t>Net Zero Government Initiative: UK roadmap to net zero government emissions (publishing.service.gov.uk)</w:t>
        </w:r>
      </w:hyperlink>
      <w:r w:rsidR="00053D42">
        <w:t xml:space="preserve">  </w:t>
      </w:r>
      <w:r w:rsidR="00053D42">
        <w:t>(Accessed: 29 February 2024)</w:t>
      </w:r>
    </w:p>
    <w:p w14:paraId="12F31F60" w14:textId="40CD2107" w:rsidR="0037320D" w:rsidRDefault="0037320D">
      <w:pPr>
        <w:pBdr>
          <w:top w:val="nil"/>
          <w:left w:val="nil"/>
          <w:bottom w:val="nil"/>
          <w:right w:val="nil"/>
          <w:between w:val="nil"/>
        </w:pBdr>
      </w:pPr>
    </w:p>
    <w:p w14:paraId="140753BC" w14:textId="77777777" w:rsidR="0037320D" w:rsidRDefault="0037320D">
      <w:pPr>
        <w:pBdr>
          <w:top w:val="nil"/>
          <w:left w:val="nil"/>
          <w:bottom w:val="nil"/>
          <w:right w:val="nil"/>
          <w:between w:val="nil"/>
        </w:pBdr>
      </w:pPr>
      <w:r>
        <w:t xml:space="preserve">Holmes, K. and Ali-Knight, J., (2017). The event and festival life cycle–developing a new model for a new context. </w:t>
      </w:r>
      <w:r>
        <w:rPr>
          <w:i/>
        </w:rPr>
        <w:t>International Journal of Contemporary Hospitality Management</w:t>
      </w:r>
      <w:r>
        <w:t xml:space="preserve">, </w:t>
      </w:r>
      <w:r>
        <w:rPr>
          <w:i/>
        </w:rPr>
        <w:t>29</w:t>
      </w:r>
      <w:r>
        <w:t>(3), pp.986-1004.</w:t>
      </w:r>
    </w:p>
    <w:p w14:paraId="6F7606C1" w14:textId="77777777" w:rsidR="00053D42" w:rsidRDefault="00053D42">
      <w:pPr>
        <w:pBdr>
          <w:top w:val="nil"/>
          <w:left w:val="nil"/>
          <w:bottom w:val="nil"/>
          <w:right w:val="nil"/>
          <w:between w:val="nil"/>
        </w:pBdr>
      </w:pPr>
    </w:p>
    <w:p w14:paraId="78240D10" w14:textId="2BC107DA" w:rsidR="0037320D" w:rsidRDefault="0037320D">
      <w:pPr>
        <w:pBdr>
          <w:top w:val="nil"/>
          <w:left w:val="nil"/>
          <w:bottom w:val="nil"/>
          <w:right w:val="nil"/>
          <w:between w:val="nil"/>
        </w:pBdr>
      </w:pPr>
      <w:r>
        <w:t xml:space="preserve">International Institute of Sustainable Development, (2021). </w:t>
      </w:r>
      <w:r>
        <w:rPr>
          <w:i/>
        </w:rPr>
        <w:t>Event: World Sustainable Development Summit 2024 | SDG Knowledge Hub</w:t>
      </w:r>
      <w:r w:rsidR="00053D42">
        <w:t xml:space="preserve"> </w:t>
      </w:r>
      <w:r>
        <w:t xml:space="preserve">IISD. Available at: </w:t>
      </w:r>
      <w:hyperlink r:id="rId14" w:history="1">
        <w:r w:rsidR="00053D42">
          <w:rPr>
            <w:rStyle w:val="Hyperlink"/>
          </w:rPr>
          <w:t>Event: World Sustainable Development Summit 2024 | SDG Knowledge Hub | IISD</w:t>
        </w:r>
      </w:hyperlink>
      <w:r w:rsidR="00053D42">
        <w:t xml:space="preserve"> </w:t>
      </w:r>
      <w:r>
        <w:t xml:space="preserve">(Accessed: </w:t>
      </w:r>
      <w:r w:rsidR="00CF48CB">
        <w:t>28 February</w:t>
      </w:r>
      <w:r>
        <w:t xml:space="preserve"> 2024)</w:t>
      </w:r>
    </w:p>
    <w:p w14:paraId="2DC41F2A" w14:textId="77777777" w:rsidR="00053D42" w:rsidRDefault="00053D42">
      <w:pPr>
        <w:pBdr>
          <w:top w:val="nil"/>
          <w:left w:val="nil"/>
          <w:bottom w:val="nil"/>
          <w:right w:val="nil"/>
          <w:between w:val="nil"/>
        </w:pBdr>
      </w:pPr>
    </w:p>
    <w:p w14:paraId="1A1620BE" w14:textId="57EC6759" w:rsidR="0037320D" w:rsidRDefault="0037320D">
      <w:pPr>
        <w:pBdr>
          <w:top w:val="nil"/>
          <w:left w:val="nil"/>
          <w:bottom w:val="nil"/>
          <w:right w:val="nil"/>
          <w:between w:val="nil"/>
        </w:pBdr>
      </w:pPr>
      <w:r>
        <w:t xml:space="preserve">Leng, J., Sha, W., Wang, B., Zheng, P., Zhuang, C., Liu, Q., Wuest, T., Mourtzis, D. and Wang, L., (2022). Industry 5.0: Prospect and retrospect. </w:t>
      </w:r>
      <w:r>
        <w:rPr>
          <w:i/>
        </w:rPr>
        <w:t>Journal of Manufacturing Systems</w:t>
      </w:r>
      <w:r>
        <w:t xml:space="preserve">, </w:t>
      </w:r>
      <w:r>
        <w:rPr>
          <w:i/>
        </w:rPr>
        <w:t>65</w:t>
      </w:r>
      <w:r>
        <w:t>, pp.279-295</w:t>
      </w:r>
    </w:p>
    <w:p w14:paraId="5DF2CB4C" w14:textId="23459A0D" w:rsidR="0037320D" w:rsidRDefault="0037320D">
      <w:pPr>
        <w:pBdr>
          <w:top w:val="nil"/>
          <w:left w:val="nil"/>
          <w:bottom w:val="nil"/>
          <w:right w:val="nil"/>
          <w:between w:val="nil"/>
        </w:pBdr>
      </w:pPr>
      <w:r>
        <w:t xml:space="preserve">Lundberg, F., (2018). A vision for zero carbon emissions in the Nordic-Baltic region by about 2030. </w:t>
      </w:r>
      <w:r>
        <w:rPr>
          <w:i/>
        </w:rPr>
        <w:t>Air Pollution &amp; Climate Secretariat: Göteborg, Sweden</w:t>
      </w:r>
    </w:p>
    <w:p w14:paraId="16BEAA10" w14:textId="77777777" w:rsidR="00053D42" w:rsidRDefault="00053D42">
      <w:pPr>
        <w:pBdr>
          <w:top w:val="nil"/>
          <w:left w:val="nil"/>
          <w:bottom w:val="nil"/>
          <w:right w:val="nil"/>
          <w:between w:val="nil"/>
        </w:pBdr>
      </w:pPr>
    </w:p>
    <w:p w14:paraId="466E1E3E" w14:textId="77777777" w:rsidR="0037320D" w:rsidRDefault="0037320D">
      <w:r>
        <w:t>Mensah, K., Wieck, C. and Rudloff, B., (2024). Sustainable food consumption and Sustainable Development Goal 12: Conceptual challenges for monitoring and implementation. Sustainable Development, 32(1), pp.1109-1119.</w:t>
      </w:r>
    </w:p>
    <w:p w14:paraId="098AFF20" w14:textId="2B8EF06B" w:rsidR="0037320D" w:rsidRDefault="0037320D">
      <w:r>
        <w:lastRenderedPageBreak/>
        <w:t>Nadeau, C.P., Hughes, A.R., Schneider, E.G., Colarusso, P., Fisichelli, N.A. and Miller-Rushing, A.J., (2024). Incorporating experiments into management to facilitate rapid learning about climate change adaptation. Biological Conservation, 289, p.110374</w:t>
      </w:r>
    </w:p>
    <w:p w14:paraId="08AB0125" w14:textId="77777777" w:rsidR="00053D42" w:rsidRDefault="00053D42"/>
    <w:p w14:paraId="346A36DB" w14:textId="17F28125" w:rsidR="0037320D" w:rsidRDefault="0037320D">
      <w:pPr>
        <w:pBdr>
          <w:top w:val="nil"/>
          <w:left w:val="nil"/>
          <w:bottom w:val="nil"/>
          <w:right w:val="nil"/>
          <w:between w:val="nil"/>
        </w:pBdr>
      </w:pPr>
      <w:r>
        <w:t xml:space="preserve">Statista, (2024). </w:t>
      </w:r>
      <w:r>
        <w:rPr>
          <w:i/>
        </w:rPr>
        <w:t>UK: travel carbon footprint by transport mode 2023</w:t>
      </w:r>
      <w:r>
        <w:t xml:space="preserve">  Statista. Available at: </w:t>
      </w:r>
      <w:hyperlink r:id="rId15" w:history="1">
        <w:r w:rsidR="00053D42">
          <w:rPr>
            <w:rStyle w:val="Hyperlink"/>
          </w:rPr>
          <w:t>UK: travel carbon footprint by transport mode 2023 | Statista</w:t>
        </w:r>
      </w:hyperlink>
      <w:r w:rsidR="00053D42">
        <w:t xml:space="preserve">  </w:t>
      </w:r>
      <w:r>
        <w:t>(</w:t>
      </w:r>
      <w:r w:rsidR="00CF48CB">
        <w:t>Accessed: 28 February 2024)</w:t>
      </w:r>
    </w:p>
    <w:p w14:paraId="1903196D" w14:textId="77777777" w:rsidR="00053D42" w:rsidRDefault="00053D42">
      <w:pPr>
        <w:pBdr>
          <w:top w:val="nil"/>
          <w:left w:val="nil"/>
          <w:bottom w:val="nil"/>
          <w:right w:val="nil"/>
          <w:between w:val="nil"/>
        </w:pBdr>
      </w:pPr>
    </w:p>
    <w:p w14:paraId="69C74D4B" w14:textId="26F32B43" w:rsidR="0037320D" w:rsidRDefault="0037320D">
      <w:pPr>
        <w:pBdr>
          <w:top w:val="nil"/>
          <w:left w:val="nil"/>
          <w:bottom w:val="nil"/>
          <w:right w:val="nil"/>
          <w:between w:val="nil"/>
        </w:pBdr>
      </w:pPr>
      <w:r>
        <w:t xml:space="preserve">Streimikiene, D., Svagzdiene, B., Jasinskas, E. and Simanavicius, A., (2021). Sustainable tourism development and competitiveness: The systematic literature review. </w:t>
      </w:r>
      <w:r>
        <w:rPr>
          <w:i/>
        </w:rPr>
        <w:t>Sustainable development</w:t>
      </w:r>
      <w:r>
        <w:t xml:space="preserve">, </w:t>
      </w:r>
      <w:r>
        <w:rPr>
          <w:i/>
        </w:rPr>
        <w:t>29</w:t>
      </w:r>
      <w:r>
        <w:t>(1), pp.259-271</w:t>
      </w:r>
    </w:p>
    <w:p w14:paraId="0780FD8D" w14:textId="77777777" w:rsidR="00053D42" w:rsidRDefault="00053D42">
      <w:pPr>
        <w:pBdr>
          <w:top w:val="nil"/>
          <w:left w:val="nil"/>
          <w:bottom w:val="nil"/>
          <w:right w:val="nil"/>
          <w:between w:val="nil"/>
        </w:pBdr>
      </w:pPr>
    </w:p>
    <w:p w14:paraId="1DED1901" w14:textId="00FA271F" w:rsidR="0037320D" w:rsidRDefault="0037320D">
      <w:pPr>
        <w:pBdr>
          <w:top w:val="nil"/>
          <w:left w:val="nil"/>
          <w:bottom w:val="nil"/>
          <w:right w:val="nil"/>
          <w:between w:val="nil"/>
        </w:pBdr>
      </w:pPr>
      <w:r>
        <w:t xml:space="preserve">United Nations, (2024). </w:t>
      </w:r>
      <w:r>
        <w:rPr>
          <w:i/>
        </w:rPr>
        <w:t>World summit on sustainable development.</w:t>
      </w:r>
      <w:r>
        <w:t xml:space="preserve"> Available at: </w:t>
      </w:r>
      <w:hyperlink r:id="rId16" w:history="1">
        <w:r w:rsidR="00053D42">
          <w:rPr>
            <w:rStyle w:val="Hyperlink"/>
          </w:rPr>
          <w:t>WSSD_PlanImpl.doc (un.org)</w:t>
        </w:r>
      </w:hyperlink>
      <w:r w:rsidR="00CF48CB">
        <w:t xml:space="preserve"> (</w:t>
      </w:r>
      <w:r w:rsidR="00CF48CB">
        <w:t>Accessed: 28 February 2024)</w:t>
      </w:r>
    </w:p>
    <w:p w14:paraId="3D249335" w14:textId="77777777" w:rsidR="00053D42" w:rsidRDefault="00053D42">
      <w:pPr>
        <w:pBdr>
          <w:top w:val="nil"/>
          <w:left w:val="nil"/>
          <w:bottom w:val="nil"/>
          <w:right w:val="nil"/>
          <w:between w:val="nil"/>
        </w:pBdr>
        <w:rPr>
          <w:color w:val="000000"/>
        </w:rPr>
      </w:pPr>
    </w:p>
    <w:p w14:paraId="2BE4FE47" w14:textId="00150FF9" w:rsidR="0037320D" w:rsidRDefault="0037320D">
      <w:r>
        <w:t xml:space="preserve">Vourdoubas, J., (2021). Islands with zero net carbon footprint due to electricity use. The case of Crete, Greece. European Journal of </w:t>
      </w:r>
      <w:r>
        <w:rPr>
          <w:i/>
        </w:rPr>
        <w:t>Environment and Earth Sciences</w:t>
      </w:r>
      <w:r>
        <w:t xml:space="preserve">, </w:t>
      </w:r>
      <w:r>
        <w:rPr>
          <w:i/>
        </w:rPr>
        <w:t>2</w:t>
      </w:r>
      <w:r>
        <w:t>(1), pp.37-43</w:t>
      </w:r>
    </w:p>
    <w:p w14:paraId="38100D7D" w14:textId="77777777" w:rsidR="00383787" w:rsidRDefault="00383787"/>
    <w:p w14:paraId="0AFBA524" w14:textId="5AE23D17" w:rsidR="0037320D" w:rsidRDefault="0037320D">
      <w:pPr>
        <w:pBdr>
          <w:top w:val="nil"/>
          <w:left w:val="nil"/>
          <w:bottom w:val="nil"/>
          <w:right w:val="nil"/>
          <w:between w:val="nil"/>
        </w:pBdr>
      </w:pPr>
      <w:r>
        <w:t xml:space="preserve">Walton, H., Dajnak, D., Beevers, S., Williams, M., Watkiss, P. and Hunt, A., (2015). Understanding the health impacts of air pollution in London. </w:t>
      </w:r>
      <w:r>
        <w:rPr>
          <w:i/>
        </w:rPr>
        <w:t>London: Kings College London, Transport for London and the Greater London Authority</w:t>
      </w:r>
      <w:r>
        <w:t xml:space="preserve">, </w:t>
      </w:r>
      <w:r>
        <w:rPr>
          <w:i/>
        </w:rPr>
        <w:t>1</w:t>
      </w:r>
      <w:r>
        <w:t>(1), pp.6-14</w:t>
      </w:r>
    </w:p>
    <w:p w14:paraId="420C842A" w14:textId="77777777" w:rsidR="00383787" w:rsidRDefault="00383787">
      <w:pPr>
        <w:pBdr>
          <w:top w:val="nil"/>
          <w:left w:val="nil"/>
          <w:bottom w:val="nil"/>
          <w:right w:val="nil"/>
          <w:between w:val="nil"/>
        </w:pBdr>
      </w:pPr>
    </w:p>
    <w:p w14:paraId="72FB0428" w14:textId="7537046A" w:rsidR="0037320D" w:rsidRDefault="0037320D">
      <w:r>
        <w:t>Xing, H., Husain, S., Simionescu, M., Ghosh, S. and Zhao, X., (2024). Role of green innovation technologies and urbanization growth for energy demand: Contextual evidence from G7 countries. Gondwana Research, 129, pp.220-238</w:t>
      </w:r>
    </w:p>
    <w:p w14:paraId="22DB6792" w14:textId="77777777" w:rsidR="004640F1" w:rsidRDefault="004640F1">
      <w:pPr>
        <w:pBdr>
          <w:top w:val="nil"/>
          <w:left w:val="nil"/>
          <w:bottom w:val="nil"/>
          <w:right w:val="nil"/>
          <w:between w:val="nil"/>
        </w:pBdr>
      </w:pPr>
    </w:p>
    <w:p w14:paraId="56211B63" w14:textId="77777777" w:rsidR="004640F1" w:rsidRDefault="004640F1">
      <w:pPr>
        <w:pBdr>
          <w:top w:val="nil"/>
          <w:left w:val="nil"/>
          <w:bottom w:val="nil"/>
          <w:right w:val="nil"/>
          <w:between w:val="nil"/>
        </w:pBdr>
      </w:pPr>
    </w:p>
    <w:p w14:paraId="4F248C84" w14:textId="77777777" w:rsidR="004640F1" w:rsidRDefault="004640F1">
      <w:pPr>
        <w:pBdr>
          <w:top w:val="nil"/>
          <w:left w:val="nil"/>
          <w:bottom w:val="nil"/>
          <w:right w:val="nil"/>
          <w:between w:val="nil"/>
        </w:pBdr>
      </w:pPr>
    </w:p>
    <w:p w14:paraId="482F7ED7" w14:textId="77777777" w:rsidR="004640F1" w:rsidRDefault="004640F1">
      <w:pPr>
        <w:pBdr>
          <w:top w:val="nil"/>
          <w:left w:val="nil"/>
          <w:bottom w:val="nil"/>
          <w:right w:val="nil"/>
          <w:between w:val="nil"/>
        </w:pBdr>
        <w:rPr>
          <w:b/>
          <w:color w:val="000000"/>
          <w:sz w:val="28"/>
          <w:szCs w:val="28"/>
        </w:rPr>
      </w:pPr>
    </w:p>
    <w:sectPr w:rsidR="004640F1">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24096" w14:textId="77777777" w:rsidR="00124346" w:rsidRDefault="00124346">
      <w:pPr>
        <w:spacing w:line="240" w:lineRule="auto"/>
      </w:pPr>
      <w:r>
        <w:separator/>
      </w:r>
    </w:p>
  </w:endnote>
  <w:endnote w:type="continuationSeparator" w:id="0">
    <w:p w14:paraId="6D2857B9" w14:textId="77777777" w:rsidR="00124346" w:rsidRDefault="001243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0D5AF" w14:textId="77777777" w:rsidR="004640F1" w:rsidRDefault="00773669">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37320D">
      <w:rPr>
        <w:noProof/>
        <w:color w:val="000000"/>
        <w:sz w:val="22"/>
        <w:szCs w:val="22"/>
      </w:rPr>
      <w:t>16</w:t>
    </w:r>
    <w:r>
      <w:rPr>
        <w:color w:val="000000"/>
        <w:sz w:val="22"/>
        <w:szCs w:val="22"/>
      </w:rPr>
      <w:fldChar w:fldCharType="end"/>
    </w:r>
  </w:p>
  <w:p w14:paraId="5D42523F" w14:textId="77777777" w:rsidR="004640F1" w:rsidRDefault="004640F1">
    <w:pPr>
      <w:jc w:val="center"/>
      <w:rPr>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68FF2" w14:textId="77777777" w:rsidR="00124346" w:rsidRDefault="00124346">
      <w:pPr>
        <w:spacing w:line="240" w:lineRule="auto"/>
      </w:pPr>
      <w:r>
        <w:separator/>
      </w:r>
    </w:p>
  </w:footnote>
  <w:footnote w:type="continuationSeparator" w:id="0">
    <w:p w14:paraId="36AA4523" w14:textId="77777777" w:rsidR="00124346" w:rsidRDefault="001243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F054B"/>
    <w:multiLevelType w:val="multilevel"/>
    <w:tmpl w:val="712AB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F568EF"/>
    <w:multiLevelType w:val="multilevel"/>
    <w:tmpl w:val="BE52D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605D51"/>
    <w:multiLevelType w:val="multilevel"/>
    <w:tmpl w:val="5B6239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E7818CD"/>
    <w:multiLevelType w:val="multilevel"/>
    <w:tmpl w:val="3E2C6D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BB0665"/>
    <w:multiLevelType w:val="multilevel"/>
    <w:tmpl w:val="E424F4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0BF4BCF"/>
    <w:multiLevelType w:val="multilevel"/>
    <w:tmpl w:val="F19445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44692882">
    <w:abstractNumId w:val="5"/>
  </w:num>
  <w:num w:numId="2" w16cid:durableId="453327204">
    <w:abstractNumId w:val="4"/>
  </w:num>
  <w:num w:numId="3" w16cid:durableId="2132240749">
    <w:abstractNumId w:val="2"/>
  </w:num>
  <w:num w:numId="4" w16cid:durableId="588588231">
    <w:abstractNumId w:val="1"/>
  </w:num>
  <w:num w:numId="5" w16cid:durableId="742483903">
    <w:abstractNumId w:val="0"/>
  </w:num>
  <w:num w:numId="6" w16cid:durableId="18619685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40F1"/>
    <w:rsid w:val="00053D42"/>
    <w:rsid w:val="00124346"/>
    <w:rsid w:val="0037320D"/>
    <w:rsid w:val="00383787"/>
    <w:rsid w:val="004640F1"/>
    <w:rsid w:val="00773669"/>
    <w:rsid w:val="007B7457"/>
    <w:rsid w:val="00BD04EC"/>
    <w:rsid w:val="00CF48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2C5EF9"/>
  <w15:docId w15:val="{42FC2B86-9E5C-4E70-B951-99F9D2C9F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highlight w:val="white"/>
        <w:lang w:val=""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qFormat/>
    <w:rsid w:val="005F0255"/>
    <w:pPr>
      <w:keepNext/>
      <w:keepLines/>
      <w:spacing w:before="400" w:after="120"/>
      <w:outlineLvl w:val="0"/>
    </w:pPr>
    <w:rPr>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F0255"/>
    <w:pPr>
      <w:tabs>
        <w:tab w:val="center" w:pos="4513"/>
        <w:tab w:val="right" w:pos="9026"/>
      </w:tabs>
      <w:spacing w:line="240" w:lineRule="auto"/>
    </w:pPr>
  </w:style>
  <w:style w:type="character" w:customStyle="1" w:styleId="HeaderChar">
    <w:name w:val="Header Char"/>
    <w:basedOn w:val="DefaultParagraphFont"/>
    <w:link w:val="Header"/>
    <w:uiPriority w:val="99"/>
    <w:rsid w:val="005F0255"/>
  </w:style>
  <w:style w:type="paragraph" w:styleId="Footer">
    <w:name w:val="footer"/>
    <w:basedOn w:val="Normal"/>
    <w:link w:val="FooterChar"/>
    <w:uiPriority w:val="99"/>
    <w:unhideWhenUsed/>
    <w:rsid w:val="005F0255"/>
    <w:pPr>
      <w:tabs>
        <w:tab w:val="center" w:pos="4513"/>
        <w:tab w:val="right" w:pos="9026"/>
      </w:tabs>
      <w:spacing w:line="240" w:lineRule="auto"/>
    </w:pPr>
  </w:style>
  <w:style w:type="character" w:customStyle="1" w:styleId="FooterChar">
    <w:name w:val="Footer Char"/>
    <w:basedOn w:val="DefaultParagraphFont"/>
    <w:link w:val="Footer"/>
    <w:uiPriority w:val="99"/>
    <w:rsid w:val="005F0255"/>
  </w:style>
  <w:style w:type="paragraph" w:styleId="TOCHeading">
    <w:name w:val="TOC Heading"/>
    <w:basedOn w:val="Heading1"/>
    <w:next w:val="Normal"/>
    <w:uiPriority w:val="39"/>
    <w:unhideWhenUsed/>
    <w:qFormat/>
    <w:rsid w:val="008E027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8E027E"/>
    <w:pPr>
      <w:spacing w:after="100"/>
    </w:pPr>
  </w:style>
  <w:style w:type="character" w:styleId="Hyperlink">
    <w:name w:val="Hyperlink"/>
    <w:basedOn w:val="DefaultParagraphFont"/>
    <w:uiPriority w:val="99"/>
    <w:unhideWhenUsed/>
    <w:rsid w:val="008E027E"/>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FFFFFF"/>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media/6569cb331104cf000dfa7352/net-zero-government-emissions-roadmap.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ventcycle.org/whowear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n.org/esa/sustdev/documents/WSSD_POI_PD/English/WSSD_PlanImp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yperlink" Target="https://www.statista.com/statistics/1233337/carbon-footprint-of-travel-per-kilometer-by-mode-of-transport-uk/"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dg.iisd.org/events/world-sustainable-development-summit-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ipNRzfCPqTdMQibevJaQQPNBiQ==">CgMxLjAyCGguZ2pkZ3hzMgloLjMwajB6bGwyCWguMWZvYjl0ZTIJaC4zem55c2g3Mg1oLnRsY3Bkb3lxMnBhMg5oLnc4Ymo1Nm1rcHpvcTIOaC4xa3V3ZHY2MWdpeDEyDmgucWVsdmxka3Rya2Q2Mg5oLjJra3Zkb29ra2Z6ajIOaC5yN2hoaWttdHh5eHUyCWguMmV0OTJwMDgAciExOXVnWGpQRVhWVUI3dG5lYmpidU1LLU5DVDk5a1kwaU0=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16</Pages>
  <Words>3442</Words>
  <Characters>19622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Mita Ghosh</dc:creator>
  <cp:lastModifiedBy>anamariandreka@gmail.com</cp:lastModifiedBy>
  <cp:revision>6</cp:revision>
  <dcterms:created xsi:type="dcterms:W3CDTF">2024-03-01T16:03:00Z</dcterms:created>
  <dcterms:modified xsi:type="dcterms:W3CDTF">2024-03-01T18:07:00Z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0b2d6bd1af0045ef10b42fedf29d712ef6e2a02c8b99b2f0231dd8975980cf11</vt:lpwstr>
  </property>
</Properties>
</file>