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D2102" w14:textId="77777777" w:rsidR="00B86D8E" w:rsidRDefault="00000000">
      <w:pPr>
        <w:pStyle w:val="Body"/>
        <w:rPr>
          <w:rFonts w:ascii="Calibri" w:eastAsia="Calibri" w:hAnsi="Calibri" w:cs="Calibri"/>
          <w:sz w:val="20"/>
          <w:szCs w:val="20"/>
          <w:u w:val="single"/>
        </w:rPr>
      </w:pPr>
      <w:r>
        <w:rPr>
          <w:rFonts w:ascii="Calibri" w:hAnsi="Calibri"/>
          <w:sz w:val="20"/>
          <w:szCs w:val="20"/>
          <w:u w:val="single"/>
        </w:rPr>
        <w:t xml:space="preserve">Specialist Employment Law </w:t>
      </w:r>
    </w:p>
    <w:p w14:paraId="7D4818C6" w14:textId="77777777" w:rsidR="00B86D8E" w:rsidRDefault="00B86D8E">
      <w:pPr>
        <w:pStyle w:val="Body"/>
        <w:rPr>
          <w:rFonts w:ascii="Calibri" w:eastAsia="Calibri" w:hAnsi="Calibri" w:cs="Calibri"/>
          <w:sz w:val="20"/>
          <w:szCs w:val="20"/>
        </w:rPr>
      </w:pPr>
    </w:p>
    <w:p w14:paraId="51EB55F8" w14:textId="77777777" w:rsidR="00B86D8E" w:rsidRDefault="00000000">
      <w:pPr>
        <w:pStyle w:val="Body"/>
        <w:rPr>
          <w:rFonts w:ascii="Calibri" w:eastAsia="Calibri" w:hAnsi="Calibri" w:cs="Calibri"/>
          <w:sz w:val="20"/>
          <w:szCs w:val="20"/>
        </w:rPr>
      </w:pPr>
      <w:r>
        <w:rPr>
          <w:rFonts w:ascii="Calibri" w:hAnsi="Calibri"/>
          <w:sz w:val="20"/>
          <w:szCs w:val="20"/>
          <w:lang w:val="pt-PT"/>
        </w:rPr>
        <w:t>AC1.1</w:t>
      </w:r>
    </w:p>
    <w:p w14:paraId="4C4DF69E" w14:textId="6B81FCBA" w:rsidR="00B86D8E" w:rsidRPr="003C2DD3" w:rsidRDefault="00000000" w:rsidP="003C2DD3">
      <w:pPr>
        <w:rPr>
          <w:rFonts w:ascii="Calibri" w:eastAsia="Times New Roman" w:hAnsi="Calibri" w:cs="Calibri"/>
          <w:sz w:val="20"/>
          <w:szCs w:val="20"/>
          <w:bdr w:val="none" w:sz="0" w:space="0" w:color="auto"/>
          <w:lang w:val="en-GB" w:eastAsia="en-GB"/>
        </w:rPr>
      </w:pPr>
      <w:r>
        <w:rPr>
          <w:rFonts w:ascii="Calibri" w:hAnsi="Calibri"/>
          <w:sz w:val="20"/>
          <w:szCs w:val="20"/>
        </w:rPr>
        <w:t xml:space="preserve">I would explain that dealing with regulations does take up time, </w:t>
      </w:r>
      <w:r w:rsidR="003C2DD3">
        <w:rPr>
          <w:rFonts w:ascii="Calibri" w:hAnsi="Calibri"/>
          <w:sz w:val="20"/>
          <w:szCs w:val="20"/>
        </w:rPr>
        <w:t>e</w:t>
      </w:r>
      <w:r>
        <w:rPr>
          <w:rFonts w:ascii="Calibri" w:hAnsi="Calibri"/>
          <w:sz w:val="20"/>
          <w:szCs w:val="20"/>
        </w:rPr>
        <w:t xml:space="preserve">mployment law is there to protect workers, ensuring they are treated fairly and have a safe and supportive working environment. The main objectives of employment regulation are to prevent discrimination and unfair treatment providing a legal framework that guarantees equal treatment for all employees.  </w:t>
      </w:r>
      <w:r w:rsidR="003C2DD3">
        <w:rPr>
          <w:rFonts w:ascii="Calibri" w:hAnsi="Calibri"/>
          <w:sz w:val="20"/>
          <w:szCs w:val="20"/>
        </w:rPr>
        <w:t>(</w:t>
      </w:r>
      <w:r w:rsidR="003C2DD3" w:rsidRPr="003C2DD3">
        <w:rPr>
          <w:rFonts w:ascii="Calibri" w:eastAsia="Times New Roman" w:hAnsi="Calibri" w:cs="Calibri"/>
          <w:sz w:val="20"/>
          <w:szCs w:val="20"/>
          <w:bdr w:val="none" w:sz="0" w:space="0" w:color="auto"/>
          <w:lang w:val="en-GB" w:eastAsia="en-GB"/>
        </w:rPr>
        <w:t>Advisory, Conciliation and Arbitration Service</w:t>
      </w:r>
      <w:r w:rsidR="003C2DD3">
        <w:rPr>
          <w:rFonts w:ascii="Calibri" w:eastAsia="Times New Roman" w:hAnsi="Calibri" w:cs="Calibri"/>
          <w:sz w:val="20"/>
          <w:szCs w:val="20"/>
          <w:bdr w:val="none" w:sz="0" w:space="0" w:color="auto"/>
          <w:lang w:val="en-GB" w:eastAsia="en-GB"/>
        </w:rPr>
        <w:t>, ACAS)</w:t>
      </w:r>
    </w:p>
    <w:p w14:paraId="65FAD7F9" w14:textId="77777777" w:rsidR="00B86D8E" w:rsidRDefault="00000000">
      <w:pPr>
        <w:pStyle w:val="NormalWeb"/>
        <w:rPr>
          <w:rFonts w:ascii="Calibri" w:eastAsia="Calibri" w:hAnsi="Calibri" w:cs="Calibri"/>
          <w:sz w:val="20"/>
          <w:szCs w:val="20"/>
        </w:rPr>
      </w:pPr>
      <w:r>
        <w:rPr>
          <w:rFonts w:ascii="Calibri" w:hAnsi="Calibri"/>
          <w:sz w:val="20"/>
          <w:szCs w:val="20"/>
        </w:rPr>
        <w:t>These regulations aim to promote health, safety, and wellbeing in the workplace, setting standards that employers must follow. For example, regulations relating to working hours, rest breaks, and pay help maintain a balance that protects workers from overworking. Another objective is to promote fairness and transparency within the employment relationship, ensuring that the terms and conditions of employment are clearly defined and consistently followed. (Employment law, CIPD, 2025)</w:t>
      </w:r>
    </w:p>
    <w:p w14:paraId="633C5DB9" w14:textId="77777777" w:rsidR="00B86D8E" w:rsidRDefault="00000000">
      <w:pPr>
        <w:pStyle w:val="NormalWeb"/>
        <w:rPr>
          <w:rFonts w:ascii="Calibri" w:eastAsia="Calibri" w:hAnsi="Calibri" w:cs="Calibri"/>
          <w:sz w:val="20"/>
          <w:szCs w:val="20"/>
        </w:rPr>
      </w:pPr>
      <w:r>
        <w:rPr>
          <w:rFonts w:ascii="Calibri" w:hAnsi="Calibri"/>
          <w:sz w:val="20"/>
          <w:szCs w:val="20"/>
        </w:rPr>
        <w:t>Employment regulations are there to prevent disputes by offering clear processes for resolving issues like grievances, redundancies, and dismissals. This not only safeguards employees but also helps the Trust avoid legal challenges or fines that might arise from non-compliance with employment law. Without this protection, the Trust could face damages or financial risk from lawsuits.</w:t>
      </w:r>
    </w:p>
    <w:p w14:paraId="1DE45C20" w14:textId="77777777" w:rsidR="00B86D8E" w:rsidRDefault="00000000">
      <w:pPr>
        <w:pStyle w:val="NormalWeb"/>
        <w:rPr>
          <w:rFonts w:ascii="Calibri" w:eastAsia="Calibri" w:hAnsi="Calibri" w:cs="Calibri"/>
          <w:sz w:val="20"/>
          <w:szCs w:val="20"/>
        </w:rPr>
      </w:pPr>
      <w:r>
        <w:rPr>
          <w:rFonts w:ascii="Calibri" w:hAnsi="Calibri"/>
          <w:sz w:val="20"/>
          <w:szCs w:val="20"/>
        </w:rPr>
        <w:t>While dealing with regulations may seem time-consuming, it does help keep things running smoothly by preventing legal challenges and ensuring fair treatment for all staff. It’s also important to remember that regulations support a healthy, motivated workforce, which in turn contributes to the overall success of the Trust.</w:t>
      </w:r>
    </w:p>
    <w:p w14:paraId="5CAEE9E7" w14:textId="77777777" w:rsidR="00B86D8E" w:rsidRDefault="00000000">
      <w:pPr>
        <w:pStyle w:val="NormalWeb"/>
        <w:rPr>
          <w:rFonts w:ascii="Calibri" w:eastAsia="Calibri" w:hAnsi="Calibri" w:cs="Calibri"/>
          <w:sz w:val="20"/>
          <w:szCs w:val="20"/>
        </w:rPr>
      </w:pPr>
      <w:r>
        <w:rPr>
          <w:rFonts w:ascii="Calibri" w:hAnsi="Calibri"/>
          <w:sz w:val="20"/>
          <w:szCs w:val="20"/>
        </w:rPr>
        <w:t>To ease the workload of managing these regulations, I’d suggest we explore ways to share the work. We could delegate certain tasks to others or create a dedicated team to handle legal matters. Helping with administrative processes or investing in technology that assist with compliance would also free up time to focus on other key areas, such as improving the employee experience. We can still ensure that the Trust complies with employment regulations without taking away from other essential tasks.</w:t>
      </w:r>
      <w:r>
        <w:rPr>
          <w:sz w:val="27"/>
          <w:szCs w:val="27"/>
        </w:rPr>
        <w:t xml:space="preserve"> </w:t>
      </w:r>
      <w:r>
        <w:rPr>
          <w:rFonts w:ascii="Calibri" w:hAnsi="Calibri"/>
          <w:sz w:val="20"/>
          <w:szCs w:val="20"/>
        </w:rPr>
        <w:t xml:space="preserve">(Croner. </w:t>
      </w:r>
      <w:proofErr w:type="spellStart"/>
      <w:r>
        <w:rPr>
          <w:rFonts w:ascii="Calibri" w:hAnsi="Calibri"/>
          <w:sz w:val="20"/>
          <w:szCs w:val="20"/>
        </w:rPr>
        <w:t>n.d</w:t>
      </w:r>
      <w:proofErr w:type="spellEnd"/>
      <w:r>
        <w:rPr>
          <w:rFonts w:ascii="Calibri" w:hAnsi="Calibri"/>
          <w:sz w:val="20"/>
          <w:szCs w:val="20"/>
        </w:rPr>
        <w:t>)</w:t>
      </w:r>
    </w:p>
    <w:p w14:paraId="411E6D41" w14:textId="77777777" w:rsidR="003C2DD3" w:rsidRDefault="003C2DD3">
      <w:pPr>
        <w:pStyle w:val="NormalWeb"/>
        <w:rPr>
          <w:rFonts w:ascii="Calibri" w:eastAsia="Calibri" w:hAnsi="Calibri" w:cs="Calibri"/>
          <w:sz w:val="20"/>
          <w:szCs w:val="20"/>
        </w:rPr>
      </w:pPr>
    </w:p>
    <w:p w14:paraId="16ED1FDE" w14:textId="145CA479" w:rsidR="00B86D8E" w:rsidRDefault="00000000">
      <w:pPr>
        <w:pStyle w:val="NormalWeb"/>
        <w:rPr>
          <w:rFonts w:ascii="Calibri" w:eastAsia="Calibri" w:hAnsi="Calibri" w:cs="Calibri"/>
          <w:sz w:val="20"/>
          <w:szCs w:val="20"/>
        </w:rPr>
      </w:pPr>
      <w:r>
        <w:rPr>
          <w:rFonts w:ascii="Calibri" w:hAnsi="Calibri"/>
          <w:sz w:val="20"/>
          <w:szCs w:val="20"/>
        </w:rPr>
        <w:t>AC1.2</w:t>
      </w:r>
    </w:p>
    <w:p w14:paraId="21EC3F06" w14:textId="77777777" w:rsidR="00B86D8E" w:rsidRDefault="00000000">
      <w:pPr>
        <w:pStyle w:val="NormalWeb"/>
        <w:rPr>
          <w:rFonts w:ascii="Calibri" w:eastAsia="Calibri" w:hAnsi="Calibri" w:cs="Calibri"/>
          <w:sz w:val="20"/>
          <w:szCs w:val="20"/>
        </w:rPr>
      </w:pPr>
      <w:r>
        <w:rPr>
          <w:rFonts w:ascii="Calibri" w:hAnsi="Calibri"/>
          <w:sz w:val="20"/>
          <w:szCs w:val="20"/>
        </w:rPr>
        <w:t>Since the UK left the European Union in 2020, the status of European Court of Justice (ECJ) judgments has changed, but they are not completely disregarded.</w:t>
      </w:r>
    </w:p>
    <w:p w14:paraId="7F3A8592" w14:textId="77777777" w:rsidR="00B86D8E" w:rsidRDefault="00000000">
      <w:pPr>
        <w:pStyle w:val="NormalWeb"/>
        <w:rPr>
          <w:rFonts w:ascii="Calibri" w:eastAsia="Calibri" w:hAnsi="Calibri" w:cs="Calibri"/>
          <w:sz w:val="20"/>
          <w:szCs w:val="20"/>
        </w:rPr>
      </w:pPr>
      <w:r>
        <w:rPr>
          <w:rFonts w:ascii="Calibri" w:hAnsi="Calibri"/>
          <w:sz w:val="20"/>
          <w:szCs w:val="20"/>
        </w:rPr>
        <w:t>Under the European Union (Withdrawal) Act 2018, ECJ judgments made before Brexit (on or before 31 December 2020) still have legal effect in the UK. However, these judgments are no longer automatically binding. UK courts can still refer to them, but they are no longer required to follow them. They are persuasive, meaning UK courts can take them into account when making decisions, but they are not strictly bound by them.</w:t>
      </w:r>
    </w:p>
    <w:p w14:paraId="03231B51" w14:textId="77777777" w:rsidR="00B86D8E" w:rsidRDefault="00000000">
      <w:pPr>
        <w:pStyle w:val="NormalWeb"/>
        <w:rPr>
          <w:rFonts w:ascii="Calibri" w:eastAsia="Calibri" w:hAnsi="Calibri" w:cs="Calibri"/>
          <w:sz w:val="20"/>
          <w:szCs w:val="20"/>
        </w:rPr>
      </w:pPr>
      <w:r>
        <w:rPr>
          <w:rFonts w:ascii="Calibri" w:hAnsi="Calibri"/>
          <w:sz w:val="20"/>
          <w:szCs w:val="20"/>
        </w:rPr>
        <w:t>After Brexit, UK courts can depart from ECJ decisions if they think it's appropriate. For instance, the UK Supreme Court can seek guidance on a case involving EU law, but it doesn’t have to follow the ECJ's decision. The flexibility in how UK courts handle ECJ rulings allows them to adapt the law in a post-Brexit environment.</w:t>
      </w:r>
    </w:p>
    <w:p w14:paraId="3FB1CEF1" w14:textId="5FBFD15E" w:rsidR="007760EF" w:rsidRDefault="00000000">
      <w:pPr>
        <w:pStyle w:val="NormalWeb"/>
        <w:rPr>
          <w:rFonts w:ascii="Calibri" w:hAnsi="Calibri"/>
          <w:sz w:val="20"/>
          <w:szCs w:val="20"/>
        </w:rPr>
      </w:pPr>
      <w:r>
        <w:rPr>
          <w:rFonts w:ascii="Calibri" w:hAnsi="Calibri"/>
          <w:sz w:val="20"/>
          <w:szCs w:val="20"/>
        </w:rPr>
        <w:t>While ECJ rulings made before Brexit still have some influence, they are not binding on UK courts, and UK judges have more discretion in interpreting and applying EU law post-Brexit. (Law Society)</w:t>
      </w:r>
    </w:p>
    <w:p w14:paraId="2B1744BA" w14:textId="56123331" w:rsidR="00B86D8E" w:rsidRDefault="007760EF">
      <w:pPr>
        <w:pStyle w:val="NormalWeb"/>
        <w:rPr>
          <w:rFonts w:ascii="Calibri" w:hAnsi="Calibri"/>
          <w:sz w:val="20"/>
          <w:szCs w:val="20"/>
        </w:rPr>
      </w:pPr>
      <w:r>
        <w:rPr>
          <w:rFonts w:ascii="Calibri" w:hAnsi="Calibri"/>
          <w:sz w:val="20"/>
          <w:szCs w:val="20"/>
        </w:rPr>
        <w:t>For example, the Factortame ltd vs secretary of state for transport (1990), this is when the merchant shipping act 1988 got introduced to impose conditions on the registration of British fishing vessels. This affected the Spanish fisher boats. The EU law ruled that the UK law conflicted with EU law regarding freedom of establishment. By this the UK courts were required to supply parts of the act. (UK Government, 1988)</w:t>
      </w:r>
    </w:p>
    <w:p w14:paraId="057DD18B" w14:textId="77777777" w:rsidR="00786184" w:rsidRPr="00786184" w:rsidRDefault="00786184">
      <w:pPr>
        <w:pStyle w:val="NormalWeb"/>
        <w:rPr>
          <w:rFonts w:ascii="Calibri" w:hAnsi="Calibri"/>
          <w:sz w:val="20"/>
          <w:szCs w:val="20"/>
        </w:rPr>
      </w:pPr>
    </w:p>
    <w:p w14:paraId="0AE7290D" w14:textId="77777777" w:rsidR="00B27F87" w:rsidRDefault="00B27F87">
      <w:pPr>
        <w:pStyle w:val="Body"/>
        <w:rPr>
          <w:rFonts w:ascii="Calibri" w:hAnsi="Calibri"/>
          <w:sz w:val="20"/>
          <w:szCs w:val="20"/>
          <w:lang w:val="pt-PT"/>
        </w:rPr>
      </w:pPr>
    </w:p>
    <w:p w14:paraId="6F0ACFF3" w14:textId="77777777" w:rsidR="00B27F87" w:rsidRDefault="00B27F87">
      <w:pPr>
        <w:pStyle w:val="Body"/>
        <w:rPr>
          <w:rFonts w:ascii="Calibri" w:hAnsi="Calibri"/>
          <w:sz w:val="20"/>
          <w:szCs w:val="20"/>
          <w:lang w:val="pt-PT"/>
        </w:rPr>
      </w:pPr>
    </w:p>
    <w:p w14:paraId="6D690611" w14:textId="77777777" w:rsidR="00B27F87" w:rsidRDefault="00B27F87">
      <w:pPr>
        <w:pStyle w:val="Body"/>
        <w:rPr>
          <w:rFonts w:ascii="Calibri" w:hAnsi="Calibri"/>
          <w:sz w:val="20"/>
          <w:szCs w:val="20"/>
          <w:lang w:val="pt-PT"/>
        </w:rPr>
      </w:pPr>
    </w:p>
    <w:p w14:paraId="25D7F62B" w14:textId="77777777" w:rsidR="00B27F87" w:rsidRDefault="00B27F87">
      <w:pPr>
        <w:pStyle w:val="Body"/>
        <w:rPr>
          <w:rFonts w:ascii="Calibri" w:hAnsi="Calibri"/>
          <w:sz w:val="20"/>
          <w:szCs w:val="20"/>
          <w:lang w:val="pt-PT"/>
        </w:rPr>
      </w:pPr>
    </w:p>
    <w:p w14:paraId="7B2C96AE" w14:textId="77777777" w:rsidR="00B27F87" w:rsidRDefault="00B27F87">
      <w:pPr>
        <w:pStyle w:val="Body"/>
        <w:rPr>
          <w:rFonts w:ascii="Calibri" w:hAnsi="Calibri"/>
          <w:sz w:val="20"/>
          <w:szCs w:val="20"/>
          <w:lang w:val="pt-PT"/>
        </w:rPr>
      </w:pPr>
    </w:p>
    <w:p w14:paraId="4EC6ADEE" w14:textId="77777777" w:rsidR="00B27F87" w:rsidRDefault="00B27F87">
      <w:pPr>
        <w:pStyle w:val="Body"/>
        <w:rPr>
          <w:rFonts w:ascii="Calibri" w:hAnsi="Calibri"/>
          <w:sz w:val="20"/>
          <w:szCs w:val="20"/>
          <w:lang w:val="pt-PT"/>
        </w:rPr>
      </w:pPr>
    </w:p>
    <w:p w14:paraId="484C788F" w14:textId="77777777" w:rsidR="00B27F87" w:rsidRDefault="00B27F87">
      <w:pPr>
        <w:pStyle w:val="Body"/>
        <w:rPr>
          <w:rFonts w:ascii="Calibri" w:hAnsi="Calibri"/>
          <w:sz w:val="20"/>
          <w:szCs w:val="20"/>
          <w:lang w:val="pt-PT"/>
        </w:rPr>
      </w:pPr>
    </w:p>
    <w:p w14:paraId="36B46265" w14:textId="370B51C3" w:rsidR="00B86D8E" w:rsidRDefault="00000000">
      <w:pPr>
        <w:pStyle w:val="Body"/>
        <w:rPr>
          <w:rFonts w:ascii="Calibri" w:eastAsia="Calibri" w:hAnsi="Calibri" w:cs="Calibri"/>
          <w:sz w:val="20"/>
          <w:szCs w:val="20"/>
        </w:rPr>
      </w:pPr>
      <w:r>
        <w:rPr>
          <w:rFonts w:ascii="Calibri" w:hAnsi="Calibri"/>
          <w:sz w:val="20"/>
          <w:szCs w:val="20"/>
          <w:lang w:val="pt-PT"/>
        </w:rPr>
        <w:lastRenderedPageBreak/>
        <w:t>AC2.1</w:t>
      </w:r>
    </w:p>
    <w:p w14:paraId="412F99D4" w14:textId="77777777" w:rsidR="00B86D8E" w:rsidRDefault="00000000">
      <w:pPr>
        <w:pStyle w:val="NormalWeb"/>
        <w:rPr>
          <w:rFonts w:ascii="Calibri" w:eastAsia="Calibri" w:hAnsi="Calibri" w:cs="Calibri"/>
          <w:sz w:val="20"/>
          <w:szCs w:val="20"/>
        </w:rPr>
      </w:pPr>
      <w:r>
        <w:rPr>
          <w:rFonts w:ascii="Calibri" w:hAnsi="Calibri"/>
          <w:sz w:val="20"/>
          <w:szCs w:val="20"/>
        </w:rPr>
        <w:t>When it comes to specifying that a job must be carried out by either a man or a woman, the Equality Act 2010 makes it clear that discrimination on the grounds of sex is generally not allowed in recruitment. This means that, in most cases, employers cannot require a particular gender for a job unless there is a very specific reason.</w:t>
      </w:r>
    </w:p>
    <w:p w14:paraId="5A2D2B63" w14:textId="2E8A68A6" w:rsidR="00B86D8E" w:rsidRDefault="00000000">
      <w:pPr>
        <w:pStyle w:val="NormalWeb"/>
        <w:rPr>
          <w:rFonts w:ascii="Calibri" w:eastAsia="Calibri" w:hAnsi="Calibri" w:cs="Calibri"/>
          <w:sz w:val="20"/>
          <w:szCs w:val="20"/>
        </w:rPr>
      </w:pPr>
      <w:r>
        <w:rPr>
          <w:rFonts w:ascii="Calibri" w:hAnsi="Calibri"/>
          <w:sz w:val="20"/>
          <w:szCs w:val="20"/>
        </w:rPr>
        <w:t>Discrimination law in recruitment and employment covers a wide range of protected characteristics, such as race, disability, age, religion, sexual orientation, pregnancy, maternity, marriage, civil partnership and sex. The main point of discrimination law is to ensure equality of opportunity for all candidates, regardless of their protected characteristics. Job adverts and recruitment processes should be neutral, and employers should not discriminate against candidates based on sex, race, or disability unless there is a justified, specific reason.</w:t>
      </w:r>
      <w:r w:rsidR="00B27F87">
        <w:rPr>
          <w:rFonts w:ascii="Calibri" w:hAnsi="Calibri"/>
          <w:sz w:val="20"/>
          <w:szCs w:val="20"/>
        </w:rPr>
        <w:t xml:space="preserve"> For example, an agency could put a job advert out for a specific sex role to apply for a role. </w:t>
      </w:r>
    </w:p>
    <w:p w14:paraId="11E658D9" w14:textId="7A79FA0A" w:rsidR="00B86D8E" w:rsidRDefault="00000000">
      <w:pPr>
        <w:pStyle w:val="NormalWeb"/>
        <w:rPr>
          <w:rFonts w:ascii="Calibri" w:eastAsia="Calibri" w:hAnsi="Calibri" w:cs="Calibri"/>
          <w:sz w:val="20"/>
          <w:szCs w:val="20"/>
        </w:rPr>
      </w:pPr>
      <w:r>
        <w:rPr>
          <w:rFonts w:ascii="Calibri" w:hAnsi="Calibri"/>
          <w:sz w:val="20"/>
          <w:szCs w:val="20"/>
        </w:rPr>
        <w:t xml:space="preserve">Direct discrimination occurs when someone is treated less </w:t>
      </w:r>
      <w:r w:rsidR="00B27F87">
        <w:rPr>
          <w:rFonts w:ascii="Calibri" w:hAnsi="Calibri"/>
          <w:sz w:val="20"/>
          <w:szCs w:val="20"/>
        </w:rPr>
        <w:t>favorably</w:t>
      </w:r>
      <w:r>
        <w:rPr>
          <w:rFonts w:ascii="Calibri" w:hAnsi="Calibri"/>
          <w:sz w:val="20"/>
          <w:szCs w:val="20"/>
        </w:rPr>
        <w:t xml:space="preserve"> because of a protected characteristic. Refusing to hire someone based on their gender, ethnicity, or disability would be direct discrimination. Indirect discrimination is when a policy or practice applies to everyone but disadvantages people with a specific characteristic. For example, this would be a policy requiring all employees to work long hours without flexibility, which could disadvantage women who have childcare responsibilities or people with disabilities.</w:t>
      </w:r>
    </w:p>
    <w:p w14:paraId="4CEB352D" w14:textId="1B447995" w:rsidR="00B86D8E" w:rsidRDefault="00000000">
      <w:pPr>
        <w:pStyle w:val="NormalWeb"/>
        <w:rPr>
          <w:rFonts w:ascii="Calibri" w:eastAsia="Calibri" w:hAnsi="Calibri" w:cs="Calibri"/>
          <w:sz w:val="20"/>
          <w:szCs w:val="20"/>
        </w:rPr>
      </w:pPr>
      <w:r>
        <w:rPr>
          <w:rFonts w:ascii="Calibri" w:hAnsi="Calibri"/>
          <w:sz w:val="20"/>
          <w:szCs w:val="20"/>
        </w:rPr>
        <w:t xml:space="preserve">The law protects individuals from harassment related to any protected characteristic, which includes any unwanted </w:t>
      </w:r>
      <w:r w:rsidR="00B27F87">
        <w:rPr>
          <w:rFonts w:ascii="Calibri" w:hAnsi="Calibri"/>
          <w:sz w:val="20"/>
          <w:szCs w:val="20"/>
        </w:rPr>
        <w:t>behavior</w:t>
      </w:r>
      <w:r>
        <w:rPr>
          <w:rFonts w:ascii="Calibri" w:hAnsi="Calibri"/>
          <w:sz w:val="20"/>
          <w:szCs w:val="20"/>
        </w:rPr>
        <w:t xml:space="preserve"> that creates a degrading environment for the person involved. </w:t>
      </w:r>
      <w:r w:rsidR="00B27F87">
        <w:rPr>
          <w:rFonts w:ascii="Calibri" w:hAnsi="Calibri"/>
          <w:sz w:val="20"/>
          <w:szCs w:val="20"/>
        </w:rPr>
        <w:t>Victimization</w:t>
      </w:r>
      <w:r>
        <w:rPr>
          <w:rFonts w:ascii="Calibri" w:hAnsi="Calibri"/>
          <w:sz w:val="20"/>
          <w:szCs w:val="20"/>
        </w:rPr>
        <w:t xml:space="preserve"> is another important concept under discrimination law, preventing employers from treating someone unfairly because they have made a complaint about discrimination or supported a discrimination complaint made by others. (ACAS,2025)</w:t>
      </w:r>
    </w:p>
    <w:p w14:paraId="7663EFF6" w14:textId="77777777" w:rsidR="00B86D8E" w:rsidRDefault="00000000">
      <w:pPr>
        <w:pStyle w:val="NormalWeb"/>
        <w:rPr>
          <w:rFonts w:ascii="Calibri" w:eastAsia="Calibri" w:hAnsi="Calibri" w:cs="Calibri"/>
          <w:sz w:val="20"/>
          <w:szCs w:val="20"/>
        </w:rPr>
      </w:pPr>
      <w:r>
        <w:rPr>
          <w:rFonts w:ascii="Calibri" w:hAnsi="Calibri"/>
          <w:sz w:val="20"/>
          <w:szCs w:val="20"/>
        </w:rPr>
        <w:t>For employees or applicants with disabilities, employers are required to make reasonable adjustments to accommodate their needs. This could involve modifying the work environment or providing appropriate equipment to ensure that a disabled person is not at a disadvantage when applying or carrying out the job.</w:t>
      </w:r>
    </w:p>
    <w:p w14:paraId="72F9B0CB" w14:textId="77777777" w:rsidR="00B86D8E" w:rsidRDefault="00000000">
      <w:pPr>
        <w:pStyle w:val="NormalWeb"/>
        <w:rPr>
          <w:rFonts w:ascii="Calibri" w:eastAsia="Calibri" w:hAnsi="Calibri" w:cs="Calibri"/>
          <w:sz w:val="20"/>
          <w:szCs w:val="20"/>
        </w:rPr>
      </w:pPr>
      <w:r>
        <w:rPr>
          <w:rFonts w:ascii="Calibri" w:hAnsi="Calibri"/>
          <w:sz w:val="20"/>
          <w:szCs w:val="20"/>
        </w:rPr>
        <w:t>There are exceptions, particularly about the "genuine occupational requirement" (GOR). A GOR allows a specific characteristic, such as sex, to be required for a job if it is directly related to the nature of the work.  Certain roles may require a particular gender. It may be necessary for the staff to be male or female to ensure the safety and comfort of clients. However, outside of these specific situations, gender should not be specified in job adverts or recruitment processes. If such a reason does not exist, requiring a certain gender could lead to claims of discrimination. (GOV.UK)</w:t>
      </w:r>
    </w:p>
    <w:p w14:paraId="5502F6FE" w14:textId="77777777" w:rsidR="00B86D8E" w:rsidRDefault="00B86D8E">
      <w:pPr>
        <w:pStyle w:val="Body"/>
        <w:spacing w:line="240" w:lineRule="auto"/>
        <w:rPr>
          <w:rFonts w:ascii="Trebuchet MS" w:eastAsia="Trebuchet MS" w:hAnsi="Trebuchet MS" w:cs="Trebuchet MS"/>
          <w:b/>
          <w:bCs/>
        </w:rPr>
      </w:pPr>
    </w:p>
    <w:p w14:paraId="6DCA62C9" w14:textId="77777777" w:rsidR="00B86D8E" w:rsidRDefault="00B86D8E">
      <w:pPr>
        <w:pStyle w:val="Body"/>
        <w:spacing w:line="240" w:lineRule="auto"/>
        <w:rPr>
          <w:rFonts w:ascii="Trebuchet MS" w:eastAsia="Trebuchet MS" w:hAnsi="Trebuchet MS" w:cs="Trebuchet MS"/>
          <w:b/>
          <w:bCs/>
        </w:rPr>
      </w:pPr>
    </w:p>
    <w:p w14:paraId="083CA42C" w14:textId="77777777" w:rsidR="00B86D8E" w:rsidRDefault="00B86D8E">
      <w:pPr>
        <w:pStyle w:val="Body"/>
        <w:spacing w:line="240" w:lineRule="auto"/>
        <w:rPr>
          <w:rFonts w:ascii="Trebuchet MS" w:eastAsia="Trebuchet MS" w:hAnsi="Trebuchet MS" w:cs="Trebuchet MS"/>
          <w:b/>
          <w:bCs/>
        </w:rPr>
      </w:pPr>
    </w:p>
    <w:p w14:paraId="1972D5DF" w14:textId="77777777" w:rsidR="00B86D8E" w:rsidRDefault="00B86D8E">
      <w:pPr>
        <w:pStyle w:val="Body"/>
        <w:spacing w:line="240" w:lineRule="auto"/>
        <w:rPr>
          <w:rFonts w:ascii="Trebuchet MS" w:eastAsia="Trebuchet MS" w:hAnsi="Trebuchet MS" w:cs="Trebuchet MS"/>
          <w:b/>
          <w:bCs/>
        </w:rPr>
      </w:pPr>
    </w:p>
    <w:p w14:paraId="65839417" w14:textId="77777777" w:rsidR="00B86D8E" w:rsidRDefault="00B86D8E">
      <w:pPr>
        <w:pStyle w:val="Body"/>
        <w:spacing w:line="240" w:lineRule="auto"/>
        <w:rPr>
          <w:rFonts w:ascii="Trebuchet MS" w:eastAsia="Trebuchet MS" w:hAnsi="Trebuchet MS" w:cs="Trebuchet MS"/>
          <w:b/>
          <w:bCs/>
        </w:rPr>
      </w:pPr>
    </w:p>
    <w:p w14:paraId="03D52C85" w14:textId="77777777" w:rsidR="00B86D8E" w:rsidRDefault="00B86D8E">
      <w:pPr>
        <w:pStyle w:val="Body"/>
        <w:spacing w:line="240" w:lineRule="auto"/>
        <w:rPr>
          <w:rFonts w:ascii="Trebuchet MS" w:eastAsia="Trebuchet MS" w:hAnsi="Trebuchet MS" w:cs="Trebuchet MS"/>
          <w:b/>
          <w:bCs/>
        </w:rPr>
      </w:pPr>
    </w:p>
    <w:p w14:paraId="2419AEF4" w14:textId="77777777" w:rsidR="00B86D8E" w:rsidRDefault="00B86D8E">
      <w:pPr>
        <w:pStyle w:val="Body"/>
        <w:spacing w:line="240" w:lineRule="auto"/>
        <w:rPr>
          <w:rFonts w:ascii="Trebuchet MS" w:eastAsia="Trebuchet MS" w:hAnsi="Trebuchet MS" w:cs="Trebuchet MS"/>
          <w:b/>
          <w:bCs/>
        </w:rPr>
      </w:pPr>
    </w:p>
    <w:p w14:paraId="085988CE" w14:textId="77777777" w:rsidR="00B86D8E" w:rsidRDefault="00B86D8E">
      <w:pPr>
        <w:pStyle w:val="Body"/>
        <w:spacing w:line="240" w:lineRule="auto"/>
        <w:rPr>
          <w:rFonts w:ascii="Trebuchet MS" w:eastAsia="Trebuchet MS" w:hAnsi="Trebuchet MS" w:cs="Trebuchet MS"/>
          <w:b/>
          <w:bCs/>
        </w:rPr>
      </w:pPr>
    </w:p>
    <w:p w14:paraId="6DE20938" w14:textId="77777777" w:rsidR="00B86D8E" w:rsidRDefault="00B86D8E">
      <w:pPr>
        <w:pStyle w:val="Body"/>
        <w:spacing w:line="240" w:lineRule="auto"/>
        <w:rPr>
          <w:rFonts w:ascii="Trebuchet MS" w:eastAsia="Trebuchet MS" w:hAnsi="Trebuchet MS" w:cs="Trebuchet MS"/>
          <w:b/>
          <w:bCs/>
        </w:rPr>
      </w:pPr>
    </w:p>
    <w:p w14:paraId="1388A700" w14:textId="77777777" w:rsidR="00B86D8E" w:rsidRDefault="00B86D8E">
      <w:pPr>
        <w:pStyle w:val="NormalWeb"/>
        <w:rPr>
          <w:rFonts w:ascii="Calibri" w:eastAsia="Calibri" w:hAnsi="Calibri" w:cs="Calibri"/>
          <w:sz w:val="20"/>
          <w:szCs w:val="20"/>
        </w:rPr>
      </w:pPr>
    </w:p>
    <w:p w14:paraId="7C7B7600" w14:textId="77777777" w:rsidR="00B86D8E" w:rsidRDefault="00B86D8E">
      <w:pPr>
        <w:pStyle w:val="NormalWeb"/>
        <w:rPr>
          <w:rFonts w:ascii="Calibri" w:eastAsia="Calibri" w:hAnsi="Calibri" w:cs="Calibri"/>
          <w:sz w:val="20"/>
          <w:szCs w:val="20"/>
        </w:rPr>
      </w:pPr>
    </w:p>
    <w:p w14:paraId="5E502B3B" w14:textId="77777777" w:rsidR="00B27F87" w:rsidRDefault="00B27F87">
      <w:pPr>
        <w:pStyle w:val="NormalWeb"/>
        <w:rPr>
          <w:rFonts w:ascii="Calibri" w:eastAsia="Calibri" w:hAnsi="Calibri" w:cs="Calibri"/>
          <w:sz w:val="20"/>
          <w:szCs w:val="20"/>
        </w:rPr>
      </w:pPr>
    </w:p>
    <w:p w14:paraId="7D8A6C9B" w14:textId="77777777" w:rsidR="00B27F87" w:rsidRDefault="00B27F87">
      <w:pPr>
        <w:pStyle w:val="NormalWeb"/>
        <w:rPr>
          <w:rFonts w:ascii="Calibri" w:eastAsia="Calibri" w:hAnsi="Calibri" w:cs="Calibri"/>
          <w:sz w:val="20"/>
          <w:szCs w:val="20"/>
        </w:rPr>
      </w:pPr>
    </w:p>
    <w:p w14:paraId="2D2B49F7" w14:textId="77777777" w:rsidR="00B27F87" w:rsidRDefault="00B27F87">
      <w:pPr>
        <w:pStyle w:val="NormalWeb"/>
        <w:rPr>
          <w:rFonts w:ascii="Calibri" w:eastAsia="Calibri" w:hAnsi="Calibri" w:cs="Calibri"/>
          <w:sz w:val="20"/>
          <w:szCs w:val="20"/>
        </w:rPr>
      </w:pPr>
    </w:p>
    <w:p w14:paraId="43180D6E" w14:textId="77777777" w:rsidR="00B27F87" w:rsidRDefault="00B27F87">
      <w:pPr>
        <w:pStyle w:val="NormalWeb"/>
        <w:rPr>
          <w:rFonts w:ascii="Calibri" w:eastAsia="Calibri" w:hAnsi="Calibri" w:cs="Calibri"/>
          <w:sz w:val="20"/>
          <w:szCs w:val="20"/>
        </w:rPr>
      </w:pPr>
    </w:p>
    <w:p w14:paraId="72E3D505" w14:textId="77777777" w:rsidR="00B27F87" w:rsidRDefault="00B27F87">
      <w:pPr>
        <w:pStyle w:val="NormalWeb"/>
        <w:rPr>
          <w:rFonts w:ascii="Calibri" w:eastAsia="Calibri" w:hAnsi="Calibri" w:cs="Calibri"/>
          <w:sz w:val="20"/>
          <w:szCs w:val="20"/>
        </w:rPr>
      </w:pPr>
    </w:p>
    <w:p w14:paraId="4C3F9F1E" w14:textId="77777777" w:rsidR="00B27F87" w:rsidRDefault="00B27F87">
      <w:pPr>
        <w:pStyle w:val="NormalWeb"/>
        <w:rPr>
          <w:rFonts w:ascii="Calibri" w:eastAsia="Calibri" w:hAnsi="Calibri" w:cs="Calibri"/>
          <w:sz w:val="20"/>
          <w:szCs w:val="20"/>
        </w:rPr>
      </w:pPr>
    </w:p>
    <w:p w14:paraId="276AD763" w14:textId="77777777" w:rsidR="00B86D8E" w:rsidRDefault="00B86D8E">
      <w:pPr>
        <w:pStyle w:val="NormalWeb"/>
        <w:rPr>
          <w:rFonts w:ascii="Calibri" w:eastAsia="Calibri" w:hAnsi="Calibri" w:cs="Calibri"/>
          <w:sz w:val="20"/>
          <w:szCs w:val="20"/>
        </w:rPr>
      </w:pPr>
    </w:p>
    <w:p w14:paraId="584AE590" w14:textId="77777777" w:rsidR="00B27F87" w:rsidRDefault="00B27F87">
      <w:pPr>
        <w:pStyle w:val="NormalWeb"/>
        <w:rPr>
          <w:rFonts w:ascii="Calibri" w:hAnsi="Calibri"/>
          <w:sz w:val="20"/>
          <w:szCs w:val="20"/>
        </w:rPr>
      </w:pPr>
    </w:p>
    <w:p w14:paraId="0CCFE0F2" w14:textId="77777777" w:rsidR="00B27F87" w:rsidRDefault="00B27F87">
      <w:pPr>
        <w:pStyle w:val="NormalWeb"/>
        <w:rPr>
          <w:rFonts w:ascii="Calibri" w:hAnsi="Calibri"/>
          <w:sz w:val="20"/>
          <w:szCs w:val="20"/>
        </w:rPr>
      </w:pPr>
    </w:p>
    <w:p w14:paraId="48D5AE55" w14:textId="4C55A60B" w:rsidR="00B86D8E" w:rsidRDefault="00000000">
      <w:pPr>
        <w:pStyle w:val="NormalWeb"/>
        <w:rPr>
          <w:rFonts w:ascii="Calibri" w:eastAsia="Calibri" w:hAnsi="Calibri" w:cs="Calibri"/>
          <w:sz w:val="20"/>
          <w:szCs w:val="20"/>
        </w:rPr>
      </w:pPr>
      <w:r>
        <w:rPr>
          <w:rFonts w:ascii="Calibri" w:hAnsi="Calibri"/>
          <w:sz w:val="20"/>
          <w:szCs w:val="20"/>
        </w:rPr>
        <w:t>AC 2.2</w:t>
      </w:r>
    </w:p>
    <w:p w14:paraId="488DC3A7" w14:textId="1D9FA845" w:rsidR="00B86D8E" w:rsidRDefault="00000000">
      <w:pPr>
        <w:pStyle w:val="NormalWeb"/>
        <w:rPr>
          <w:rFonts w:ascii="Calibri" w:eastAsia="Calibri" w:hAnsi="Calibri" w:cs="Calibri"/>
          <w:sz w:val="20"/>
          <w:szCs w:val="20"/>
        </w:rPr>
      </w:pPr>
      <w:r>
        <w:rPr>
          <w:rFonts w:ascii="Calibri" w:hAnsi="Calibri"/>
          <w:sz w:val="20"/>
          <w:szCs w:val="20"/>
        </w:rPr>
        <w:t xml:space="preserve">The Equality Act 2010 makes it clear that men and women should get equal pay for doing the same job or work of equal value. It makes sure that everyone is paid fairly for their work, no matter their </w:t>
      </w:r>
      <w:r w:rsidR="00B27F87">
        <w:rPr>
          <w:rFonts w:ascii="Calibri" w:hAnsi="Calibri"/>
          <w:sz w:val="20"/>
          <w:szCs w:val="20"/>
        </w:rPr>
        <w:t>sex</w:t>
      </w:r>
      <w:r>
        <w:rPr>
          <w:rFonts w:ascii="Calibri" w:hAnsi="Calibri"/>
          <w:sz w:val="20"/>
          <w:szCs w:val="20"/>
        </w:rPr>
        <w:t xml:space="preserve">, and stops any pay discrimination between people doing similar work.  </w:t>
      </w:r>
    </w:p>
    <w:p w14:paraId="0197B02B" w14:textId="77777777" w:rsidR="00B86D8E" w:rsidRDefault="00000000">
      <w:pPr>
        <w:pStyle w:val="NormalWeb"/>
        <w:rPr>
          <w:rFonts w:ascii="Calibri" w:eastAsia="Calibri" w:hAnsi="Calibri" w:cs="Calibri"/>
          <w:sz w:val="20"/>
          <w:szCs w:val="20"/>
        </w:rPr>
      </w:pPr>
      <w:r>
        <w:rPr>
          <w:rFonts w:ascii="Calibri" w:hAnsi="Calibri"/>
          <w:sz w:val="20"/>
          <w:szCs w:val="20"/>
        </w:rPr>
        <w:t>In this case, even though the two people being considered for a pay upgrade are men, it’s important to point out that 80% of the Healthcare Assistants (HCAs) in the Trust are women. So, if these two men get moved to a higher grade without clear reasons, it could cause a potential to look unfair. The Trust needs to make sure that any decisions about these promotions are based on clear, job-related reasons like their skills and performance, not gender. (CIPD)</w:t>
      </w:r>
    </w:p>
    <w:p w14:paraId="334E1493" w14:textId="77777777" w:rsidR="00B86D8E" w:rsidRDefault="00000000">
      <w:pPr>
        <w:pStyle w:val="NormalWeb"/>
        <w:rPr>
          <w:rFonts w:ascii="Calibri" w:eastAsia="Calibri" w:hAnsi="Calibri" w:cs="Calibri"/>
          <w:sz w:val="20"/>
          <w:szCs w:val="20"/>
        </w:rPr>
      </w:pPr>
      <w:r>
        <w:rPr>
          <w:rFonts w:ascii="Calibri" w:hAnsi="Calibri"/>
          <w:sz w:val="20"/>
          <w:szCs w:val="20"/>
        </w:rPr>
        <w:t>The law is that the Trust must avoid any pay discrimination, especially when people are doing the same or similar work. Equal pay isn’t just about salary, it also includes benefits or allowances. So, if men and women are doing the same work or work of equal value, they should be paid the same. If the two men are bumped up to grade B, the Trust needs to make sure this is for reasons that have nothing to do with their gender. If one of the men has taken on extra duties or responsibilities that others haven’t, that could be a good reason for the upgrade.</w:t>
      </w:r>
    </w:p>
    <w:p w14:paraId="557812A9" w14:textId="77777777" w:rsidR="00B86D8E" w:rsidRDefault="00000000">
      <w:pPr>
        <w:pStyle w:val="NormalWeb"/>
        <w:rPr>
          <w:rFonts w:ascii="Calibri" w:eastAsia="Calibri" w:hAnsi="Calibri" w:cs="Calibri"/>
          <w:sz w:val="20"/>
          <w:szCs w:val="20"/>
        </w:rPr>
      </w:pPr>
      <w:r>
        <w:rPr>
          <w:rFonts w:ascii="Calibri" w:hAnsi="Calibri"/>
          <w:sz w:val="20"/>
          <w:szCs w:val="20"/>
        </w:rPr>
        <w:t>If the upgrade happens without a clear, fair reason, it could look like gender discrimination. This is especially sensitive because most of the HCAs are women, if the decision looks biased, it could lead to complaints or even legal action for unequal treatment. The Trust must ensure any changes to pay follow equal pay laws and make sure everyone has equal opportunities.</w:t>
      </w:r>
    </w:p>
    <w:p w14:paraId="7A70B8C4" w14:textId="77777777" w:rsidR="00B86D8E" w:rsidRDefault="00000000">
      <w:pPr>
        <w:pStyle w:val="NormalWeb"/>
        <w:rPr>
          <w:rFonts w:ascii="Calibri" w:eastAsia="Calibri" w:hAnsi="Calibri" w:cs="Calibri"/>
          <w:sz w:val="20"/>
          <w:szCs w:val="20"/>
        </w:rPr>
      </w:pPr>
      <w:r>
        <w:rPr>
          <w:rFonts w:ascii="Calibri" w:hAnsi="Calibri"/>
          <w:sz w:val="20"/>
          <w:szCs w:val="20"/>
        </w:rPr>
        <w:t>To keep things fair and legal, the nurse manager needs to make sure any decision about pay upgrades is based on clear, non-discriminatory reasons. This includes looking at what each employee does, as well as how the Trust's grading system works, to make sure everything’s fair. The Trust should also think about doing a pay audit to check if there are any gender pay gaps that need to be addressed. (ACAS,2025)</w:t>
      </w:r>
    </w:p>
    <w:p w14:paraId="516D37C8" w14:textId="77777777" w:rsidR="00B86D8E" w:rsidRDefault="00B86D8E">
      <w:pPr>
        <w:pStyle w:val="Body"/>
        <w:spacing w:line="240" w:lineRule="auto"/>
        <w:rPr>
          <w:rFonts w:ascii="Trebuchet MS" w:eastAsia="Trebuchet MS" w:hAnsi="Trebuchet MS" w:cs="Trebuchet MS"/>
        </w:rPr>
      </w:pPr>
    </w:p>
    <w:p w14:paraId="6601C1CE" w14:textId="77777777" w:rsidR="00B86D8E" w:rsidRDefault="00B86D8E">
      <w:pPr>
        <w:pStyle w:val="Body"/>
        <w:spacing w:line="240" w:lineRule="auto"/>
        <w:rPr>
          <w:rFonts w:ascii="Trebuchet MS" w:eastAsia="Trebuchet MS" w:hAnsi="Trebuchet MS" w:cs="Trebuchet MS"/>
          <w:color w:val="3E8625"/>
        </w:rPr>
      </w:pPr>
    </w:p>
    <w:p w14:paraId="6C74E6FB" w14:textId="77777777" w:rsidR="00B86D8E" w:rsidRDefault="00B86D8E">
      <w:pPr>
        <w:pStyle w:val="Body"/>
        <w:spacing w:line="240" w:lineRule="auto"/>
        <w:rPr>
          <w:rFonts w:ascii="Trebuchet MS" w:eastAsia="Trebuchet MS" w:hAnsi="Trebuchet MS" w:cs="Trebuchet MS"/>
        </w:rPr>
      </w:pPr>
    </w:p>
    <w:p w14:paraId="5BCE21A5" w14:textId="77777777" w:rsidR="00B86D8E" w:rsidRDefault="00B86D8E">
      <w:pPr>
        <w:pStyle w:val="Body"/>
        <w:spacing w:line="240" w:lineRule="auto"/>
        <w:rPr>
          <w:rFonts w:ascii="Trebuchet MS" w:eastAsia="Trebuchet MS" w:hAnsi="Trebuchet MS" w:cs="Trebuchet MS"/>
        </w:rPr>
      </w:pPr>
    </w:p>
    <w:p w14:paraId="0DED9787" w14:textId="77777777" w:rsidR="00B86D8E" w:rsidRDefault="00B86D8E">
      <w:pPr>
        <w:pStyle w:val="Body"/>
        <w:spacing w:line="240" w:lineRule="auto"/>
        <w:rPr>
          <w:rFonts w:ascii="Trebuchet MS" w:eastAsia="Trebuchet MS" w:hAnsi="Trebuchet MS" w:cs="Trebuchet MS"/>
        </w:rPr>
      </w:pPr>
    </w:p>
    <w:p w14:paraId="6EDACEB0" w14:textId="77777777" w:rsidR="00B86D8E" w:rsidRDefault="00B86D8E">
      <w:pPr>
        <w:pStyle w:val="Body"/>
        <w:spacing w:line="240" w:lineRule="auto"/>
        <w:rPr>
          <w:rFonts w:ascii="Trebuchet MS" w:eastAsia="Trebuchet MS" w:hAnsi="Trebuchet MS" w:cs="Trebuchet MS"/>
        </w:rPr>
      </w:pPr>
    </w:p>
    <w:p w14:paraId="5B381C10" w14:textId="77777777" w:rsidR="00B86D8E" w:rsidRDefault="00B86D8E">
      <w:pPr>
        <w:pStyle w:val="Body"/>
        <w:spacing w:line="240" w:lineRule="auto"/>
        <w:rPr>
          <w:rFonts w:ascii="Trebuchet MS" w:eastAsia="Trebuchet MS" w:hAnsi="Trebuchet MS" w:cs="Trebuchet MS"/>
        </w:rPr>
      </w:pPr>
    </w:p>
    <w:p w14:paraId="129981D5" w14:textId="77777777" w:rsidR="00B86D8E" w:rsidRDefault="00B86D8E">
      <w:pPr>
        <w:pStyle w:val="NormalWeb"/>
        <w:rPr>
          <w:rFonts w:ascii="Calibri" w:eastAsia="Calibri" w:hAnsi="Calibri" w:cs="Calibri"/>
          <w:sz w:val="20"/>
          <w:szCs w:val="20"/>
        </w:rPr>
      </w:pPr>
    </w:p>
    <w:p w14:paraId="26169110" w14:textId="77777777" w:rsidR="00B86D8E" w:rsidRDefault="00B86D8E">
      <w:pPr>
        <w:pStyle w:val="NormalWeb"/>
        <w:rPr>
          <w:rFonts w:ascii="Calibri" w:eastAsia="Calibri" w:hAnsi="Calibri" w:cs="Calibri"/>
          <w:sz w:val="20"/>
          <w:szCs w:val="20"/>
        </w:rPr>
      </w:pPr>
    </w:p>
    <w:p w14:paraId="4AC7CDA2" w14:textId="77777777" w:rsidR="00B86D8E" w:rsidRDefault="00B86D8E">
      <w:pPr>
        <w:pStyle w:val="NormalWeb"/>
        <w:rPr>
          <w:rFonts w:ascii="Calibri" w:eastAsia="Calibri" w:hAnsi="Calibri" w:cs="Calibri"/>
          <w:sz w:val="20"/>
          <w:szCs w:val="20"/>
        </w:rPr>
      </w:pPr>
    </w:p>
    <w:p w14:paraId="6E2889E1" w14:textId="77777777" w:rsidR="00B86D8E" w:rsidRDefault="00B86D8E">
      <w:pPr>
        <w:pStyle w:val="NormalWeb"/>
        <w:rPr>
          <w:rFonts w:ascii="Calibri" w:eastAsia="Calibri" w:hAnsi="Calibri" w:cs="Calibri"/>
          <w:sz w:val="20"/>
          <w:szCs w:val="20"/>
        </w:rPr>
      </w:pPr>
    </w:p>
    <w:p w14:paraId="243E6843" w14:textId="77777777" w:rsidR="00B86D8E" w:rsidRDefault="00B86D8E">
      <w:pPr>
        <w:pStyle w:val="NormalWeb"/>
        <w:rPr>
          <w:rFonts w:ascii="Calibri" w:eastAsia="Calibri" w:hAnsi="Calibri" w:cs="Calibri"/>
          <w:sz w:val="20"/>
          <w:szCs w:val="20"/>
        </w:rPr>
      </w:pPr>
    </w:p>
    <w:p w14:paraId="09329EFF" w14:textId="77777777" w:rsidR="00B86D8E" w:rsidRDefault="00B86D8E">
      <w:pPr>
        <w:pStyle w:val="NormalWeb"/>
        <w:rPr>
          <w:rFonts w:ascii="Calibri" w:eastAsia="Calibri" w:hAnsi="Calibri" w:cs="Calibri"/>
          <w:sz w:val="20"/>
          <w:szCs w:val="20"/>
        </w:rPr>
      </w:pPr>
    </w:p>
    <w:p w14:paraId="760A4924" w14:textId="77777777" w:rsidR="00B86D8E" w:rsidRDefault="00B86D8E">
      <w:pPr>
        <w:pStyle w:val="NormalWeb"/>
        <w:rPr>
          <w:rFonts w:ascii="Calibri" w:eastAsia="Calibri" w:hAnsi="Calibri" w:cs="Calibri"/>
          <w:sz w:val="20"/>
          <w:szCs w:val="20"/>
        </w:rPr>
      </w:pPr>
    </w:p>
    <w:p w14:paraId="03A4E63D" w14:textId="77777777" w:rsidR="00B86D8E" w:rsidRDefault="00B86D8E">
      <w:pPr>
        <w:pStyle w:val="NormalWeb"/>
        <w:rPr>
          <w:rFonts w:ascii="Calibri" w:eastAsia="Calibri" w:hAnsi="Calibri" w:cs="Calibri"/>
          <w:sz w:val="20"/>
          <w:szCs w:val="20"/>
        </w:rPr>
      </w:pPr>
    </w:p>
    <w:p w14:paraId="6B04A9AE" w14:textId="77777777" w:rsidR="00B27F87" w:rsidRDefault="00B27F87">
      <w:pPr>
        <w:pStyle w:val="NormalWeb"/>
        <w:rPr>
          <w:rFonts w:ascii="Calibri" w:eastAsia="Calibri" w:hAnsi="Calibri" w:cs="Calibri"/>
          <w:sz w:val="20"/>
          <w:szCs w:val="20"/>
        </w:rPr>
      </w:pPr>
    </w:p>
    <w:p w14:paraId="50DC6B4B" w14:textId="77777777" w:rsidR="00B27F87" w:rsidRDefault="00B27F87">
      <w:pPr>
        <w:pStyle w:val="NormalWeb"/>
        <w:rPr>
          <w:rFonts w:ascii="Calibri" w:eastAsia="Calibri" w:hAnsi="Calibri" w:cs="Calibri"/>
          <w:sz w:val="20"/>
          <w:szCs w:val="20"/>
        </w:rPr>
      </w:pPr>
    </w:p>
    <w:p w14:paraId="13019EE6" w14:textId="77777777" w:rsidR="00B27F87" w:rsidRDefault="00B27F87">
      <w:pPr>
        <w:pStyle w:val="NormalWeb"/>
        <w:rPr>
          <w:rFonts w:ascii="Calibri" w:eastAsia="Calibri" w:hAnsi="Calibri" w:cs="Calibri"/>
          <w:sz w:val="20"/>
          <w:szCs w:val="20"/>
        </w:rPr>
      </w:pPr>
    </w:p>
    <w:p w14:paraId="7F5D64F5" w14:textId="77777777" w:rsidR="00B27F87" w:rsidRDefault="00B27F87">
      <w:pPr>
        <w:pStyle w:val="NormalWeb"/>
        <w:rPr>
          <w:rFonts w:ascii="Calibri" w:eastAsia="Calibri" w:hAnsi="Calibri" w:cs="Calibri"/>
          <w:sz w:val="20"/>
          <w:szCs w:val="20"/>
        </w:rPr>
      </w:pPr>
    </w:p>
    <w:p w14:paraId="6C0B66DC" w14:textId="77777777" w:rsidR="00B27F87" w:rsidRDefault="00B27F87">
      <w:pPr>
        <w:pStyle w:val="NormalWeb"/>
        <w:rPr>
          <w:rFonts w:ascii="Calibri" w:eastAsia="Calibri" w:hAnsi="Calibri" w:cs="Calibri"/>
          <w:sz w:val="20"/>
          <w:szCs w:val="20"/>
        </w:rPr>
      </w:pPr>
    </w:p>
    <w:p w14:paraId="22F61811" w14:textId="77777777" w:rsidR="00B27F87" w:rsidRDefault="00B27F87">
      <w:pPr>
        <w:pStyle w:val="NormalWeb"/>
        <w:rPr>
          <w:rFonts w:ascii="Calibri" w:eastAsia="Calibri" w:hAnsi="Calibri" w:cs="Calibri"/>
          <w:sz w:val="20"/>
          <w:szCs w:val="20"/>
        </w:rPr>
      </w:pPr>
    </w:p>
    <w:p w14:paraId="4059180D" w14:textId="77777777" w:rsidR="00B27F87" w:rsidRDefault="00B27F87">
      <w:pPr>
        <w:pStyle w:val="NormalWeb"/>
        <w:rPr>
          <w:rFonts w:ascii="Calibri" w:eastAsia="Calibri" w:hAnsi="Calibri" w:cs="Calibri"/>
          <w:sz w:val="20"/>
          <w:szCs w:val="20"/>
        </w:rPr>
      </w:pPr>
    </w:p>
    <w:p w14:paraId="5850A4A5" w14:textId="77777777" w:rsidR="00B27F87" w:rsidRDefault="00B27F87">
      <w:pPr>
        <w:pStyle w:val="NormalWeb"/>
        <w:rPr>
          <w:rFonts w:ascii="Calibri" w:eastAsia="Calibri" w:hAnsi="Calibri" w:cs="Calibri"/>
          <w:sz w:val="20"/>
          <w:szCs w:val="20"/>
        </w:rPr>
      </w:pPr>
    </w:p>
    <w:p w14:paraId="682164E2" w14:textId="77777777" w:rsidR="00B86D8E" w:rsidRDefault="00000000">
      <w:pPr>
        <w:pStyle w:val="NormalWeb"/>
        <w:rPr>
          <w:rFonts w:ascii="Calibri" w:eastAsia="Calibri" w:hAnsi="Calibri" w:cs="Calibri"/>
          <w:sz w:val="20"/>
          <w:szCs w:val="20"/>
        </w:rPr>
      </w:pPr>
      <w:r>
        <w:rPr>
          <w:rFonts w:ascii="Calibri" w:hAnsi="Calibri"/>
          <w:sz w:val="20"/>
          <w:szCs w:val="20"/>
        </w:rPr>
        <w:lastRenderedPageBreak/>
        <w:t>AC3.1</w:t>
      </w:r>
    </w:p>
    <w:p w14:paraId="6428312E" w14:textId="0AC33711" w:rsidR="00B86D8E" w:rsidRDefault="00000000">
      <w:pPr>
        <w:pStyle w:val="NormalWeb"/>
        <w:rPr>
          <w:rFonts w:ascii="Calibri" w:eastAsia="Calibri" w:hAnsi="Calibri" w:cs="Calibri"/>
          <w:sz w:val="20"/>
          <w:szCs w:val="20"/>
        </w:rPr>
      </w:pPr>
      <w:r>
        <w:rPr>
          <w:rFonts w:ascii="Calibri" w:hAnsi="Calibri"/>
          <w:sz w:val="20"/>
          <w:szCs w:val="20"/>
        </w:rPr>
        <w:t xml:space="preserve">A constructive dismissal claim can arise if an employee resigns due to a fundamental breach of their contract by their employer, such as an unjustified and significant change to their working hours. For a claim to be successful, the employee must prove that the employer made a change to their contract without consent and that this change was enough to make continuing employment unreasonable. In this case, if the radiographers working hours were changed significantly, it could be seen as a breach of contract, the radiographer might feel forced to resign as a </w:t>
      </w:r>
      <w:r w:rsidRPr="0089780F">
        <w:rPr>
          <w:rFonts w:ascii="Calibri" w:hAnsi="Calibri"/>
          <w:color w:val="000000" w:themeColor="text1"/>
          <w:sz w:val="20"/>
          <w:szCs w:val="20"/>
        </w:rPr>
        <w:t xml:space="preserve">result.  </w:t>
      </w:r>
      <w:r w:rsidR="0089780F" w:rsidRPr="0089780F">
        <w:rPr>
          <w:rFonts w:ascii="Calibri" w:hAnsi="Calibri"/>
          <w:color w:val="000000" w:themeColor="text1"/>
          <w:sz w:val="20"/>
          <w:szCs w:val="20"/>
        </w:rPr>
        <w:t>(</w:t>
      </w:r>
      <w:r w:rsidR="00A71D44">
        <w:rPr>
          <w:rFonts w:ascii="Calibri" w:hAnsi="Calibri"/>
          <w:color w:val="000000" w:themeColor="text1"/>
          <w:sz w:val="20"/>
          <w:szCs w:val="20"/>
        </w:rPr>
        <w:t>GOV.UK)</w:t>
      </w:r>
    </w:p>
    <w:p w14:paraId="74F38DF2" w14:textId="77777777" w:rsidR="00B86D8E" w:rsidRDefault="00000000">
      <w:pPr>
        <w:pStyle w:val="NormalWeb"/>
        <w:rPr>
          <w:rFonts w:ascii="Calibri" w:eastAsia="Calibri" w:hAnsi="Calibri" w:cs="Calibri"/>
          <w:sz w:val="20"/>
          <w:szCs w:val="20"/>
        </w:rPr>
      </w:pPr>
      <w:r>
        <w:rPr>
          <w:rFonts w:ascii="Calibri" w:hAnsi="Calibri"/>
          <w:sz w:val="20"/>
          <w:szCs w:val="20"/>
        </w:rPr>
        <w:t>For a constructive dismissal claim to be brought to an Employment Tribunal, the employee must do so within three months less one day of the resignation. Claims made outside this three-month period are generally considered out of time.</w:t>
      </w:r>
    </w:p>
    <w:p w14:paraId="3E996DC2" w14:textId="77777777" w:rsidR="00B86D8E" w:rsidRDefault="00000000">
      <w:pPr>
        <w:pStyle w:val="NormalWeb"/>
        <w:rPr>
          <w:rFonts w:ascii="Calibri" w:eastAsia="Calibri" w:hAnsi="Calibri" w:cs="Calibri"/>
          <w:sz w:val="20"/>
          <w:szCs w:val="20"/>
        </w:rPr>
      </w:pPr>
      <w:r>
        <w:rPr>
          <w:rFonts w:ascii="Calibri" w:hAnsi="Calibri"/>
          <w:sz w:val="20"/>
          <w:szCs w:val="20"/>
        </w:rPr>
        <w:t>In addition to this, it’s important to note that variations to an employment contract cannot be made by the employer unless certain conditions are met. Variations to terms and conditions require mutual agreement. If the employer imposes changes to the employees contract without obtaining their agreement, they may be at risk of breaching the contract. Such breaches can lead to the employees resignation, and the employer could face a claim for constructive dismissal.</w:t>
      </w:r>
    </w:p>
    <w:p w14:paraId="1F14743C" w14:textId="77777777" w:rsidR="00B86D8E" w:rsidRDefault="00000000">
      <w:pPr>
        <w:pStyle w:val="NormalWeb"/>
        <w:rPr>
          <w:rFonts w:ascii="Calibri" w:eastAsia="Calibri" w:hAnsi="Calibri" w:cs="Calibri"/>
          <w:sz w:val="20"/>
          <w:szCs w:val="20"/>
        </w:rPr>
      </w:pPr>
      <w:r>
        <w:rPr>
          <w:rFonts w:ascii="Calibri" w:hAnsi="Calibri"/>
          <w:sz w:val="20"/>
          <w:szCs w:val="20"/>
        </w:rPr>
        <w:t>The Trust must consider the following when making changes to an employee’s contract. Employers are required to meet with employees before implementing changes to their contracts. In the case of the radiographer, the Trust should have clearly communicated the intended changes to the working hours and got an agreement before making any changes. A failure to involve the employee in this process increases the likelihood of the employee considering the change as unreasonable.</w:t>
      </w:r>
      <w:r>
        <w:rPr>
          <w:sz w:val="27"/>
          <w:szCs w:val="27"/>
        </w:rPr>
        <w:t xml:space="preserve"> </w:t>
      </w:r>
      <w:r>
        <w:rPr>
          <w:rFonts w:ascii="Calibri" w:hAnsi="Calibri"/>
          <w:sz w:val="20"/>
          <w:szCs w:val="20"/>
        </w:rPr>
        <w:t>(ACAS)</w:t>
      </w:r>
    </w:p>
    <w:p w14:paraId="6EBBE395" w14:textId="77777777" w:rsidR="00B86D8E" w:rsidRDefault="00000000">
      <w:pPr>
        <w:pStyle w:val="NormalWeb"/>
        <w:rPr>
          <w:rFonts w:ascii="Calibri" w:eastAsia="Calibri" w:hAnsi="Calibri" w:cs="Calibri"/>
          <w:sz w:val="20"/>
          <w:szCs w:val="20"/>
        </w:rPr>
      </w:pPr>
      <w:r>
        <w:rPr>
          <w:rFonts w:ascii="Calibri" w:hAnsi="Calibri"/>
          <w:sz w:val="20"/>
          <w:szCs w:val="20"/>
        </w:rPr>
        <w:t>If the change in working hours is substantial such as a significant reduction or increase in hours, or a shift that dramatically alters the employees work-life balance, the employee may view the modification as a fundamental breach of their contract. In such cases, the employee may claim that the breach made it impossible for them to continue in the role.</w:t>
      </w:r>
    </w:p>
    <w:p w14:paraId="3916B767" w14:textId="26E08FE8" w:rsidR="00B86D8E" w:rsidRDefault="00000000">
      <w:pPr>
        <w:pStyle w:val="NormalWeb"/>
        <w:rPr>
          <w:rFonts w:ascii="Calibri" w:eastAsia="Calibri" w:hAnsi="Calibri" w:cs="Calibri"/>
          <w:sz w:val="20"/>
          <w:szCs w:val="20"/>
        </w:rPr>
      </w:pPr>
      <w:r>
        <w:rPr>
          <w:rFonts w:ascii="Calibri" w:hAnsi="Calibri"/>
          <w:sz w:val="20"/>
          <w:szCs w:val="20"/>
        </w:rPr>
        <w:t>If the employer is making changes to the contract due to operational needs</w:t>
      </w:r>
      <w:r w:rsidR="00B27F87">
        <w:rPr>
          <w:rFonts w:ascii="Calibri" w:hAnsi="Calibri"/>
          <w:sz w:val="20"/>
          <w:szCs w:val="20"/>
        </w:rPr>
        <w:t>. F</w:t>
      </w:r>
      <w:r>
        <w:rPr>
          <w:rFonts w:ascii="Calibri" w:hAnsi="Calibri"/>
          <w:sz w:val="20"/>
          <w:szCs w:val="20"/>
        </w:rPr>
        <w:t xml:space="preserve">or example, restructuring or changes in work demands or </w:t>
      </w:r>
      <w:proofErr w:type="spellStart"/>
      <w:r>
        <w:rPr>
          <w:rFonts w:ascii="Calibri" w:hAnsi="Calibri"/>
          <w:sz w:val="20"/>
          <w:szCs w:val="20"/>
        </w:rPr>
        <w:t>rotas</w:t>
      </w:r>
      <w:proofErr w:type="spellEnd"/>
      <w:r>
        <w:rPr>
          <w:rFonts w:ascii="Calibri" w:hAnsi="Calibri"/>
          <w:sz w:val="20"/>
          <w:szCs w:val="20"/>
        </w:rPr>
        <w:t>, the change must be reasonable. The employee should be provided with enough notice and the opportunity to discuss the change. Failure to do so could lead to the employee feeling that their contractual rights have been disregarded, leading to constructive dismissal.</w:t>
      </w:r>
    </w:p>
    <w:p w14:paraId="3786B007" w14:textId="77777777" w:rsidR="00B86D8E" w:rsidRDefault="00000000">
      <w:pPr>
        <w:pStyle w:val="NormalWeb"/>
        <w:rPr>
          <w:rFonts w:ascii="Calibri" w:eastAsia="Calibri" w:hAnsi="Calibri" w:cs="Calibri"/>
          <w:sz w:val="20"/>
          <w:szCs w:val="20"/>
        </w:rPr>
      </w:pPr>
      <w:r>
        <w:rPr>
          <w:rFonts w:ascii="Calibri" w:hAnsi="Calibri"/>
          <w:sz w:val="20"/>
          <w:szCs w:val="20"/>
        </w:rPr>
        <w:t>If the employer insists on changing the contract, they may need to offer the employee alternative terms, such as compensation, to avoid breaching the contract. Without this, the employee may feel that their only option is to resign.</w:t>
      </w:r>
    </w:p>
    <w:p w14:paraId="451BCC91" w14:textId="77777777" w:rsidR="00B86D8E" w:rsidRDefault="00000000">
      <w:pPr>
        <w:pStyle w:val="NormalWeb"/>
        <w:rPr>
          <w:rFonts w:ascii="Calibri" w:eastAsia="Calibri" w:hAnsi="Calibri" w:cs="Calibri"/>
          <w:sz w:val="20"/>
          <w:szCs w:val="20"/>
        </w:rPr>
      </w:pPr>
      <w:r>
        <w:rPr>
          <w:rFonts w:ascii="Calibri" w:hAnsi="Calibri"/>
          <w:sz w:val="20"/>
          <w:szCs w:val="20"/>
        </w:rPr>
        <w:t>Any constructive dismissal claim must be made within three months less one day of the resignation or the last incident leading to the resignation. It is essential that the employees resignation is linked directly to the breach of contract and that they make the claim within the statutory time limit. If the claim is made outside this period, it may be dismissed.</w:t>
      </w:r>
    </w:p>
    <w:p w14:paraId="5683B037" w14:textId="77777777" w:rsidR="00B86D8E" w:rsidRDefault="00000000">
      <w:pPr>
        <w:pStyle w:val="NormalWeb"/>
        <w:rPr>
          <w:rFonts w:ascii="Calibri" w:eastAsia="Calibri" w:hAnsi="Calibri" w:cs="Calibri"/>
          <w:sz w:val="20"/>
          <w:szCs w:val="20"/>
        </w:rPr>
      </w:pPr>
      <w:r>
        <w:rPr>
          <w:rFonts w:ascii="Calibri" w:hAnsi="Calibri"/>
          <w:sz w:val="20"/>
          <w:szCs w:val="20"/>
        </w:rPr>
        <w:t>The Trust should assess whether the change to the radiographers hours was properly communicated and whether the employee was consulted about the change. If the radiographers resignation was directly linked to a breach of contract, they may be entitled to claim. However, the claim must be made within the time limits set by the Employment Tribunal.</w:t>
      </w:r>
    </w:p>
    <w:p w14:paraId="150C0A25" w14:textId="77777777" w:rsidR="00B86D8E" w:rsidRDefault="00000000">
      <w:pPr>
        <w:pStyle w:val="NormalWeb"/>
        <w:rPr>
          <w:rFonts w:ascii="Calibri" w:eastAsia="Calibri" w:hAnsi="Calibri" w:cs="Calibri"/>
          <w:sz w:val="20"/>
          <w:szCs w:val="20"/>
        </w:rPr>
      </w:pPr>
      <w:r>
        <w:rPr>
          <w:rFonts w:ascii="Calibri" w:hAnsi="Calibri"/>
          <w:sz w:val="20"/>
          <w:szCs w:val="20"/>
        </w:rPr>
        <w:t>As a preventative measure, it is important for the Trust to ensure that any contract variations are handled carefully, ensuring proper communication, consultation, and agreement from employees. (Citizens Advice)</w:t>
      </w:r>
    </w:p>
    <w:p w14:paraId="08418D5F" w14:textId="77777777" w:rsidR="00B86D8E" w:rsidRDefault="00B86D8E">
      <w:pPr>
        <w:pStyle w:val="Body"/>
        <w:spacing w:line="240" w:lineRule="auto"/>
        <w:rPr>
          <w:rFonts w:ascii="Calibri" w:eastAsia="Calibri" w:hAnsi="Calibri" w:cs="Calibri"/>
          <w:sz w:val="20"/>
          <w:szCs w:val="20"/>
        </w:rPr>
      </w:pPr>
    </w:p>
    <w:p w14:paraId="10A8DB57" w14:textId="77777777" w:rsidR="00786184" w:rsidRDefault="00786184">
      <w:pPr>
        <w:pStyle w:val="Body"/>
        <w:spacing w:line="240" w:lineRule="auto"/>
        <w:rPr>
          <w:rFonts w:ascii="Calibri" w:eastAsia="Calibri" w:hAnsi="Calibri" w:cs="Calibri"/>
          <w:sz w:val="20"/>
          <w:szCs w:val="20"/>
        </w:rPr>
      </w:pPr>
    </w:p>
    <w:p w14:paraId="6C35AB35" w14:textId="77777777" w:rsidR="00786184" w:rsidRDefault="00786184">
      <w:pPr>
        <w:pStyle w:val="Body"/>
        <w:spacing w:line="240" w:lineRule="auto"/>
        <w:rPr>
          <w:rFonts w:ascii="Calibri" w:eastAsia="Calibri" w:hAnsi="Calibri" w:cs="Calibri"/>
          <w:sz w:val="20"/>
          <w:szCs w:val="20"/>
        </w:rPr>
      </w:pPr>
    </w:p>
    <w:p w14:paraId="36163EF2" w14:textId="77777777" w:rsidR="00786184" w:rsidRDefault="00786184">
      <w:pPr>
        <w:pStyle w:val="Body"/>
        <w:spacing w:line="240" w:lineRule="auto"/>
        <w:rPr>
          <w:rFonts w:ascii="Calibri" w:eastAsia="Calibri" w:hAnsi="Calibri" w:cs="Calibri"/>
          <w:sz w:val="20"/>
          <w:szCs w:val="20"/>
        </w:rPr>
      </w:pPr>
    </w:p>
    <w:p w14:paraId="67DA3F55" w14:textId="77777777" w:rsidR="00786184" w:rsidRDefault="00786184">
      <w:pPr>
        <w:pStyle w:val="Body"/>
        <w:spacing w:line="240" w:lineRule="auto"/>
        <w:rPr>
          <w:rFonts w:ascii="Calibri" w:eastAsia="Calibri" w:hAnsi="Calibri" w:cs="Calibri"/>
          <w:sz w:val="20"/>
          <w:szCs w:val="20"/>
        </w:rPr>
      </w:pPr>
    </w:p>
    <w:p w14:paraId="6D7C23A8" w14:textId="77777777" w:rsidR="00786184" w:rsidRDefault="00786184">
      <w:pPr>
        <w:pStyle w:val="Body"/>
        <w:spacing w:line="240" w:lineRule="auto"/>
        <w:rPr>
          <w:rFonts w:ascii="Calibri" w:eastAsia="Calibri" w:hAnsi="Calibri" w:cs="Calibri"/>
          <w:sz w:val="20"/>
          <w:szCs w:val="20"/>
        </w:rPr>
      </w:pPr>
    </w:p>
    <w:p w14:paraId="5AFC4E9C" w14:textId="77777777" w:rsidR="00786184" w:rsidRDefault="00786184">
      <w:pPr>
        <w:pStyle w:val="Body"/>
        <w:spacing w:line="240" w:lineRule="auto"/>
        <w:rPr>
          <w:rFonts w:ascii="Calibri" w:eastAsia="Calibri" w:hAnsi="Calibri" w:cs="Calibri"/>
          <w:sz w:val="20"/>
          <w:szCs w:val="20"/>
        </w:rPr>
      </w:pPr>
    </w:p>
    <w:p w14:paraId="425AC352" w14:textId="77777777" w:rsidR="00786184" w:rsidRDefault="00786184">
      <w:pPr>
        <w:pStyle w:val="Body"/>
        <w:spacing w:line="240" w:lineRule="auto"/>
        <w:rPr>
          <w:rFonts w:ascii="Calibri" w:eastAsia="Calibri" w:hAnsi="Calibri" w:cs="Calibri"/>
          <w:sz w:val="20"/>
          <w:szCs w:val="20"/>
        </w:rPr>
      </w:pPr>
    </w:p>
    <w:p w14:paraId="4390C83E" w14:textId="77777777" w:rsidR="00786184" w:rsidRDefault="00786184">
      <w:pPr>
        <w:pStyle w:val="Body"/>
        <w:spacing w:line="240" w:lineRule="auto"/>
        <w:rPr>
          <w:rFonts w:ascii="Calibri" w:eastAsia="Calibri" w:hAnsi="Calibri" w:cs="Calibri"/>
          <w:sz w:val="20"/>
          <w:szCs w:val="20"/>
        </w:rPr>
      </w:pPr>
    </w:p>
    <w:p w14:paraId="6396802C" w14:textId="77777777" w:rsidR="00786184" w:rsidRDefault="00786184">
      <w:pPr>
        <w:pStyle w:val="Body"/>
        <w:spacing w:line="240" w:lineRule="auto"/>
        <w:rPr>
          <w:rFonts w:ascii="Calibri" w:eastAsia="Calibri" w:hAnsi="Calibri" w:cs="Calibri"/>
          <w:sz w:val="20"/>
          <w:szCs w:val="20"/>
        </w:rPr>
      </w:pPr>
    </w:p>
    <w:p w14:paraId="55D928FD" w14:textId="77777777" w:rsidR="00B86D8E" w:rsidRDefault="00B86D8E">
      <w:pPr>
        <w:pStyle w:val="Body"/>
        <w:spacing w:line="240" w:lineRule="auto"/>
        <w:rPr>
          <w:rFonts w:ascii="Calibri" w:eastAsia="Calibri" w:hAnsi="Calibri" w:cs="Calibri"/>
          <w:sz w:val="20"/>
          <w:szCs w:val="20"/>
        </w:rPr>
      </w:pPr>
    </w:p>
    <w:p w14:paraId="07064396" w14:textId="77777777" w:rsidR="00B86D8E" w:rsidRDefault="00000000">
      <w:pPr>
        <w:pStyle w:val="Body"/>
        <w:spacing w:line="240" w:lineRule="auto"/>
        <w:rPr>
          <w:rFonts w:ascii="Calibri" w:eastAsia="Calibri" w:hAnsi="Calibri" w:cs="Calibri"/>
          <w:b/>
          <w:bCs/>
          <w:sz w:val="20"/>
          <w:szCs w:val="20"/>
        </w:rPr>
      </w:pPr>
      <w:r>
        <w:rPr>
          <w:rFonts w:ascii="Calibri" w:hAnsi="Calibri"/>
          <w:sz w:val="20"/>
          <w:szCs w:val="20"/>
          <w:lang w:val="pt-PT"/>
        </w:rPr>
        <w:lastRenderedPageBreak/>
        <w:t>AC3.2</w:t>
      </w:r>
    </w:p>
    <w:p w14:paraId="165B8485" w14:textId="77777777" w:rsidR="00B86D8E" w:rsidRDefault="00000000">
      <w:pPr>
        <w:pStyle w:val="NormalWeb"/>
        <w:rPr>
          <w:rFonts w:ascii="Calibri" w:eastAsia="Calibri" w:hAnsi="Calibri" w:cs="Calibri"/>
          <w:sz w:val="20"/>
          <w:szCs w:val="20"/>
        </w:rPr>
      </w:pPr>
      <w:r>
        <w:rPr>
          <w:rFonts w:ascii="Calibri" w:hAnsi="Calibri"/>
          <w:sz w:val="20"/>
          <w:szCs w:val="20"/>
        </w:rPr>
        <w:t xml:space="preserve">The senior managers approach to handling the </w:t>
      </w:r>
      <w:proofErr w:type="spellStart"/>
      <w:r>
        <w:rPr>
          <w:rFonts w:ascii="Calibri" w:hAnsi="Calibri"/>
          <w:sz w:val="20"/>
          <w:szCs w:val="20"/>
        </w:rPr>
        <w:t>reorganisation</w:t>
      </w:r>
      <w:proofErr w:type="spellEnd"/>
      <w:r>
        <w:rPr>
          <w:rFonts w:ascii="Calibri" w:hAnsi="Calibri"/>
          <w:sz w:val="20"/>
          <w:szCs w:val="20"/>
        </w:rPr>
        <w:t xml:space="preserve"> and redundancies raises concerns about the legal requirements around redundancy procedures. It’s important to understand that redundancy processes need to comply with employment law to avoid any legal issues.</w:t>
      </w:r>
    </w:p>
    <w:p w14:paraId="4FF7B08A" w14:textId="6D81D637" w:rsidR="00B86D8E" w:rsidRDefault="00000000">
      <w:pPr>
        <w:pStyle w:val="NormalWeb"/>
        <w:rPr>
          <w:rFonts w:ascii="Calibri" w:eastAsia="Calibri" w:hAnsi="Calibri" w:cs="Calibri"/>
          <w:sz w:val="20"/>
          <w:szCs w:val="20"/>
        </w:rPr>
      </w:pPr>
      <w:r>
        <w:rPr>
          <w:rFonts w:ascii="Calibri" w:hAnsi="Calibri"/>
          <w:sz w:val="20"/>
          <w:szCs w:val="20"/>
        </w:rPr>
        <w:t>Under UK law, particularly the Employment Rights Act 1996, employees who are being made redundant must be consulted properly, even if the redundancy is due to poor performance. Consultation is a key part of the redundancy process. Employees must have the chance to discuss the situation, consider alternatives to redundancy, have input into the selection process. The consultation needs to be meaningful and happen within a reasonable timeframe. Employees should be given the opportunity to raise concerns and suggest other options.</w:t>
      </w:r>
      <w:r w:rsidR="00A71D44">
        <w:rPr>
          <w:rFonts w:ascii="Calibri" w:hAnsi="Calibri"/>
          <w:sz w:val="20"/>
          <w:szCs w:val="20"/>
        </w:rPr>
        <w:t xml:space="preserve"> (UK Government, 1996)</w:t>
      </w:r>
    </w:p>
    <w:p w14:paraId="6C3C903F" w14:textId="77777777" w:rsidR="00B86D8E" w:rsidRDefault="00000000">
      <w:pPr>
        <w:pStyle w:val="NormalWeb"/>
        <w:rPr>
          <w:rFonts w:ascii="Calibri" w:eastAsia="Calibri" w:hAnsi="Calibri" w:cs="Calibri"/>
          <w:sz w:val="20"/>
          <w:szCs w:val="20"/>
        </w:rPr>
      </w:pPr>
      <w:r>
        <w:rPr>
          <w:rFonts w:ascii="Calibri" w:hAnsi="Calibri"/>
          <w:sz w:val="20"/>
          <w:szCs w:val="20"/>
        </w:rPr>
        <w:t>For bigger redundancies, if 50 or more jobs are being lost, the employer must do collective consultation with union representatives or employee representatives if there’s no union. This consultation must start at least 30 days before the first dismissal if 20 or more employees are affected. The consultation must genuinely cover things like why redundancies are happening, how people will be chosen for redundancy, if there are any other ways to avoid it. If the employer doesn’t do this consultation properly, they could face protective awards, which are payments to the affected employees for up to 90 days if the process wasn’t done right.</w:t>
      </w:r>
    </w:p>
    <w:p w14:paraId="6A76B33A" w14:textId="77777777" w:rsidR="00B86D8E" w:rsidRDefault="00000000">
      <w:pPr>
        <w:pStyle w:val="NormalWeb"/>
        <w:rPr>
          <w:rFonts w:ascii="Calibri" w:eastAsia="Calibri" w:hAnsi="Calibri" w:cs="Calibri"/>
          <w:sz w:val="20"/>
          <w:szCs w:val="20"/>
        </w:rPr>
      </w:pPr>
      <w:r>
        <w:rPr>
          <w:rFonts w:ascii="Calibri" w:hAnsi="Calibri"/>
          <w:sz w:val="20"/>
          <w:szCs w:val="20"/>
        </w:rPr>
        <w:t>The selection process for redundancy also must be fair. Employers should use clear and objective goals when picking who will be made redundant, such as skills, experience, qualifications, and attendance. The process must be applied consistently. If employees are selected for redundancy based on other factors, like personal bias or just because they’re the "poorest performers," the employer could face claims of unfair dismissal. Employees should also have the chance to challenge their selection and explain why they think they shouldn’t be made redundant. Employers should also consider offering employees alternative roles within the company if they are available. (ACAS)</w:t>
      </w:r>
    </w:p>
    <w:p w14:paraId="66C6991A" w14:textId="77777777" w:rsidR="00B86D8E" w:rsidRDefault="00000000">
      <w:pPr>
        <w:pStyle w:val="NormalWeb"/>
        <w:rPr>
          <w:rFonts w:ascii="Calibri" w:eastAsia="Calibri" w:hAnsi="Calibri" w:cs="Calibri"/>
          <w:sz w:val="20"/>
          <w:szCs w:val="20"/>
        </w:rPr>
      </w:pPr>
      <w:r>
        <w:rPr>
          <w:rFonts w:ascii="Calibri" w:hAnsi="Calibri"/>
          <w:sz w:val="20"/>
          <w:szCs w:val="20"/>
        </w:rPr>
        <w:t>If an employee feels they’ve been unfairly selected for redundancy, they can appeal the decision within the company. If that doesn’t work, they can take the matter to an employment tribunal. The tribunal will look at whether the redundancy process was fair, whether the consultation was proper, whether the selection criteria were followed, and whether alternatives were considered.</w:t>
      </w:r>
    </w:p>
    <w:p w14:paraId="6BEC5CE6" w14:textId="77777777" w:rsidR="00B86D8E" w:rsidRDefault="00000000">
      <w:pPr>
        <w:pStyle w:val="NormalWeb"/>
        <w:rPr>
          <w:rFonts w:ascii="Calibri" w:eastAsia="Calibri" w:hAnsi="Calibri" w:cs="Calibri"/>
          <w:sz w:val="20"/>
          <w:szCs w:val="20"/>
        </w:rPr>
      </w:pPr>
      <w:r>
        <w:rPr>
          <w:rFonts w:ascii="Calibri" w:hAnsi="Calibri"/>
          <w:sz w:val="20"/>
          <w:szCs w:val="20"/>
        </w:rPr>
        <w:t>To get the redundancy process right, the senior manager must make sure that proper consultation is done, both individually and with employee representatives. The selection process must be fair, clear, and based on objective targets. Rushing through or skipping these legal steps could lead to legal challenges, like unfair dismissal claims or tribunal cases.</w:t>
      </w:r>
    </w:p>
    <w:p w14:paraId="65B4D751" w14:textId="77777777" w:rsidR="00B86D8E" w:rsidRDefault="00000000">
      <w:pPr>
        <w:pStyle w:val="NormalWeb"/>
        <w:rPr>
          <w:rFonts w:ascii="Calibri" w:eastAsia="Calibri" w:hAnsi="Calibri" w:cs="Calibri"/>
          <w:sz w:val="20"/>
          <w:szCs w:val="20"/>
        </w:rPr>
      </w:pPr>
      <w:r>
        <w:rPr>
          <w:rFonts w:ascii="Calibri" w:hAnsi="Calibri"/>
          <w:sz w:val="20"/>
          <w:szCs w:val="20"/>
        </w:rPr>
        <w:t>Employees who have been with the company for at least two years are entitled to statutory redundancy pay. The amount depends on their age, length of service, and how much they earn (subject to a cap). Employers need to make sure that the redundancy pay is calculated correctly and paid on time.</w:t>
      </w:r>
    </w:p>
    <w:p w14:paraId="65B530B0" w14:textId="77777777" w:rsidR="00B86D8E" w:rsidRDefault="00000000">
      <w:pPr>
        <w:pStyle w:val="NormalWeb"/>
        <w:rPr>
          <w:rFonts w:ascii="Calibri" w:eastAsia="Calibri" w:hAnsi="Calibri" w:cs="Calibri"/>
          <w:sz w:val="20"/>
          <w:szCs w:val="20"/>
        </w:rPr>
      </w:pPr>
      <w:r>
        <w:rPr>
          <w:rFonts w:ascii="Calibri" w:hAnsi="Calibri"/>
          <w:sz w:val="20"/>
          <w:szCs w:val="20"/>
        </w:rPr>
        <w:t>Employees are entitled to a minimum notice period depending on how long they’ve been with the company. This ranges from one week’s notice for each full year of service, up to a maximum of 12 weeks. (CIPD)</w:t>
      </w:r>
    </w:p>
    <w:p w14:paraId="668CF959" w14:textId="77777777" w:rsidR="00B86D8E" w:rsidRDefault="00B86D8E">
      <w:pPr>
        <w:pStyle w:val="NormalWeb"/>
        <w:rPr>
          <w:rFonts w:ascii="Calibri" w:eastAsia="Calibri" w:hAnsi="Calibri" w:cs="Calibri"/>
          <w:sz w:val="20"/>
          <w:szCs w:val="20"/>
        </w:rPr>
      </w:pPr>
    </w:p>
    <w:p w14:paraId="4946A971" w14:textId="77777777" w:rsidR="00B86D8E" w:rsidRDefault="00000000">
      <w:pPr>
        <w:pStyle w:val="NormalWeb"/>
        <w:rPr>
          <w:rFonts w:ascii="Calibri" w:eastAsia="Calibri" w:hAnsi="Calibri" w:cs="Calibri"/>
          <w:sz w:val="20"/>
          <w:szCs w:val="20"/>
        </w:rPr>
      </w:pPr>
      <w:r>
        <w:rPr>
          <w:rFonts w:ascii="Calibri" w:hAnsi="Calibri"/>
          <w:sz w:val="20"/>
          <w:szCs w:val="20"/>
        </w:rPr>
        <w:t>AC 3.3</w:t>
      </w:r>
    </w:p>
    <w:p w14:paraId="36DF3EC0" w14:textId="77777777" w:rsidR="00B86D8E" w:rsidRDefault="00000000">
      <w:pPr>
        <w:pStyle w:val="NormalWeb"/>
        <w:rPr>
          <w:rFonts w:ascii="Calibri" w:eastAsia="Calibri" w:hAnsi="Calibri" w:cs="Calibri"/>
          <w:sz w:val="20"/>
          <w:szCs w:val="20"/>
        </w:rPr>
      </w:pPr>
      <w:r>
        <w:rPr>
          <w:rFonts w:ascii="Calibri" w:hAnsi="Calibri"/>
          <w:sz w:val="20"/>
          <w:szCs w:val="20"/>
        </w:rPr>
        <w:t>The potential merger of the two pharmacy operations brings up some important legal criteria under the Transfer of Undertakings (Protection of Employment) Regulations 2006, TUPE. TUPE is there to protect employees rights when part or all of a business is transferred to a new employer. (ACAS)</w:t>
      </w:r>
    </w:p>
    <w:p w14:paraId="2D771867" w14:textId="0CA39A02" w:rsidR="00B86D8E" w:rsidRDefault="00000000">
      <w:pPr>
        <w:pStyle w:val="NormalWeb"/>
        <w:rPr>
          <w:rFonts w:ascii="Calibri" w:eastAsia="Calibri" w:hAnsi="Calibri" w:cs="Calibri"/>
          <w:sz w:val="20"/>
          <w:szCs w:val="20"/>
        </w:rPr>
      </w:pPr>
      <w:r>
        <w:rPr>
          <w:rFonts w:ascii="Calibri" w:hAnsi="Calibri"/>
          <w:sz w:val="20"/>
          <w:szCs w:val="20"/>
        </w:rPr>
        <w:t xml:space="preserve">If the merger goes ahead, it’s likely that the employees affected by the transfer will be covered by TUPE. This means they’ll automatically transfer to the new, </w:t>
      </w:r>
      <w:proofErr w:type="spellStart"/>
      <w:r>
        <w:rPr>
          <w:rFonts w:ascii="Calibri" w:hAnsi="Calibri"/>
          <w:sz w:val="20"/>
          <w:szCs w:val="20"/>
        </w:rPr>
        <w:t>centralised</w:t>
      </w:r>
      <w:proofErr w:type="spellEnd"/>
      <w:r>
        <w:rPr>
          <w:rFonts w:ascii="Calibri" w:hAnsi="Calibri"/>
          <w:sz w:val="20"/>
          <w:szCs w:val="20"/>
        </w:rPr>
        <w:t xml:space="preserve"> pharmacy operation. The new employer will have to keep the employees existing terms and conditions, like their salary, benefits, and any other contractual rights. The new employer will also take on any liabilities the old employer had, like ongoing disputes or any unused holiday entitlements. As well as protecting the employee’s terms and conditions, TUPE also requires that employees are properly informed and consulted about the transfer. The employer needs to give them the details about why the transfer is happening, when it will likely take place, and what it means for their job. This consultation needs to happen before the transfer, it can involve union reps or employee representatives.</w:t>
      </w:r>
      <w:r w:rsidR="00560D15">
        <w:rPr>
          <w:rFonts w:ascii="Calibri" w:hAnsi="Calibri"/>
          <w:sz w:val="20"/>
          <w:szCs w:val="20"/>
        </w:rPr>
        <w:t xml:space="preserve"> (GOV.UK)</w:t>
      </w:r>
    </w:p>
    <w:p w14:paraId="4CEFFA4A" w14:textId="5C8770A6" w:rsidR="00B86D8E" w:rsidRDefault="00000000">
      <w:pPr>
        <w:pStyle w:val="NormalWeb"/>
        <w:rPr>
          <w:rFonts w:ascii="Calibri" w:eastAsia="Calibri" w:hAnsi="Calibri" w:cs="Calibri"/>
          <w:sz w:val="20"/>
          <w:szCs w:val="20"/>
        </w:rPr>
      </w:pPr>
      <w:r>
        <w:rPr>
          <w:rFonts w:ascii="Calibri" w:hAnsi="Calibri"/>
          <w:sz w:val="20"/>
          <w:szCs w:val="20"/>
        </w:rPr>
        <w:lastRenderedPageBreak/>
        <w:t xml:space="preserve">Employees do have the right to object to the transfer if they don’t want to go with the new employer. If they choose to object, </w:t>
      </w:r>
      <w:r w:rsidR="00A71D44">
        <w:rPr>
          <w:rFonts w:ascii="Calibri" w:hAnsi="Calibri"/>
          <w:sz w:val="20"/>
          <w:szCs w:val="20"/>
        </w:rPr>
        <w:t>their employment can just end</w:t>
      </w:r>
      <w:r>
        <w:rPr>
          <w:rFonts w:ascii="Calibri" w:hAnsi="Calibri"/>
          <w:sz w:val="20"/>
          <w:szCs w:val="20"/>
        </w:rPr>
        <w:t xml:space="preserve">, this won’t affect their right to redundancy pay or any compensation they might be entitled to. It’s important to know that just because an employee objects, it doesn’t stop the transfer from going ahead. It just means they’re no longer interested and resigning instead of staying with the new employer. </w:t>
      </w:r>
    </w:p>
    <w:p w14:paraId="2D61BEAD" w14:textId="77777777" w:rsidR="00B86D8E" w:rsidRDefault="00000000">
      <w:pPr>
        <w:pStyle w:val="NormalWeb"/>
        <w:rPr>
          <w:rFonts w:ascii="Calibri" w:eastAsia="Calibri" w:hAnsi="Calibri" w:cs="Calibri"/>
          <w:sz w:val="20"/>
          <w:szCs w:val="20"/>
        </w:rPr>
      </w:pPr>
      <w:r>
        <w:rPr>
          <w:rFonts w:ascii="Calibri" w:hAnsi="Calibri"/>
          <w:sz w:val="20"/>
          <w:szCs w:val="20"/>
        </w:rPr>
        <w:t xml:space="preserve">If the merger happens, the employees involved will have their rights protected under TUPE, including keeping their terms and conditions and being properly consulted. It’s important that the company follows the right procedures to stay on the right side of the law and avoid any potential legal problems. (CIPD).   </w:t>
      </w:r>
    </w:p>
    <w:p w14:paraId="19DCCBDD" w14:textId="77777777" w:rsidR="00B86D8E" w:rsidRDefault="00B86D8E">
      <w:pPr>
        <w:pStyle w:val="NormalWeb"/>
        <w:rPr>
          <w:rFonts w:ascii="Calibri" w:eastAsia="Calibri" w:hAnsi="Calibri" w:cs="Calibri"/>
          <w:sz w:val="20"/>
          <w:szCs w:val="20"/>
        </w:rPr>
      </w:pPr>
    </w:p>
    <w:p w14:paraId="5690190D" w14:textId="77777777" w:rsidR="00B86D8E" w:rsidRDefault="00000000">
      <w:pPr>
        <w:pStyle w:val="Body"/>
        <w:spacing w:line="240" w:lineRule="auto"/>
        <w:rPr>
          <w:rFonts w:ascii="Calibri" w:eastAsia="Calibri" w:hAnsi="Calibri" w:cs="Calibri"/>
          <w:b/>
          <w:bCs/>
          <w:sz w:val="20"/>
          <w:szCs w:val="20"/>
        </w:rPr>
      </w:pPr>
      <w:r>
        <w:rPr>
          <w:rFonts w:ascii="Calibri" w:hAnsi="Calibri"/>
          <w:sz w:val="20"/>
          <w:szCs w:val="20"/>
        </w:rPr>
        <w:t>AC4.1</w:t>
      </w:r>
    </w:p>
    <w:p w14:paraId="711DE5D4" w14:textId="77777777" w:rsidR="00B86D8E" w:rsidRDefault="00000000">
      <w:pPr>
        <w:pStyle w:val="NormalWeb"/>
        <w:rPr>
          <w:rFonts w:ascii="Calibri" w:eastAsia="Calibri" w:hAnsi="Calibri" w:cs="Calibri"/>
          <w:sz w:val="20"/>
          <w:szCs w:val="20"/>
        </w:rPr>
      </w:pPr>
      <w:r>
        <w:rPr>
          <w:rFonts w:ascii="Calibri" w:hAnsi="Calibri"/>
          <w:sz w:val="20"/>
          <w:szCs w:val="20"/>
        </w:rPr>
        <w:t>When it comes to calculating holiday pay for casual or bank staff, such as the nurse bank staff in your department, there are specific regulatory requirements that must be followed to ensure the process is fair and lawful.</w:t>
      </w:r>
    </w:p>
    <w:p w14:paraId="2306FB9D" w14:textId="77777777" w:rsidR="00B86D8E" w:rsidRDefault="00000000">
      <w:pPr>
        <w:pStyle w:val="NormalWeb"/>
        <w:rPr>
          <w:rFonts w:ascii="Calibri" w:eastAsia="Calibri" w:hAnsi="Calibri" w:cs="Calibri"/>
          <w:sz w:val="20"/>
          <w:szCs w:val="20"/>
        </w:rPr>
      </w:pPr>
      <w:r>
        <w:rPr>
          <w:rFonts w:ascii="Calibri" w:hAnsi="Calibri"/>
          <w:sz w:val="20"/>
          <w:szCs w:val="20"/>
        </w:rPr>
        <w:t>Under UK employment law, outlined by the Working Time Regulations 1998, all workers are entitled to a minimum of 5.6 weeks of paid holiday per year, which equates to 28 days for a full-time worker. For casual or bank staff, holiday pay is calculated a bit differently since they may not have a regular, fixed salary.</w:t>
      </w:r>
    </w:p>
    <w:p w14:paraId="5DEF8AC7" w14:textId="77777777" w:rsidR="00B86D8E" w:rsidRDefault="00000000">
      <w:pPr>
        <w:pStyle w:val="NormalWeb"/>
        <w:rPr>
          <w:rFonts w:ascii="Calibri" w:eastAsia="Calibri" w:hAnsi="Calibri" w:cs="Calibri"/>
          <w:sz w:val="20"/>
          <w:szCs w:val="20"/>
        </w:rPr>
      </w:pPr>
      <w:r>
        <w:rPr>
          <w:rFonts w:ascii="Calibri" w:hAnsi="Calibri"/>
          <w:sz w:val="20"/>
          <w:szCs w:val="20"/>
        </w:rPr>
        <w:t>Holiday pay for casual workers should be calculated based on their average earnings over a specific reference period. Looking at what the worker has earned in the previous 52 weeks of work (or fewer weeks if they haven't worked for a full year), including any overtime, commission, or other pay, not just their basic hourly rate. This ensures the holiday pay reflects the actual work done by the employee, especially for those working irregular hours or varying shifts. (Daniels, K, CIPD)</w:t>
      </w:r>
    </w:p>
    <w:p w14:paraId="49ABDED7" w14:textId="77777777" w:rsidR="00B86D8E" w:rsidRDefault="00000000">
      <w:pPr>
        <w:pStyle w:val="NormalWeb"/>
        <w:rPr>
          <w:rFonts w:ascii="Calibri" w:eastAsia="Calibri" w:hAnsi="Calibri" w:cs="Calibri"/>
          <w:sz w:val="20"/>
          <w:szCs w:val="20"/>
        </w:rPr>
      </w:pPr>
      <w:r>
        <w:rPr>
          <w:rFonts w:ascii="Calibri" w:hAnsi="Calibri"/>
          <w:sz w:val="20"/>
          <w:szCs w:val="20"/>
        </w:rPr>
        <w:t>Overtime pay, bonus payments, or any other additional earnings should be considered in the calculation of holiday pay. For example, if the nurse works overtime or gets a bonus, extra income should be included when working out their holiday pay. This makes sure the holiday pay accurately reflects the full amount the worker has earned, not just their basic rate. (GOV.UK)</w:t>
      </w:r>
    </w:p>
    <w:p w14:paraId="6190C32F" w14:textId="77777777" w:rsidR="00B86D8E" w:rsidRDefault="00000000">
      <w:pPr>
        <w:pStyle w:val="NormalWeb"/>
        <w:rPr>
          <w:rFonts w:ascii="Calibri" w:eastAsia="Calibri" w:hAnsi="Calibri" w:cs="Calibri"/>
          <w:sz w:val="20"/>
          <w:szCs w:val="20"/>
        </w:rPr>
      </w:pPr>
      <w:r>
        <w:rPr>
          <w:rFonts w:ascii="Calibri" w:hAnsi="Calibri"/>
          <w:sz w:val="20"/>
          <w:szCs w:val="20"/>
        </w:rPr>
        <w:t>Many employers calculate holiday pay by adding a holiday entitlement percentage on top of the workers’ pay. For example, the statutory holiday entitlement is 12.07% of the total hours worked. This means if a bank staff nurse works 100 hours, their holiday pay would be calculated as 12.07% of those 100 hours' earnings. Some employers pay this holiday entitlement as a separate payment when the worker takes time off, while others may include it in the hourly rate. It’s important that the calculation of holiday pay is done fairly and accurately, ensuring that workers aren’t underpaid for their holiday entitlement. If holiday pay is not calculated correctly, workers could potentially make claims for the underpayment of holiday pay, and the department could face legal issues.</w:t>
      </w:r>
    </w:p>
    <w:p w14:paraId="099CBD31" w14:textId="77777777" w:rsidR="00B86D8E" w:rsidRDefault="00000000">
      <w:pPr>
        <w:pStyle w:val="NormalWeb"/>
        <w:rPr>
          <w:rFonts w:ascii="Calibri" w:eastAsia="Calibri" w:hAnsi="Calibri" w:cs="Calibri"/>
          <w:sz w:val="20"/>
          <w:szCs w:val="20"/>
        </w:rPr>
      </w:pPr>
      <w:r>
        <w:rPr>
          <w:rFonts w:ascii="Calibri" w:hAnsi="Calibri"/>
          <w:sz w:val="20"/>
          <w:szCs w:val="20"/>
        </w:rPr>
        <w:t>To ensure fairness and compliance, your colleague should regularly review the hours worked by the bank staff and ensure holiday pay is calculated according to their actual earnings. It’s also a good idea to keep clear records of hours worked and holiday pay for each worker to avoid any disputes down the line. If there are any concerns about how holiday pay is being calculated or paid, it’s important to address them quickly to avoid potential claims. (ACAS)</w:t>
      </w:r>
    </w:p>
    <w:p w14:paraId="5D12AF7B" w14:textId="77777777" w:rsidR="00B86D8E" w:rsidRDefault="00B86D8E">
      <w:pPr>
        <w:pStyle w:val="NormalWeb"/>
        <w:rPr>
          <w:rFonts w:ascii="Calibri" w:eastAsia="Calibri" w:hAnsi="Calibri" w:cs="Calibri"/>
          <w:sz w:val="20"/>
          <w:szCs w:val="20"/>
        </w:rPr>
      </w:pPr>
    </w:p>
    <w:p w14:paraId="30E2E1BE" w14:textId="77777777" w:rsidR="00B86D8E" w:rsidRDefault="00B86D8E">
      <w:pPr>
        <w:pStyle w:val="NormalWeb"/>
        <w:rPr>
          <w:rFonts w:ascii="Calibri" w:eastAsia="Calibri" w:hAnsi="Calibri" w:cs="Calibri"/>
          <w:sz w:val="20"/>
          <w:szCs w:val="20"/>
        </w:rPr>
      </w:pPr>
    </w:p>
    <w:p w14:paraId="0AFB0A9F" w14:textId="77777777" w:rsidR="00B86D8E" w:rsidRDefault="00B86D8E">
      <w:pPr>
        <w:pStyle w:val="NormalWeb"/>
        <w:rPr>
          <w:rFonts w:ascii="Calibri" w:eastAsia="Calibri" w:hAnsi="Calibri" w:cs="Calibri"/>
          <w:sz w:val="20"/>
          <w:szCs w:val="20"/>
        </w:rPr>
      </w:pPr>
    </w:p>
    <w:p w14:paraId="5BD32C02" w14:textId="77777777" w:rsidR="00B86D8E" w:rsidRDefault="00B86D8E">
      <w:pPr>
        <w:pStyle w:val="NormalWeb"/>
        <w:rPr>
          <w:rFonts w:ascii="Calibri" w:eastAsia="Calibri" w:hAnsi="Calibri" w:cs="Calibri"/>
          <w:sz w:val="20"/>
          <w:szCs w:val="20"/>
        </w:rPr>
      </w:pPr>
    </w:p>
    <w:p w14:paraId="4F4C360C" w14:textId="77777777" w:rsidR="00B86D8E" w:rsidRDefault="00B86D8E">
      <w:pPr>
        <w:pStyle w:val="NormalWeb"/>
        <w:rPr>
          <w:rFonts w:ascii="Calibri" w:eastAsia="Calibri" w:hAnsi="Calibri" w:cs="Calibri"/>
          <w:sz w:val="20"/>
          <w:szCs w:val="20"/>
        </w:rPr>
      </w:pPr>
    </w:p>
    <w:p w14:paraId="39C244B9" w14:textId="77777777" w:rsidR="00B86D8E" w:rsidRDefault="00B86D8E">
      <w:pPr>
        <w:pStyle w:val="NormalWeb"/>
        <w:rPr>
          <w:rFonts w:ascii="Calibri" w:eastAsia="Calibri" w:hAnsi="Calibri" w:cs="Calibri"/>
          <w:sz w:val="20"/>
          <w:szCs w:val="20"/>
        </w:rPr>
      </w:pPr>
    </w:p>
    <w:p w14:paraId="6CD3494B" w14:textId="77777777" w:rsidR="00B86D8E" w:rsidRDefault="00B86D8E">
      <w:pPr>
        <w:pStyle w:val="NormalWeb"/>
        <w:rPr>
          <w:rFonts w:ascii="Calibri" w:eastAsia="Calibri" w:hAnsi="Calibri" w:cs="Calibri"/>
          <w:sz w:val="20"/>
          <w:szCs w:val="20"/>
        </w:rPr>
      </w:pPr>
    </w:p>
    <w:p w14:paraId="00AFA528" w14:textId="77777777" w:rsidR="00B86D8E" w:rsidRDefault="00B86D8E">
      <w:pPr>
        <w:pStyle w:val="Body"/>
        <w:spacing w:line="240" w:lineRule="auto"/>
        <w:rPr>
          <w:rFonts w:ascii="Calibri" w:eastAsia="Calibri" w:hAnsi="Calibri" w:cs="Calibri"/>
          <w:sz w:val="20"/>
          <w:szCs w:val="20"/>
        </w:rPr>
      </w:pPr>
    </w:p>
    <w:p w14:paraId="6D5F9A03" w14:textId="77777777" w:rsidR="00B86D8E" w:rsidRDefault="00B86D8E">
      <w:pPr>
        <w:pStyle w:val="Body"/>
        <w:spacing w:line="240" w:lineRule="auto"/>
        <w:rPr>
          <w:rFonts w:ascii="Calibri" w:eastAsia="Calibri" w:hAnsi="Calibri" w:cs="Calibri"/>
          <w:sz w:val="20"/>
          <w:szCs w:val="20"/>
        </w:rPr>
      </w:pPr>
    </w:p>
    <w:p w14:paraId="07A464EC" w14:textId="77777777" w:rsidR="00B86D8E" w:rsidRDefault="00B86D8E">
      <w:pPr>
        <w:pStyle w:val="Body"/>
        <w:spacing w:line="240" w:lineRule="auto"/>
        <w:rPr>
          <w:rFonts w:ascii="Calibri" w:eastAsia="Calibri" w:hAnsi="Calibri" w:cs="Calibri"/>
          <w:sz w:val="20"/>
          <w:szCs w:val="20"/>
        </w:rPr>
      </w:pPr>
    </w:p>
    <w:p w14:paraId="48C06C1A" w14:textId="77777777" w:rsidR="00B86D8E" w:rsidRDefault="00B86D8E">
      <w:pPr>
        <w:pStyle w:val="Body"/>
        <w:spacing w:line="240" w:lineRule="auto"/>
        <w:rPr>
          <w:rFonts w:ascii="Calibri" w:eastAsia="Calibri" w:hAnsi="Calibri" w:cs="Calibri"/>
          <w:sz w:val="20"/>
          <w:szCs w:val="20"/>
        </w:rPr>
      </w:pPr>
    </w:p>
    <w:p w14:paraId="19000E65" w14:textId="77777777" w:rsidR="00B86D8E" w:rsidRDefault="00B86D8E">
      <w:pPr>
        <w:pStyle w:val="Body"/>
        <w:spacing w:line="240" w:lineRule="auto"/>
        <w:rPr>
          <w:rFonts w:ascii="Calibri" w:eastAsia="Calibri" w:hAnsi="Calibri" w:cs="Calibri"/>
          <w:sz w:val="20"/>
          <w:szCs w:val="20"/>
        </w:rPr>
      </w:pPr>
    </w:p>
    <w:p w14:paraId="3234F037" w14:textId="77777777" w:rsidR="00B86D8E" w:rsidRDefault="00000000">
      <w:pPr>
        <w:pStyle w:val="Body"/>
        <w:spacing w:line="240" w:lineRule="auto"/>
        <w:rPr>
          <w:rFonts w:ascii="Calibri" w:eastAsia="Calibri" w:hAnsi="Calibri" w:cs="Calibri"/>
          <w:b/>
          <w:bCs/>
          <w:sz w:val="20"/>
          <w:szCs w:val="20"/>
        </w:rPr>
      </w:pPr>
      <w:r>
        <w:rPr>
          <w:rFonts w:ascii="Calibri" w:hAnsi="Calibri"/>
          <w:sz w:val="20"/>
          <w:szCs w:val="20"/>
        </w:rPr>
        <w:lastRenderedPageBreak/>
        <w:t>AC4.2</w:t>
      </w:r>
    </w:p>
    <w:p w14:paraId="33F0384F" w14:textId="77777777" w:rsidR="00B86D8E" w:rsidRDefault="00000000">
      <w:pPr>
        <w:pStyle w:val="NormalWeb"/>
        <w:rPr>
          <w:rFonts w:ascii="Calibri" w:eastAsia="Calibri" w:hAnsi="Calibri" w:cs="Calibri"/>
          <w:sz w:val="20"/>
          <w:szCs w:val="20"/>
        </w:rPr>
      </w:pPr>
      <w:r>
        <w:rPr>
          <w:rFonts w:ascii="Calibri" w:hAnsi="Calibri"/>
          <w:sz w:val="20"/>
          <w:szCs w:val="20"/>
        </w:rPr>
        <w:t>Maternity leave and shared parental leave (SPL) both give parents time off after the baby is born, they work a bit differently, the choice between them depends on what suits you and your partner best.</w:t>
      </w:r>
    </w:p>
    <w:p w14:paraId="21AD0FBC" w14:textId="77777777" w:rsidR="00B86D8E" w:rsidRDefault="00000000">
      <w:pPr>
        <w:pStyle w:val="NormalWeb"/>
        <w:rPr>
          <w:rFonts w:ascii="Calibri" w:eastAsia="Calibri" w:hAnsi="Calibri" w:cs="Calibri"/>
          <w:sz w:val="20"/>
          <w:szCs w:val="20"/>
        </w:rPr>
      </w:pPr>
      <w:r>
        <w:rPr>
          <w:rFonts w:ascii="Calibri" w:hAnsi="Calibri"/>
          <w:sz w:val="20"/>
          <w:szCs w:val="20"/>
        </w:rPr>
        <w:t>Maternity leave is for the mother, and she’s entitled to up to 52 weeks off. This includes 26 weeks of ordinary maternity leave and an additional 26 weeks of additional maternity leave if needed. During maternity leave, the mother gets statutory maternity pay (SMP) for up to 39 weeks. For the first six weeks, she gets 90% of her average weekly earnings, and then it’s a flat rate for the remaining weeks. How much SMP someone gets depends on their earnings and how long they’ve been employed by the company.</w:t>
      </w:r>
    </w:p>
    <w:p w14:paraId="07415B65" w14:textId="77777777" w:rsidR="00B86D8E" w:rsidRDefault="00000000">
      <w:pPr>
        <w:pStyle w:val="NormalWeb"/>
        <w:rPr>
          <w:rFonts w:ascii="Calibri" w:eastAsia="Calibri" w:hAnsi="Calibri" w:cs="Calibri"/>
          <w:sz w:val="20"/>
          <w:szCs w:val="20"/>
        </w:rPr>
      </w:pPr>
      <w:r>
        <w:rPr>
          <w:rFonts w:ascii="Calibri" w:hAnsi="Calibri"/>
          <w:sz w:val="20"/>
          <w:szCs w:val="20"/>
        </w:rPr>
        <w:t>Paternity leave, which is for the father or the partner, gives them the right to two weeks off around the time of the birth. During paternity leave, they are entitled to statutory paternity pay (SPP), which is the same as statutory maternity pay (a flat rate or 90% of earnings, depending on the circumstances). Paternity leave is shorter than maternity leave, but it gives the partner some time to support the mother and bond with the baby. (ACAS)</w:t>
      </w:r>
    </w:p>
    <w:p w14:paraId="715BD8BA" w14:textId="77777777" w:rsidR="00B86D8E" w:rsidRDefault="00000000">
      <w:pPr>
        <w:pStyle w:val="NormalWeb"/>
        <w:rPr>
          <w:rFonts w:ascii="Calibri" w:eastAsia="Calibri" w:hAnsi="Calibri" w:cs="Calibri"/>
          <w:sz w:val="20"/>
          <w:szCs w:val="20"/>
        </w:rPr>
      </w:pPr>
      <w:r>
        <w:rPr>
          <w:rFonts w:ascii="Calibri" w:hAnsi="Calibri"/>
          <w:sz w:val="20"/>
          <w:szCs w:val="20"/>
        </w:rPr>
        <w:t>Shared parental leave allows both parents to share time off after the birth, but it works a little differently. The mother must take at least two weeks off after giving birth as maternity leave, she can choose to give up the rest of her leave so the partner can take it. Both parents can take SPL at the same time or split it up. The total amount of SPL is 50 weeks, but how much you get depends on how much maternity leave the mother gives up. The pay during SPL is usually a bit lower than maternity pay, it’s based on statutory paternity pay, which is less than SMP. (CIPD)</w:t>
      </w:r>
    </w:p>
    <w:p w14:paraId="6B9649C2" w14:textId="77777777" w:rsidR="00B86D8E" w:rsidRDefault="00000000">
      <w:pPr>
        <w:pStyle w:val="NormalWeb"/>
        <w:rPr>
          <w:rFonts w:ascii="Calibri" w:eastAsia="Calibri" w:hAnsi="Calibri" w:cs="Calibri"/>
          <w:sz w:val="20"/>
          <w:szCs w:val="20"/>
        </w:rPr>
      </w:pPr>
      <w:r>
        <w:rPr>
          <w:rFonts w:ascii="Calibri" w:hAnsi="Calibri"/>
          <w:sz w:val="20"/>
          <w:szCs w:val="20"/>
        </w:rPr>
        <w:t>The main principles behind these rights are to ensure that parents have the time they need to care for and bond with their child without worrying about losing their job. The rights vary a bit depending on your specific situation but the key is that you have the right to take time off, with pay, and have your job protected while you’re away.</w:t>
      </w:r>
    </w:p>
    <w:p w14:paraId="7F9890C8" w14:textId="77777777" w:rsidR="00B86D8E" w:rsidRDefault="00000000">
      <w:pPr>
        <w:pStyle w:val="NormalWeb"/>
        <w:rPr>
          <w:rFonts w:ascii="Calibri" w:eastAsia="Calibri" w:hAnsi="Calibri" w:cs="Calibri"/>
          <w:sz w:val="20"/>
          <w:szCs w:val="20"/>
        </w:rPr>
      </w:pPr>
      <w:r>
        <w:rPr>
          <w:rFonts w:ascii="Calibri" w:hAnsi="Calibri"/>
          <w:sz w:val="20"/>
          <w:szCs w:val="20"/>
        </w:rPr>
        <w:t>Maternity leave is for the mum, paternity leave is for the dad or partner, shared parental leave allows both parents to split their time off as they see fit. Adoption leave is very similar to maternity leave but for adoptive parents. All these rights are designed to help parents have time to care for their children without losing their employment rights. (GOV.UK)</w:t>
      </w:r>
    </w:p>
    <w:p w14:paraId="1AF74BDC" w14:textId="77777777" w:rsidR="00B86D8E" w:rsidRDefault="00B86D8E">
      <w:pPr>
        <w:pStyle w:val="Listparag"/>
        <w:spacing w:after="0" w:line="240" w:lineRule="auto"/>
        <w:rPr>
          <w:rFonts w:ascii="Calibri" w:eastAsia="Calibri" w:hAnsi="Calibri" w:cs="Calibri"/>
          <w:sz w:val="20"/>
          <w:szCs w:val="20"/>
        </w:rPr>
      </w:pPr>
    </w:p>
    <w:p w14:paraId="1C25EC80" w14:textId="77777777" w:rsidR="00B86D8E" w:rsidRDefault="00B86D8E">
      <w:pPr>
        <w:pStyle w:val="Listparag"/>
        <w:spacing w:after="0" w:line="240" w:lineRule="auto"/>
        <w:rPr>
          <w:rFonts w:ascii="Trebuchet MS" w:eastAsia="Trebuchet MS" w:hAnsi="Trebuchet MS" w:cs="Trebuchet MS"/>
        </w:rPr>
      </w:pPr>
    </w:p>
    <w:p w14:paraId="75EE991A" w14:textId="77777777" w:rsidR="00B86D8E" w:rsidRDefault="00B86D8E">
      <w:pPr>
        <w:pStyle w:val="Listparag"/>
        <w:spacing w:after="0" w:line="240" w:lineRule="auto"/>
        <w:rPr>
          <w:rFonts w:ascii="Trebuchet MS" w:eastAsia="Trebuchet MS" w:hAnsi="Trebuchet MS" w:cs="Trebuchet MS"/>
        </w:rPr>
      </w:pPr>
    </w:p>
    <w:p w14:paraId="5D7479E6" w14:textId="77777777" w:rsidR="00B86D8E" w:rsidRDefault="00B86D8E">
      <w:pPr>
        <w:pStyle w:val="Listparag"/>
        <w:spacing w:after="0" w:line="240" w:lineRule="auto"/>
        <w:rPr>
          <w:rFonts w:ascii="Trebuchet MS" w:eastAsia="Trebuchet MS" w:hAnsi="Trebuchet MS" w:cs="Trebuchet MS"/>
        </w:rPr>
      </w:pPr>
    </w:p>
    <w:p w14:paraId="58754558" w14:textId="77777777" w:rsidR="00B86D8E" w:rsidRDefault="00B86D8E">
      <w:pPr>
        <w:pStyle w:val="Listparag"/>
        <w:spacing w:after="0" w:line="240" w:lineRule="auto"/>
        <w:rPr>
          <w:rFonts w:ascii="Trebuchet MS" w:eastAsia="Trebuchet MS" w:hAnsi="Trebuchet MS" w:cs="Trebuchet MS"/>
        </w:rPr>
      </w:pPr>
    </w:p>
    <w:p w14:paraId="25F2242D" w14:textId="77777777" w:rsidR="00B86D8E" w:rsidRDefault="00B86D8E">
      <w:pPr>
        <w:pStyle w:val="Listparag"/>
        <w:spacing w:after="0" w:line="240" w:lineRule="auto"/>
        <w:rPr>
          <w:rFonts w:ascii="Trebuchet MS" w:eastAsia="Trebuchet MS" w:hAnsi="Trebuchet MS" w:cs="Trebuchet MS"/>
        </w:rPr>
      </w:pPr>
    </w:p>
    <w:p w14:paraId="556298B4" w14:textId="77777777" w:rsidR="00B86D8E" w:rsidRDefault="00B86D8E">
      <w:pPr>
        <w:pStyle w:val="Listparag"/>
        <w:spacing w:after="0" w:line="240" w:lineRule="auto"/>
        <w:rPr>
          <w:rFonts w:ascii="Trebuchet MS" w:eastAsia="Trebuchet MS" w:hAnsi="Trebuchet MS" w:cs="Trebuchet MS"/>
        </w:rPr>
      </w:pPr>
    </w:p>
    <w:p w14:paraId="428920BC" w14:textId="77777777" w:rsidR="00B86D8E" w:rsidRDefault="00B86D8E">
      <w:pPr>
        <w:pStyle w:val="Listparag"/>
        <w:spacing w:after="0" w:line="240" w:lineRule="auto"/>
        <w:rPr>
          <w:rFonts w:ascii="Trebuchet MS" w:eastAsia="Trebuchet MS" w:hAnsi="Trebuchet MS" w:cs="Trebuchet MS"/>
        </w:rPr>
      </w:pPr>
    </w:p>
    <w:p w14:paraId="21B9A2FE" w14:textId="77777777" w:rsidR="00B86D8E" w:rsidRDefault="00B86D8E">
      <w:pPr>
        <w:pStyle w:val="Listparag"/>
        <w:spacing w:after="0" w:line="240" w:lineRule="auto"/>
        <w:rPr>
          <w:rFonts w:ascii="Trebuchet MS" w:eastAsia="Trebuchet MS" w:hAnsi="Trebuchet MS" w:cs="Trebuchet MS"/>
        </w:rPr>
      </w:pPr>
    </w:p>
    <w:p w14:paraId="69AEA3D1" w14:textId="77777777" w:rsidR="00B86D8E" w:rsidRDefault="00B86D8E">
      <w:pPr>
        <w:pStyle w:val="Listparag"/>
        <w:spacing w:after="0" w:line="240" w:lineRule="auto"/>
        <w:rPr>
          <w:rFonts w:ascii="Trebuchet MS" w:eastAsia="Trebuchet MS" w:hAnsi="Trebuchet MS" w:cs="Trebuchet MS"/>
        </w:rPr>
      </w:pPr>
    </w:p>
    <w:p w14:paraId="6BCF75F2" w14:textId="77777777" w:rsidR="00B86D8E" w:rsidRDefault="00B86D8E">
      <w:pPr>
        <w:pStyle w:val="Listparag"/>
        <w:spacing w:after="0" w:line="240" w:lineRule="auto"/>
        <w:rPr>
          <w:rFonts w:ascii="Trebuchet MS" w:eastAsia="Trebuchet MS" w:hAnsi="Trebuchet MS" w:cs="Trebuchet MS"/>
        </w:rPr>
      </w:pPr>
    </w:p>
    <w:p w14:paraId="10ECA9C5" w14:textId="77777777" w:rsidR="00B86D8E" w:rsidRDefault="00B86D8E">
      <w:pPr>
        <w:pStyle w:val="Listparag"/>
        <w:spacing w:after="0" w:line="240" w:lineRule="auto"/>
        <w:rPr>
          <w:rFonts w:ascii="Trebuchet MS" w:eastAsia="Trebuchet MS" w:hAnsi="Trebuchet MS" w:cs="Trebuchet MS"/>
        </w:rPr>
      </w:pPr>
    </w:p>
    <w:p w14:paraId="6239B0EC" w14:textId="77777777" w:rsidR="00B86D8E" w:rsidRDefault="00B86D8E">
      <w:pPr>
        <w:pStyle w:val="Listparag"/>
        <w:spacing w:after="0" w:line="240" w:lineRule="auto"/>
        <w:rPr>
          <w:rFonts w:ascii="Trebuchet MS" w:eastAsia="Trebuchet MS" w:hAnsi="Trebuchet MS" w:cs="Trebuchet MS"/>
        </w:rPr>
      </w:pPr>
    </w:p>
    <w:p w14:paraId="5A453D14" w14:textId="77777777" w:rsidR="00B86D8E" w:rsidRDefault="00B86D8E">
      <w:pPr>
        <w:pStyle w:val="Listparag"/>
        <w:spacing w:after="0" w:line="240" w:lineRule="auto"/>
        <w:rPr>
          <w:rFonts w:ascii="Trebuchet MS" w:eastAsia="Trebuchet MS" w:hAnsi="Trebuchet MS" w:cs="Trebuchet MS"/>
        </w:rPr>
      </w:pPr>
    </w:p>
    <w:p w14:paraId="2D44FEF6" w14:textId="77777777" w:rsidR="00B86D8E" w:rsidRDefault="00B86D8E">
      <w:pPr>
        <w:pStyle w:val="Listparag"/>
        <w:spacing w:after="0" w:line="240" w:lineRule="auto"/>
        <w:rPr>
          <w:rFonts w:ascii="Trebuchet MS" w:eastAsia="Trebuchet MS" w:hAnsi="Trebuchet MS" w:cs="Trebuchet MS"/>
        </w:rPr>
      </w:pPr>
    </w:p>
    <w:p w14:paraId="4AF5DCE9" w14:textId="77777777" w:rsidR="00B86D8E" w:rsidRDefault="00B86D8E">
      <w:pPr>
        <w:pStyle w:val="Listparag"/>
        <w:spacing w:after="0" w:line="240" w:lineRule="auto"/>
        <w:rPr>
          <w:rFonts w:ascii="Trebuchet MS" w:eastAsia="Trebuchet MS" w:hAnsi="Trebuchet MS" w:cs="Trebuchet MS"/>
        </w:rPr>
      </w:pPr>
    </w:p>
    <w:p w14:paraId="23144D29" w14:textId="77777777" w:rsidR="00786184" w:rsidRDefault="00786184">
      <w:pPr>
        <w:pStyle w:val="Listparag"/>
        <w:spacing w:after="0" w:line="240" w:lineRule="auto"/>
        <w:rPr>
          <w:rFonts w:ascii="Trebuchet MS" w:eastAsia="Trebuchet MS" w:hAnsi="Trebuchet MS" w:cs="Trebuchet MS"/>
        </w:rPr>
      </w:pPr>
    </w:p>
    <w:p w14:paraId="3B05F611" w14:textId="77777777" w:rsidR="00786184" w:rsidRDefault="00786184">
      <w:pPr>
        <w:pStyle w:val="Listparag"/>
        <w:spacing w:after="0" w:line="240" w:lineRule="auto"/>
        <w:rPr>
          <w:rFonts w:ascii="Trebuchet MS" w:eastAsia="Trebuchet MS" w:hAnsi="Trebuchet MS" w:cs="Trebuchet MS"/>
        </w:rPr>
      </w:pPr>
    </w:p>
    <w:p w14:paraId="01FE74A7" w14:textId="77777777" w:rsidR="00786184" w:rsidRDefault="00786184">
      <w:pPr>
        <w:pStyle w:val="Listparag"/>
        <w:spacing w:after="0" w:line="240" w:lineRule="auto"/>
        <w:rPr>
          <w:rFonts w:ascii="Trebuchet MS" w:eastAsia="Trebuchet MS" w:hAnsi="Trebuchet MS" w:cs="Trebuchet MS"/>
        </w:rPr>
      </w:pPr>
    </w:p>
    <w:p w14:paraId="0B796FFB" w14:textId="77777777" w:rsidR="00786184" w:rsidRDefault="00786184">
      <w:pPr>
        <w:pStyle w:val="Listparag"/>
        <w:spacing w:after="0" w:line="240" w:lineRule="auto"/>
        <w:rPr>
          <w:rFonts w:ascii="Trebuchet MS" w:eastAsia="Trebuchet MS" w:hAnsi="Trebuchet MS" w:cs="Trebuchet MS"/>
        </w:rPr>
      </w:pPr>
    </w:p>
    <w:p w14:paraId="6CCF50A0" w14:textId="77777777" w:rsidR="00786184" w:rsidRDefault="00786184">
      <w:pPr>
        <w:pStyle w:val="Listparag"/>
        <w:spacing w:after="0" w:line="240" w:lineRule="auto"/>
        <w:rPr>
          <w:rFonts w:ascii="Trebuchet MS" w:eastAsia="Trebuchet MS" w:hAnsi="Trebuchet MS" w:cs="Trebuchet MS"/>
        </w:rPr>
      </w:pPr>
    </w:p>
    <w:p w14:paraId="5528C3AA" w14:textId="77777777" w:rsidR="00B86D8E" w:rsidRDefault="00B86D8E">
      <w:pPr>
        <w:pStyle w:val="Listparag"/>
        <w:spacing w:after="0" w:line="240" w:lineRule="auto"/>
        <w:rPr>
          <w:rFonts w:ascii="Trebuchet MS" w:eastAsia="Trebuchet MS" w:hAnsi="Trebuchet MS" w:cs="Trebuchet MS"/>
        </w:rPr>
      </w:pPr>
    </w:p>
    <w:p w14:paraId="17E7359D" w14:textId="77777777" w:rsidR="00B86D8E" w:rsidRDefault="00B86D8E">
      <w:pPr>
        <w:pStyle w:val="Listparag"/>
        <w:spacing w:after="0" w:line="240" w:lineRule="auto"/>
        <w:rPr>
          <w:rFonts w:ascii="Trebuchet MS" w:eastAsia="Trebuchet MS" w:hAnsi="Trebuchet MS" w:cs="Trebuchet MS"/>
        </w:rPr>
      </w:pPr>
    </w:p>
    <w:p w14:paraId="1C008E3F" w14:textId="77777777" w:rsidR="00B86D8E" w:rsidRDefault="00B86D8E">
      <w:pPr>
        <w:pStyle w:val="Listparag"/>
        <w:spacing w:after="0" w:line="240" w:lineRule="auto"/>
        <w:rPr>
          <w:rFonts w:ascii="Trebuchet MS" w:eastAsia="Trebuchet MS" w:hAnsi="Trebuchet MS" w:cs="Trebuchet MS"/>
        </w:rPr>
      </w:pPr>
    </w:p>
    <w:p w14:paraId="5C5DC1EE" w14:textId="77777777" w:rsidR="00B86D8E" w:rsidRDefault="00B86D8E">
      <w:pPr>
        <w:pStyle w:val="Listparag"/>
        <w:spacing w:after="0" w:line="240" w:lineRule="auto"/>
        <w:rPr>
          <w:rFonts w:ascii="Trebuchet MS" w:eastAsia="Trebuchet MS" w:hAnsi="Trebuchet MS" w:cs="Trebuchet MS"/>
        </w:rPr>
      </w:pPr>
    </w:p>
    <w:p w14:paraId="13E5A666" w14:textId="77777777" w:rsidR="00B86D8E" w:rsidRDefault="00B86D8E">
      <w:pPr>
        <w:pStyle w:val="Listparag"/>
        <w:spacing w:after="0" w:line="240" w:lineRule="auto"/>
        <w:rPr>
          <w:rFonts w:ascii="Calibri" w:eastAsia="Calibri" w:hAnsi="Calibri" w:cs="Calibri"/>
          <w:sz w:val="20"/>
          <w:szCs w:val="20"/>
        </w:rPr>
      </w:pPr>
    </w:p>
    <w:p w14:paraId="6C2D4FD9" w14:textId="77777777" w:rsidR="00B86D8E" w:rsidRDefault="00000000">
      <w:pPr>
        <w:pStyle w:val="Listparag"/>
        <w:spacing w:after="0" w:line="240" w:lineRule="auto"/>
        <w:rPr>
          <w:rFonts w:ascii="Calibri" w:eastAsia="Calibri" w:hAnsi="Calibri" w:cs="Calibri"/>
          <w:sz w:val="20"/>
          <w:szCs w:val="20"/>
        </w:rPr>
      </w:pPr>
      <w:r>
        <w:rPr>
          <w:rFonts w:ascii="Calibri" w:hAnsi="Calibri"/>
          <w:sz w:val="20"/>
          <w:szCs w:val="20"/>
        </w:rPr>
        <w:lastRenderedPageBreak/>
        <w:t>AC 4.3</w:t>
      </w:r>
    </w:p>
    <w:p w14:paraId="215D2BE6" w14:textId="77777777" w:rsidR="00B86D8E" w:rsidRDefault="00000000">
      <w:pPr>
        <w:pStyle w:val="Body"/>
        <w:spacing w:before="100" w:after="100" w:line="240" w:lineRule="auto"/>
        <w:rPr>
          <w:rFonts w:ascii="Calibri" w:eastAsia="Calibri" w:hAnsi="Calibri" w:cs="Calibri"/>
          <w:sz w:val="20"/>
          <w:szCs w:val="20"/>
        </w:rPr>
      </w:pPr>
      <w:r>
        <w:rPr>
          <w:rFonts w:ascii="Calibri" w:hAnsi="Calibri"/>
          <w:sz w:val="20"/>
          <w:szCs w:val="20"/>
        </w:rPr>
        <w:t>I understand your concerns about the request to work from home three days a week, but it's important to remember the legal side of flexible working requests.</w:t>
      </w:r>
    </w:p>
    <w:p w14:paraId="0E69D7F8" w14:textId="556B78E7" w:rsidR="00B86D8E" w:rsidRDefault="00000000">
      <w:pPr>
        <w:pStyle w:val="Body"/>
        <w:spacing w:before="100" w:after="100" w:line="240" w:lineRule="auto"/>
        <w:rPr>
          <w:rFonts w:ascii="Calibri" w:eastAsia="Calibri" w:hAnsi="Calibri" w:cs="Calibri"/>
          <w:sz w:val="20"/>
          <w:szCs w:val="20"/>
        </w:rPr>
      </w:pPr>
      <w:r>
        <w:rPr>
          <w:rFonts w:ascii="Calibri" w:hAnsi="Calibri"/>
          <w:sz w:val="20"/>
          <w:szCs w:val="20"/>
        </w:rPr>
        <w:t xml:space="preserve">Under the Employment Rights Act 1996, </w:t>
      </w:r>
      <w:r w:rsidR="00B27F87">
        <w:rPr>
          <w:rFonts w:ascii="Calibri" w:hAnsi="Calibri"/>
          <w:sz w:val="20"/>
          <w:szCs w:val="20"/>
        </w:rPr>
        <w:t>have a day one right to apply for two flexible working requests within a year, the management have a maximum of two months to come together to talk through the request. This includes working from home, working hours etc.</w:t>
      </w:r>
      <w:r>
        <w:rPr>
          <w:rFonts w:ascii="Calibri" w:hAnsi="Calibri"/>
          <w:sz w:val="20"/>
          <w:szCs w:val="20"/>
        </w:rPr>
        <w:t xml:space="preserve"> However, they don’t automatically have the right to have their request granted. What this means is that the employer must carefully consider the request and respond within two months. The request should be made in writing and should include details like how it would work, and how it might affect the team or the business. (CIPD). </w:t>
      </w:r>
    </w:p>
    <w:p w14:paraId="0D8F0E87" w14:textId="55E34B03" w:rsidR="00B86D8E" w:rsidRDefault="00000000">
      <w:pPr>
        <w:pStyle w:val="Body"/>
        <w:spacing w:before="100" w:after="100" w:line="240" w:lineRule="auto"/>
        <w:rPr>
          <w:rFonts w:ascii="Calibri" w:eastAsia="Calibri" w:hAnsi="Calibri" w:cs="Calibri"/>
          <w:sz w:val="20"/>
          <w:szCs w:val="20"/>
        </w:rPr>
      </w:pPr>
      <w:r>
        <w:rPr>
          <w:rFonts w:ascii="Calibri" w:hAnsi="Calibri"/>
          <w:sz w:val="20"/>
          <w:szCs w:val="20"/>
        </w:rPr>
        <w:t>If you decide to turn down the request, you must be able to provide a valid business reason</w:t>
      </w:r>
      <w:r w:rsidR="00B27F87">
        <w:rPr>
          <w:rFonts w:ascii="Calibri" w:hAnsi="Calibri"/>
          <w:sz w:val="20"/>
          <w:szCs w:val="20"/>
        </w:rPr>
        <w:t xml:space="preserve"> such as staffing levels, impact on other staff, cost etc</w:t>
      </w:r>
      <w:r>
        <w:rPr>
          <w:rFonts w:ascii="Calibri" w:hAnsi="Calibri"/>
          <w:sz w:val="20"/>
          <w:szCs w:val="20"/>
        </w:rPr>
        <w:t xml:space="preserve">. Some acceptable reasons might include worries about increased costs, how it could affect performance, the difficulty of </w:t>
      </w:r>
      <w:proofErr w:type="spellStart"/>
      <w:r>
        <w:rPr>
          <w:rFonts w:ascii="Calibri" w:hAnsi="Calibri"/>
          <w:sz w:val="20"/>
          <w:szCs w:val="20"/>
        </w:rPr>
        <w:t>reorganising</w:t>
      </w:r>
      <w:proofErr w:type="spellEnd"/>
      <w:r>
        <w:rPr>
          <w:rFonts w:ascii="Calibri" w:hAnsi="Calibri"/>
          <w:sz w:val="20"/>
          <w:szCs w:val="20"/>
        </w:rPr>
        <w:t xml:space="preserve"> work, or concerns about the quality of service – which is something you’ve raised. However, whatever reason you give, it needs to be reasonable and justifiable to avoid potential claims of unfair treatment. It’s important that your response is not just personal preference but backed up by business-related concerns. </w:t>
      </w:r>
      <w:r>
        <w:rPr>
          <w:rFonts w:ascii="Calibri" w:hAnsi="Calibri"/>
          <w:color w:val="3E8625"/>
          <w:sz w:val="20"/>
          <w:szCs w:val="20"/>
        </w:rPr>
        <w:t xml:space="preserve"> </w:t>
      </w:r>
    </w:p>
    <w:p w14:paraId="442D04D2" w14:textId="77777777" w:rsidR="00B86D8E" w:rsidRDefault="00000000">
      <w:pPr>
        <w:pStyle w:val="Body"/>
        <w:spacing w:before="100" w:after="100" w:line="240" w:lineRule="auto"/>
        <w:rPr>
          <w:rFonts w:ascii="Calibri" w:eastAsia="Calibri" w:hAnsi="Calibri" w:cs="Calibri"/>
          <w:sz w:val="20"/>
          <w:szCs w:val="20"/>
        </w:rPr>
      </w:pPr>
      <w:r>
        <w:rPr>
          <w:rFonts w:ascii="Calibri" w:hAnsi="Calibri"/>
          <w:sz w:val="20"/>
          <w:szCs w:val="20"/>
        </w:rPr>
        <w:t>Another thing to keep in mind is that consistency is key. Any decision you make must be applied fairly and consistently across the team. If the request is turned down, the employee has the right to appeal the decision, so we’d need to follow the proper process if that happens.</w:t>
      </w:r>
    </w:p>
    <w:p w14:paraId="0E1EB379" w14:textId="77777777" w:rsidR="00B86D8E" w:rsidRDefault="00000000">
      <w:pPr>
        <w:pStyle w:val="Body"/>
        <w:spacing w:before="100" w:after="100" w:line="240" w:lineRule="auto"/>
        <w:rPr>
          <w:rFonts w:ascii="Calibri" w:eastAsia="Calibri" w:hAnsi="Calibri" w:cs="Calibri"/>
          <w:sz w:val="20"/>
          <w:szCs w:val="20"/>
        </w:rPr>
      </w:pPr>
      <w:r>
        <w:rPr>
          <w:rFonts w:ascii="Calibri" w:hAnsi="Calibri"/>
          <w:sz w:val="20"/>
          <w:szCs w:val="20"/>
        </w:rPr>
        <w:t>To sum it up, while you can refuse the request, it must be based on a clear, business-related reason, and the decision must be made in a fair and consistent manner. (ACAS)</w:t>
      </w:r>
    </w:p>
    <w:p w14:paraId="4AD7F1DD" w14:textId="77777777" w:rsidR="00B86D8E" w:rsidRDefault="00B86D8E">
      <w:pPr>
        <w:pStyle w:val="NormalWeb"/>
        <w:rPr>
          <w:rFonts w:ascii="Calibri" w:eastAsia="Calibri" w:hAnsi="Calibri" w:cs="Calibri"/>
          <w:sz w:val="20"/>
          <w:szCs w:val="20"/>
        </w:rPr>
      </w:pPr>
    </w:p>
    <w:p w14:paraId="59667B02" w14:textId="77777777" w:rsidR="00B86D8E" w:rsidRDefault="00B86D8E">
      <w:pPr>
        <w:pStyle w:val="NormalWeb"/>
        <w:rPr>
          <w:rFonts w:ascii="Calibri" w:eastAsia="Calibri" w:hAnsi="Calibri" w:cs="Calibri"/>
          <w:sz w:val="20"/>
          <w:szCs w:val="20"/>
        </w:rPr>
      </w:pPr>
    </w:p>
    <w:p w14:paraId="4B89DFC1" w14:textId="77777777" w:rsidR="00B86D8E" w:rsidRDefault="00B86D8E">
      <w:pPr>
        <w:pStyle w:val="Body"/>
        <w:rPr>
          <w:rFonts w:ascii="Calibri" w:eastAsia="Calibri" w:hAnsi="Calibri" w:cs="Calibri"/>
          <w:sz w:val="20"/>
          <w:szCs w:val="20"/>
        </w:rPr>
      </w:pPr>
    </w:p>
    <w:p w14:paraId="0359DBC3" w14:textId="77777777" w:rsidR="00B86D8E" w:rsidRDefault="00B86D8E">
      <w:pPr>
        <w:pStyle w:val="Body"/>
        <w:rPr>
          <w:rFonts w:ascii="Calibri" w:eastAsia="Calibri" w:hAnsi="Calibri" w:cs="Calibri"/>
          <w:sz w:val="20"/>
          <w:szCs w:val="20"/>
        </w:rPr>
      </w:pPr>
    </w:p>
    <w:p w14:paraId="11C54B03" w14:textId="77777777" w:rsidR="00B86D8E" w:rsidRDefault="00B86D8E">
      <w:pPr>
        <w:pStyle w:val="Body"/>
        <w:rPr>
          <w:rFonts w:ascii="Calibri" w:eastAsia="Calibri" w:hAnsi="Calibri" w:cs="Calibri"/>
          <w:sz w:val="20"/>
          <w:szCs w:val="20"/>
        </w:rPr>
      </w:pPr>
    </w:p>
    <w:p w14:paraId="58DB6B42" w14:textId="77777777" w:rsidR="00B86D8E" w:rsidRDefault="00B86D8E">
      <w:pPr>
        <w:pStyle w:val="Body"/>
        <w:rPr>
          <w:rFonts w:ascii="Calibri" w:eastAsia="Calibri" w:hAnsi="Calibri" w:cs="Calibri"/>
          <w:sz w:val="20"/>
          <w:szCs w:val="20"/>
        </w:rPr>
      </w:pPr>
    </w:p>
    <w:p w14:paraId="74AEB384" w14:textId="77777777" w:rsidR="00B86D8E" w:rsidRDefault="00B86D8E">
      <w:pPr>
        <w:pStyle w:val="Body"/>
        <w:rPr>
          <w:rFonts w:ascii="Calibri" w:eastAsia="Calibri" w:hAnsi="Calibri" w:cs="Calibri"/>
          <w:sz w:val="20"/>
          <w:szCs w:val="20"/>
        </w:rPr>
      </w:pPr>
    </w:p>
    <w:p w14:paraId="6D29C869" w14:textId="77777777" w:rsidR="00B86D8E" w:rsidRDefault="00B86D8E">
      <w:pPr>
        <w:pStyle w:val="Body"/>
        <w:rPr>
          <w:rFonts w:ascii="Calibri" w:eastAsia="Calibri" w:hAnsi="Calibri" w:cs="Calibri"/>
          <w:sz w:val="20"/>
          <w:szCs w:val="20"/>
        </w:rPr>
      </w:pPr>
    </w:p>
    <w:p w14:paraId="76FA4EEA" w14:textId="77777777" w:rsidR="00B86D8E" w:rsidRDefault="00B86D8E">
      <w:pPr>
        <w:pStyle w:val="Body"/>
        <w:rPr>
          <w:rFonts w:ascii="Calibri" w:eastAsia="Calibri" w:hAnsi="Calibri" w:cs="Calibri"/>
          <w:sz w:val="20"/>
          <w:szCs w:val="20"/>
        </w:rPr>
      </w:pPr>
    </w:p>
    <w:p w14:paraId="7BB26110" w14:textId="77777777" w:rsidR="00B86D8E" w:rsidRDefault="00B86D8E">
      <w:pPr>
        <w:pStyle w:val="Body"/>
        <w:rPr>
          <w:rFonts w:ascii="Calibri" w:eastAsia="Calibri" w:hAnsi="Calibri" w:cs="Calibri"/>
          <w:sz w:val="20"/>
          <w:szCs w:val="20"/>
        </w:rPr>
      </w:pPr>
    </w:p>
    <w:p w14:paraId="05429EF9" w14:textId="77777777" w:rsidR="00B86D8E" w:rsidRDefault="00B86D8E">
      <w:pPr>
        <w:pStyle w:val="Body"/>
        <w:rPr>
          <w:rFonts w:ascii="Calibri" w:eastAsia="Calibri" w:hAnsi="Calibri" w:cs="Calibri"/>
          <w:sz w:val="20"/>
          <w:szCs w:val="20"/>
        </w:rPr>
      </w:pPr>
    </w:p>
    <w:p w14:paraId="67D9692E" w14:textId="77777777" w:rsidR="00B86D8E" w:rsidRDefault="00B86D8E">
      <w:pPr>
        <w:pStyle w:val="Body"/>
        <w:rPr>
          <w:rFonts w:ascii="Calibri" w:eastAsia="Calibri" w:hAnsi="Calibri" w:cs="Calibri"/>
          <w:sz w:val="20"/>
          <w:szCs w:val="20"/>
        </w:rPr>
      </w:pPr>
    </w:p>
    <w:p w14:paraId="1AA508CB" w14:textId="77777777" w:rsidR="00B86D8E" w:rsidRDefault="00B86D8E">
      <w:pPr>
        <w:pStyle w:val="Body"/>
        <w:rPr>
          <w:rFonts w:ascii="Calibri" w:eastAsia="Calibri" w:hAnsi="Calibri" w:cs="Calibri"/>
          <w:sz w:val="20"/>
          <w:szCs w:val="20"/>
        </w:rPr>
      </w:pPr>
    </w:p>
    <w:p w14:paraId="484F099F" w14:textId="77777777" w:rsidR="00B86D8E" w:rsidRDefault="00B86D8E">
      <w:pPr>
        <w:pStyle w:val="Body"/>
        <w:rPr>
          <w:rFonts w:ascii="Calibri" w:eastAsia="Calibri" w:hAnsi="Calibri" w:cs="Calibri"/>
          <w:sz w:val="20"/>
          <w:szCs w:val="20"/>
        </w:rPr>
      </w:pPr>
    </w:p>
    <w:p w14:paraId="1B30E33E" w14:textId="77777777" w:rsidR="00B86D8E" w:rsidRDefault="00B86D8E">
      <w:pPr>
        <w:pStyle w:val="Body"/>
        <w:rPr>
          <w:rFonts w:ascii="Calibri" w:eastAsia="Calibri" w:hAnsi="Calibri" w:cs="Calibri"/>
          <w:sz w:val="20"/>
          <w:szCs w:val="20"/>
        </w:rPr>
      </w:pPr>
    </w:p>
    <w:p w14:paraId="3D8A8A21" w14:textId="77777777" w:rsidR="00B86D8E" w:rsidRDefault="00B86D8E">
      <w:pPr>
        <w:pStyle w:val="Body"/>
        <w:rPr>
          <w:rFonts w:ascii="Calibri" w:eastAsia="Calibri" w:hAnsi="Calibri" w:cs="Calibri"/>
          <w:sz w:val="20"/>
          <w:szCs w:val="20"/>
        </w:rPr>
      </w:pPr>
    </w:p>
    <w:p w14:paraId="06E1EE35" w14:textId="77777777" w:rsidR="00B86D8E" w:rsidRDefault="00B86D8E">
      <w:pPr>
        <w:pStyle w:val="Body"/>
        <w:rPr>
          <w:rFonts w:ascii="Calibri" w:eastAsia="Calibri" w:hAnsi="Calibri" w:cs="Calibri"/>
          <w:sz w:val="20"/>
          <w:szCs w:val="20"/>
        </w:rPr>
      </w:pPr>
    </w:p>
    <w:p w14:paraId="247C0F0B" w14:textId="77777777" w:rsidR="00B86D8E" w:rsidRDefault="00B86D8E">
      <w:pPr>
        <w:pStyle w:val="Body"/>
        <w:rPr>
          <w:rFonts w:ascii="Calibri" w:eastAsia="Calibri" w:hAnsi="Calibri" w:cs="Calibri"/>
          <w:sz w:val="20"/>
          <w:szCs w:val="20"/>
        </w:rPr>
      </w:pPr>
    </w:p>
    <w:p w14:paraId="4659DDC8" w14:textId="77777777" w:rsidR="00B86D8E" w:rsidRDefault="00B86D8E">
      <w:pPr>
        <w:pStyle w:val="Body"/>
        <w:rPr>
          <w:rFonts w:ascii="Calibri" w:eastAsia="Calibri" w:hAnsi="Calibri" w:cs="Calibri"/>
          <w:sz w:val="20"/>
          <w:szCs w:val="20"/>
        </w:rPr>
      </w:pPr>
    </w:p>
    <w:p w14:paraId="009E11C2" w14:textId="77777777" w:rsidR="00B86D8E" w:rsidRDefault="00B86D8E">
      <w:pPr>
        <w:pStyle w:val="Body"/>
        <w:rPr>
          <w:rFonts w:ascii="Calibri" w:eastAsia="Calibri" w:hAnsi="Calibri" w:cs="Calibri"/>
          <w:sz w:val="20"/>
          <w:szCs w:val="20"/>
        </w:rPr>
      </w:pPr>
    </w:p>
    <w:p w14:paraId="4B1BF99F" w14:textId="77777777" w:rsidR="00B86D8E" w:rsidRDefault="00B86D8E">
      <w:pPr>
        <w:pStyle w:val="Body"/>
        <w:rPr>
          <w:rFonts w:ascii="Calibri" w:eastAsia="Calibri" w:hAnsi="Calibri" w:cs="Calibri"/>
          <w:sz w:val="20"/>
          <w:szCs w:val="20"/>
        </w:rPr>
      </w:pPr>
    </w:p>
    <w:p w14:paraId="0B4420CF" w14:textId="77777777" w:rsidR="00B86D8E" w:rsidRDefault="00B86D8E">
      <w:pPr>
        <w:pStyle w:val="Body"/>
        <w:rPr>
          <w:rFonts w:ascii="Calibri" w:eastAsia="Calibri" w:hAnsi="Calibri" w:cs="Calibri"/>
          <w:sz w:val="20"/>
          <w:szCs w:val="20"/>
        </w:rPr>
      </w:pPr>
    </w:p>
    <w:p w14:paraId="4FAB4E2F" w14:textId="77777777" w:rsidR="00B86D8E" w:rsidRDefault="00B86D8E">
      <w:pPr>
        <w:pStyle w:val="Body"/>
        <w:rPr>
          <w:rFonts w:ascii="Calibri" w:eastAsia="Calibri" w:hAnsi="Calibri" w:cs="Calibri"/>
          <w:sz w:val="20"/>
          <w:szCs w:val="20"/>
        </w:rPr>
      </w:pPr>
    </w:p>
    <w:p w14:paraId="79E3489F" w14:textId="77777777" w:rsidR="00B86D8E" w:rsidRDefault="00B86D8E">
      <w:pPr>
        <w:pStyle w:val="Body"/>
        <w:rPr>
          <w:rFonts w:ascii="Calibri" w:eastAsia="Calibri" w:hAnsi="Calibri" w:cs="Calibri"/>
          <w:sz w:val="20"/>
          <w:szCs w:val="20"/>
        </w:rPr>
      </w:pPr>
    </w:p>
    <w:p w14:paraId="1F65FD04" w14:textId="77777777" w:rsidR="00B86D8E" w:rsidRDefault="00B86D8E">
      <w:pPr>
        <w:pStyle w:val="Body"/>
        <w:rPr>
          <w:rFonts w:ascii="Calibri" w:eastAsia="Calibri" w:hAnsi="Calibri" w:cs="Calibri"/>
          <w:sz w:val="20"/>
          <w:szCs w:val="20"/>
        </w:rPr>
      </w:pPr>
    </w:p>
    <w:p w14:paraId="21DEA5D0" w14:textId="77777777" w:rsidR="00786184" w:rsidRDefault="00786184">
      <w:pPr>
        <w:pStyle w:val="Body"/>
        <w:rPr>
          <w:rFonts w:ascii="Calibri" w:eastAsia="Calibri" w:hAnsi="Calibri" w:cs="Calibri"/>
          <w:sz w:val="20"/>
          <w:szCs w:val="20"/>
        </w:rPr>
      </w:pPr>
    </w:p>
    <w:p w14:paraId="131FDA1F" w14:textId="77777777" w:rsidR="00786184" w:rsidRDefault="00786184">
      <w:pPr>
        <w:pStyle w:val="Body"/>
        <w:rPr>
          <w:rFonts w:ascii="Calibri" w:eastAsia="Calibri" w:hAnsi="Calibri" w:cs="Calibri"/>
          <w:sz w:val="20"/>
          <w:szCs w:val="20"/>
        </w:rPr>
      </w:pPr>
    </w:p>
    <w:p w14:paraId="3403E91B" w14:textId="77777777" w:rsidR="00786184" w:rsidRDefault="00786184">
      <w:pPr>
        <w:pStyle w:val="Body"/>
        <w:rPr>
          <w:rFonts w:ascii="Calibri" w:eastAsia="Calibri" w:hAnsi="Calibri" w:cs="Calibri"/>
          <w:sz w:val="20"/>
          <w:szCs w:val="20"/>
        </w:rPr>
      </w:pPr>
    </w:p>
    <w:p w14:paraId="01B4671F" w14:textId="00E4BF65" w:rsidR="00786184" w:rsidRDefault="00786184">
      <w:pPr>
        <w:pStyle w:val="Body"/>
        <w:rPr>
          <w:rFonts w:ascii="Calibri" w:eastAsia="Calibri" w:hAnsi="Calibri" w:cs="Calibri"/>
          <w:sz w:val="20"/>
          <w:szCs w:val="20"/>
        </w:rPr>
      </w:pPr>
      <w:r>
        <w:rPr>
          <w:rFonts w:ascii="Calibri" w:eastAsia="Calibri" w:hAnsi="Calibri" w:cs="Calibri"/>
          <w:sz w:val="20"/>
          <w:szCs w:val="20"/>
        </w:rPr>
        <w:br/>
      </w:r>
    </w:p>
    <w:p w14:paraId="26A842AB" w14:textId="77777777" w:rsidR="00B86D8E" w:rsidRDefault="00B86D8E">
      <w:pPr>
        <w:pStyle w:val="Body"/>
        <w:rPr>
          <w:rFonts w:ascii="Calibri" w:eastAsia="Calibri" w:hAnsi="Calibri" w:cs="Calibri"/>
          <w:sz w:val="20"/>
          <w:szCs w:val="20"/>
        </w:rPr>
      </w:pPr>
    </w:p>
    <w:p w14:paraId="20126726" w14:textId="77777777" w:rsidR="00B86D8E" w:rsidRDefault="00000000">
      <w:pPr>
        <w:pStyle w:val="Body"/>
        <w:rPr>
          <w:rFonts w:ascii="Calibri" w:eastAsia="Calibri" w:hAnsi="Calibri" w:cs="Calibri"/>
          <w:sz w:val="24"/>
          <w:szCs w:val="24"/>
          <w:u w:val="single"/>
        </w:rPr>
      </w:pPr>
      <w:r>
        <w:rPr>
          <w:rFonts w:ascii="Calibri" w:hAnsi="Calibri"/>
          <w:sz w:val="24"/>
          <w:szCs w:val="24"/>
          <w:u w:val="single"/>
          <w:lang w:val="fr-FR"/>
        </w:rPr>
        <w:lastRenderedPageBreak/>
        <w:t>Reference list</w:t>
      </w:r>
    </w:p>
    <w:p w14:paraId="7D0BEC26" w14:textId="77777777" w:rsidR="00B86D8E" w:rsidRDefault="00B86D8E">
      <w:pPr>
        <w:pStyle w:val="Body"/>
        <w:rPr>
          <w:rFonts w:ascii="Calibri" w:eastAsia="Calibri" w:hAnsi="Calibri" w:cs="Calibri"/>
          <w:sz w:val="20"/>
          <w:szCs w:val="20"/>
        </w:rPr>
      </w:pPr>
    </w:p>
    <w:p w14:paraId="4D6F7BB8" w14:textId="77777777" w:rsidR="00B86D8E" w:rsidRDefault="00000000">
      <w:pPr>
        <w:pStyle w:val="Body"/>
        <w:rPr>
          <w:rFonts w:ascii="Calibri" w:eastAsia="Calibri" w:hAnsi="Calibri" w:cs="Calibri"/>
          <w:sz w:val="20"/>
          <w:szCs w:val="20"/>
        </w:rPr>
      </w:pPr>
      <w:proofErr w:type="spellStart"/>
      <w:r>
        <w:rPr>
          <w:rFonts w:ascii="Calibri" w:hAnsi="Calibri"/>
          <w:sz w:val="20"/>
          <w:szCs w:val="20"/>
        </w:rPr>
        <w:t>Acas</w:t>
      </w:r>
      <w:proofErr w:type="spellEnd"/>
      <w:r>
        <w:rPr>
          <w:rFonts w:ascii="Calibri" w:hAnsi="Calibri"/>
          <w:sz w:val="20"/>
          <w:szCs w:val="20"/>
        </w:rPr>
        <w:t xml:space="preserve">. Calculating holiday pay. Available at </w:t>
      </w:r>
      <w:hyperlink r:id="rId6" w:history="1">
        <w:r>
          <w:rPr>
            <w:rStyle w:val="Hyperlink0"/>
          </w:rPr>
          <w:t>https://www.acas.org.uk/checking-holiday-entitlement/calculating-holiday-pay</w:t>
        </w:r>
      </w:hyperlink>
      <w:r>
        <w:rPr>
          <w:rFonts w:ascii="Calibri" w:hAnsi="Calibri"/>
          <w:sz w:val="20"/>
          <w:szCs w:val="20"/>
        </w:rPr>
        <w:t>. (Accessed 15/02/2025)</w:t>
      </w:r>
    </w:p>
    <w:p w14:paraId="48EA1CE2" w14:textId="77777777" w:rsidR="00B86D8E" w:rsidRDefault="00B86D8E">
      <w:pPr>
        <w:pStyle w:val="Body"/>
        <w:rPr>
          <w:rFonts w:ascii="Calibri" w:eastAsia="Calibri" w:hAnsi="Calibri" w:cs="Calibri"/>
          <w:sz w:val="20"/>
          <w:szCs w:val="20"/>
        </w:rPr>
      </w:pPr>
    </w:p>
    <w:p w14:paraId="5862D82D" w14:textId="77777777" w:rsidR="00B86D8E" w:rsidRDefault="00000000">
      <w:pPr>
        <w:pStyle w:val="Body"/>
        <w:rPr>
          <w:rFonts w:ascii="Calibri" w:eastAsia="Calibri" w:hAnsi="Calibri" w:cs="Calibri"/>
          <w:sz w:val="20"/>
          <w:szCs w:val="20"/>
        </w:rPr>
      </w:pPr>
      <w:proofErr w:type="spellStart"/>
      <w:r>
        <w:rPr>
          <w:rFonts w:ascii="Calibri" w:hAnsi="Calibri"/>
          <w:sz w:val="20"/>
          <w:szCs w:val="20"/>
        </w:rPr>
        <w:t>Acas</w:t>
      </w:r>
      <w:proofErr w:type="spellEnd"/>
      <w:r>
        <w:rPr>
          <w:rFonts w:ascii="Calibri" w:hAnsi="Calibri"/>
          <w:sz w:val="20"/>
          <w:szCs w:val="20"/>
        </w:rPr>
        <w:t>. Constructive dismissal. Available at: - https://www.acas.org.uk/dismissals/constructive-dismissal (Accessed: 11/02/2025)</w:t>
      </w:r>
    </w:p>
    <w:p w14:paraId="630C1A86" w14:textId="77777777" w:rsidR="00B86D8E" w:rsidRDefault="00B86D8E">
      <w:pPr>
        <w:pStyle w:val="Body"/>
        <w:rPr>
          <w:rFonts w:ascii="Calibri" w:eastAsia="Calibri" w:hAnsi="Calibri" w:cs="Calibri"/>
          <w:sz w:val="20"/>
          <w:szCs w:val="20"/>
        </w:rPr>
      </w:pPr>
    </w:p>
    <w:p w14:paraId="62628143" w14:textId="77777777" w:rsidR="00B86D8E" w:rsidRDefault="00000000">
      <w:pPr>
        <w:pStyle w:val="Body"/>
        <w:rPr>
          <w:rFonts w:ascii="Calibri" w:eastAsia="Calibri" w:hAnsi="Calibri" w:cs="Calibri"/>
          <w:sz w:val="20"/>
          <w:szCs w:val="20"/>
        </w:rPr>
      </w:pPr>
      <w:proofErr w:type="spellStart"/>
      <w:r>
        <w:rPr>
          <w:rFonts w:ascii="Calibri" w:hAnsi="Calibri"/>
          <w:sz w:val="20"/>
          <w:szCs w:val="20"/>
        </w:rPr>
        <w:t>Acas</w:t>
      </w:r>
      <w:proofErr w:type="spellEnd"/>
      <w:r>
        <w:rPr>
          <w:rFonts w:ascii="Calibri" w:hAnsi="Calibri"/>
          <w:sz w:val="20"/>
          <w:szCs w:val="20"/>
        </w:rPr>
        <w:t>. Flexible working. Available at: https://www.acas.org.uk/flexible-working (Accessed: 17/02/2025)</w:t>
      </w:r>
    </w:p>
    <w:p w14:paraId="7805C778" w14:textId="77777777" w:rsidR="00B86D8E" w:rsidRDefault="00B86D8E">
      <w:pPr>
        <w:pStyle w:val="Body"/>
        <w:rPr>
          <w:rFonts w:ascii="Calibri" w:eastAsia="Calibri" w:hAnsi="Calibri" w:cs="Calibri"/>
          <w:sz w:val="20"/>
          <w:szCs w:val="20"/>
        </w:rPr>
      </w:pPr>
    </w:p>
    <w:p w14:paraId="10C24886" w14:textId="77777777" w:rsidR="00B86D8E" w:rsidRDefault="00000000">
      <w:pPr>
        <w:pStyle w:val="Body"/>
        <w:rPr>
          <w:rFonts w:ascii="Calibri" w:eastAsia="Calibri" w:hAnsi="Calibri" w:cs="Calibri"/>
          <w:sz w:val="20"/>
          <w:szCs w:val="20"/>
        </w:rPr>
      </w:pPr>
      <w:proofErr w:type="spellStart"/>
      <w:r>
        <w:rPr>
          <w:rFonts w:ascii="Calibri" w:hAnsi="Calibri"/>
          <w:sz w:val="20"/>
          <w:szCs w:val="20"/>
        </w:rPr>
        <w:t>Acas</w:t>
      </w:r>
      <w:proofErr w:type="spellEnd"/>
      <w:r>
        <w:rPr>
          <w:rFonts w:ascii="Calibri" w:hAnsi="Calibri"/>
          <w:sz w:val="20"/>
          <w:szCs w:val="20"/>
        </w:rPr>
        <w:t>. Shared parental leave and pay. Available at: https://www.acas.org.uk/shared-parental-leave-and-pay (Accessed: 14/02/2025)</w:t>
      </w:r>
    </w:p>
    <w:p w14:paraId="0864EEF6" w14:textId="77777777" w:rsidR="00B86D8E" w:rsidRDefault="00B86D8E">
      <w:pPr>
        <w:pStyle w:val="Body"/>
        <w:rPr>
          <w:rFonts w:ascii="Calibri" w:eastAsia="Calibri" w:hAnsi="Calibri" w:cs="Calibri"/>
          <w:sz w:val="20"/>
          <w:szCs w:val="20"/>
        </w:rPr>
      </w:pPr>
    </w:p>
    <w:p w14:paraId="23300246" w14:textId="77777777" w:rsidR="00B86D8E" w:rsidRDefault="00000000">
      <w:pPr>
        <w:pStyle w:val="Body"/>
        <w:rPr>
          <w:rFonts w:ascii="Calibri" w:eastAsia="Calibri" w:hAnsi="Calibri" w:cs="Calibri"/>
          <w:sz w:val="20"/>
          <w:szCs w:val="20"/>
        </w:rPr>
      </w:pPr>
      <w:proofErr w:type="spellStart"/>
      <w:r>
        <w:rPr>
          <w:rFonts w:ascii="Calibri" w:hAnsi="Calibri"/>
          <w:sz w:val="20"/>
          <w:szCs w:val="20"/>
        </w:rPr>
        <w:t>Acas</w:t>
      </w:r>
      <w:proofErr w:type="spellEnd"/>
      <w:r>
        <w:rPr>
          <w:rFonts w:ascii="Calibri" w:hAnsi="Calibri"/>
          <w:sz w:val="20"/>
          <w:szCs w:val="20"/>
        </w:rPr>
        <w:t>. TUPE. Available at: https://www.acas.org.uk/tupe (Accessed: 14/02/2025)</w:t>
      </w:r>
    </w:p>
    <w:p w14:paraId="03D40609" w14:textId="77777777" w:rsidR="00B86D8E" w:rsidRDefault="00B86D8E">
      <w:pPr>
        <w:pStyle w:val="Body"/>
        <w:rPr>
          <w:rFonts w:ascii="Calibri" w:eastAsia="Calibri" w:hAnsi="Calibri" w:cs="Calibri"/>
          <w:sz w:val="20"/>
          <w:szCs w:val="20"/>
        </w:rPr>
      </w:pPr>
    </w:p>
    <w:p w14:paraId="77F82922" w14:textId="77777777" w:rsidR="00B86D8E" w:rsidRDefault="00000000">
      <w:pPr>
        <w:pStyle w:val="Body"/>
        <w:rPr>
          <w:rFonts w:ascii="Calibri" w:eastAsia="Calibri" w:hAnsi="Calibri" w:cs="Calibri"/>
          <w:sz w:val="20"/>
          <w:szCs w:val="20"/>
        </w:rPr>
      </w:pPr>
      <w:proofErr w:type="spellStart"/>
      <w:r>
        <w:rPr>
          <w:rFonts w:ascii="Calibri" w:hAnsi="Calibri"/>
          <w:sz w:val="20"/>
          <w:szCs w:val="20"/>
        </w:rPr>
        <w:t>Acas</w:t>
      </w:r>
      <w:proofErr w:type="spellEnd"/>
      <w:r>
        <w:rPr>
          <w:rFonts w:ascii="Calibri" w:hAnsi="Calibri"/>
          <w:sz w:val="20"/>
          <w:szCs w:val="20"/>
        </w:rPr>
        <w:t>. Your rights during redundancy. Available at: https://www.acas.org.uk/your-rights-during-</w:t>
      </w:r>
    </w:p>
    <w:p w14:paraId="064F0174" w14:textId="77777777" w:rsidR="00B86D8E" w:rsidRDefault="00000000">
      <w:pPr>
        <w:pStyle w:val="Body"/>
        <w:rPr>
          <w:rFonts w:ascii="Calibri" w:eastAsia="Calibri" w:hAnsi="Calibri" w:cs="Calibri"/>
          <w:sz w:val="20"/>
          <w:szCs w:val="20"/>
        </w:rPr>
      </w:pPr>
      <w:proofErr w:type="spellStart"/>
      <w:r>
        <w:rPr>
          <w:rFonts w:ascii="Calibri" w:hAnsi="Calibri"/>
          <w:sz w:val="20"/>
          <w:szCs w:val="20"/>
        </w:rPr>
        <w:t>redundancy?s</w:t>
      </w:r>
      <w:proofErr w:type="spellEnd"/>
      <w:r>
        <w:rPr>
          <w:rFonts w:ascii="Calibri" w:hAnsi="Calibri"/>
          <w:sz w:val="20"/>
          <w:szCs w:val="20"/>
        </w:rPr>
        <w:t>=04 (Accessed: 15/02/2025)</w:t>
      </w:r>
    </w:p>
    <w:p w14:paraId="1FF77B9C" w14:textId="77777777" w:rsidR="00B86D8E" w:rsidRDefault="00B86D8E">
      <w:pPr>
        <w:pStyle w:val="Body"/>
        <w:rPr>
          <w:rFonts w:ascii="Calibri" w:eastAsia="Calibri" w:hAnsi="Calibri" w:cs="Calibri"/>
          <w:sz w:val="20"/>
          <w:szCs w:val="20"/>
        </w:rPr>
      </w:pPr>
    </w:p>
    <w:p w14:paraId="0D888E99" w14:textId="3CF0588D" w:rsidR="003C2DD3" w:rsidRPr="003C2DD3" w:rsidRDefault="003C2DD3">
      <w:pPr>
        <w:pStyle w:val="Body"/>
        <w:rPr>
          <w:rFonts w:ascii="Calibri" w:hAnsi="Calibri" w:cs="Calibri"/>
          <w:color w:val="242424"/>
          <w:sz w:val="20"/>
          <w:szCs w:val="20"/>
          <w:shd w:val="clear" w:color="auto" w:fill="FFFFFF"/>
          <w:lang w:eastAsia="en-US"/>
          <w14:textOutline w14:w="0" w14:cap="rnd" w14:cmpd="sng" w14:algn="ctr">
            <w14:noFill/>
            <w14:prstDash w14:val="solid"/>
            <w14:bevel/>
          </w14:textOutline>
        </w:rPr>
      </w:pPr>
      <w:r w:rsidRPr="003C2DD3">
        <w:rPr>
          <w:rFonts w:ascii="Calibri" w:hAnsi="Calibri" w:cs="Calibri"/>
          <w:color w:val="242424"/>
          <w:sz w:val="20"/>
          <w:szCs w:val="20"/>
          <w:shd w:val="clear" w:color="auto" w:fill="FFFFFF"/>
          <w:lang w:eastAsia="en-US"/>
          <w14:textOutline w14:w="0" w14:cap="rnd" w14:cmpd="sng" w14:algn="ctr">
            <w14:noFill/>
            <w14:prstDash w14:val="solid"/>
            <w14:bevel/>
          </w14:textOutline>
        </w:rPr>
        <w:t>Advisory, Conciliation and Arbitration Service (ACAS </w:t>
      </w:r>
      <w:r w:rsidRPr="003C2DD3">
        <w:rPr>
          <w:rFonts w:ascii="Calibri" w:hAnsi="Calibri" w:cs="Calibri"/>
          <w:i/>
          <w:iCs/>
          <w:color w:val="242424"/>
          <w:sz w:val="20"/>
          <w:szCs w:val="20"/>
          <w:shd w:val="clear" w:color="auto" w:fill="FFFFFF"/>
          <w:lang w:eastAsia="en-US"/>
          <w14:textOutline w14:w="0" w14:cap="rnd" w14:cmpd="sng" w14:algn="ctr">
            <w14:noFill/>
            <w14:prstDash w14:val="solid"/>
            <w14:bevel/>
          </w14:textOutline>
        </w:rPr>
        <w:t>Advice</w:t>
      </w:r>
      <w:r w:rsidRPr="003C2DD3">
        <w:rPr>
          <w:rFonts w:ascii="Calibri" w:hAnsi="Calibri" w:cs="Calibri"/>
          <w:color w:val="242424"/>
          <w:sz w:val="20"/>
          <w:szCs w:val="20"/>
          <w:shd w:val="clear" w:color="auto" w:fill="FFFFFF"/>
          <w:lang w:eastAsia="en-US"/>
          <w14:textOutline w14:w="0" w14:cap="rnd" w14:cmpd="sng" w14:algn="ctr">
            <w14:noFill/>
            <w14:prstDash w14:val="solid"/>
            <w14:bevel/>
          </w14:textOutline>
        </w:rPr>
        <w:t>. Available</w:t>
      </w:r>
      <w:r>
        <w:rPr>
          <w:rFonts w:ascii="Calibri" w:hAnsi="Calibri" w:cs="Calibri"/>
          <w:color w:val="242424"/>
          <w:sz w:val="20"/>
          <w:szCs w:val="20"/>
          <w:shd w:val="clear" w:color="auto" w:fill="FFFFFF"/>
          <w:lang w:eastAsia="en-US"/>
          <w14:textOutline w14:w="0" w14:cap="rnd" w14:cmpd="sng" w14:algn="ctr">
            <w14:noFill/>
            <w14:prstDash w14:val="solid"/>
            <w14:bevel/>
          </w14:textOutline>
        </w:rPr>
        <w:t xml:space="preserve"> </w:t>
      </w:r>
      <w:r w:rsidRPr="003C2DD3">
        <w:rPr>
          <w:rFonts w:ascii="Calibri" w:hAnsi="Calibri" w:cs="Calibri"/>
          <w:color w:val="242424"/>
          <w:sz w:val="20"/>
          <w:szCs w:val="20"/>
          <w:shd w:val="clear" w:color="auto" w:fill="FFFFFF"/>
          <w:lang w:eastAsia="en-US"/>
          <w14:textOutline w14:w="0" w14:cap="rnd" w14:cmpd="sng" w14:algn="ctr">
            <w14:noFill/>
            <w14:prstDash w14:val="solid"/>
            <w14:bevel/>
          </w14:textOutline>
        </w:rPr>
        <w:t>at: </w:t>
      </w:r>
      <w:hyperlink r:id="rId7" w:tgtFrame="_blank" w:tooltip="Protected by Outlook: https://www.acas.org.uk/advice. Click or tap to follow the link." w:history="1">
        <w:r w:rsidRPr="003C2DD3">
          <w:rPr>
            <w:rFonts w:ascii="Calibri" w:hAnsi="Calibri" w:cs="Calibri"/>
            <w:color w:val="0000FF"/>
            <w:sz w:val="20"/>
            <w:szCs w:val="20"/>
            <w:u w:val="single"/>
            <w:bdr w:val="none" w:sz="0" w:space="0" w:color="auto" w:frame="1"/>
            <w:shd w:val="clear" w:color="auto" w:fill="FFFFFF"/>
            <w:lang w:eastAsia="en-US"/>
            <w14:textOutline w14:w="0" w14:cap="rnd" w14:cmpd="sng" w14:algn="ctr">
              <w14:noFill/>
              <w14:prstDash w14:val="solid"/>
              <w14:bevel/>
            </w14:textOutline>
          </w:rPr>
          <w:t>https://www.acas.org.uk/advice</w:t>
        </w:r>
      </w:hyperlink>
      <w:r w:rsidRPr="003C2DD3">
        <w:rPr>
          <w:rFonts w:ascii="Calibri" w:hAnsi="Calibri" w:cs="Calibri"/>
          <w:color w:val="242424"/>
          <w:sz w:val="20"/>
          <w:szCs w:val="20"/>
          <w:shd w:val="clear" w:color="auto" w:fill="FFFFFF"/>
          <w:lang w:eastAsia="en-US"/>
          <w14:textOutline w14:w="0" w14:cap="rnd" w14:cmpd="sng" w14:algn="ctr">
            <w14:noFill/>
            <w14:prstDash w14:val="solid"/>
            <w14:bevel/>
          </w14:textOutline>
        </w:rPr>
        <w:t xml:space="preserve"> (Accessed: </w:t>
      </w:r>
      <w:r>
        <w:rPr>
          <w:rFonts w:ascii="Calibri" w:hAnsi="Calibri" w:cs="Calibri"/>
          <w:color w:val="242424"/>
          <w:sz w:val="20"/>
          <w:szCs w:val="20"/>
          <w:shd w:val="clear" w:color="auto" w:fill="FFFFFF"/>
          <w:lang w:eastAsia="en-US"/>
          <w14:textOutline w14:w="0" w14:cap="rnd" w14:cmpd="sng" w14:algn="ctr">
            <w14:noFill/>
            <w14:prstDash w14:val="solid"/>
            <w14:bevel/>
          </w14:textOutline>
        </w:rPr>
        <w:t>11/03/2025)</w:t>
      </w:r>
    </w:p>
    <w:p w14:paraId="7469553D" w14:textId="77777777" w:rsidR="003C2DD3" w:rsidRDefault="003C2DD3">
      <w:pPr>
        <w:pStyle w:val="Body"/>
        <w:rPr>
          <w:rFonts w:ascii="Calibri" w:eastAsia="Calibri" w:hAnsi="Calibri" w:cs="Calibri"/>
          <w:sz w:val="20"/>
          <w:szCs w:val="20"/>
        </w:rPr>
      </w:pPr>
    </w:p>
    <w:p w14:paraId="744DD98C" w14:textId="77777777" w:rsidR="00B86D8E" w:rsidRDefault="00000000">
      <w:pPr>
        <w:pStyle w:val="Body"/>
        <w:rPr>
          <w:rFonts w:ascii="Calibri" w:eastAsia="Calibri" w:hAnsi="Calibri" w:cs="Calibri"/>
          <w:sz w:val="20"/>
          <w:szCs w:val="20"/>
        </w:rPr>
      </w:pPr>
      <w:r>
        <w:rPr>
          <w:rFonts w:ascii="Calibri" w:hAnsi="Calibri"/>
          <w:sz w:val="20"/>
          <w:szCs w:val="20"/>
        </w:rPr>
        <w:t>Chartered Institute of Personnel and Development (CIPD), 2025. Employment law. [online] Available at: https://www.cipd.org/uk/knowledge/employment-law/ (Accessed: 18/02/2025)</w:t>
      </w:r>
    </w:p>
    <w:p w14:paraId="699FD3CE" w14:textId="77777777" w:rsidR="00B86D8E" w:rsidRDefault="00B86D8E">
      <w:pPr>
        <w:pStyle w:val="Body"/>
        <w:rPr>
          <w:rFonts w:ascii="Calibri" w:eastAsia="Calibri" w:hAnsi="Calibri" w:cs="Calibri"/>
          <w:sz w:val="20"/>
          <w:szCs w:val="20"/>
        </w:rPr>
      </w:pPr>
    </w:p>
    <w:p w14:paraId="338D8118" w14:textId="77777777" w:rsidR="00B86D8E" w:rsidRDefault="00000000">
      <w:pPr>
        <w:pStyle w:val="Body"/>
        <w:rPr>
          <w:rFonts w:ascii="Calibri" w:eastAsia="Calibri" w:hAnsi="Calibri" w:cs="Calibri"/>
          <w:sz w:val="20"/>
          <w:szCs w:val="20"/>
        </w:rPr>
      </w:pPr>
      <w:r>
        <w:rPr>
          <w:rFonts w:ascii="Calibri" w:hAnsi="Calibri"/>
          <w:sz w:val="20"/>
          <w:szCs w:val="20"/>
        </w:rPr>
        <w:t xml:space="preserve">CIPD. Equal pay. Available at: </w:t>
      </w:r>
      <w:hyperlink r:id="rId8" w:history="1">
        <w:r>
          <w:rPr>
            <w:rStyle w:val="Hyperlink0"/>
          </w:rPr>
          <w:t>https://www.cipd.org/uk/knowledge/employment-law/equal-pay</w:t>
        </w:r>
      </w:hyperlink>
      <w:r>
        <w:rPr>
          <w:rFonts w:ascii="Calibri" w:hAnsi="Calibri"/>
          <w:sz w:val="20"/>
          <w:szCs w:val="20"/>
        </w:rPr>
        <w:t xml:space="preserve"> (Accessed: 18/02/2025)</w:t>
      </w:r>
    </w:p>
    <w:p w14:paraId="569E47D7" w14:textId="77777777" w:rsidR="00B86D8E" w:rsidRDefault="00B86D8E">
      <w:pPr>
        <w:pStyle w:val="Body"/>
        <w:rPr>
          <w:rFonts w:ascii="Calibri" w:eastAsia="Calibri" w:hAnsi="Calibri" w:cs="Calibri"/>
          <w:sz w:val="20"/>
          <w:szCs w:val="20"/>
        </w:rPr>
      </w:pPr>
    </w:p>
    <w:p w14:paraId="1136DFF2" w14:textId="77777777" w:rsidR="00B86D8E" w:rsidRDefault="00000000">
      <w:pPr>
        <w:pStyle w:val="Body"/>
        <w:rPr>
          <w:rFonts w:ascii="Calibri" w:eastAsia="Calibri" w:hAnsi="Calibri" w:cs="Calibri"/>
          <w:sz w:val="20"/>
          <w:szCs w:val="20"/>
        </w:rPr>
      </w:pPr>
      <w:r>
        <w:rPr>
          <w:rFonts w:ascii="Calibri" w:hAnsi="Calibri"/>
          <w:sz w:val="20"/>
          <w:szCs w:val="20"/>
        </w:rPr>
        <w:t>CIPD. Flexible working. Available at: https://www.cipd.org/uk/knowledge/employment-law/flexible-working/ (Accessed: 24/02/2025)</w:t>
      </w:r>
    </w:p>
    <w:p w14:paraId="0139FC6B" w14:textId="77777777" w:rsidR="00B86D8E" w:rsidRDefault="00B86D8E">
      <w:pPr>
        <w:pStyle w:val="Body"/>
        <w:rPr>
          <w:rFonts w:ascii="Calibri" w:eastAsia="Calibri" w:hAnsi="Calibri" w:cs="Calibri"/>
          <w:sz w:val="20"/>
          <w:szCs w:val="20"/>
        </w:rPr>
      </w:pPr>
    </w:p>
    <w:p w14:paraId="28953C83" w14:textId="77777777" w:rsidR="00B86D8E" w:rsidRDefault="00000000">
      <w:pPr>
        <w:pStyle w:val="Body"/>
        <w:rPr>
          <w:rFonts w:ascii="Calibri" w:eastAsia="Calibri" w:hAnsi="Calibri" w:cs="Calibri"/>
          <w:sz w:val="20"/>
          <w:szCs w:val="20"/>
        </w:rPr>
      </w:pPr>
      <w:r>
        <w:rPr>
          <w:rFonts w:ascii="Calibri" w:hAnsi="Calibri"/>
          <w:sz w:val="20"/>
          <w:szCs w:val="20"/>
        </w:rPr>
        <w:t>CIPD. Redundancy factsheet. Available at: https://www.cipd.org/uk/knowledge/factsheets/redundancy-factsheet/ (Accessed: 24/02/2025)</w:t>
      </w:r>
    </w:p>
    <w:p w14:paraId="003F2471" w14:textId="77777777" w:rsidR="00B86D8E" w:rsidRDefault="00B86D8E">
      <w:pPr>
        <w:pStyle w:val="Body"/>
        <w:rPr>
          <w:rFonts w:ascii="Calibri" w:eastAsia="Calibri" w:hAnsi="Calibri" w:cs="Calibri"/>
          <w:sz w:val="20"/>
          <w:szCs w:val="20"/>
        </w:rPr>
      </w:pPr>
    </w:p>
    <w:p w14:paraId="1165C088" w14:textId="77777777" w:rsidR="00B86D8E" w:rsidRDefault="00000000">
      <w:pPr>
        <w:pStyle w:val="Body"/>
        <w:rPr>
          <w:rFonts w:ascii="Calibri" w:eastAsia="Calibri" w:hAnsi="Calibri" w:cs="Calibri"/>
          <w:sz w:val="20"/>
          <w:szCs w:val="20"/>
        </w:rPr>
      </w:pPr>
      <w:r>
        <w:rPr>
          <w:rFonts w:ascii="Calibri" w:hAnsi="Calibri"/>
          <w:sz w:val="20"/>
          <w:szCs w:val="20"/>
        </w:rPr>
        <w:t>CIPD. TUPE factsheet. Available at: https://www.cipd.org/uk/knowledge/factsheets/tupe-factsheet/ (Accessed: 17/02/2025)</w:t>
      </w:r>
    </w:p>
    <w:p w14:paraId="0797E974" w14:textId="77777777" w:rsidR="00B86D8E" w:rsidRDefault="00B86D8E">
      <w:pPr>
        <w:pStyle w:val="Body"/>
        <w:rPr>
          <w:rFonts w:ascii="Calibri" w:eastAsia="Calibri" w:hAnsi="Calibri" w:cs="Calibri"/>
          <w:sz w:val="20"/>
          <w:szCs w:val="20"/>
        </w:rPr>
      </w:pPr>
    </w:p>
    <w:p w14:paraId="69E3CEA4" w14:textId="77777777" w:rsidR="00B86D8E" w:rsidRDefault="00000000">
      <w:pPr>
        <w:pStyle w:val="Body"/>
        <w:rPr>
          <w:rFonts w:ascii="Calibri" w:hAnsi="Calibri"/>
          <w:sz w:val="20"/>
          <w:szCs w:val="20"/>
        </w:rPr>
      </w:pPr>
      <w:r>
        <w:rPr>
          <w:rFonts w:ascii="Calibri" w:hAnsi="Calibri"/>
          <w:sz w:val="20"/>
          <w:szCs w:val="20"/>
        </w:rPr>
        <w:t>Citizens Advice. Claiming constructive dismissal. Available at: https://www.citizensadvice.org.uk/work/dismissal/check-your-rights-if-youre-dismissed/claiming-constructive-dismissal/ (Accessed: 14/02/2025)</w:t>
      </w:r>
    </w:p>
    <w:p w14:paraId="146E6407" w14:textId="77777777" w:rsidR="0089780F" w:rsidRDefault="0089780F">
      <w:pPr>
        <w:pStyle w:val="Body"/>
        <w:rPr>
          <w:rFonts w:ascii="Calibri" w:hAnsi="Calibri"/>
          <w:sz w:val="20"/>
          <w:szCs w:val="20"/>
        </w:rPr>
      </w:pPr>
    </w:p>
    <w:p w14:paraId="0B4CC431" w14:textId="77777777" w:rsidR="00B86D8E" w:rsidRDefault="00000000">
      <w:pPr>
        <w:pStyle w:val="Body"/>
        <w:rPr>
          <w:rFonts w:ascii="Calibri" w:eastAsia="Calibri" w:hAnsi="Calibri" w:cs="Calibri"/>
          <w:sz w:val="20"/>
          <w:szCs w:val="20"/>
        </w:rPr>
      </w:pPr>
      <w:r>
        <w:rPr>
          <w:rFonts w:ascii="Calibri" w:hAnsi="Calibri"/>
          <w:sz w:val="20"/>
          <w:szCs w:val="20"/>
        </w:rPr>
        <w:t xml:space="preserve">Daniels, K, CIPD. Introduction to employment law, fundamentals for HR and business students. </w:t>
      </w:r>
    </w:p>
    <w:p w14:paraId="1B0F52E9" w14:textId="77777777" w:rsidR="00B86D8E" w:rsidRDefault="00B86D8E">
      <w:pPr>
        <w:pStyle w:val="Body"/>
        <w:rPr>
          <w:rFonts w:ascii="Calibri" w:eastAsia="Calibri" w:hAnsi="Calibri" w:cs="Calibri"/>
          <w:sz w:val="20"/>
          <w:szCs w:val="20"/>
        </w:rPr>
      </w:pPr>
    </w:p>
    <w:p w14:paraId="35EC7695" w14:textId="77777777" w:rsidR="00B86D8E" w:rsidRDefault="00000000">
      <w:pPr>
        <w:pStyle w:val="Body"/>
        <w:rPr>
          <w:rFonts w:ascii="Calibri" w:eastAsia="Calibri" w:hAnsi="Calibri" w:cs="Calibri"/>
          <w:sz w:val="20"/>
          <w:szCs w:val="20"/>
        </w:rPr>
      </w:pPr>
      <w:r>
        <w:rPr>
          <w:rFonts w:ascii="Calibri" w:hAnsi="Calibri"/>
          <w:sz w:val="20"/>
          <w:szCs w:val="20"/>
        </w:rPr>
        <w:t>Equal pay law. [online] Available at: https://www.acas.org.uk/equal-pay/equal-pay-law (Accessed 19/02/2025)</w:t>
      </w:r>
    </w:p>
    <w:p w14:paraId="4B8E05F9" w14:textId="77777777" w:rsidR="00B86D8E" w:rsidRDefault="00B86D8E">
      <w:pPr>
        <w:pStyle w:val="Body"/>
        <w:rPr>
          <w:rFonts w:ascii="Calibri" w:eastAsia="Calibri" w:hAnsi="Calibri" w:cs="Calibri"/>
          <w:sz w:val="20"/>
          <w:szCs w:val="20"/>
        </w:rPr>
      </w:pPr>
    </w:p>
    <w:p w14:paraId="2288051D" w14:textId="77777777" w:rsidR="00B86D8E" w:rsidRPr="00A71D44" w:rsidRDefault="00000000">
      <w:pPr>
        <w:pStyle w:val="Body"/>
        <w:rPr>
          <w:rFonts w:ascii="Calibri" w:eastAsia="Calibri" w:hAnsi="Calibri" w:cs="Calibri"/>
          <w:sz w:val="20"/>
          <w:szCs w:val="20"/>
        </w:rPr>
      </w:pPr>
      <w:r>
        <w:rPr>
          <w:rFonts w:ascii="Calibri" w:hAnsi="Calibri"/>
          <w:sz w:val="20"/>
          <w:szCs w:val="20"/>
        </w:rPr>
        <w:t>Employment law services. Available at: https://croner.co.uk/services/employment-law</w:t>
      </w:r>
      <w:r w:rsidRPr="00A71D44">
        <w:rPr>
          <w:rFonts w:ascii="Calibri" w:hAnsi="Calibri"/>
          <w:sz w:val="20"/>
          <w:szCs w:val="20"/>
        </w:rPr>
        <w:t>//?utm_source=bing&amp;utm_medium=tCPA&amp;utm_campaign=Croner_Core_Bing&amp;utm_term=employers%20law&amp;msclkid=3bede1a7d53f147386e886121d5d57e5&amp;utm_content=Employment%20Law (Accessed: 10/02/2025)</w:t>
      </w:r>
    </w:p>
    <w:p w14:paraId="5738F357" w14:textId="77777777" w:rsidR="00B86D8E" w:rsidRPr="00A71D44" w:rsidRDefault="00B86D8E">
      <w:pPr>
        <w:pStyle w:val="Body"/>
        <w:rPr>
          <w:sz w:val="27"/>
          <w:szCs w:val="27"/>
        </w:rPr>
      </w:pPr>
    </w:p>
    <w:p w14:paraId="3EDC2739" w14:textId="77777777" w:rsidR="00B86D8E" w:rsidRPr="00A71D44" w:rsidRDefault="00000000">
      <w:pPr>
        <w:pStyle w:val="Body"/>
        <w:rPr>
          <w:rFonts w:ascii="Calibri" w:eastAsia="Calibri" w:hAnsi="Calibri" w:cs="Calibri"/>
          <w:sz w:val="20"/>
          <w:szCs w:val="20"/>
        </w:rPr>
      </w:pPr>
      <w:r w:rsidRPr="00A71D44">
        <w:rPr>
          <w:rFonts w:ascii="Calibri" w:hAnsi="Calibri"/>
          <w:sz w:val="20"/>
          <w:szCs w:val="20"/>
        </w:rPr>
        <w:t>Follow discrimination law when hiring someone. [online] Available at: https://www.acas.org.uk/hiring-someone/follow-discrimination-law (Accessed: 12/02/2025)</w:t>
      </w:r>
    </w:p>
    <w:p w14:paraId="1ED98EA6" w14:textId="77777777" w:rsidR="00B86D8E" w:rsidRPr="00A71D44" w:rsidRDefault="00B86D8E">
      <w:pPr>
        <w:pStyle w:val="Body"/>
        <w:rPr>
          <w:rFonts w:ascii="Calibri" w:eastAsia="Calibri" w:hAnsi="Calibri" w:cs="Calibri"/>
          <w:sz w:val="20"/>
          <w:szCs w:val="20"/>
        </w:rPr>
      </w:pPr>
    </w:p>
    <w:p w14:paraId="1B424116" w14:textId="77777777" w:rsidR="00B86D8E" w:rsidRPr="00A71D44" w:rsidRDefault="00000000">
      <w:pPr>
        <w:pStyle w:val="Body"/>
        <w:rPr>
          <w:rFonts w:ascii="Calibri" w:eastAsia="Calibri" w:hAnsi="Calibri" w:cs="Calibri"/>
          <w:sz w:val="20"/>
          <w:szCs w:val="20"/>
        </w:rPr>
      </w:pPr>
      <w:r w:rsidRPr="00A71D44">
        <w:rPr>
          <w:rFonts w:ascii="Calibri" w:hAnsi="Calibri"/>
          <w:sz w:val="20"/>
          <w:szCs w:val="20"/>
        </w:rPr>
        <w:lastRenderedPageBreak/>
        <w:t>GOV.UK. Calculate your holiday entitlement. Available at: https://www.gov.uk/calculate-your-holiday-entitlement (Accessed: 12/02/2025)</w:t>
      </w:r>
    </w:p>
    <w:p w14:paraId="57C7A71B" w14:textId="77777777" w:rsidR="00B86D8E" w:rsidRPr="00A71D44" w:rsidRDefault="00B86D8E">
      <w:pPr>
        <w:pStyle w:val="Body"/>
        <w:rPr>
          <w:rFonts w:ascii="Calibri" w:eastAsia="Calibri" w:hAnsi="Calibri" w:cs="Calibri"/>
          <w:sz w:val="20"/>
          <w:szCs w:val="20"/>
        </w:rPr>
      </w:pPr>
    </w:p>
    <w:p w14:paraId="2162A6E7" w14:textId="77777777" w:rsidR="00B86D8E" w:rsidRPr="00A71D44" w:rsidRDefault="00000000">
      <w:pPr>
        <w:pStyle w:val="Body"/>
        <w:rPr>
          <w:rFonts w:ascii="Calibri" w:eastAsia="Calibri" w:hAnsi="Calibri" w:cs="Calibri"/>
          <w:sz w:val="20"/>
          <w:szCs w:val="20"/>
        </w:rPr>
      </w:pPr>
      <w:r w:rsidRPr="00A71D44">
        <w:rPr>
          <w:rFonts w:ascii="Calibri" w:hAnsi="Calibri"/>
          <w:sz w:val="20"/>
          <w:szCs w:val="20"/>
        </w:rPr>
        <w:t>GOV.UK. Discrimination: your rights. Available at: https://www.gov.uk/discrimination-your-rights (Accessed: 16/02/2025)</w:t>
      </w:r>
    </w:p>
    <w:p w14:paraId="1D2F354A" w14:textId="77777777" w:rsidR="00A71D44" w:rsidRPr="00560D15" w:rsidRDefault="00A71D44">
      <w:pPr>
        <w:pStyle w:val="Body"/>
        <w:rPr>
          <w:rFonts w:ascii="Calibri" w:eastAsia="Calibri" w:hAnsi="Calibri" w:cs="Calibri"/>
          <w:sz w:val="20"/>
          <w:szCs w:val="20"/>
        </w:rPr>
      </w:pPr>
    </w:p>
    <w:p w14:paraId="5E3424B3" w14:textId="69FE1202" w:rsidR="00560D15" w:rsidRDefault="00560D15">
      <w:pPr>
        <w:pStyle w:val="Body"/>
        <w:rPr>
          <w:rFonts w:ascii="Calibri" w:hAnsi="Calibri" w:cs="Calibri"/>
          <w:color w:val="242424"/>
          <w:sz w:val="20"/>
          <w:szCs w:val="20"/>
          <w:shd w:val="clear" w:color="auto" w:fill="FFFFFF"/>
          <w:lang w:eastAsia="en-US"/>
          <w14:textOutline w14:w="0" w14:cap="rnd" w14:cmpd="sng" w14:algn="ctr">
            <w14:noFill/>
            <w14:prstDash w14:val="solid"/>
            <w14:bevel/>
          </w14:textOutline>
        </w:rPr>
      </w:pPr>
      <w:r w:rsidRPr="00560D15">
        <w:rPr>
          <w:rFonts w:ascii="Calibri" w:hAnsi="Calibri" w:cs="Calibri"/>
          <w:color w:val="242424"/>
          <w:sz w:val="20"/>
          <w:szCs w:val="20"/>
          <w:shd w:val="clear" w:color="auto" w:fill="FFFFFF"/>
          <w:lang w:eastAsia="en-US"/>
          <w14:textOutline w14:w="0" w14:cap="rnd" w14:cmpd="sng" w14:algn="ctr">
            <w14:noFill/>
            <w14:prstDash w14:val="solid"/>
            <w14:bevel/>
          </w14:textOutline>
        </w:rPr>
        <w:t>GOV.UK</w:t>
      </w:r>
      <w:r>
        <w:rPr>
          <w:rFonts w:ascii="Calibri" w:hAnsi="Calibri" w:cs="Calibri"/>
          <w:color w:val="242424"/>
          <w:sz w:val="20"/>
          <w:szCs w:val="20"/>
          <w:shd w:val="clear" w:color="auto" w:fill="FFFFFF"/>
          <w:lang w:eastAsia="en-US"/>
          <w14:textOutline w14:w="0" w14:cap="rnd" w14:cmpd="sng" w14:algn="ctr">
            <w14:noFill/>
            <w14:prstDash w14:val="solid"/>
            <w14:bevel/>
          </w14:textOutline>
        </w:rPr>
        <w:t>.</w:t>
      </w:r>
      <w:r w:rsidRPr="00560D15">
        <w:rPr>
          <w:rFonts w:ascii="Calibri" w:hAnsi="Calibri" w:cs="Calibri"/>
          <w:color w:val="242424"/>
          <w:sz w:val="20"/>
          <w:szCs w:val="20"/>
          <w:shd w:val="clear" w:color="auto" w:fill="FFFFFF"/>
          <w:lang w:eastAsia="en-US"/>
          <w14:textOutline w14:w="0" w14:cap="rnd" w14:cmpd="sng" w14:algn="ctr">
            <w14:noFill/>
            <w14:prstDash w14:val="solid"/>
            <w14:bevel/>
          </w14:textOutline>
        </w:rPr>
        <w:t> Transfers and takeovers (TUPE). Available at: </w:t>
      </w:r>
      <w:hyperlink r:id="rId9" w:tgtFrame="_blank" w:tooltip="Protected by Outlook: https://www.gov.uk/transfers-takeovers. Click or tap to follow the link." w:history="1">
        <w:r w:rsidRPr="00560D15">
          <w:rPr>
            <w:rFonts w:ascii="Calibri" w:hAnsi="Calibri" w:cs="Calibri"/>
            <w:color w:val="0000FF"/>
            <w:sz w:val="20"/>
            <w:szCs w:val="20"/>
            <w:u w:val="single"/>
            <w:bdr w:val="none" w:sz="0" w:space="0" w:color="auto" w:frame="1"/>
            <w:shd w:val="clear" w:color="auto" w:fill="FFFFFF"/>
            <w:lang w:eastAsia="en-US"/>
            <w14:textOutline w14:w="0" w14:cap="rnd" w14:cmpd="sng" w14:algn="ctr">
              <w14:noFill/>
              <w14:prstDash w14:val="solid"/>
              <w14:bevel/>
            </w14:textOutline>
          </w:rPr>
          <w:t>https://www.gov.uk/transfers-takeovers</w:t>
        </w:r>
      </w:hyperlink>
      <w:r w:rsidRPr="00560D15">
        <w:rPr>
          <w:rFonts w:ascii="Calibri" w:hAnsi="Calibri" w:cs="Calibri"/>
          <w:color w:val="242424"/>
          <w:sz w:val="20"/>
          <w:szCs w:val="20"/>
          <w:shd w:val="clear" w:color="auto" w:fill="FFFFFF"/>
          <w:lang w:eastAsia="en-US"/>
          <w14:textOutline w14:w="0" w14:cap="rnd" w14:cmpd="sng" w14:algn="ctr">
            <w14:noFill/>
            <w14:prstDash w14:val="solid"/>
            <w14:bevel/>
          </w14:textOutline>
        </w:rPr>
        <w:t xml:space="preserve"> (Accessed: </w:t>
      </w:r>
      <w:r>
        <w:rPr>
          <w:rFonts w:ascii="Calibri" w:hAnsi="Calibri" w:cs="Calibri"/>
          <w:color w:val="242424"/>
          <w:sz w:val="20"/>
          <w:szCs w:val="20"/>
          <w:shd w:val="clear" w:color="auto" w:fill="FFFFFF"/>
          <w:lang w:eastAsia="en-US"/>
          <w14:textOutline w14:w="0" w14:cap="rnd" w14:cmpd="sng" w14:algn="ctr">
            <w14:noFill/>
            <w14:prstDash w14:val="solid"/>
            <w14:bevel/>
          </w14:textOutline>
        </w:rPr>
        <w:t>11/03/2025)</w:t>
      </w:r>
    </w:p>
    <w:p w14:paraId="1FC8D484" w14:textId="77777777" w:rsidR="00560D15" w:rsidRPr="00A71D44" w:rsidRDefault="00560D15">
      <w:pPr>
        <w:pStyle w:val="Body"/>
        <w:rPr>
          <w:rFonts w:ascii="Calibri" w:eastAsia="Calibri" w:hAnsi="Calibri" w:cs="Calibri"/>
          <w:sz w:val="20"/>
          <w:szCs w:val="20"/>
        </w:rPr>
      </w:pPr>
    </w:p>
    <w:p w14:paraId="6A8D86BC" w14:textId="77777777" w:rsidR="00B86D8E" w:rsidRPr="00A71D44" w:rsidRDefault="00000000">
      <w:pPr>
        <w:pStyle w:val="Body"/>
        <w:rPr>
          <w:rFonts w:ascii="Calibri" w:eastAsia="Calibri" w:hAnsi="Calibri" w:cs="Calibri"/>
          <w:sz w:val="20"/>
          <w:szCs w:val="20"/>
        </w:rPr>
      </w:pPr>
      <w:r w:rsidRPr="00A71D44">
        <w:rPr>
          <w:rFonts w:ascii="Calibri" w:hAnsi="Calibri"/>
          <w:sz w:val="20"/>
          <w:szCs w:val="20"/>
        </w:rPr>
        <w:t xml:space="preserve">GOV.UK. Shared parental leave and pay. From </w:t>
      </w:r>
      <w:hyperlink r:id="rId10" w:history="1">
        <w:r w:rsidRPr="00A71D44">
          <w:rPr>
            <w:rStyle w:val="Hyperlink0"/>
          </w:rPr>
          <w:t>https://www.gov.uk/shared-parental-leave-and-pay</w:t>
        </w:r>
      </w:hyperlink>
      <w:r w:rsidRPr="00A71D44">
        <w:rPr>
          <w:rFonts w:ascii="Calibri" w:hAnsi="Calibri"/>
          <w:sz w:val="20"/>
          <w:szCs w:val="20"/>
        </w:rPr>
        <w:t>. (Accessed: 21/02/2025)</w:t>
      </w:r>
    </w:p>
    <w:p w14:paraId="5276CB10" w14:textId="77777777" w:rsidR="00B86D8E" w:rsidRPr="00A71D44" w:rsidRDefault="00B86D8E">
      <w:pPr>
        <w:pStyle w:val="Body"/>
        <w:rPr>
          <w:rFonts w:ascii="Calibri" w:eastAsia="Calibri" w:hAnsi="Calibri" w:cs="Calibri"/>
          <w:sz w:val="20"/>
          <w:szCs w:val="20"/>
        </w:rPr>
      </w:pPr>
    </w:p>
    <w:p w14:paraId="579DDC65" w14:textId="29352900" w:rsidR="00A71D44" w:rsidRPr="00A71D44" w:rsidRDefault="00A71D44">
      <w:pPr>
        <w:pStyle w:val="Body"/>
        <w:rPr>
          <w:rFonts w:ascii="Calibri" w:hAnsi="Calibri" w:cs="Calibri"/>
          <w:color w:val="242424"/>
          <w:sz w:val="20"/>
          <w:szCs w:val="20"/>
          <w:shd w:val="clear" w:color="auto" w:fill="FFFFFF"/>
          <w:lang w:eastAsia="en-US"/>
          <w14:textOutline w14:w="0" w14:cap="rnd" w14:cmpd="sng" w14:algn="ctr">
            <w14:noFill/>
            <w14:prstDash w14:val="solid"/>
            <w14:bevel/>
          </w14:textOutline>
        </w:rPr>
      </w:pPr>
      <w:r w:rsidRPr="00A71D44">
        <w:rPr>
          <w:rFonts w:ascii="Calibri" w:hAnsi="Calibri" w:cs="Calibri"/>
          <w:color w:val="242424"/>
          <w:sz w:val="20"/>
          <w:szCs w:val="20"/>
          <w:shd w:val="clear" w:color="auto" w:fill="FFFFFF"/>
          <w:lang w:eastAsia="en-US"/>
          <w14:textOutline w14:w="0" w14:cap="rnd" w14:cmpd="sng" w14:algn="ctr">
            <w14:noFill/>
            <w14:prstDash w14:val="solid"/>
            <w14:bevel/>
          </w14:textOutline>
        </w:rPr>
        <w:t>GOV.UK</w:t>
      </w:r>
      <w:r w:rsidRPr="00A71D44">
        <w:rPr>
          <w:rFonts w:ascii="Calibri" w:hAnsi="Calibri" w:cs="Calibri"/>
          <w:color w:val="242424"/>
          <w:sz w:val="20"/>
          <w:szCs w:val="20"/>
          <w:shd w:val="clear" w:color="auto" w:fill="FFFFFF"/>
          <w:lang w:eastAsia="en-US"/>
          <w14:textOutline w14:w="0" w14:cap="rnd" w14:cmpd="sng" w14:algn="ctr">
            <w14:noFill/>
            <w14:prstDash w14:val="solid"/>
            <w14:bevel/>
          </w14:textOutline>
        </w:rPr>
        <w:t xml:space="preserve">. </w:t>
      </w:r>
      <w:r w:rsidRPr="00A71D44">
        <w:rPr>
          <w:rFonts w:ascii="Calibri" w:hAnsi="Calibri" w:cs="Calibri"/>
          <w:color w:val="242424"/>
          <w:sz w:val="20"/>
          <w:szCs w:val="20"/>
          <w:shd w:val="clear" w:color="auto" w:fill="FFFFFF"/>
          <w:lang w:eastAsia="en-US"/>
          <w14:textOutline w14:w="0" w14:cap="rnd" w14:cmpd="sng" w14:algn="ctr">
            <w14:noFill/>
            <w14:prstDash w14:val="solid"/>
            <w14:bevel/>
          </w14:textOutline>
        </w:rPr>
        <w:t>Unfair and constructive dismissal. Available at: </w:t>
      </w:r>
      <w:hyperlink r:id="rId11" w:tgtFrame="_blank" w:tooltip="Protected by Outlook: https://www.gov.uk/dismissal/unfair-and-constructive-dismissal. Click or tap to follow the link." w:history="1">
        <w:r w:rsidRPr="00A71D44">
          <w:rPr>
            <w:rFonts w:ascii="Calibri" w:hAnsi="Calibri" w:cs="Calibri"/>
            <w:color w:val="0000FF"/>
            <w:sz w:val="20"/>
            <w:szCs w:val="20"/>
            <w:u w:val="single"/>
            <w:bdr w:val="none" w:sz="0" w:space="0" w:color="auto" w:frame="1"/>
            <w:shd w:val="clear" w:color="auto" w:fill="FFFFFF"/>
            <w:lang w:eastAsia="en-US"/>
            <w14:textOutline w14:w="0" w14:cap="rnd" w14:cmpd="sng" w14:algn="ctr">
              <w14:noFill/>
              <w14:prstDash w14:val="solid"/>
              <w14:bevel/>
            </w14:textOutline>
          </w:rPr>
          <w:t>https://www.gov.uk/dismissal/unfair-and-constructive-dismissal</w:t>
        </w:r>
      </w:hyperlink>
      <w:r w:rsidRPr="00A71D44">
        <w:rPr>
          <w:rFonts w:ascii="Calibri" w:hAnsi="Calibri" w:cs="Calibri"/>
          <w:color w:val="242424"/>
          <w:sz w:val="20"/>
          <w:szCs w:val="20"/>
          <w:shd w:val="clear" w:color="auto" w:fill="FFFFFF"/>
          <w:lang w:eastAsia="en-US"/>
          <w14:textOutline w14:w="0" w14:cap="rnd" w14:cmpd="sng" w14:algn="ctr">
            <w14:noFill/>
            <w14:prstDash w14:val="solid"/>
            <w14:bevel/>
          </w14:textOutline>
        </w:rPr>
        <w:t xml:space="preserve"> (Accessed: </w:t>
      </w:r>
      <w:r>
        <w:rPr>
          <w:rFonts w:ascii="Calibri" w:hAnsi="Calibri" w:cs="Calibri"/>
          <w:color w:val="242424"/>
          <w:sz w:val="20"/>
          <w:szCs w:val="20"/>
          <w:shd w:val="clear" w:color="auto" w:fill="FFFFFF"/>
          <w:lang w:eastAsia="en-US"/>
          <w14:textOutline w14:w="0" w14:cap="rnd" w14:cmpd="sng" w14:algn="ctr">
            <w14:noFill/>
            <w14:prstDash w14:val="solid"/>
            <w14:bevel/>
          </w14:textOutline>
        </w:rPr>
        <w:t>11/03/2025)</w:t>
      </w:r>
    </w:p>
    <w:p w14:paraId="63C1EAA3" w14:textId="77777777" w:rsidR="00A71D44" w:rsidRDefault="00A71D44">
      <w:pPr>
        <w:pStyle w:val="Body"/>
        <w:rPr>
          <w:rFonts w:ascii="Calibri" w:eastAsia="Calibri" w:hAnsi="Calibri" w:cs="Calibri"/>
          <w:sz w:val="20"/>
          <w:szCs w:val="20"/>
        </w:rPr>
      </w:pPr>
    </w:p>
    <w:p w14:paraId="32590CD0" w14:textId="77777777" w:rsidR="00B86D8E" w:rsidRDefault="00000000">
      <w:pPr>
        <w:pStyle w:val="Body"/>
        <w:rPr>
          <w:rFonts w:ascii="Calibri" w:eastAsia="Calibri" w:hAnsi="Calibri" w:cs="Calibri"/>
          <w:sz w:val="20"/>
          <w:szCs w:val="20"/>
        </w:rPr>
      </w:pPr>
      <w:r>
        <w:rPr>
          <w:rFonts w:ascii="Calibri" w:hAnsi="Calibri"/>
          <w:sz w:val="20"/>
          <w:szCs w:val="20"/>
        </w:rPr>
        <w:t>Law Society. What is the European Court of Justice and why does it matter? Available at: https://www.lawsociety.org.uk/topics/brexit/what-is-the-european-court-of-justice-and-why-does-it-matter (Accessed: 21/02/2025)</w:t>
      </w:r>
    </w:p>
    <w:p w14:paraId="1D4D65E6" w14:textId="77777777" w:rsidR="00B86D8E" w:rsidRDefault="00B86D8E">
      <w:pPr>
        <w:pStyle w:val="Body"/>
        <w:rPr>
          <w:sz w:val="27"/>
          <w:szCs w:val="27"/>
        </w:rPr>
      </w:pPr>
    </w:p>
    <w:p w14:paraId="3D4AF655" w14:textId="68A81AC8" w:rsidR="00B86D8E" w:rsidRDefault="00A71D44">
      <w:pPr>
        <w:pStyle w:val="Body"/>
        <w:rPr>
          <w:rFonts w:ascii="Calibri" w:hAnsi="Calibri" w:cs="Calibri"/>
          <w:color w:val="242424"/>
          <w:sz w:val="20"/>
          <w:szCs w:val="20"/>
          <w:shd w:val="clear" w:color="auto" w:fill="FFFFFF"/>
          <w:lang w:eastAsia="en-US"/>
          <w14:textOutline w14:w="0" w14:cap="rnd" w14:cmpd="sng" w14:algn="ctr">
            <w14:noFill/>
            <w14:prstDash w14:val="solid"/>
            <w14:bevel/>
          </w14:textOutline>
        </w:rPr>
      </w:pPr>
      <w:r w:rsidRPr="00A71D44">
        <w:rPr>
          <w:rFonts w:ascii="Calibri" w:hAnsi="Calibri" w:cs="Calibri"/>
          <w:color w:val="242424"/>
          <w:sz w:val="20"/>
          <w:szCs w:val="20"/>
          <w:shd w:val="clear" w:color="auto" w:fill="FFFFFF"/>
          <w:lang w:eastAsia="en-US"/>
          <w14:textOutline w14:w="0" w14:cap="rnd" w14:cmpd="sng" w14:algn="ctr">
            <w14:noFill/>
            <w14:prstDash w14:val="solid"/>
            <w14:bevel/>
          </w14:textOutline>
        </w:rPr>
        <w:t>UK Government (1996) Employment Rights Act 1996. Available at: </w:t>
      </w:r>
      <w:hyperlink r:id="rId12" w:tgtFrame="_blank" w:tooltip="Protected by Outlook: https://www.legislation.gov.uk/ukpga/1996/18/contents. Click or tap to follow the link." w:history="1">
        <w:r w:rsidRPr="00A71D44">
          <w:rPr>
            <w:rFonts w:ascii="Calibri" w:hAnsi="Calibri" w:cs="Calibri"/>
            <w:color w:val="0000FF"/>
            <w:sz w:val="20"/>
            <w:szCs w:val="20"/>
            <w:u w:val="single"/>
            <w:bdr w:val="none" w:sz="0" w:space="0" w:color="auto" w:frame="1"/>
            <w:shd w:val="clear" w:color="auto" w:fill="FFFFFF"/>
            <w:lang w:eastAsia="en-US"/>
            <w14:textOutline w14:w="0" w14:cap="rnd" w14:cmpd="sng" w14:algn="ctr">
              <w14:noFill/>
              <w14:prstDash w14:val="solid"/>
              <w14:bevel/>
            </w14:textOutline>
          </w:rPr>
          <w:t>https://www.legislation.gov.uk/ukpga/1996/18/contents</w:t>
        </w:r>
      </w:hyperlink>
      <w:r w:rsidRPr="00A71D44">
        <w:rPr>
          <w:rFonts w:ascii="Calibri" w:hAnsi="Calibri" w:cs="Calibri"/>
          <w:color w:val="242424"/>
          <w:sz w:val="20"/>
          <w:szCs w:val="20"/>
          <w:shd w:val="clear" w:color="auto" w:fill="FFFFFF"/>
          <w:lang w:eastAsia="en-US"/>
          <w14:textOutline w14:w="0" w14:cap="rnd" w14:cmpd="sng" w14:algn="ctr">
            <w14:noFill/>
            <w14:prstDash w14:val="solid"/>
            <w14:bevel/>
          </w14:textOutline>
        </w:rPr>
        <w:t xml:space="preserve"> (Accessed: </w:t>
      </w:r>
      <w:r>
        <w:rPr>
          <w:rFonts w:ascii="Calibri" w:hAnsi="Calibri" w:cs="Calibri"/>
          <w:color w:val="242424"/>
          <w:sz w:val="20"/>
          <w:szCs w:val="20"/>
          <w:shd w:val="clear" w:color="auto" w:fill="FFFFFF"/>
          <w:lang w:eastAsia="en-US"/>
          <w14:textOutline w14:w="0" w14:cap="rnd" w14:cmpd="sng" w14:algn="ctr">
            <w14:noFill/>
            <w14:prstDash w14:val="solid"/>
            <w14:bevel/>
          </w14:textOutline>
        </w:rPr>
        <w:t>11/03/2025)</w:t>
      </w:r>
    </w:p>
    <w:p w14:paraId="545D6E8C" w14:textId="77777777" w:rsidR="007760EF" w:rsidRDefault="007760EF">
      <w:pPr>
        <w:pStyle w:val="Body"/>
        <w:rPr>
          <w:rFonts w:ascii="Calibri" w:hAnsi="Calibri" w:cs="Calibri"/>
          <w:color w:val="242424"/>
          <w:sz w:val="20"/>
          <w:szCs w:val="20"/>
          <w:shd w:val="clear" w:color="auto" w:fill="FFFFFF"/>
          <w:lang w:eastAsia="en-US"/>
          <w14:textOutline w14:w="0" w14:cap="rnd" w14:cmpd="sng" w14:algn="ctr">
            <w14:noFill/>
            <w14:prstDash w14:val="solid"/>
            <w14:bevel/>
          </w14:textOutline>
        </w:rPr>
      </w:pPr>
    </w:p>
    <w:p w14:paraId="7FD8E32E" w14:textId="71440401" w:rsidR="00B86D8E" w:rsidRPr="00A71D44" w:rsidRDefault="007760EF">
      <w:pPr>
        <w:pStyle w:val="Body"/>
        <w:rPr>
          <w:rFonts w:ascii="Calibri" w:hAnsi="Calibri" w:cs="Calibri"/>
          <w:sz w:val="20"/>
          <w:szCs w:val="20"/>
        </w:rPr>
      </w:pPr>
      <w:r>
        <w:rPr>
          <w:rFonts w:ascii="Calibri" w:hAnsi="Calibri" w:cs="Calibri"/>
          <w:color w:val="242424"/>
          <w:sz w:val="20"/>
          <w:szCs w:val="20"/>
          <w:shd w:val="clear" w:color="auto" w:fill="FFFFFF"/>
          <w:lang w:eastAsia="en-US"/>
          <w14:textOutline w14:w="0" w14:cap="rnd" w14:cmpd="sng" w14:algn="ctr">
            <w14:noFill/>
            <w14:prstDash w14:val="solid"/>
            <w14:bevel/>
          </w14:textOutline>
        </w:rPr>
        <w:t xml:space="preserve">Uk Government (2988) Copyright, </w:t>
      </w:r>
      <w:r w:rsidR="00786184">
        <w:rPr>
          <w:rFonts w:ascii="Calibri" w:hAnsi="Calibri" w:cs="Calibri"/>
          <w:color w:val="242424"/>
          <w:sz w:val="20"/>
          <w:szCs w:val="20"/>
          <w:shd w:val="clear" w:color="auto" w:fill="FFFFFF"/>
          <w:lang w:eastAsia="en-US"/>
          <w14:textOutline w14:w="0" w14:cap="rnd" w14:cmpd="sng" w14:algn="ctr">
            <w14:noFill/>
            <w14:prstDash w14:val="solid"/>
            <w14:bevel/>
          </w14:textOutline>
        </w:rPr>
        <w:t>Designs</w:t>
      </w:r>
      <w:r>
        <w:rPr>
          <w:rFonts w:ascii="Calibri" w:hAnsi="Calibri" w:cs="Calibri"/>
          <w:color w:val="242424"/>
          <w:sz w:val="20"/>
          <w:szCs w:val="20"/>
          <w:shd w:val="clear" w:color="auto" w:fill="FFFFFF"/>
          <w:lang w:eastAsia="en-US"/>
          <w14:textOutline w14:w="0" w14:cap="rnd" w14:cmpd="sng" w14:algn="ctr">
            <w14:noFill/>
            <w14:prstDash w14:val="solid"/>
            <w14:bevel/>
          </w14:textOutline>
        </w:rPr>
        <w:t xml:space="preserve"> </w:t>
      </w:r>
      <w:r w:rsidR="00786184">
        <w:rPr>
          <w:rFonts w:ascii="Calibri" w:hAnsi="Calibri" w:cs="Calibri"/>
          <w:color w:val="242424"/>
          <w:sz w:val="20"/>
          <w:szCs w:val="20"/>
          <w:shd w:val="clear" w:color="auto" w:fill="FFFFFF"/>
          <w:lang w:eastAsia="en-US"/>
          <w14:textOutline w14:w="0" w14:cap="rnd" w14:cmpd="sng" w14:algn="ctr">
            <w14:noFill/>
            <w14:prstDash w14:val="solid"/>
            <w14:bevel/>
          </w14:textOutline>
        </w:rPr>
        <w:t>and</w:t>
      </w:r>
      <w:r>
        <w:rPr>
          <w:rFonts w:ascii="Calibri" w:hAnsi="Calibri" w:cs="Calibri"/>
          <w:color w:val="242424"/>
          <w:sz w:val="20"/>
          <w:szCs w:val="20"/>
          <w:shd w:val="clear" w:color="auto" w:fill="FFFFFF"/>
          <w:lang w:eastAsia="en-US"/>
          <w14:textOutline w14:w="0" w14:cap="rnd" w14:cmpd="sng" w14:algn="ctr">
            <w14:noFill/>
            <w14:prstDash w14:val="solid"/>
            <w14:bevel/>
          </w14:textOutline>
        </w:rPr>
        <w:t xml:space="preserve"> Patents act 1988</w:t>
      </w:r>
      <w:r w:rsidR="00786184">
        <w:rPr>
          <w:rFonts w:ascii="Calibri" w:hAnsi="Calibri" w:cs="Calibri"/>
          <w:color w:val="242424"/>
          <w:sz w:val="20"/>
          <w:szCs w:val="20"/>
          <w:shd w:val="clear" w:color="auto" w:fill="FFFFFF"/>
          <w:lang w:eastAsia="en-US"/>
          <w14:textOutline w14:w="0" w14:cap="rnd" w14:cmpd="sng" w14:algn="ctr">
            <w14:noFill/>
            <w14:prstDash w14:val="solid"/>
            <w14:bevel/>
          </w14:textOutline>
        </w:rPr>
        <w:t xml:space="preserve">. Available at: </w:t>
      </w:r>
      <w:hyperlink r:id="rId13" w:history="1">
        <w:r w:rsidR="00786184" w:rsidRPr="005E6542">
          <w:rPr>
            <w:rStyle w:val="Hyperlink"/>
            <w:rFonts w:ascii="Calibri" w:hAnsi="Calibri" w:cs="Calibri"/>
            <w:sz w:val="20"/>
            <w:szCs w:val="20"/>
            <w:shd w:val="clear" w:color="auto" w:fill="FFFFFF"/>
            <w:lang w:eastAsia="en-US"/>
            <w14:textOutline w14:w="0" w14:cap="rnd" w14:cmpd="sng" w14:algn="ctr">
              <w14:noFill/>
              <w14:prstDash w14:val="solid"/>
              <w14:bevel/>
            </w14:textOutline>
          </w:rPr>
          <w:t>https://www.legislations.gov.uk/ukpga/1988/12/conyytents/enacted</w:t>
        </w:r>
      </w:hyperlink>
      <w:r w:rsidR="00786184">
        <w:rPr>
          <w:rFonts w:ascii="Calibri" w:hAnsi="Calibri" w:cs="Calibri"/>
          <w:color w:val="242424"/>
          <w:sz w:val="20"/>
          <w:szCs w:val="20"/>
          <w:shd w:val="clear" w:color="auto" w:fill="FFFFFF"/>
          <w:lang w:eastAsia="en-US"/>
          <w14:textOutline w14:w="0" w14:cap="rnd" w14:cmpd="sng" w14:algn="ctr">
            <w14:noFill/>
            <w14:prstDash w14:val="solid"/>
            <w14:bevel/>
          </w14:textOutline>
        </w:rPr>
        <w:t xml:space="preserve"> (Accessed: 11/03/2025)</w:t>
      </w:r>
    </w:p>
    <w:p w14:paraId="3E9066C7" w14:textId="77777777" w:rsidR="00B86D8E" w:rsidRPr="00A71D44" w:rsidRDefault="00B86D8E">
      <w:pPr>
        <w:pStyle w:val="Body"/>
        <w:rPr>
          <w:sz w:val="27"/>
          <w:szCs w:val="27"/>
        </w:rPr>
      </w:pPr>
    </w:p>
    <w:p w14:paraId="44C3BEED" w14:textId="77777777" w:rsidR="00B86D8E" w:rsidRDefault="00B86D8E">
      <w:pPr>
        <w:pStyle w:val="Body"/>
        <w:rPr>
          <w:sz w:val="27"/>
          <w:szCs w:val="27"/>
        </w:rPr>
      </w:pPr>
    </w:p>
    <w:p w14:paraId="248073C0" w14:textId="77777777" w:rsidR="00B86D8E" w:rsidRDefault="00B86D8E">
      <w:pPr>
        <w:pStyle w:val="Body"/>
        <w:rPr>
          <w:sz w:val="27"/>
          <w:szCs w:val="27"/>
        </w:rPr>
      </w:pPr>
    </w:p>
    <w:p w14:paraId="6EE54492" w14:textId="77777777" w:rsidR="00B86D8E" w:rsidRDefault="00B86D8E">
      <w:pPr>
        <w:pStyle w:val="Body"/>
        <w:rPr>
          <w:sz w:val="27"/>
          <w:szCs w:val="27"/>
        </w:rPr>
      </w:pPr>
    </w:p>
    <w:p w14:paraId="6C847B3D" w14:textId="77777777" w:rsidR="00B86D8E" w:rsidRDefault="00B86D8E">
      <w:pPr>
        <w:pStyle w:val="Body"/>
        <w:rPr>
          <w:sz w:val="27"/>
          <w:szCs w:val="27"/>
        </w:rPr>
      </w:pPr>
    </w:p>
    <w:p w14:paraId="3178CA13" w14:textId="77777777" w:rsidR="00B86D8E" w:rsidRDefault="00B86D8E">
      <w:pPr>
        <w:pStyle w:val="Body"/>
      </w:pPr>
    </w:p>
    <w:sectPr w:rsidR="00B86D8E">
      <w:headerReference w:type="default" r:id="rId14"/>
      <w:footerReference w:type="default" r:id="rId15"/>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6CD7C" w14:textId="77777777" w:rsidR="00E9400B" w:rsidRDefault="00E9400B">
      <w:r>
        <w:separator/>
      </w:r>
    </w:p>
  </w:endnote>
  <w:endnote w:type="continuationSeparator" w:id="0">
    <w:p w14:paraId="0CCFF2F9" w14:textId="77777777" w:rsidR="00E9400B" w:rsidRDefault="00E94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4E037" w14:textId="77777777" w:rsidR="00B86D8E" w:rsidRDefault="00B86D8E">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5606C" w14:textId="77777777" w:rsidR="00E9400B" w:rsidRDefault="00E9400B">
      <w:r>
        <w:separator/>
      </w:r>
    </w:p>
  </w:footnote>
  <w:footnote w:type="continuationSeparator" w:id="0">
    <w:p w14:paraId="14734636" w14:textId="77777777" w:rsidR="00E9400B" w:rsidRDefault="00E94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22E54" w14:textId="77777777" w:rsidR="00B86D8E" w:rsidRDefault="00B86D8E">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D8E"/>
    <w:rsid w:val="003C2DD3"/>
    <w:rsid w:val="00560D15"/>
    <w:rsid w:val="007760EF"/>
    <w:rsid w:val="00786184"/>
    <w:rsid w:val="0089780F"/>
    <w:rsid w:val="00A71D44"/>
    <w:rsid w:val="00B27F87"/>
    <w:rsid w:val="00B86D8E"/>
    <w:rsid w:val="00D4098C"/>
    <w:rsid w:val="00E9400B"/>
    <w:rsid w:val="00FF5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F1E79"/>
  <w15:docId w15:val="{15C53D68-B6E9-426A-9A23-50D2BAB65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256" w:lineRule="auto"/>
    </w:pPr>
    <w:rPr>
      <w:rFonts w:ascii="Arial" w:hAnsi="Arial" w:cs="Arial Unicode MS"/>
      <w:color w:val="000000"/>
      <w:sz w:val="22"/>
      <w:szCs w:val="22"/>
      <w:u w:color="000000"/>
      <w:lang w:val="en-US"/>
      <w14:textOutline w14:w="0" w14:cap="flat" w14:cmpd="sng" w14:algn="ctr">
        <w14:noFill/>
        <w14:prstDash w14:val="solid"/>
        <w14:bevel/>
      </w14:textOutline>
    </w:rPr>
  </w:style>
  <w:style w:type="paragraph" w:styleId="NormalWeb">
    <w:name w:val="Normal (Web)"/>
    <w:pPr>
      <w:spacing w:before="100" w:after="100"/>
    </w:pPr>
    <w:rPr>
      <w:rFonts w:cs="Arial Unicode MS"/>
      <w:color w:val="000000"/>
      <w:sz w:val="24"/>
      <w:szCs w:val="24"/>
      <w:u w:color="000000"/>
      <w:lang w:val="en-US"/>
    </w:rPr>
  </w:style>
  <w:style w:type="paragraph" w:customStyle="1" w:styleId="Listparag">
    <w:name w:val="List parag"/>
    <w:pPr>
      <w:spacing w:after="120" w:line="264" w:lineRule="auto"/>
    </w:pPr>
    <w:rPr>
      <w:rFonts w:ascii="Aptos" w:eastAsia="Aptos" w:hAnsi="Aptos" w:cs="Aptos"/>
      <w:color w:val="000000"/>
      <w:sz w:val="22"/>
      <w:szCs w:val="22"/>
      <w:u w:color="000000"/>
      <w:lang w:val="en-US"/>
    </w:rPr>
  </w:style>
  <w:style w:type="character" w:customStyle="1" w:styleId="Link">
    <w:name w:val="Link"/>
    <w:rPr>
      <w:outline w:val="0"/>
      <w:color w:val="467886"/>
      <w:u w:val="single" w:color="467886"/>
    </w:rPr>
  </w:style>
  <w:style w:type="character" w:customStyle="1" w:styleId="Hyperlink0">
    <w:name w:val="Hyperlink.0"/>
    <w:basedOn w:val="Link"/>
    <w:rPr>
      <w:rFonts w:ascii="Calibri" w:eastAsia="Calibri" w:hAnsi="Calibri" w:cs="Calibri"/>
      <w:outline w:val="0"/>
      <w:color w:val="467886"/>
      <w:sz w:val="20"/>
      <w:szCs w:val="20"/>
      <w:u w:val="single" w:color="467886"/>
    </w:rPr>
  </w:style>
  <w:style w:type="character" w:styleId="UnresolvedMention">
    <w:name w:val="Unresolved Mention"/>
    <w:basedOn w:val="DefaultParagraphFont"/>
    <w:uiPriority w:val="99"/>
    <w:semiHidden/>
    <w:unhideWhenUsed/>
    <w:rsid w:val="00786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3836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employment-law/equal-pay" TargetMode="External"/><Relationship Id="rId13" Type="http://schemas.openxmlformats.org/officeDocument/2006/relationships/hyperlink" Target="https://www.legislations.gov.uk/ukpga/1988/12/conyytents/enacted" TargetMode="External"/><Relationship Id="rId3" Type="http://schemas.openxmlformats.org/officeDocument/2006/relationships/webSettings" Target="webSettings.xml"/><Relationship Id="rId7" Type="http://schemas.openxmlformats.org/officeDocument/2006/relationships/hyperlink" Target="https://emea01.safelinks.protection.outlook.com/?url=https%3A%2F%2Fwww.acas.org.uk%2Fadvice&amp;data=05%7C02%7C%7C9e5a6681281f47932a3108dd60a7e6cc%7C84df9e7fe9f640afb435aaaaaaaaaaaa%7C1%7C0%7C638772996425648702%7CUnknown%7CTWFpbGZsb3d8eyJFbXB0eU1hcGkiOnRydWUsIlYiOiIwLjAuMDAwMCIsIlAiOiJXaW4zMiIsIkFOIjoiTWFpbCIsIldUIjoyfQ%3D%3D%7C0%7C%7C%7C&amp;sdata=BpHy%2BCUJhEAENiBK62Jdzdvzeba32Yd%2BZc08DcW%2F5c4%3D&amp;reserved=0" TargetMode="External"/><Relationship Id="rId12" Type="http://schemas.openxmlformats.org/officeDocument/2006/relationships/hyperlink" Target="https://emea01.safelinks.protection.outlook.com/?url=https%3A%2F%2Fwww.legislation.gov.uk%2Fukpga%2F1996%2F18%2Fcontents&amp;data=05%7C02%7C%7C09b22b08bf4c429b565008dd60b51861%7C84df9e7fe9f640afb435aaaaaaaaaaaa%7C1%7C0%7C638773053097169342%7CUnknown%7CTWFpbGZsb3d8eyJFbXB0eU1hcGkiOnRydWUsIlYiOiIwLjAuMDAwMCIsIlAiOiJXaW4zMiIsIkFOIjoiTWFpbCIsIldUIjoyfQ%3D%3D%7C0%7C%7C%7C&amp;sdata=l4MzyydH3KSdpH%2BvrtxyD4PD84vUB9mnvtFk%2B7CBYf8%3D&amp;reserved=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cas.org.uk/checking-holiday-entitlement/calculating-holiday-pay" TargetMode="External"/><Relationship Id="rId11" Type="http://schemas.openxmlformats.org/officeDocument/2006/relationships/hyperlink" Target="https://emea01.safelinks.protection.outlook.com/?url=https%3A%2F%2Fwww.gov.uk%2Fdismissal%2Funfair-and-constructive-dismissal&amp;data=05%7C02%7C%7C1dbb6365316f4c21d2a208dd60b3de46%7C84df9e7fe9f640afb435aaaaaaaaaaaa%7C1%7C0%7C638773047836585988%7CUnknown%7CTWFpbGZsb3d8eyJFbXB0eU1hcGkiOnRydWUsIlYiOiIwLjAuMDAwMCIsIlAiOiJXaW4zMiIsIkFOIjoiTWFpbCIsIldUIjoyfQ%3D%3D%7C0%7C%7C%7C&amp;sdata=yG1qv3qb8Rk%2Bnk1%2FdYxma%2Fo8O08%2FnFv%2FjRlUe8D%2F6MM%3D&amp;reserved=0"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gov.uk/shared-parental-leave-and-pay" TargetMode="External"/><Relationship Id="rId4" Type="http://schemas.openxmlformats.org/officeDocument/2006/relationships/footnotes" Target="footnotes.xml"/><Relationship Id="rId9" Type="http://schemas.openxmlformats.org/officeDocument/2006/relationships/hyperlink" Target="https://emea01.safelinks.protection.outlook.com/?url=https%3A%2F%2Fwww.gov.uk%2Ftransfers-takeovers&amp;data=05%7C02%7C%7Ce97f125a85484d8c8e9008dd60b5d157%7C84df9e7fe9f640afb435aaaaaaaaaaaa%7C1%7C0%7C638773056198458516%7CUnknown%7CTWFpbGZsb3d8eyJFbXB0eU1hcGkiOnRydWUsIlYiOiIwLjAuMDAwMCIsIlAiOiJXaW4zMiIsIkFOIjoiTWFpbCIsIldUIjoyfQ%3D%3D%7C0%7C%7C%7C&amp;sdata=qqs8GNfYyuVbYcgG3Zc%2FJFOu0phmFzEoB%2B0GPy0EjMM%3D&amp;reserved=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10</Pages>
  <Words>4602</Words>
  <Characters>26233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Andy Jones</cp:lastModifiedBy>
  <cp:revision>2</cp:revision>
  <dcterms:created xsi:type="dcterms:W3CDTF">2025-03-11T16:54:00Z</dcterms:created>
  <dcterms:modified xsi:type="dcterms:W3CDTF">2025-03-11T16:54:00Z</dcterms:modified>
</cp:coreProperties>
</file>