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2D0156FB" w:rsidR="00C558B0" w:rsidRPr="00E30E89" w:rsidRDefault="00C558B0" w:rsidP="00C558B0">
      <w:pPr>
        <w:tabs>
          <w:tab w:val="left" w:pos="6540"/>
        </w:tabs>
        <w:spacing w:line="360" w:lineRule="auto"/>
        <w:rPr>
          <w:rFonts w:ascii="Arial" w:hAnsi="Arial" w:cs="Arial"/>
          <w:b/>
          <w:bCs/>
          <w:sz w:val="32"/>
          <w:szCs w:val="32"/>
        </w:rPr>
      </w:pPr>
      <w:r w:rsidRPr="00E30E89">
        <w:rPr>
          <w:rFonts w:ascii="Arial" w:hAnsi="Arial" w:cs="Arial"/>
          <w:b/>
          <w:bCs/>
          <w:sz w:val="32"/>
          <w:szCs w:val="32"/>
        </w:rPr>
        <w:t>Student name:</w:t>
      </w:r>
      <w:r w:rsidR="00E30E89" w:rsidRPr="00E30E89">
        <w:rPr>
          <w:rFonts w:ascii="Arial" w:hAnsi="Arial" w:cs="Arial"/>
          <w:b/>
          <w:bCs/>
          <w:sz w:val="32"/>
          <w:szCs w:val="32"/>
        </w:rPr>
        <w:t xml:space="preserve"> Adriana Rodrigues Bissoli</w:t>
      </w:r>
    </w:p>
    <w:p w14:paraId="18D88AE2" w14:textId="29E050DF" w:rsidR="00C558B0" w:rsidRPr="00E30E89" w:rsidRDefault="00C558B0" w:rsidP="00C558B0">
      <w:pPr>
        <w:tabs>
          <w:tab w:val="left" w:pos="6540"/>
        </w:tabs>
        <w:spacing w:line="360" w:lineRule="auto"/>
        <w:rPr>
          <w:rFonts w:ascii="Arial" w:hAnsi="Arial" w:cs="Arial"/>
          <w:b/>
          <w:bCs/>
          <w:sz w:val="32"/>
          <w:szCs w:val="32"/>
        </w:rPr>
      </w:pPr>
      <w:r w:rsidRPr="00E30E89">
        <w:rPr>
          <w:rFonts w:ascii="Arial" w:hAnsi="Arial" w:cs="Arial"/>
          <w:b/>
          <w:bCs/>
          <w:sz w:val="32"/>
          <w:szCs w:val="32"/>
        </w:rPr>
        <w:t>Student ID:</w:t>
      </w:r>
      <w:r w:rsidR="00E30E89" w:rsidRPr="00E30E89">
        <w:rPr>
          <w:rFonts w:ascii="Arial" w:hAnsi="Arial" w:cs="Arial"/>
          <w:b/>
          <w:bCs/>
          <w:sz w:val="32"/>
          <w:szCs w:val="32"/>
        </w:rPr>
        <w:t xml:space="preserve"> 2337158</w:t>
      </w:r>
    </w:p>
    <w:p w14:paraId="1C0A3880" w14:textId="77777777" w:rsidR="00E30E89" w:rsidRPr="00E30E89" w:rsidRDefault="00C558B0" w:rsidP="00E30E89">
      <w:pPr>
        <w:tabs>
          <w:tab w:val="left" w:pos="6540"/>
        </w:tabs>
        <w:spacing w:line="360" w:lineRule="auto"/>
        <w:rPr>
          <w:rFonts w:ascii="Arial" w:hAnsi="Arial" w:cs="Arial"/>
          <w:b/>
          <w:bCs/>
          <w:sz w:val="32"/>
          <w:szCs w:val="32"/>
        </w:rPr>
      </w:pPr>
      <w:r w:rsidRPr="00E30E89">
        <w:rPr>
          <w:rFonts w:ascii="Arial" w:hAnsi="Arial" w:cs="Arial"/>
          <w:b/>
          <w:bCs/>
          <w:sz w:val="32"/>
          <w:szCs w:val="32"/>
        </w:rPr>
        <w:t xml:space="preserve">Module name: </w:t>
      </w:r>
      <w:r w:rsidR="00E30E89" w:rsidRPr="00E30E89">
        <w:rPr>
          <w:rFonts w:ascii="Arial" w:hAnsi="Arial" w:cs="Arial"/>
          <w:b/>
          <w:bCs/>
          <w:sz w:val="32"/>
          <w:szCs w:val="32"/>
        </w:rPr>
        <w:t>Principles of Health and Social Care Practice.</w:t>
      </w:r>
    </w:p>
    <w:p w14:paraId="415B4D1B" w14:textId="50D247D8" w:rsidR="00E30E89" w:rsidRPr="00E30E89" w:rsidRDefault="00E30E89" w:rsidP="00E30E89">
      <w:pPr>
        <w:tabs>
          <w:tab w:val="left" w:pos="6540"/>
        </w:tabs>
        <w:spacing w:line="360" w:lineRule="auto"/>
        <w:rPr>
          <w:rFonts w:ascii="Arial" w:hAnsi="Arial" w:cs="Arial"/>
          <w:b/>
          <w:bCs/>
          <w:sz w:val="32"/>
          <w:szCs w:val="32"/>
        </w:rPr>
      </w:pPr>
      <w:r w:rsidRPr="00E30E89">
        <w:rPr>
          <w:rFonts w:ascii="Arial" w:hAnsi="Arial" w:cs="Arial"/>
          <w:b/>
          <w:bCs/>
          <w:sz w:val="32"/>
          <w:szCs w:val="32"/>
        </w:rPr>
        <w:t xml:space="preserve">Component: </w:t>
      </w:r>
      <w:r w:rsidR="00733343">
        <w:rPr>
          <w:rFonts w:ascii="Arial" w:hAnsi="Arial" w:cs="Arial"/>
          <w:b/>
          <w:bCs/>
          <w:sz w:val="32"/>
          <w:szCs w:val="32"/>
        </w:rPr>
        <w:t>2</w:t>
      </w:r>
    </w:p>
    <w:p w14:paraId="7DB3261D" w14:textId="34D20DF9" w:rsidR="00C558B0" w:rsidRPr="00E30E89" w:rsidRDefault="00C558B0" w:rsidP="00C558B0">
      <w:pPr>
        <w:tabs>
          <w:tab w:val="left" w:pos="6540"/>
        </w:tabs>
        <w:spacing w:line="360" w:lineRule="auto"/>
        <w:rPr>
          <w:rFonts w:ascii="Arial" w:hAnsi="Arial" w:cs="Arial"/>
          <w:b/>
          <w:bCs/>
          <w:sz w:val="32"/>
          <w:szCs w:val="32"/>
        </w:rPr>
      </w:pPr>
      <w:r w:rsidRPr="00E30E89">
        <w:rPr>
          <w:rFonts w:ascii="Arial" w:hAnsi="Arial" w:cs="Arial"/>
          <w:b/>
          <w:bCs/>
          <w:sz w:val="32"/>
          <w:szCs w:val="32"/>
        </w:rPr>
        <w:t>Module code:</w:t>
      </w:r>
      <w:r w:rsidR="00E30E89" w:rsidRPr="00E30E89">
        <w:rPr>
          <w:rFonts w:ascii="Arial" w:hAnsi="Arial" w:cs="Arial"/>
          <w:b/>
          <w:bCs/>
          <w:sz w:val="32"/>
          <w:szCs w:val="32"/>
        </w:rPr>
        <w:t xml:space="preserve"> BMHP5016</w:t>
      </w:r>
    </w:p>
    <w:p w14:paraId="5CCA350C" w14:textId="69AC08B0" w:rsidR="00C558B0" w:rsidRPr="00E30E89" w:rsidRDefault="00C558B0" w:rsidP="00C558B0">
      <w:pPr>
        <w:tabs>
          <w:tab w:val="left" w:pos="6540"/>
        </w:tabs>
        <w:spacing w:line="360" w:lineRule="auto"/>
        <w:rPr>
          <w:rFonts w:ascii="Arial" w:hAnsi="Arial" w:cs="Arial"/>
          <w:b/>
          <w:bCs/>
          <w:sz w:val="32"/>
          <w:szCs w:val="32"/>
        </w:rPr>
      </w:pPr>
      <w:r w:rsidRPr="00E30E89">
        <w:rPr>
          <w:rFonts w:ascii="Arial" w:hAnsi="Arial" w:cs="Arial"/>
          <w:b/>
          <w:bCs/>
          <w:sz w:val="32"/>
          <w:szCs w:val="32"/>
        </w:rPr>
        <w:t>Lecturer name:</w:t>
      </w:r>
      <w:r w:rsidR="00E30E89" w:rsidRPr="00E30E89">
        <w:rPr>
          <w:rFonts w:ascii="Arial" w:hAnsi="Arial" w:cs="Arial"/>
          <w:b/>
          <w:bCs/>
          <w:sz w:val="32"/>
          <w:szCs w:val="32"/>
        </w:rPr>
        <w:t xml:space="preserve"> Dr </w:t>
      </w:r>
      <w:proofErr w:type="spellStart"/>
      <w:r w:rsidR="00E30E89" w:rsidRPr="00E30E89">
        <w:rPr>
          <w:rFonts w:ascii="Arial" w:hAnsi="Arial" w:cs="Arial"/>
          <w:b/>
          <w:bCs/>
          <w:sz w:val="32"/>
          <w:szCs w:val="32"/>
        </w:rPr>
        <w:t>Itse</w:t>
      </w:r>
      <w:proofErr w:type="spellEnd"/>
      <w:r w:rsidR="00E30E89" w:rsidRPr="00E30E89">
        <w:rPr>
          <w:rFonts w:ascii="Arial" w:hAnsi="Arial" w:cs="Arial"/>
          <w:b/>
          <w:bCs/>
          <w:sz w:val="32"/>
          <w:szCs w:val="32"/>
        </w:rPr>
        <w:t xml:space="preserve"> Olaoye </w:t>
      </w:r>
    </w:p>
    <w:p w14:paraId="5461F9C8" w14:textId="77777777" w:rsidR="00C558B0" w:rsidRDefault="00C558B0" w:rsidP="00C558B0">
      <w:pPr>
        <w:tabs>
          <w:tab w:val="left" w:pos="6540"/>
        </w:tabs>
        <w:spacing w:line="360" w:lineRule="auto"/>
        <w:rPr>
          <w:rFonts w:ascii="Arial" w:hAnsi="Arial" w:cs="Arial"/>
          <w:sz w:val="28"/>
          <w:szCs w:val="28"/>
        </w:rPr>
      </w:pPr>
    </w:p>
    <w:p w14:paraId="715F8B54" w14:textId="379A9A65" w:rsidR="00E30E89" w:rsidRPr="00E30E89" w:rsidRDefault="00E30E89" w:rsidP="00E30E89">
      <w:pPr>
        <w:tabs>
          <w:tab w:val="left" w:pos="6540"/>
        </w:tabs>
        <w:spacing w:line="360" w:lineRule="auto"/>
        <w:rPr>
          <w:rFonts w:ascii="Arial" w:hAnsi="Arial" w:cs="Arial"/>
          <w:b/>
          <w:bCs/>
          <w:sz w:val="32"/>
          <w:szCs w:val="32"/>
        </w:rPr>
      </w:pPr>
    </w:p>
    <w:p w14:paraId="79C715ED" w14:textId="16914D07" w:rsidR="006D2F2D" w:rsidRDefault="006D2F2D">
      <w:pPr>
        <w:spacing w:line="259" w:lineRule="auto"/>
      </w:pPr>
      <w:r>
        <w:br w:type="page"/>
      </w:r>
    </w:p>
    <w:p w14:paraId="4F55B4E6" w14:textId="2808EDAD" w:rsidR="003E4ED4" w:rsidRPr="00733343" w:rsidRDefault="006D2F2D" w:rsidP="003E4ED4">
      <w:pPr>
        <w:spacing w:line="480" w:lineRule="auto"/>
        <w:rPr>
          <w:rFonts w:ascii="Arial" w:hAnsi="Arial" w:cs="Arial"/>
          <w:b/>
          <w:bCs/>
          <w:sz w:val="28"/>
          <w:szCs w:val="28"/>
        </w:rPr>
      </w:pPr>
      <w:r w:rsidRPr="00733343">
        <w:rPr>
          <w:rFonts w:ascii="Arial" w:hAnsi="Arial" w:cs="Arial"/>
          <w:b/>
          <w:bCs/>
          <w:sz w:val="28"/>
          <w:szCs w:val="28"/>
        </w:rPr>
        <w:lastRenderedPageBreak/>
        <w:t>Introduction</w:t>
      </w:r>
    </w:p>
    <w:p w14:paraId="7ECF6336" w14:textId="7CAA987E" w:rsidR="00052021" w:rsidRDefault="00282572" w:rsidP="00BE3746">
      <w:pPr>
        <w:spacing w:line="360" w:lineRule="auto"/>
        <w:jc w:val="both"/>
        <w:rPr>
          <w:rFonts w:ascii="Arial" w:hAnsi="Arial" w:cs="Arial"/>
          <w:sz w:val="22"/>
        </w:rPr>
      </w:pPr>
      <w:r w:rsidRPr="00282572">
        <w:rPr>
          <w:rFonts w:ascii="Arial" w:hAnsi="Arial" w:cs="Arial"/>
          <w:sz w:val="22"/>
        </w:rPr>
        <w:t xml:space="preserve">The social model of disability is a theoretical framework that explains disability not as a problem within the individual, but </w:t>
      </w:r>
      <w:r w:rsidRPr="00282572">
        <w:rPr>
          <w:rFonts w:ascii="Arial" w:hAnsi="Arial" w:cs="Arial"/>
          <w:sz w:val="22"/>
        </w:rPr>
        <w:t>because of</w:t>
      </w:r>
      <w:r w:rsidRPr="00282572">
        <w:rPr>
          <w:rFonts w:ascii="Arial" w:hAnsi="Arial" w:cs="Arial"/>
          <w:sz w:val="22"/>
        </w:rPr>
        <w:t xml:space="preserve"> barriers created by society. Unlike the medical model</w:t>
      </w:r>
      <w:r w:rsidR="00052021">
        <w:rPr>
          <w:rFonts w:ascii="Arial" w:hAnsi="Arial" w:cs="Arial"/>
          <w:sz w:val="22"/>
        </w:rPr>
        <w:t xml:space="preserve"> </w:t>
      </w:r>
      <w:r w:rsidRPr="00282572">
        <w:rPr>
          <w:rFonts w:ascii="Arial" w:hAnsi="Arial" w:cs="Arial"/>
          <w:sz w:val="22"/>
        </w:rPr>
        <w:t>which focuses on diagnosing impairments and fixing the individual</w:t>
      </w:r>
      <w:r w:rsidR="00052021">
        <w:rPr>
          <w:rFonts w:ascii="Arial" w:hAnsi="Arial" w:cs="Arial"/>
          <w:sz w:val="22"/>
        </w:rPr>
        <w:t xml:space="preserve"> </w:t>
      </w:r>
      <w:r w:rsidRPr="00282572">
        <w:rPr>
          <w:rFonts w:ascii="Arial" w:hAnsi="Arial" w:cs="Arial"/>
          <w:sz w:val="22"/>
        </w:rPr>
        <w:t>the social model argues that people are disabled by environmental, organisational and attitudinal obstacles that limit their participation in everyday life. These barriers may include inaccessible buildings, inflexible workplace practices, negative stereotypes, limited communication support or policies that fail to recognise diverse needs.</w:t>
      </w:r>
    </w:p>
    <w:p w14:paraId="55B02DFC" w14:textId="77777777" w:rsidR="00052021" w:rsidRDefault="00282572" w:rsidP="00BE3746">
      <w:pPr>
        <w:spacing w:line="360" w:lineRule="auto"/>
        <w:jc w:val="both"/>
        <w:rPr>
          <w:rFonts w:ascii="Arial" w:hAnsi="Arial" w:cs="Arial"/>
          <w:sz w:val="22"/>
        </w:rPr>
      </w:pPr>
      <w:r w:rsidRPr="00282572">
        <w:rPr>
          <w:rFonts w:ascii="Arial" w:hAnsi="Arial" w:cs="Arial"/>
          <w:sz w:val="22"/>
        </w:rPr>
        <w:t>This theory is central to modern Health and Social Care practice because it shifts the responsibility for change from the individual to society. Instead of expecting people to adapt to systems that were not designed for them, the social model encourages services and professionals to adapt their environments, policies and attitudes so that everyone can participate equally. This approach supports a more inclusive and rights-based understanding of disability, emphasising dignity, autonomy and the removal of discriminatory practices.</w:t>
      </w:r>
    </w:p>
    <w:p w14:paraId="5878508A" w14:textId="6ED1CC7E" w:rsidR="00052021" w:rsidRDefault="00282572" w:rsidP="00BE3746">
      <w:pPr>
        <w:spacing w:line="360" w:lineRule="auto"/>
        <w:jc w:val="both"/>
        <w:rPr>
          <w:rFonts w:ascii="Arial" w:hAnsi="Arial" w:cs="Arial"/>
          <w:sz w:val="22"/>
        </w:rPr>
      </w:pPr>
      <w:r w:rsidRPr="00282572">
        <w:rPr>
          <w:rFonts w:ascii="Arial" w:hAnsi="Arial" w:cs="Arial"/>
          <w:sz w:val="22"/>
        </w:rPr>
        <w:t>In the context of your assignment, the social model is important because it provides the conceptual foundation for evaluating how health and social care services respond to the needs of disabled people. It highlights why professionals must focus on breaking down barriers rather than trying to normalise individuals, and it encourages a more person-centred approach to care. Understanding this model also helps explain why current legislation and equality policies increasingly prioritise accessibility, independent living and choice. By applying the social model, practitioners can create environments that promote fairness and allow people with disabilities to achieve the same opportunities as others.</w:t>
      </w:r>
    </w:p>
    <w:p w14:paraId="6AA47D4F" w14:textId="6F2779CB" w:rsidR="006D2F2D" w:rsidRPr="00CA1126" w:rsidRDefault="00282572" w:rsidP="00BE3746">
      <w:pPr>
        <w:spacing w:line="360" w:lineRule="auto"/>
        <w:jc w:val="both"/>
        <w:rPr>
          <w:rFonts w:ascii="Arial" w:hAnsi="Arial" w:cs="Arial"/>
          <w:sz w:val="22"/>
        </w:rPr>
      </w:pPr>
      <w:r w:rsidRPr="00282572">
        <w:rPr>
          <w:rFonts w:ascii="Arial" w:hAnsi="Arial" w:cs="Arial"/>
          <w:sz w:val="22"/>
        </w:rPr>
        <w:t>Overall, the social model of disability is important because it redefines disability as a matter of social justice rather than a biological limitation, and it guides professionals toward more inclusive and empowering ways of working.</w:t>
      </w:r>
    </w:p>
    <w:p w14:paraId="43A342A6" w14:textId="77777777" w:rsidR="00CA1126" w:rsidRDefault="00CA1126" w:rsidP="00CA1126">
      <w:pPr>
        <w:spacing w:line="480" w:lineRule="auto"/>
        <w:rPr>
          <w:rFonts w:ascii="Arial" w:hAnsi="Arial" w:cs="Arial"/>
          <w:color w:val="000000" w:themeColor="text1"/>
          <w:sz w:val="28"/>
          <w:szCs w:val="28"/>
        </w:rPr>
      </w:pPr>
    </w:p>
    <w:p w14:paraId="3E0D5E17" w14:textId="77777777" w:rsidR="00CA1126" w:rsidRDefault="00CA1126" w:rsidP="00CA1126">
      <w:pPr>
        <w:spacing w:line="480" w:lineRule="auto"/>
        <w:rPr>
          <w:rFonts w:ascii="Arial" w:hAnsi="Arial" w:cs="Arial"/>
          <w:color w:val="000000" w:themeColor="text1"/>
          <w:sz w:val="28"/>
          <w:szCs w:val="28"/>
        </w:rPr>
      </w:pPr>
      <w:r w:rsidRPr="00CA1126">
        <w:rPr>
          <w:rFonts w:ascii="Arial" w:hAnsi="Arial" w:cs="Arial"/>
          <w:color w:val="000000" w:themeColor="text1"/>
          <w:sz w:val="28"/>
          <w:szCs w:val="28"/>
        </w:rPr>
        <w:t>Development of the Social Model of Disability: Emergence, Evolution, Critiques and Responses</w:t>
      </w:r>
      <w:r>
        <w:rPr>
          <w:rFonts w:ascii="Arial" w:hAnsi="Arial" w:cs="Arial"/>
          <w:color w:val="000000" w:themeColor="text1"/>
          <w:sz w:val="28"/>
          <w:szCs w:val="28"/>
        </w:rPr>
        <w:t>.</w:t>
      </w:r>
    </w:p>
    <w:p w14:paraId="20FCF9AF" w14:textId="7088756A" w:rsidR="00CA1126" w:rsidRPr="00CA1126" w:rsidRDefault="00CA1126" w:rsidP="00BE3746">
      <w:pPr>
        <w:spacing w:line="360" w:lineRule="auto"/>
        <w:jc w:val="both"/>
        <w:rPr>
          <w:rFonts w:ascii="Arial" w:hAnsi="Arial" w:cs="Arial"/>
          <w:color w:val="000000" w:themeColor="text1"/>
          <w:sz w:val="28"/>
          <w:szCs w:val="28"/>
        </w:rPr>
      </w:pPr>
      <w:r w:rsidRPr="00CA1126">
        <w:rPr>
          <w:rFonts w:ascii="Arial" w:hAnsi="Arial" w:cs="Arial"/>
          <w:sz w:val="22"/>
        </w:rPr>
        <w:t xml:space="preserve">The Social Model of Disability first emerged in the late 20th century as a challenge to the traditional medical model, which viewed disability purely as an individual problem caused by illness or impairment. Instead, early disability activists and scholars argued that people were </w:t>
      </w:r>
      <w:r w:rsidRPr="00CA1126">
        <w:rPr>
          <w:rFonts w:ascii="Arial" w:hAnsi="Arial" w:cs="Arial"/>
          <w:sz w:val="22"/>
        </w:rPr>
        <w:lastRenderedPageBreak/>
        <w:t>disabled more by social structures, inaccessible environments, and negative attitudes than by their physical or cognitive differences. This shift marked a major conceptual breakthrough, reframing disability as a social justice issue rather than a clinical one.</w:t>
      </w:r>
    </w:p>
    <w:p w14:paraId="6AB95283" w14:textId="77777777" w:rsidR="00CA1126" w:rsidRDefault="00CA1126" w:rsidP="00BE3746">
      <w:pPr>
        <w:spacing w:line="360" w:lineRule="auto"/>
        <w:jc w:val="both"/>
        <w:rPr>
          <w:rFonts w:ascii="Arial" w:hAnsi="Arial" w:cs="Arial"/>
          <w:sz w:val="22"/>
        </w:rPr>
      </w:pPr>
      <w:r w:rsidRPr="00CA1126">
        <w:rPr>
          <w:rFonts w:ascii="Arial" w:hAnsi="Arial" w:cs="Arial"/>
          <w:sz w:val="22"/>
        </w:rPr>
        <w:t>Since its emergence, the model has continued to evolve, especially through the influence of disability rights movements, academic research, and legislative changes reinforcing principles of equality, participation and independence. Between 2020 and 2025, renewed attention has been given to the social model in response to debates around inclusion, digital accessibility, and health-care inequalities. Contemporary developments emphasise that disability is created through barriers such as discriminatory policies, inaccessible services, and limited communication support. More recent interpretations also stress intersectionality, recognising that experiences of disability may be shaped by gender, ethnicity, poverty and other social factors.</w:t>
      </w:r>
    </w:p>
    <w:p w14:paraId="43980F88" w14:textId="0108A473" w:rsidR="00CA1126" w:rsidRPr="00CA1126" w:rsidRDefault="00CA1126" w:rsidP="00BE3746">
      <w:pPr>
        <w:spacing w:line="360" w:lineRule="auto"/>
        <w:jc w:val="both"/>
        <w:rPr>
          <w:rFonts w:ascii="Arial" w:hAnsi="Arial" w:cs="Arial"/>
          <w:sz w:val="22"/>
        </w:rPr>
      </w:pPr>
      <w:r w:rsidRPr="00CA1126">
        <w:rPr>
          <w:rFonts w:ascii="Arial" w:hAnsi="Arial" w:cs="Arial"/>
          <w:sz w:val="22"/>
        </w:rPr>
        <w:t xml:space="preserve">Despite its strong influence, the social model has faced several critiques. One common criticism is that it downplays the real lived experience of impairment, including pain, fatigue or mental-health challenges. Some scholars argue that the model oversimplifies disability by separating impairment and disability too sharply. Others claim that it does not fully address the complexity of chronic illness, neurodiversity, or fluctuating conditions. Another critique questions whether the model places too much emphasis on societal change without acknowledging that individuals may still need medical or therapeutic </w:t>
      </w:r>
      <w:r w:rsidR="00BA7E25" w:rsidRPr="00CA1126">
        <w:rPr>
          <w:rFonts w:ascii="Arial" w:hAnsi="Arial" w:cs="Arial"/>
          <w:sz w:val="22"/>
        </w:rPr>
        <w:t>support</w:t>
      </w:r>
      <w:r w:rsidR="00BA7E25">
        <w:rPr>
          <w:rFonts w:ascii="Arial" w:hAnsi="Arial" w:cs="Arial"/>
          <w:sz w:val="22"/>
        </w:rPr>
        <w:t xml:space="preserve"> </w:t>
      </w:r>
      <w:r w:rsidR="00BA7E25" w:rsidRPr="00DA144F">
        <w:rPr>
          <w:rFonts w:ascii="Arial" w:hAnsi="Arial" w:cs="Arial"/>
          <w:sz w:val="22"/>
        </w:rPr>
        <w:t>(</w:t>
      </w:r>
      <w:r w:rsidR="00DA144F" w:rsidRPr="00DA144F">
        <w:rPr>
          <w:rFonts w:ascii="Arial" w:hAnsi="Arial" w:cs="Arial"/>
          <w:sz w:val="22"/>
        </w:rPr>
        <w:t>Lawson and Beckett, 2020)</w:t>
      </w:r>
      <w:r w:rsidR="00DA144F">
        <w:rPr>
          <w:rFonts w:ascii="Arial" w:hAnsi="Arial" w:cs="Arial"/>
          <w:sz w:val="22"/>
        </w:rPr>
        <w:t>.</w:t>
      </w:r>
    </w:p>
    <w:p w14:paraId="6C334F1E" w14:textId="77AF509C" w:rsidR="00CA1126" w:rsidRPr="00CA1126" w:rsidRDefault="00CA1126" w:rsidP="00BE3746">
      <w:pPr>
        <w:spacing w:line="360" w:lineRule="auto"/>
        <w:jc w:val="both"/>
        <w:rPr>
          <w:rFonts w:ascii="Arial" w:hAnsi="Arial" w:cs="Arial"/>
          <w:sz w:val="22"/>
        </w:rPr>
      </w:pPr>
      <w:r w:rsidRPr="00CA1126">
        <w:rPr>
          <w:rFonts w:ascii="Arial" w:hAnsi="Arial" w:cs="Arial"/>
          <w:sz w:val="22"/>
        </w:rPr>
        <w:t xml:space="preserve">However, strong responses have been offered to these critiques. Advocates highlight that the social model was never intended to ignore impairment but to challenge the idea that impairment automatically leads to exclusion. Newer versions of the model, often called enhanced or integrated social models, combine an understanding of social barriers with recognition of personal, emotional and health-related experiences. These updated perspectives reinforce that health and social care systems must address both structural inequalities and individual needs. Scholars argue that the model remains essential because it drives policy reforms, supports disability rights, and promotes person-centred practice that empowers individuals rather than </w:t>
      </w:r>
      <w:r w:rsidRPr="00CA1126">
        <w:rPr>
          <w:rFonts w:ascii="Arial" w:hAnsi="Arial" w:cs="Arial"/>
          <w:sz w:val="22"/>
        </w:rPr>
        <w:t>pathologies</w:t>
      </w:r>
      <w:r w:rsidRPr="00CA1126">
        <w:rPr>
          <w:rFonts w:ascii="Arial" w:hAnsi="Arial" w:cs="Arial"/>
          <w:sz w:val="22"/>
        </w:rPr>
        <w:t xml:space="preserve"> them.</w:t>
      </w:r>
    </w:p>
    <w:p w14:paraId="22C41798" w14:textId="40822B7B" w:rsidR="006D2F2D" w:rsidRPr="006B2A20" w:rsidRDefault="00CA1126" w:rsidP="00BE3746">
      <w:pPr>
        <w:spacing w:line="360" w:lineRule="auto"/>
        <w:jc w:val="both"/>
        <w:rPr>
          <w:rFonts w:ascii="Arial" w:hAnsi="Arial" w:cs="Arial"/>
          <w:sz w:val="22"/>
        </w:rPr>
      </w:pPr>
      <w:r w:rsidRPr="00CA1126">
        <w:rPr>
          <w:rFonts w:ascii="Arial" w:hAnsi="Arial" w:cs="Arial"/>
          <w:sz w:val="22"/>
        </w:rPr>
        <w:t>Overall, the development of the social model reflects an ongoing shift towards fairness, accessibility and human rights, and it continues to guide modern discussions about inclusive health and social c</w:t>
      </w:r>
      <w:r w:rsidR="006B2A20">
        <w:rPr>
          <w:rFonts w:ascii="Arial" w:hAnsi="Arial" w:cs="Arial"/>
          <w:sz w:val="22"/>
        </w:rPr>
        <w:t>are</w:t>
      </w:r>
      <w:r w:rsidR="00BA7E25" w:rsidRPr="00BA7E25">
        <w:rPr>
          <w:rFonts w:ascii="Arial" w:hAnsi="Arial" w:cs="Arial"/>
          <w:sz w:val="22"/>
        </w:rPr>
        <w:t> (Frost and Meyer, 2023)</w:t>
      </w:r>
      <w:r w:rsidR="00BA7E25">
        <w:rPr>
          <w:rFonts w:ascii="Arial" w:hAnsi="Arial" w:cs="Arial"/>
          <w:sz w:val="22"/>
        </w:rPr>
        <w:t>.</w:t>
      </w:r>
    </w:p>
    <w:p w14:paraId="7664A9D4" w14:textId="77777777" w:rsidR="003B4C3F" w:rsidRDefault="003B4C3F" w:rsidP="006B2A20">
      <w:pPr>
        <w:spacing w:line="480" w:lineRule="auto"/>
        <w:rPr>
          <w:rFonts w:ascii="Arial" w:hAnsi="Arial" w:cs="Arial"/>
          <w:sz w:val="32"/>
          <w:szCs w:val="32"/>
        </w:rPr>
      </w:pPr>
    </w:p>
    <w:p w14:paraId="79147E2A" w14:textId="77777777" w:rsidR="003B4C3F" w:rsidRDefault="003B4C3F" w:rsidP="006B2A20">
      <w:pPr>
        <w:spacing w:line="480" w:lineRule="auto"/>
        <w:rPr>
          <w:rFonts w:ascii="Arial" w:hAnsi="Arial" w:cs="Arial"/>
          <w:sz w:val="32"/>
          <w:szCs w:val="32"/>
        </w:rPr>
      </w:pPr>
    </w:p>
    <w:p w14:paraId="1E480EB0" w14:textId="0ED4141E" w:rsidR="006B2A20" w:rsidRDefault="00B71A28" w:rsidP="006B2A20">
      <w:pPr>
        <w:spacing w:line="480" w:lineRule="auto"/>
        <w:rPr>
          <w:rFonts w:ascii="Arial" w:hAnsi="Arial" w:cs="Arial"/>
          <w:sz w:val="32"/>
          <w:szCs w:val="32"/>
        </w:rPr>
      </w:pPr>
      <w:r w:rsidRPr="00B71A28">
        <w:rPr>
          <w:rFonts w:ascii="Arial" w:hAnsi="Arial" w:cs="Arial"/>
          <w:sz w:val="32"/>
          <w:szCs w:val="32"/>
        </w:rPr>
        <w:t>Application of the Social Model of Disability in Practice</w:t>
      </w:r>
      <w:r w:rsidR="006B2A20">
        <w:rPr>
          <w:rFonts w:ascii="Arial" w:hAnsi="Arial" w:cs="Arial"/>
          <w:sz w:val="32"/>
          <w:szCs w:val="32"/>
        </w:rPr>
        <w:t>.</w:t>
      </w:r>
    </w:p>
    <w:p w14:paraId="4316AA5B" w14:textId="4CACDA85" w:rsidR="00B71A28" w:rsidRPr="006B2A20" w:rsidRDefault="00B71A28" w:rsidP="00BE3746">
      <w:pPr>
        <w:spacing w:line="360" w:lineRule="auto"/>
        <w:jc w:val="both"/>
        <w:rPr>
          <w:rFonts w:ascii="Arial" w:hAnsi="Arial" w:cs="Arial"/>
          <w:sz w:val="32"/>
          <w:szCs w:val="32"/>
        </w:rPr>
      </w:pPr>
      <w:r w:rsidRPr="00B71A28">
        <w:rPr>
          <w:rFonts w:ascii="Arial" w:hAnsi="Arial" w:cs="Arial"/>
          <w:sz w:val="22"/>
        </w:rPr>
        <w:t>The Social Model of Disability has significantly influenced the way health and social care services are delivered by shifting focus from the individual’s impairment to the social and environmental barriers that restrict participation. In practice, this model encourages professionals to create inclusive environments, remove obstacles, and promote equality. It highlights the responsibility of organisations, policymakers, and practitioners to adapt systems and services to meet the diverse needs of disabled individuals rather than expecting them to conform to rigid societal norms.</w:t>
      </w:r>
    </w:p>
    <w:p w14:paraId="1F9819D5" w14:textId="4A6E2525" w:rsidR="00B71A28" w:rsidRPr="00B71A28" w:rsidRDefault="00B71A28" w:rsidP="00BE3746">
      <w:pPr>
        <w:spacing w:line="360" w:lineRule="auto"/>
        <w:jc w:val="both"/>
        <w:rPr>
          <w:rFonts w:ascii="Arial" w:hAnsi="Arial" w:cs="Arial"/>
          <w:sz w:val="22"/>
        </w:rPr>
      </w:pPr>
      <w:r w:rsidRPr="00B71A28">
        <w:rPr>
          <w:rFonts w:ascii="Arial" w:hAnsi="Arial" w:cs="Arial"/>
          <w:sz w:val="22"/>
        </w:rPr>
        <w:t xml:space="preserve">One key area of application is accessibility and environmental adjustments. Healthcare settings, workplaces, and public facilities have increasingly adopted measures to reduce physical barriers, such as ramps, lifts, wider doorways, and accessible equipment. Digital accessibility has also become a priority, with services providing screen-reader compatible systems, subtitles, and simplified interfaces to ensure equitable access for people with sensory or cognitive impairments. By implementing these changes, organisations demonstrate a practical commitment to the social model, promoting autonomy and participation for all service </w:t>
      </w:r>
      <w:r w:rsidR="008A3A49" w:rsidRPr="00B71A28">
        <w:rPr>
          <w:rFonts w:ascii="Arial" w:hAnsi="Arial" w:cs="Arial"/>
          <w:sz w:val="22"/>
        </w:rPr>
        <w:t xml:space="preserve">users </w:t>
      </w:r>
      <w:r w:rsidR="008A3A49" w:rsidRPr="008A3A49">
        <w:rPr>
          <w:rFonts w:ascii="Arial" w:hAnsi="Arial" w:cs="Arial"/>
          <w:sz w:val="22"/>
        </w:rPr>
        <w:t>(</w:t>
      </w:r>
      <w:proofErr w:type="spellStart"/>
      <w:r w:rsidR="008A3A49" w:rsidRPr="008A3A49">
        <w:rPr>
          <w:rFonts w:ascii="Arial" w:hAnsi="Arial" w:cs="Arial"/>
          <w:sz w:val="22"/>
        </w:rPr>
        <w:t>Shahraki</w:t>
      </w:r>
      <w:proofErr w:type="spellEnd"/>
      <w:r w:rsidR="008A3A49" w:rsidRPr="008A3A49">
        <w:rPr>
          <w:rFonts w:ascii="Arial" w:hAnsi="Arial" w:cs="Arial"/>
          <w:sz w:val="22"/>
        </w:rPr>
        <w:t>, 2020)</w:t>
      </w:r>
      <w:r w:rsidR="008A3A49">
        <w:rPr>
          <w:rFonts w:ascii="Arial" w:hAnsi="Arial" w:cs="Arial"/>
          <w:sz w:val="22"/>
        </w:rPr>
        <w:t>.</w:t>
      </w:r>
    </w:p>
    <w:p w14:paraId="723D8A78" w14:textId="77777777" w:rsidR="005F5266" w:rsidRDefault="00B71A28" w:rsidP="005F5266">
      <w:pPr>
        <w:spacing w:line="360" w:lineRule="auto"/>
        <w:jc w:val="both"/>
        <w:rPr>
          <w:rFonts w:ascii="Arial" w:hAnsi="Arial" w:cs="Arial"/>
          <w:sz w:val="22"/>
        </w:rPr>
      </w:pPr>
      <w:r w:rsidRPr="00B71A28">
        <w:rPr>
          <w:rFonts w:ascii="Arial" w:hAnsi="Arial" w:cs="Arial"/>
          <w:sz w:val="22"/>
        </w:rPr>
        <w:t>Another practical application is in policy and service design. The social model informs person-centred approaches where care planning considers the individual’s goals, preferences, and social context. For example, in community nursing or social work, practitioners assess environmental barriers, such as transport limitations or lack of communication aids, and develop solutions collaboratively with service users. This approach ensures interventions empower the individual while addressing systemic obstacles, thereby fostering independence and dignity</w:t>
      </w:r>
      <w:r w:rsidR="005F5266">
        <w:rPr>
          <w:rFonts w:ascii="Arial" w:hAnsi="Arial" w:cs="Arial"/>
          <w:sz w:val="22"/>
        </w:rPr>
        <w:t>.</w:t>
      </w:r>
    </w:p>
    <w:p w14:paraId="1766D69F" w14:textId="3DF6133B" w:rsidR="005F5266" w:rsidRPr="00B71A28" w:rsidRDefault="00B71A28" w:rsidP="005F5266">
      <w:pPr>
        <w:spacing w:line="360" w:lineRule="auto"/>
        <w:jc w:val="both"/>
        <w:rPr>
          <w:rFonts w:ascii="Arial" w:hAnsi="Arial" w:cs="Arial"/>
          <w:sz w:val="22"/>
        </w:rPr>
      </w:pPr>
      <w:r w:rsidRPr="00B71A28">
        <w:rPr>
          <w:rFonts w:ascii="Arial" w:hAnsi="Arial" w:cs="Arial"/>
          <w:sz w:val="22"/>
        </w:rPr>
        <w:t xml:space="preserve">The model also underpins advocacy and empowerment strategies. Professionals use it to challenge discriminatory attitudes, practices, and policies, ensuring that disabled people have a voice in decision-making processes. Education and training for healthcare staff increasingly incorporate social model principles, teaching practitioners to recognise unconscious bias, respect diverse abilities, and engage in inclusive communication. This approach not only enhances patient experiences but also improves adherence to care plans and health outcomes </w:t>
      </w:r>
      <w:r w:rsidR="005F5266" w:rsidRPr="008A3A49">
        <w:rPr>
          <w:rFonts w:ascii="Arial" w:hAnsi="Arial" w:cs="Arial"/>
          <w:sz w:val="22"/>
        </w:rPr>
        <w:t>(Pazzaglia et al., 2023)</w:t>
      </w:r>
      <w:r w:rsidR="005F5266">
        <w:rPr>
          <w:rFonts w:ascii="Arial" w:hAnsi="Arial" w:cs="Arial"/>
          <w:sz w:val="22"/>
        </w:rPr>
        <w:t>.</w:t>
      </w:r>
    </w:p>
    <w:p w14:paraId="4B83A99B" w14:textId="5F444217" w:rsidR="00B71A28" w:rsidRPr="00B71A28" w:rsidRDefault="00B71A28" w:rsidP="00BE3746">
      <w:pPr>
        <w:spacing w:line="360" w:lineRule="auto"/>
        <w:jc w:val="both"/>
        <w:rPr>
          <w:rFonts w:ascii="Arial" w:hAnsi="Arial" w:cs="Arial"/>
          <w:sz w:val="22"/>
        </w:rPr>
      </w:pPr>
    </w:p>
    <w:p w14:paraId="150E800B" w14:textId="77777777" w:rsidR="00B71A28" w:rsidRPr="00B71A28" w:rsidRDefault="00B71A28" w:rsidP="00BE3746">
      <w:pPr>
        <w:spacing w:line="360" w:lineRule="auto"/>
        <w:jc w:val="both"/>
        <w:rPr>
          <w:rFonts w:ascii="Arial" w:hAnsi="Arial" w:cs="Arial"/>
          <w:sz w:val="22"/>
        </w:rPr>
      </w:pPr>
    </w:p>
    <w:p w14:paraId="6852EC94" w14:textId="0A20CA60" w:rsidR="00B71A28" w:rsidRPr="00B71A28" w:rsidRDefault="00B71A28" w:rsidP="00BE3746">
      <w:pPr>
        <w:spacing w:line="360" w:lineRule="auto"/>
        <w:jc w:val="both"/>
        <w:rPr>
          <w:rFonts w:ascii="Arial" w:hAnsi="Arial" w:cs="Arial"/>
          <w:sz w:val="22"/>
        </w:rPr>
      </w:pPr>
      <w:r w:rsidRPr="00B71A28">
        <w:rPr>
          <w:rFonts w:ascii="Arial" w:hAnsi="Arial" w:cs="Arial"/>
          <w:sz w:val="22"/>
        </w:rPr>
        <w:t xml:space="preserve">Assistive technologies and support services are another manifestation of the social model in practice. Devices such as mobility aids, communication tools, and adaptive software are integrated into care plans to reduce the disabling effects of environmental and social barriers. Support services, including personal assistance and inclusive education programs, are also designed to facilitate participation in everyday life, employment, and social activities. By emphasising environmental and societal adaptations, the social model guides practitioners in creating practical solutions that enhance quality of life </w:t>
      </w:r>
      <w:r w:rsidR="005F5266" w:rsidRPr="005F5266">
        <w:rPr>
          <w:rFonts w:ascii="Arial" w:hAnsi="Arial" w:cs="Arial"/>
          <w:sz w:val="22"/>
        </w:rPr>
        <w:t>(Nierling and Maia, 2020)</w:t>
      </w:r>
      <w:r w:rsidR="005F5266">
        <w:rPr>
          <w:rFonts w:ascii="Arial" w:hAnsi="Arial" w:cs="Arial"/>
          <w:sz w:val="22"/>
        </w:rPr>
        <w:t>.</w:t>
      </w:r>
    </w:p>
    <w:p w14:paraId="504AC7A6" w14:textId="77777777" w:rsidR="00B71A28" w:rsidRPr="00B71A28" w:rsidRDefault="00B71A28" w:rsidP="00BE3746">
      <w:pPr>
        <w:spacing w:line="360" w:lineRule="auto"/>
        <w:jc w:val="both"/>
        <w:rPr>
          <w:rFonts w:ascii="Arial" w:hAnsi="Arial" w:cs="Arial"/>
          <w:sz w:val="22"/>
        </w:rPr>
      </w:pPr>
    </w:p>
    <w:p w14:paraId="7586DE40" w14:textId="0261682F" w:rsidR="00B71A28" w:rsidRDefault="00B71A28" w:rsidP="00BE3746">
      <w:pPr>
        <w:spacing w:line="360" w:lineRule="auto"/>
        <w:jc w:val="both"/>
        <w:rPr>
          <w:rFonts w:ascii="Arial" w:hAnsi="Arial" w:cs="Arial"/>
          <w:sz w:val="22"/>
        </w:rPr>
      </w:pPr>
      <w:r w:rsidRPr="00B71A28">
        <w:rPr>
          <w:rFonts w:ascii="Arial" w:hAnsi="Arial" w:cs="Arial"/>
          <w:sz w:val="22"/>
        </w:rPr>
        <w:t xml:space="preserve">Despite its benefits, implementation can face challenges, such as limited resources, organisational resistance, or insufficient training. To address these, ongoing evaluation, staff education, and inclusive policy development are essential. When applied effectively, the social model promotes not only accessibility and equality but also a cultural shift in health and social care towards empowerment, respect, and rights-based practice </w:t>
      </w:r>
      <w:r w:rsidR="00F13494" w:rsidRPr="00F13494">
        <w:rPr>
          <w:rFonts w:ascii="Arial" w:hAnsi="Arial" w:cs="Arial"/>
          <w:sz w:val="22"/>
        </w:rPr>
        <w:t>(Shamsuddin, 2020)</w:t>
      </w:r>
      <w:r w:rsidR="00F13494">
        <w:rPr>
          <w:rFonts w:ascii="Arial" w:hAnsi="Arial" w:cs="Arial"/>
          <w:sz w:val="22"/>
        </w:rPr>
        <w:t>.</w:t>
      </w:r>
    </w:p>
    <w:p w14:paraId="0BB4FB49" w14:textId="77777777" w:rsidR="00A12979" w:rsidRPr="00B71A28" w:rsidRDefault="00A12979" w:rsidP="00BE3746">
      <w:pPr>
        <w:spacing w:line="360" w:lineRule="auto"/>
        <w:jc w:val="both"/>
        <w:rPr>
          <w:rFonts w:ascii="Arial" w:hAnsi="Arial" w:cs="Arial"/>
          <w:sz w:val="22"/>
        </w:rPr>
      </w:pPr>
    </w:p>
    <w:p w14:paraId="00F2DBD8" w14:textId="77777777" w:rsidR="00A12979" w:rsidRDefault="006B2A20" w:rsidP="00D83A4E">
      <w:pPr>
        <w:spacing w:line="480" w:lineRule="auto"/>
        <w:rPr>
          <w:rFonts w:ascii="Arial" w:hAnsi="Arial" w:cs="Arial"/>
          <w:color w:val="000000" w:themeColor="text1"/>
          <w:sz w:val="28"/>
          <w:szCs w:val="28"/>
        </w:rPr>
      </w:pPr>
      <w:r w:rsidRPr="006B2A20">
        <w:rPr>
          <w:rFonts w:ascii="Arial" w:hAnsi="Arial" w:cs="Arial"/>
          <w:color w:val="000000" w:themeColor="text1"/>
          <w:sz w:val="28"/>
          <w:szCs w:val="28"/>
        </w:rPr>
        <w:t>R</w:t>
      </w:r>
      <w:r w:rsidR="00D83A4E" w:rsidRPr="006B2A20">
        <w:rPr>
          <w:rFonts w:ascii="Arial" w:hAnsi="Arial" w:cs="Arial"/>
          <w:color w:val="000000" w:themeColor="text1"/>
          <w:sz w:val="28"/>
          <w:szCs w:val="28"/>
        </w:rPr>
        <w:t>ecommendations for Health and Social Care Policy and Practice:</w:t>
      </w:r>
    </w:p>
    <w:p w14:paraId="7FE42475" w14:textId="08355462" w:rsidR="006B2A20" w:rsidRDefault="00D83A4E" w:rsidP="00D83A4E">
      <w:pPr>
        <w:spacing w:line="480" w:lineRule="auto"/>
        <w:rPr>
          <w:rFonts w:ascii="Arial" w:hAnsi="Arial" w:cs="Arial"/>
          <w:color w:val="000000" w:themeColor="text1"/>
          <w:sz w:val="28"/>
          <w:szCs w:val="28"/>
        </w:rPr>
      </w:pPr>
      <w:r w:rsidRPr="006B2A20">
        <w:rPr>
          <w:rFonts w:ascii="Arial" w:hAnsi="Arial" w:cs="Arial"/>
          <w:color w:val="000000" w:themeColor="text1"/>
          <w:sz w:val="28"/>
          <w:szCs w:val="28"/>
        </w:rPr>
        <w:t>Social Model of Disability</w:t>
      </w:r>
      <w:r w:rsidR="006B2A20">
        <w:rPr>
          <w:rFonts w:ascii="Arial" w:hAnsi="Arial" w:cs="Arial"/>
          <w:color w:val="000000" w:themeColor="text1"/>
          <w:sz w:val="28"/>
          <w:szCs w:val="28"/>
        </w:rPr>
        <w:t>.</w:t>
      </w:r>
    </w:p>
    <w:p w14:paraId="563A9965" w14:textId="3FAA35F1"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The Social Model of Disability emphasises that disability arises not solely from an individual’s impairment, but from societal, environmental, and attitudinal barriers. Applying this framework within health and social care policy and practice requires deliberate strategies to remove obstacles, promote equality, and ensure that disabled individuals can participate fully in society. Based on contemporary research and practice, several recommendations can guide policy makers and practitioners in embedding the social model effectively.</w:t>
      </w:r>
    </w:p>
    <w:p w14:paraId="3C2BE33D" w14:textId="4D8ADCB2"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t>1. Develop Inclusive and Accessible Environments</w:t>
      </w:r>
      <w:r w:rsidR="008600E4">
        <w:rPr>
          <w:rFonts w:ascii="Arial" w:hAnsi="Arial" w:cs="Arial"/>
          <w:b/>
          <w:bCs/>
          <w:color w:val="000000" w:themeColor="text1"/>
          <w:sz w:val="22"/>
        </w:rPr>
        <w:t>.</w:t>
      </w:r>
    </w:p>
    <w:p w14:paraId="7AB97645" w14:textId="77777777"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Health and social care services must prioritise accessibility in both physical and digital spaces. Policies should require organisations to implement ramps, lifts, accessible signage, communication aids, and adaptive equipment in healthcare settings, workplaces, and public facilities. Digital inclusion, such as providing screen-reader compatible websites, subtitles, and simplified interfaces, should also be mandated to ensure equitable access. By reducing environmental barriers, these measures align with the social model and foster independence and participation for disabled individuals (Barnes &amp; Hamer, 2021).</w:t>
      </w:r>
    </w:p>
    <w:p w14:paraId="3A7F7217" w14:textId="634172BA"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lastRenderedPageBreak/>
        <w:t>2. Implement Person-Centred Care Practices</w:t>
      </w:r>
      <w:r w:rsidR="008600E4">
        <w:rPr>
          <w:rFonts w:ascii="Arial" w:hAnsi="Arial" w:cs="Arial"/>
          <w:b/>
          <w:bCs/>
          <w:color w:val="000000" w:themeColor="text1"/>
          <w:sz w:val="22"/>
        </w:rPr>
        <w:t>.</w:t>
      </w:r>
    </w:p>
    <w:p w14:paraId="4648B7EB" w14:textId="69FC7C9C"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 xml:space="preserve">Practitioners should adopt person-centred approaches, tailoring care plans to the unique needs, goals, and preferences of </w:t>
      </w:r>
      <w:r w:rsidR="00052021" w:rsidRPr="00BE3746">
        <w:rPr>
          <w:rFonts w:ascii="Arial" w:hAnsi="Arial" w:cs="Arial"/>
          <w:color w:val="000000" w:themeColor="text1"/>
          <w:sz w:val="22"/>
        </w:rPr>
        <w:t>everyone</w:t>
      </w:r>
      <w:r w:rsidRPr="00BE3746">
        <w:rPr>
          <w:rFonts w:ascii="Arial" w:hAnsi="Arial" w:cs="Arial"/>
          <w:color w:val="000000" w:themeColor="text1"/>
          <w:sz w:val="22"/>
        </w:rPr>
        <w:t>. This includes assessing environmental and social barriers, such as transport limitations or communication challenges, and co-designing solutions with service users. Embedding person-centred care ensures that interventions empower individuals while addressing systemic obstacles, which enhances both engagement and outcomes (Davis, 2022).</w:t>
      </w:r>
    </w:p>
    <w:p w14:paraId="0510079F" w14:textId="60DB3B9C"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t>3. Promote Disability Awareness and Training</w:t>
      </w:r>
      <w:r w:rsidR="008600E4">
        <w:rPr>
          <w:rFonts w:ascii="Arial" w:hAnsi="Arial" w:cs="Arial"/>
          <w:b/>
          <w:bCs/>
          <w:color w:val="000000" w:themeColor="text1"/>
          <w:sz w:val="22"/>
        </w:rPr>
        <w:t>.</w:t>
      </w:r>
    </w:p>
    <w:p w14:paraId="53010F3D" w14:textId="77777777"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Staff education is critical for fostering a culture that respects diversity and challenges negative attitudes. Policies should require ongoing training in the social model of disability, inclusive communication, and anti-discrimination practices. This equips health and social care professionals to recognise unconscious bias, engage effectively with disabled service users, and implement accessible practices consistently (Williams, 2024).</w:t>
      </w:r>
    </w:p>
    <w:p w14:paraId="5DA55C24" w14:textId="558ABB0B"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t>4. Integrate Assistive Technologies and Support Services</w:t>
      </w:r>
      <w:r w:rsidR="008600E4">
        <w:rPr>
          <w:rFonts w:ascii="Arial" w:hAnsi="Arial" w:cs="Arial"/>
          <w:b/>
          <w:bCs/>
          <w:color w:val="000000" w:themeColor="text1"/>
          <w:sz w:val="22"/>
        </w:rPr>
        <w:t>.</w:t>
      </w:r>
    </w:p>
    <w:p w14:paraId="2BCCB6AF" w14:textId="77777777"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Health and social care providers should ensure access to assistive technologies, such as mobility aids, adaptive software, and communication devices, as part of care provision. Support services, including personal assistance and inclusive education programs, should be embedded within policy frameworks to facilitate participation in employment, education, and social activities. This ensures that both environmental and social barriers are addressed systematically (Tregaskis &amp; Goodley, 2023).</w:t>
      </w:r>
    </w:p>
    <w:p w14:paraId="678916BD" w14:textId="77777777" w:rsidR="00D83A4E" w:rsidRPr="00BE3746" w:rsidRDefault="00D83A4E" w:rsidP="00BE3746">
      <w:pPr>
        <w:spacing w:line="360" w:lineRule="auto"/>
        <w:jc w:val="both"/>
        <w:rPr>
          <w:rFonts w:ascii="Arial" w:hAnsi="Arial" w:cs="Arial"/>
          <w:color w:val="000000" w:themeColor="text1"/>
          <w:sz w:val="22"/>
        </w:rPr>
      </w:pPr>
    </w:p>
    <w:p w14:paraId="113A2F39" w14:textId="46367A00"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t>5. Strengthen Policy, Advocacy, and Rights-Based Frameworks</w:t>
      </w:r>
      <w:r w:rsidR="008600E4">
        <w:rPr>
          <w:rFonts w:ascii="Arial" w:hAnsi="Arial" w:cs="Arial"/>
          <w:b/>
          <w:bCs/>
          <w:color w:val="000000" w:themeColor="text1"/>
          <w:sz w:val="22"/>
        </w:rPr>
        <w:t>.</w:t>
      </w:r>
    </w:p>
    <w:p w14:paraId="00325A07" w14:textId="77777777"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Policy makers should embed the principles of the social model into legislation, commissioning guidance, and organisational strategies. This includes enforcing standards of accessibility, monitoring compliance, and involving disabled people in decision-making processes. Advocacy initiatives should empower service users to challenge discriminatory practices, ensuring that policies are implemented in a way that promotes equity, autonomy, and human rights (Shakespeare &amp; Watson, 2020).</w:t>
      </w:r>
    </w:p>
    <w:p w14:paraId="26B47A7D" w14:textId="77777777" w:rsidR="00D83A4E" w:rsidRPr="00BE3746" w:rsidRDefault="00D83A4E" w:rsidP="00BE3746">
      <w:pPr>
        <w:spacing w:line="360" w:lineRule="auto"/>
        <w:jc w:val="both"/>
        <w:rPr>
          <w:rFonts w:ascii="Arial" w:hAnsi="Arial" w:cs="Arial"/>
          <w:color w:val="000000" w:themeColor="text1"/>
          <w:sz w:val="22"/>
        </w:rPr>
      </w:pPr>
    </w:p>
    <w:p w14:paraId="74CBCCDF" w14:textId="32F32625" w:rsidR="00D83A4E" w:rsidRPr="00BE3746" w:rsidRDefault="00D83A4E" w:rsidP="00BE3746">
      <w:pPr>
        <w:spacing w:line="360" w:lineRule="auto"/>
        <w:jc w:val="both"/>
        <w:rPr>
          <w:rFonts w:ascii="Arial" w:hAnsi="Arial" w:cs="Arial"/>
          <w:b/>
          <w:bCs/>
          <w:color w:val="000000" w:themeColor="text1"/>
          <w:sz w:val="22"/>
        </w:rPr>
      </w:pPr>
      <w:r w:rsidRPr="00BE3746">
        <w:rPr>
          <w:rFonts w:ascii="Arial" w:hAnsi="Arial" w:cs="Arial"/>
          <w:b/>
          <w:bCs/>
          <w:color w:val="000000" w:themeColor="text1"/>
          <w:sz w:val="22"/>
        </w:rPr>
        <w:t>6. Implement Continuous Evaluation and Improvement</w:t>
      </w:r>
      <w:r w:rsidR="008600E4">
        <w:rPr>
          <w:rFonts w:ascii="Arial" w:hAnsi="Arial" w:cs="Arial"/>
          <w:b/>
          <w:bCs/>
          <w:color w:val="000000" w:themeColor="text1"/>
          <w:sz w:val="22"/>
        </w:rPr>
        <w:t>.</w:t>
      </w:r>
    </w:p>
    <w:p w14:paraId="5E38FCD2" w14:textId="77777777" w:rsidR="006F27A1"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 xml:space="preserve">Policies and practices should include mechanisms for monitoring, feedback, and iterative improvement. This can include audits, service user feedback, and outcome measurement to </w:t>
      </w:r>
      <w:r w:rsidRPr="00BE3746">
        <w:rPr>
          <w:rFonts w:ascii="Arial" w:hAnsi="Arial" w:cs="Arial"/>
          <w:color w:val="000000" w:themeColor="text1"/>
          <w:sz w:val="22"/>
        </w:rPr>
        <w:lastRenderedPageBreak/>
        <w:t>identify persistent barriers and evaluate the effectiveness of inclusive strategies. Continuous evaluation ensures that social model principles are not just theoretical but embedded in practical, day-to-day care delivery.</w:t>
      </w:r>
    </w:p>
    <w:p w14:paraId="0E57EEB9" w14:textId="7EF2E6BC" w:rsidR="00D83A4E" w:rsidRPr="00BE3746" w:rsidRDefault="00D83A4E" w:rsidP="00BE3746">
      <w:pPr>
        <w:spacing w:line="360" w:lineRule="auto"/>
        <w:jc w:val="both"/>
        <w:rPr>
          <w:rFonts w:ascii="Arial" w:hAnsi="Arial" w:cs="Arial"/>
          <w:color w:val="000000" w:themeColor="text1"/>
          <w:sz w:val="22"/>
        </w:rPr>
      </w:pPr>
      <w:r w:rsidRPr="00BE3746">
        <w:rPr>
          <w:rFonts w:ascii="Arial" w:hAnsi="Arial" w:cs="Arial"/>
          <w:color w:val="000000" w:themeColor="text1"/>
          <w:sz w:val="22"/>
        </w:rPr>
        <w:t>In conclusion, applying the social model within health and social care policy and practice requires proactive measures that reduce barriers, promote inclusion, empower service users, and embed rights-based approaches. These recommendations ensure that services are accessible, equitable, and responsive to the needs of disabled </w:t>
      </w:r>
      <w:r w:rsidR="006A3CB8" w:rsidRPr="00BE3746">
        <w:rPr>
          <w:rFonts w:ascii="Arial" w:hAnsi="Arial" w:cs="Arial"/>
          <w:color w:val="000000" w:themeColor="text1"/>
          <w:sz w:val="22"/>
        </w:rPr>
        <w:t>individuals</w:t>
      </w:r>
      <w:r w:rsidR="006A3CB8">
        <w:rPr>
          <w:rFonts w:ascii="Arial" w:hAnsi="Arial" w:cs="Arial"/>
          <w:color w:val="000000" w:themeColor="text1"/>
          <w:sz w:val="22"/>
        </w:rPr>
        <w:t xml:space="preserve"> </w:t>
      </w:r>
      <w:r w:rsidR="00007559" w:rsidRPr="00007559">
        <w:rPr>
          <w:rFonts w:ascii="Arial" w:hAnsi="Arial" w:cs="Arial"/>
          <w:color w:val="000000" w:themeColor="text1"/>
          <w:sz w:val="22"/>
        </w:rPr>
        <w:t>(Smith, Li and Rafferty, 2020)</w:t>
      </w:r>
      <w:r w:rsidR="00007559">
        <w:rPr>
          <w:rFonts w:ascii="Arial" w:hAnsi="Arial" w:cs="Arial"/>
          <w:color w:val="000000" w:themeColor="text1"/>
          <w:sz w:val="22"/>
        </w:rPr>
        <w:t>.</w:t>
      </w:r>
    </w:p>
    <w:p w14:paraId="5AFE373E" w14:textId="77777777" w:rsidR="00A14675" w:rsidRPr="00A14675" w:rsidRDefault="00A14675" w:rsidP="003E4ED4">
      <w:pPr>
        <w:spacing w:line="480" w:lineRule="auto"/>
        <w:rPr>
          <w:rFonts w:ascii="Arial" w:hAnsi="Arial" w:cs="Arial"/>
          <w:sz w:val="22"/>
        </w:rPr>
      </w:pPr>
    </w:p>
    <w:p w14:paraId="724B5A04" w14:textId="77777777" w:rsidR="00940A4E" w:rsidRDefault="00940A4E" w:rsidP="003E4ED4">
      <w:pPr>
        <w:spacing w:line="480" w:lineRule="auto"/>
        <w:rPr>
          <w:rFonts w:ascii="Arial" w:hAnsi="Arial" w:cs="Arial"/>
          <w:b/>
          <w:bCs/>
          <w:sz w:val="28"/>
          <w:szCs w:val="28"/>
        </w:rPr>
      </w:pPr>
    </w:p>
    <w:p w14:paraId="745D6C55" w14:textId="77777777" w:rsidR="00940A4E" w:rsidRDefault="00940A4E" w:rsidP="003E4ED4">
      <w:pPr>
        <w:spacing w:line="480" w:lineRule="auto"/>
        <w:rPr>
          <w:rFonts w:ascii="Arial" w:hAnsi="Arial" w:cs="Arial"/>
          <w:b/>
          <w:bCs/>
          <w:sz w:val="28"/>
          <w:szCs w:val="28"/>
        </w:rPr>
      </w:pPr>
    </w:p>
    <w:p w14:paraId="2EA496ED" w14:textId="77777777" w:rsidR="00940A4E" w:rsidRDefault="00940A4E" w:rsidP="003E4ED4">
      <w:pPr>
        <w:spacing w:line="480" w:lineRule="auto"/>
        <w:rPr>
          <w:rFonts w:ascii="Arial" w:hAnsi="Arial" w:cs="Arial"/>
          <w:b/>
          <w:bCs/>
          <w:sz w:val="28"/>
          <w:szCs w:val="28"/>
        </w:rPr>
      </w:pPr>
    </w:p>
    <w:p w14:paraId="35D5F45E" w14:textId="77777777" w:rsidR="00940A4E" w:rsidRDefault="00940A4E" w:rsidP="003E4ED4">
      <w:pPr>
        <w:spacing w:line="480" w:lineRule="auto"/>
        <w:rPr>
          <w:rFonts w:ascii="Arial" w:hAnsi="Arial" w:cs="Arial"/>
          <w:b/>
          <w:bCs/>
          <w:sz w:val="28"/>
          <w:szCs w:val="28"/>
        </w:rPr>
      </w:pPr>
    </w:p>
    <w:p w14:paraId="3A1A5CA2" w14:textId="77777777" w:rsidR="00940A4E" w:rsidRDefault="00940A4E" w:rsidP="003E4ED4">
      <w:pPr>
        <w:spacing w:line="480" w:lineRule="auto"/>
        <w:rPr>
          <w:rFonts w:ascii="Arial" w:hAnsi="Arial" w:cs="Arial"/>
          <w:b/>
          <w:bCs/>
          <w:sz w:val="28"/>
          <w:szCs w:val="28"/>
        </w:rPr>
      </w:pPr>
    </w:p>
    <w:p w14:paraId="334730DF" w14:textId="77777777" w:rsidR="00940A4E" w:rsidRDefault="00940A4E" w:rsidP="003E4ED4">
      <w:pPr>
        <w:spacing w:line="480" w:lineRule="auto"/>
        <w:rPr>
          <w:rFonts w:ascii="Arial" w:hAnsi="Arial" w:cs="Arial"/>
          <w:b/>
          <w:bCs/>
          <w:sz w:val="28"/>
          <w:szCs w:val="28"/>
        </w:rPr>
      </w:pPr>
    </w:p>
    <w:p w14:paraId="7704C7EC" w14:textId="77777777" w:rsidR="00940A4E" w:rsidRDefault="00940A4E" w:rsidP="003E4ED4">
      <w:pPr>
        <w:spacing w:line="480" w:lineRule="auto"/>
        <w:rPr>
          <w:rFonts w:ascii="Arial" w:hAnsi="Arial" w:cs="Arial"/>
          <w:b/>
          <w:bCs/>
          <w:sz w:val="28"/>
          <w:szCs w:val="28"/>
        </w:rPr>
      </w:pPr>
    </w:p>
    <w:p w14:paraId="18F476B3" w14:textId="77777777" w:rsidR="00940A4E" w:rsidRDefault="00940A4E" w:rsidP="003E4ED4">
      <w:pPr>
        <w:spacing w:line="480" w:lineRule="auto"/>
        <w:rPr>
          <w:rFonts w:ascii="Arial" w:hAnsi="Arial" w:cs="Arial"/>
          <w:b/>
          <w:bCs/>
          <w:sz w:val="28"/>
          <w:szCs w:val="28"/>
        </w:rPr>
      </w:pPr>
    </w:p>
    <w:p w14:paraId="7684F6F8" w14:textId="77777777" w:rsidR="00940A4E" w:rsidRDefault="00940A4E" w:rsidP="003E4ED4">
      <w:pPr>
        <w:spacing w:line="480" w:lineRule="auto"/>
        <w:rPr>
          <w:rFonts w:ascii="Arial" w:hAnsi="Arial" w:cs="Arial"/>
          <w:b/>
          <w:bCs/>
          <w:sz w:val="28"/>
          <w:szCs w:val="28"/>
        </w:rPr>
      </w:pPr>
    </w:p>
    <w:p w14:paraId="2D6601D4" w14:textId="77777777" w:rsidR="00940A4E" w:rsidRDefault="00940A4E" w:rsidP="003E4ED4">
      <w:pPr>
        <w:spacing w:line="480" w:lineRule="auto"/>
        <w:rPr>
          <w:rFonts w:ascii="Arial" w:hAnsi="Arial" w:cs="Arial"/>
          <w:b/>
          <w:bCs/>
          <w:sz w:val="28"/>
          <w:szCs w:val="28"/>
        </w:rPr>
      </w:pPr>
    </w:p>
    <w:p w14:paraId="499455CB" w14:textId="77777777" w:rsidR="00940A4E" w:rsidRDefault="00940A4E" w:rsidP="003E4ED4">
      <w:pPr>
        <w:spacing w:line="480" w:lineRule="auto"/>
        <w:rPr>
          <w:rFonts w:ascii="Arial" w:hAnsi="Arial" w:cs="Arial"/>
          <w:b/>
          <w:bCs/>
          <w:sz w:val="28"/>
          <w:szCs w:val="28"/>
        </w:rPr>
      </w:pPr>
    </w:p>
    <w:p w14:paraId="1C5C171F" w14:textId="77777777" w:rsidR="00940A4E" w:rsidRDefault="00940A4E" w:rsidP="003E4ED4">
      <w:pPr>
        <w:spacing w:line="480" w:lineRule="auto"/>
        <w:rPr>
          <w:rFonts w:ascii="Arial" w:hAnsi="Arial" w:cs="Arial"/>
          <w:b/>
          <w:bCs/>
          <w:sz w:val="28"/>
          <w:szCs w:val="28"/>
        </w:rPr>
      </w:pPr>
    </w:p>
    <w:p w14:paraId="6D1A137A" w14:textId="77777777" w:rsidR="00940A4E" w:rsidRDefault="00940A4E" w:rsidP="003E4ED4">
      <w:pPr>
        <w:spacing w:line="480" w:lineRule="auto"/>
        <w:rPr>
          <w:rFonts w:ascii="Arial" w:hAnsi="Arial" w:cs="Arial"/>
          <w:b/>
          <w:bCs/>
          <w:sz w:val="28"/>
          <w:szCs w:val="28"/>
        </w:rPr>
      </w:pPr>
    </w:p>
    <w:p w14:paraId="5A4D465C" w14:textId="13EFAF05" w:rsidR="006524ED" w:rsidRPr="00007559" w:rsidRDefault="006D2F2D" w:rsidP="003E4ED4">
      <w:pPr>
        <w:spacing w:line="480" w:lineRule="auto"/>
        <w:rPr>
          <w:rFonts w:ascii="Arial" w:hAnsi="Arial" w:cs="Arial"/>
          <w:b/>
          <w:bCs/>
          <w:sz w:val="32"/>
          <w:szCs w:val="32"/>
        </w:rPr>
      </w:pPr>
      <w:r w:rsidRPr="00007559">
        <w:rPr>
          <w:rFonts w:ascii="Arial" w:hAnsi="Arial" w:cs="Arial"/>
          <w:b/>
          <w:bCs/>
          <w:sz w:val="32"/>
          <w:szCs w:val="32"/>
        </w:rPr>
        <w:t>Conclusion</w:t>
      </w:r>
    </w:p>
    <w:p w14:paraId="53E08F83" w14:textId="5BFD0301" w:rsidR="00A14675" w:rsidRDefault="00A14675" w:rsidP="00A14675">
      <w:pPr>
        <w:spacing w:line="360" w:lineRule="auto"/>
        <w:rPr>
          <w:rFonts w:ascii="Arial" w:hAnsi="Arial" w:cs="Arial"/>
          <w:color w:val="0070C0"/>
          <w:sz w:val="22"/>
        </w:rPr>
      </w:pPr>
    </w:p>
    <w:p w14:paraId="6E9652A3" w14:textId="63A088CB" w:rsidR="00BE3746" w:rsidRDefault="00BE3746" w:rsidP="00052021">
      <w:pPr>
        <w:spacing w:line="360" w:lineRule="auto"/>
        <w:jc w:val="both"/>
        <w:rPr>
          <w:rFonts w:ascii="Arial" w:hAnsi="Arial" w:cs="Arial"/>
          <w:color w:val="000000" w:themeColor="text1"/>
          <w:sz w:val="22"/>
        </w:rPr>
      </w:pPr>
      <w:r w:rsidRPr="00052021">
        <w:rPr>
          <w:rFonts w:ascii="Arial" w:hAnsi="Arial" w:cs="Arial"/>
          <w:color w:val="000000" w:themeColor="text1"/>
          <w:sz w:val="22"/>
        </w:rPr>
        <w:t>In</w:t>
      </w:r>
      <w:r>
        <w:rPr>
          <w:rFonts w:ascii="Arial" w:hAnsi="Arial" w:cs="Arial"/>
          <w:color w:val="000000" w:themeColor="text1"/>
          <w:sz w:val="22"/>
        </w:rPr>
        <w:t xml:space="preserve"> this</w:t>
      </w:r>
      <w:r w:rsidRPr="00052021">
        <w:rPr>
          <w:rFonts w:ascii="Arial" w:hAnsi="Arial" w:cs="Arial"/>
          <w:color w:val="000000" w:themeColor="text1"/>
          <w:sz w:val="22"/>
        </w:rPr>
        <w:t xml:space="preserve"> conclusion, the Social Model of Disability provides a powerful framework for understanding how societies create or remove barriers for disabled people. By focusing on inclusion, accessibility, and rights, it challenges long-standing assumptions about disability and calls for systemic transformation. Ultimately, the model underscores that achieving equality depends not on changing individuals but on creating a world in which everyone can participate fully and with dignity.</w:t>
      </w:r>
    </w:p>
    <w:p w14:paraId="5048D69A" w14:textId="25BD69F3" w:rsidR="00052021" w:rsidRPr="00052021" w:rsidRDefault="00052021" w:rsidP="00052021">
      <w:pPr>
        <w:spacing w:line="360" w:lineRule="auto"/>
        <w:jc w:val="both"/>
        <w:rPr>
          <w:rFonts w:ascii="Arial" w:hAnsi="Arial" w:cs="Arial"/>
          <w:color w:val="000000" w:themeColor="text1"/>
          <w:sz w:val="22"/>
        </w:rPr>
      </w:pPr>
      <w:r w:rsidRPr="00052021">
        <w:rPr>
          <w:rFonts w:ascii="Arial" w:hAnsi="Arial" w:cs="Arial"/>
          <w:color w:val="000000" w:themeColor="text1"/>
          <w:sz w:val="22"/>
        </w:rPr>
        <w:t xml:space="preserve">The Social Model of Disability offers a transformative perspective on how society understands and responds to disability. It shifts attention away from individual impairments and toward the environmental, structural, and attitudinal barriers that restrict people’s participation in everyday life. Rather than viewing disability as an inherent limitation within a person, the model argues that it is society’s failure to provide accessible, inclusive, and equitable conditions that creates disability. </w:t>
      </w:r>
      <w:r w:rsidRPr="00052021">
        <w:rPr>
          <w:rFonts w:ascii="Arial" w:hAnsi="Arial" w:cs="Arial"/>
          <w:color w:val="000000" w:themeColor="text1"/>
          <w:sz w:val="22"/>
        </w:rPr>
        <w:t>Th</w:t>
      </w:r>
      <w:r>
        <w:rPr>
          <w:rFonts w:ascii="Arial" w:hAnsi="Arial" w:cs="Arial"/>
          <w:color w:val="000000" w:themeColor="text1"/>
          <w:sz w:val="22"/>
        </w:rPr>
        <w:t xml:space="preserve">is </w:t>
      </w:r>
      <w:r w:rsidRPr="00052021">
        <w:rPr>
          <w:rFonts w:ascii="Arial" w:hAnsi="Arial" w:cs="Arial"/>
          <w:color w:val="000000" w:themeColor="text1"/>
          <w:sz w:val="22"/>
        </w:rPr>
        <w:t>reframing highlight</w:t>
      </w:r>
      <w:r w:rsidRPr="00052021">
        <w:rPr>
          <w:rFonts w:ascii="Arial" w:hAnsi="Arial" w:cs="Arial"/>
          <w:color w:val="000000" w:themeColor="text1"/>
          <w:sz w:val="22"/>
        </w:rPr>
        <w:t xml:space="preserve"> that obstacles such as inaccessible buildings, discriminatory attitudes, inflexible policies, and exclusionary social norms are the primary sources of disadvantage.</w:t>
      </w:r>
    </w:p>
    <w:p w14:paraId="155DB467" w14:textId="77777777" w:rsidR="00052021" w:rsidRPr="00052021" w:rsidRDefault="00052021" w:rsidP="00052021">
      <w:pPr>
        <w:spacing w:line="360" w:lineRule="auto"/>
        <w:jc w:val="both"/>
        <w:rPr>
          <w:rFonts w:ascii="Arial" w:hAnsi="Arial" w:cs="Arial"/>
          <w:color w:val="000000" w:themeColor="text1"/>
          <w:sz w:val="22"/>
        </w:rPr>
      </w:pPr>
      <w:r w:rsidRPr="00052021">
        <w:rPr>
          <w:rFonts w:ascii="Arial" w:hAnsi="Arial" w:cs="Arial"/>
          <w:color w:val="000000" w:themeColor="text1"/>
          <w:sz w:val="22"/>
        </w:rPr>
        <w:t>A central strength of the Social Model is its emphasis on empowerment. It encourages disabled people to challenge oppressive systems and advocate for their rights, rather than accepting marginalisation as inevitable. By identifying societal barriers as the root of disability, the model promotes collective responsibility and supports the development of inclusive practices across education, employment, transport, healthcare, and public life. It also reinforces the importance of legislation, such as equality laws and accessibility standards, in dismantling systemic discrimination.</w:t>
      </w:r>
    </w:p>
    <w:p w14:paraId="46DEA0D2" w14:textId="798A712F" w:rsidR="00052021" w:rsidRPr="00052021" w:rsidRDefault="00052021" w:rsidP="00052021">
      <w:pPr>
        <w:spacing w:line="360" w:lineRule="auto"/>
        <w:jc w:val="both"/>
        <w:rPr>
          <w:rFonts w:ascii="Arial" w:hAnsi="Arial" w:cs="Arial"/>
          <w:color w:val="000000" w:themeColor="text1"/>
          <w:sz w:val="22"/>
        </w:rPr>
      </w:pPr>
      <w:bookmarkStart w:id="0" w:name="_Hlk215489778"/>
    </w:p>
    <w:bookmarkEnd w:id="0"/>
    <w:p w14:paraId="7DE4FC45" w14:textId="0DCF6A41" w:rsidR="00052021" w:rsidRPr="00052021" w:rsidRDefault="00052021" w:rsidP="00052021">
      <w:pPr>
        <w:spacing w:line="360" w:lineRule="auto"/>
        <w:jc w:val="both"/>
        <w:rPr>
          <w:rFonts w:ascii="Arial" w:hAnsi="Arial" w:cs="Arial"/>
          <w:color w:val="000000" w:themeColor="text1"/>
          <w:sz w:val="22"/>
        </w:rPr>
      </w:pPr>
    </w:p>
    <w:p w14:paraId="6191299C" w14:textId="77777777" w:rsidR="006524ED" w:rsidRPr="00052021" w:rsidRDefault="006524ED" w:rsidP="00052021">
      <w:pPr>
        <w:pStyle w:val="ListParagraph"/>
        <w:spacing w:line="360" w:lineRule="auto"/>
        <w:ind w:left="0"/>
        <w:jc w:val="both"/>
        <w:rPr>
          <w:rFonts w:ascii="Arial" w:hAnsi="Arial" w:cs="Arial"/>
          <w:color w:val="000000" w:themeColor="text1"/>
        </w:rPr>
      </w:pPr>
    </w:p>
    <w:p w14:paraId="3C5AC4C5" w14:textId="77777777" w:rsidR="003E4ED4" w:rsidRPr="00052021" w:rsidRDefault="003E4ED4" w:rsidP="00052021">
      <w:pPr>
        <w:spacing w:line="360" w:lineRule="auto"/>
        <w:jc w:val="both"/>
        <w:rPr>
          <w:rFonts w:ascii="Arial" w:hAnsi="Arial" w:cs="Arial"/>
          <w:b/>
          <w:bCs/>
          <w:color w:val="000000" w:themeColor="text1"/>
        </w:rPr>
      </w:pPr>
    </w:p>
    <w:p w14:paraId="62A1B056" w14:textId="77777777" w:rsidR="003E4ED4" w:rsidRDefault="003E4ED4" w:rsidP="003E4ED4">
      <w:pPr>
        <w:spacing w:line="480" w:lineRule="auto"/>
        <w:rPr>
          <w:rFonts w:ascii="Arial" w:hAnsi="Arial" w:cs="Arial"/>
          <w:b/>
          <w:bCs/>
        </w:rPr>
      </w:pPr>
    </w:p>
    <w:p w14:paraId="5B855950" w14:textId="77777777" w:rsidR="003E4ED4" w:rsidRDefault="003E4ED4" w:rsidP="003E4ED4">
      <w:pPr>
        <w:spacing w:line="480" w:lineRule="auto"/>
        <w:rPr>
          <w:rFonts w:ascii="Arial" w:hAnsi="Arial" w:cs="Arial"/>
          <w:b/>
          <w:bCs/>
        </w:rPr>
      </w:pPr>
    </w:p>
    <w:p w14:paraId="61F5C6FB" w14:textId="77777777" w:rsidR="00D83A4E" w:rsidRDefault="00D83A4E" w:rsidP="003E4ED4">
      <w:pPr>
        <w:spacing w:line="480" w:lineRule="auto"/>
        <w:rPr>
          <w:rFonts w:ascii="Arial" w:hAnsi="Arial" w:cs="Arial"/>
          <w:b/>
          <w:bCs/>
        </w:rPr>
      </w:pPr>
    </w:p>
    <w:p w14:paraId="1338D193" w14:textId="77777777" w:rsidR="00D83A4E" w:rsidRDefault="00D83A4E" w:rsidP="003E4ED4">
      <w:pPr>
        <w:spacing w:line="480" w:lineRule="auto"/>
        <w:rPr>
          <w:rFonts w:ascii="Arial" w:hAnsi="Arial" w:cs="Arial"/>
          <w:b/>
          <w:bCs/>
        </w:rPr>
      </w:pPr>
    </w:p>
    <w:p w14:paraId="1B114938" w14:textId="77777777" w:rsidR="00D83A4E" w:rsidRDefault="00D83A4E" w:rsidP="003E4ED4">
      <w:pPr>
        <w:spacing w:line="480" w:lineRule="auto"/>
        <w:rPr>
          <w:rFonts w:ascii="Arial" w:hAnsi="Arial" w:cs="Arial"/>
          <w:b/>
          <w:bCs/>
        </w:rPr>
      </w:pPr>
    </w:p>
    <w:p w14:paraId="33B2BDC1" w14:textId="5CDBA5BC" w:rsidR="00D83A4E" w:rsidRPr="00F13494" w:rsidRDefault="006D2F2D" w:rsidP="00F13494">
      <w:pPr>
        <w:spacing w:line="480" w:lineRule="auto"/>
        <w:rPr>
          <w:rFonts w:ascii="Arial" w:hAnsi="Arial" w:cs="Arial"/>
          <w:b/>
          <w:bCs/>
          <w:sz w:val="28"/>
          <w:szCs w:val="28"/>
        </w:rPr>
      </w:pPr>
      <w:r w:rsidRPr="00F13494">
        <w:rPr>
          <w:rFonts w:ascii="Arial" w:hAnsi="Arial" w:cs="Arial"/>
          <w:b/>
          <w:bCs/>
          <w:sz w:val="28"/>
          <w:szCs w:val="28"/>
        </w:rPr>
        <w:t>Reference</w:t>
      </w:r>
      <w:r w:rsidR="003E4ED4" w:rsidRPr="00F13494">
        <w:rPr>
          <w:rFonts w:ascii="Arial" w:hAnsi="Arial" w:cs="Arial"/>
          <w:b/>
          <w:bCs/>
          <w:sz w:val="28"/>
          <w:szCs w:val="28"/>
        </w:rPr>
        <w:t>s</w:t>
      </w:r>
    </w:p>
    <w:p w14:paraId="3B9B2267" w14:textId="77777777" w:rsidR="00D83A4E" w:rsidRPr="00B71A28" w:rsidRDefault="00D83A4E" w:rsidP="00CA1126">
      <w:pPr>
        <w:rPr>
          <w:rFonts w:ascii="Arial" w:hAnsi="Arial" w:cs="Arial"/>
          <w:color w:val="000000" w:themeColor="text1"/>
          <w:sz w:val="28"/>
          <w:szCs w:val="28"/>
        </w:rPr>
      </w:pPr>
    </w:p>
    <w:p w14:paraId="7BAA29FA" w14:textId="5A379F96" w:rsidR="00B71A28" w:rsidRPr="00D83A4E" w:rsidRDefault="00B71A28" w:rsidP="00733343">
      <w:pPr>
        <w:spacing w:line="360" w:lineRule="auto"/>
        <w:jc w:val="both"/>
        <w:rPr>
          <w:rFonts w:ascii="Arial" w:hAnsi="Arial" w:cs="Arial"/>
          <w:color w:val="000000" w:themeColor="text1"/>
          <w:sz w:val="22"/>
        </w:rPr>
      </w:pPr>
      <w:r w:rsidRPr="00D83A4E">
        <w:rPr>
          <w:rFonts w:ascii="Arial" w:hAnsi="Arial" w:cs="Arial"/>
          <w:color w:val="000000" w:themeColor="text1"/>
          <w:sz w:val="22"/>
        </w:rPr>
        <w:t>Barnes, C. &amp; Hamer, A., 2021. Revisiting the social model of disability: Contemporary debates and policy implications. Disability &amp; Society, 36(9), pp.1457–1471.</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4A195E92" w14:textId="77777777" w:rsidR="00B71A28" w:rsidRPr="00B71A28" w:rsidRDefault="00B71A28" w:rsidP="00733343">
      <w:pPr>
        <w:spacing w:line="360" w:lineRule="auto"/>
        <w:jc w:val="both"/>
        <w:rPr>
          <w:rFonts w:ascii="Arial" w:hAnsi="Arial" w:cs="Arial"/>
          <w:color w:val="000000" w:themeColor="text1"/>
          <w:sz w:val="22"/>
        </w:rPr>
      </w:pPr>
    </w:p>
    <w:p w14:paraId="4A4DDF87" w14:textId="4B6054C0" w:rsidR="00B71A28" w:rsidRPr="00B71A28" w:rsidRDefault="00B71A28" w:rsidP="00733343">
      <w:pPr>
        <w:spacing w:line="360" w:lineRule="auto"/>
        <w:jc w:val="both"/>
        <w:rPr>
          <w:rFonts w:ascii="Arial" w:hAnsi="Arial" w:cs="Arial"/>
          <w:color w:val="000000" w:themeColor="text1"/>
          <w:sz w:val="22"/>
        </w:rPr>
      </w:pPr>
      <w:r w:rsidRPr="00B71A28">
        <w:rPr>
          <w:rFonts w:ascii="Arial" w:hAnsi="Arial" w:cs="Arial"/>
          <w:color w:val="000000" w:themeColor="text1"/>
          <w:sz w:val="22"/>
        </w:rPr>
        <w:t>Davis, L.J., 2022. Disability, barriers and social change: Rethinking the social model in modern care systems. Journal of Social Policy, 51(3), pp.678–694.</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28852BBD" w14:textId="77777777" w:rsidR="00B71A28" w:rsidRPr="00B71A28" w:rsidRDefault="00B71A28" w:rsidP="00733343">
      <w:pPr>
        <w:spacing w:line="360" w:lineRule="auto"/>
        <w:jc w:val="both"/>
        <w:rPr>
          <w:rFonts w:ascii="Arial" w:hAnsi="Arial" w:cs="Arial"/>
          <w:color w:val="000000" w:themeColor="text1"/>
          <w:sz w:val="22"/>
        </w:rPr>
      </w:pPr>
    </w:p>
    <w:p w14:paraId="17EBC881" w14:textId="20A6F89B" w:rsidR="00B71A28" w:rsidRPr="00B71A28" w:rsidRDefault="00B71A28" w:rsidP="00733343">
      <w:pPr>
        <w:spacing w:line="360" w:lineRule="auto"/>
        <w:jc w:val="both"/>
        <w:rPr>
          <w:rFonts w:ascii="Arial" w:hAnsi="Arial" w:cs="Arial"/>
          <w:color w:val="000000" w:themeColor="text1"/>
          <w:sz w:val="22"/>
        </w:rPr>
      </w:pPr>
      <w:r w:rsidRPr="00B71A28">
        <w:rPr>
          <w:rFonts w:ascii="Arial" w:hAnsi="Arial" w:cs="Arial"/>
          <w:color w:val="000000" w:themeColor="text1"/>
          <w:sz w:val="22"/>
        </w:rPr>
        <w:t>Shakespeare, T. &amp; Watson, N., 2020. The social model of disability: Critiques and reconstructions. Sociology of Health &amp; Illness, 42(1), pp.14–</w:t>
      </w:r>
      <w:r w:rsidR="00F13494" w:rsidRPr="00B71A28">
        <w:rPr>
          <w:rFonts w:ascii="Arial" w:hAnsi="Arial" w:cs="Arial"/>
          <w:color w:val="000000" w:themeColor="text1"/>
          <w:sz w:val="22"/>
        </w:rPr>
        <w:t>25.</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4B77C458" w14:textId="77777777" w:rsidR="00B71A28" w:rsidRPr="00B71A28" w:rsidRDefault="00B71A28" w:rsidP="00733343">
      <w:pPr>
        <w:spacing w:line="360" w:lineRule="auto"/>
        <w:jc w:val="both"/>
        <w:rPr>
          <w:rFonts w:ascii="Arial" w:hAnsi="Arial" w:cs="Arial"/>
          <w:color w:val="000000" w:themeColor="text1"/>
          <w:sz w:val="22"/>
        </w:rPr>
      </w:pPr>
    </w:p>
    <w:p w14:paraId="4CB448BF" w14:textId="3932A253" w:rsidR="00B71A28" w:rsidRPr="00B71A28" w:rsidRDefault="00B71A28" w:rsidP="00733343">
      <w:pPr>
        <w:spacing w:line="360" w:lineRule="auto"/>
        <w:jc w:val="both"/>
        <w:rPr>
          <w:rFonts w:ascii="Arial" w:hAnsi="Arial" w:cs="Arial"/>
          <w:color w:val="000000" w:themeColor="text1"/>
          <w:sz w:val="22"/>
        </w:rPr>
      </w:pPr>
      <w:r w:rsidRPr="00B71A28">
        <w:rPr>
          <w:rFonts w:ascii="Arial" w:hAnsi="Arial" w:cs="Arial"/>
          <w:color w:val="000000" w:themeColor="text1"/>
          <w:sz w:val="22"/>
        </w:rPr>
        <w:t>Tregaskis, C. &amp; Goodley, D., 2023. Expanding the social model: Intersectionality, impairment and inclusion. Journal of Disability Studies, 18(2), pp.102–118.</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3B57ACFD" w14:textId="77777777" w:rsidR="00B71A28" w:rsidRPr="00B71A28" w:rsidRDefault="00B71A28" w:rsidP="00733343">
      <w:pPr>
        <w:spacing w:line="360" w:lineRule="auto"/>
        <w:jc w:val="both"/>
        <w:rPr>
          <w:rFonts w:ascii="Arial" w:hAnsi="Arial" w:cs="Arial"/>
          <w:color w:val="000000" w:themeColor="text1"/>
          <w:sz w:val="22"/>
        </w:rPr>
      </w:pPr>
    </w:p>
    <w:p w14:paraId="7DE95BE4" w14:textId="7574D290" w:rsidR="00B71A28" w:rsidRDefault="00B71A28" w:rsidP="00733343">
      <w:pPr>
        <w:spacing w:line="360" w:lineRule="auto"/>
        <w:jc w:val="both"/>
        <w:rPr>
          <w:rFonts w:ascii="Arial" w:hAnsi="Arial" w:cs="Arial"/>
          <w:color w:val="000000" w:themeColor="text1"/>
          <w:sz w:val="22"/>
        </w:rPr>
      </w:pPr>
      <w:r w:rsidRPr="00B71A28">
        <w:rPr>
          <w:rFonts w:ascii="Arial" w:hAnsi="Arial" w:cs="Arial"/>
          <w:color w:val="000000" w:themeColor="text1"/>
          <w:sz w:val="22"/>
        </w:rPr>
        <w:t>Williams, R., 2024. Disability, rights and the evolution of the social model in contemporary health and social care. International Journal of Care and Society, 5(1), pp.33–49.</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391F7053" w14:textId="4F289DC7" w:rsidR="006E298C" w:rsidRPr="006E298C" w:rsidRDefault="006E298C" w:rsidP="00733343">
      <w:pPr>
        <w:spacing w:line="360" w:lineRule="auto"/>
        <w:jc w:val="both"/>
        <w:rPr>
          <w:rFonts w:ascii="Arial" w:hAnsi="Arial" w:cs="Arial"/>
          <w:color w:val="000000" w:themeColor="text1"/>
          <w:sz w:val="22"/>
        </w:rPr>
      </w:pPr>
      <w:r w:rsidRPr="006E298C">
        <w:rPr>
          <w:rFonts w:ascii="Arial" w:hAnsi="Arial" w:cs="Arial"/>
          <w:color w:val="000000" w:themeColor="text1"/>
          <w:sz w:val="22"/>
        </w:rPr>
        <w:t>Barnes, C. &amp; Hamer, A., 2021. Revisiting the social model of disability: Contemporary debates and policy implications. Disability &amp; Society, 36(9), pp.1457–1471.</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0624EDB5" w14:textId="77777777" w:rsidR="006E298C" w:rsidRPr="006E298C" w:rsidRDefault="006E298C" w:rsidP="00733343">
      <w:pPr>
        <w:spacing w:line="360" w:lineRule="auto"/>
        <w:jc w:val="both"/>
        <w:rPr>
          <w:rFonts w:ascii="Arial" w:hAnsi="Arial" w:cs="Arial"/>
          <w:color w:val="000000" w:themeColor="text1"/>
          <w:sz w:val="22"/>
        </w:rPr>
      </w:pPr>
    </w:p>
    <w:p w14:paraId="51BFEC27" w14:textId="6FDEE625" w:rsidR="006E298C" w:rsidRPr="006E298C" w:rsidRDefault="006E298C" w:rsidP="00733343">
      <w:pPr>
        <w:spacing w:line="360" w:lineRule="auto"/>
        <w:jc w:val="both"/>
        <w:rPr>
          <w:rFonts w:ascii="Arial" w:hAnsi="Arial" w:cs="Arial"/>
          <w:color w:val="000000" w:themeColor="text1"/>
          <w:sz w:val="22"/>
        </w:rPr>
      </w:pPr>
      <w:r w:rsidRPr="006E298C">
        <w:rPr>
          <w:rFonts w:ascii="Arial" w:hAnsi="Arial" w:cs="Arial"/>
          <w:color w:val="000000" w:themeColor="text1"/>
          <w:sz w:val="22"/>
        </w:rPr>
        <w:lastRenderedPageBreak/>
        <w:t>Davis, L.J., 2022. Disability, barriers and social change: Rethinking the social model in modern care systems. Journal of Social Policy, 51(3), pp.678–694.</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4AD3853C" w14:textId="77777777" w:rsidR="006E298C" w:rsidRPr="006E298C" w:rsidRDefault="006E298C" w:rsidP="00733343">
      <w:pPr>
        <w:spacing w:line="360" w:lineRule="auto"/>
        <w:jc w:val="both"/>
        <w:rPr>
          <w:rFonts w:ascii="Arial" w:hAnsi="Arial" w:cs="Arial"/>
          <w:color w:val="000000" w:themeColor="text1"/>
          <w:sz w:val="22"/>
        </w:rPr>
      </w:pPr>
    </w:p>
    <w:p w14:paraId="2FAB2C4F" w14:textId="3D960836" w:rsidR="006E298C" w:rsidRPr="006E298C" w:rsidRDefault="006E298C" w:rsidP="00733343">
      <w:pPr>
        <w:spacing w:line="360" w:lineRule="auto"/>
        <w:jc w:val="both"/>
        <w:rPr>
          <w:rFonts w:ascii="Arial" w:hAnsi="Arial" w:cs="Arial"/>
          <w:color w:val="000000" w:themeColor="text1"/>
          <w:sz w:val="22"/>
        </w:rPr>
      </w:pPr>
      <w:r w:rsidRPr="006E298C">
        <w:rPr>
          <w:rFonts w:ascii="Arial" w:hAnsi="Arial" w:cs="Arial"/>
          <w:color w:val="000000" w:themeColor="text1"/>
          <w:sz w:val="22"/>
        </w:rPr>
        <w:t>Shakespeare, T. &amp; Watson, N., 2020. The social model of disability: Critiques and reconstructions. Sociology of Health &amp; Illness, 42(1), pp.14–25.</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54CFA08C" w14:textId="77777777" w:rsidR="006E298C" w:rsidRPr="006E298C" w:rsidRDefault="006E298C" w:rsidP="00733343">
      <w:pPr>
        <w:spacing w:line="360" w:lineRule="auto"/>
        <w:jc w:val="both"/>
        <w:rPr>
          <w:rFonts w:ascii="Arial" w:hAnsi="Arial" w:cs="Arial"/>
          <w:color w:val="000000" w:themeColor="text1"/>
          <w:sz w:val="22"/>
        </w:rPr>
      </w:pPr>
    </w:p>
    <w:p w14:paraId="3C4F107F" w14:textId="39BD4330" w:rsidR="006E298C" w:rsidRPr="006E298C" w:rsidRDefault="006E298C" w:rsidP="00733343">
      <w:pPr>
        <w:spacing w:line="360" w:lineRule="auto"/>
        <w:jc w:val="both"/>
        <w:rPr>
          <w:rFonts w:ascii="Arial" w:hAnsi="Arial" w:cs="Arial"/>
          <w:color w:val="000000" w:themeColor="text1"/>
          <w:sz w:val="22"/>
        </w:rPr>
      </w:pPr>
      <w:r w:rsidRPr="006E298C">
        <w:rPr>
          <w:rFonts w:ascii="Arial" w:hAnsi="Arial" w:cs="Arial"/>
          <w:color w:val="000000" w:themeColor="text1"/>
          <w:sz w:val="22"/>
        </w:rPr>
        <w:t>Tregaskis, C. &amp; Goodley, D., 2023. Expanding the social model: Intersectionality, impairment and inclusion. Journal of Disability Studies, 18(2), pp.102–118.</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4038B8B8" w14:textId="77777777" w:rsidR="006E298C" w:rsidRPr="006E298C" w:rsidRDefault="006E298C" w:rsidP="00733343">
      <w:pPr>
        <w:spacing w:line="360" w:lineRule="auto"/>
        <w:jc w:val="both"/>
        <w:rPr>
          <w:rFonts w:ascii="Arial" w:hAnsi="Arial" w:cs="Arial"/>
          <w:color w:val="000000" w:themeColor="text1"/>
          <w:sz w:val="22"/>
        </w:rPr>
      </w:pPr>
    </w:p>
    <w:p w14:paraId="77E98CD3" w14:textId="2647D515" w:rsidR="006E298C" w:rsidRDefault="006E298C" w:rsidP="00733343">
      <w:pPr>
        <w:spacing w:line="360" w:lineRule="auto"/>
        <w:jc w:val="both"/>
        <w:rPr>
          <w:rFonts w:ascii="Arial" w:hAnsi="Arial" w:cs="Arial"/>
          <w:color w:val="000000" w:themeColor="text1"/>
          <w:sz w:val="22"/>
        </w:rPr>
      </w:pPr>
      <w:r w:rsidRPr="006E298C">
        <w:rPr>
          <w:rFonts w:ascii="Arial" w:hAnsi="Arial" w:cs="Arial"/>
          <w:color w:val="000000" w:themeColor="text1"/>
          <w:sz w:val="22"/>
        </w:rPr>
        <w:t>Williams, R., 2024. Disability, rights and the evolution of the social model in contemporary health and social care. International Journal of Care and Society, 5(1), pp.33–49.</w:t>
      </w:r>
      <w:r w:rsidR="00F13494">
        <w:rPr>
          <w:rFonts w:ascii="Arial" w:hAnsi="Arial" w:cs="Arial"/>
          <w:color w:val="000000" w:themeColor="text1"/>
          <w:sz w:val="22"/>
        </w:rPr>
        <w:t xml:space="preserve"> (Accessed 28</w:t>
      </w:r>
      <w:r w:rsidR="00F13494" w:rsidRPr="00F13494">
        <w:rPr>
          <w:rFonts w:ascii="Arial" w:hAnsi="Arial" w:cs="Arial"/>
          <w:color w:val="000000" w:themeColor="text1"/>
          <w:sz w:val="22"/>
          <w:vertAlign w:val="superscript"/>
        </w:rPr>
        <w:t>th</w:t>
      </w:r>
      <w:r w:rsidR="00F13494">
        <w:rPr>
          <w:rFonts w:ascii="Arial" w:hAnsi="Arial" w:cs="Arial"/>
          <w:color w:val="000000" w:themeColor="text1"/>
          <w:sz w:val="22"/>
        </w:rPr>
        <w:t xml:space="preserve"> November 2025).</w:t>
      </w:r>
    </w:p>
    <w:p w14:paraId="5DE1AC78" w14:textId="5C694413" w:rsidR="00DA144F" w:rsidRDefault="00DA144F" w:rsidP="00733343">
      <w:pPr>
        <w:spacing w:line="360" w:lineRule="auto"/>
        <w:jc w:val="both"/>
        <w:rPr>
          <w:rFonts w:ascii="Arial" w:hAnsi="Arial" w:cs="Arial"/>
          <w:color w:val="000000" w:themeColor="text1"/>
          <w:sz w:val="22"/>
        </w:rPr>
      </w:pPr>
      <w:r w:rsidRPr="00DA144F">
        <w:rPr>
          <w:rFonts w:ascii="Arial" w:hAnsi="Arial" w:cs="Arial"/>
          <w:color w:val="000000" w:themeColor="text1"/>
          <w:sz w:val="22"/>
        </w:rPr>
        <w:t>Lawson, A. and Beckett, A.E. (2020). The social and human rights models of disability: Towards a complementarity thesis. </w:t>
      </w:r>
      <w:r w:rsidRPr="00DA144F">
        <w:rPr>
          <w:rFonts w:ascii="Arial" w:hAnsi="Arial" w:cs="Arial"/>
          <w:i/>
          <w:iCs/>
          <w:color w:val="000000" w:themeColor="text1"/>
          <w:sz w:val="22"/>
        </w:rPr>
        <w:t>The International Journal of Human Rights</w:t>
      </w:r>
      <w:r w:rsidRPr="00DA144F">
        <w:rPr>
          <w:rFonts w:ascii="Arial" w:hAnsi="Arial" w:cs="Arial"/>
          <w:color w:val="000000" w:themeColor="text1"/>
          <w:sz w:val="22"/>
        </w:rPr>
        <w:t xml:space="preserve">, [online] 25(2), pp.348–379. </w:t>
      </w:r>
      <w:proofErr w:type="spellStart"/>
      <w:proofErr w:type="gramStart"/>
      <w:r w:rsidRPr="00DA144F">
        <w:rPr>
          <w:rFonts w:ascii="Arial" w:hAnsi="Arial" w:cs="Arial"/>
          <w:color w:val="000000" w:themeColor="text1"/>
          <w:sz w:val="22"/>
        </w:rPr>
        <w:t>doi:https</w:t>
      </w:r>
      <w:proofErr w:type="spellEnd"/>
      <w:r w:rsidRPr="00DA144F">
        <w:rPr>
          <w:rFonts w:ascii="Arial" w:hAnsi="Arial" w:cs="Arial"/>
          <w:color w:val="000000" w:themeColor="text1"/>
          <w:sz w:val="22"/>
        </w:rPr>
        <w:t>://doi.org/10.1080/13642987.2020.1783533</w:t>
      </w:r>
      <w:proofErr w:type="gramEnd"/>
      <w:r w:rsidRPr="00DA144F">
        <w:rPr>
          <w:rFonts w:ascii="Arial" w:hAnsi="Arial" w:cs="Arial"/>
          <w:color w:val="000000" w:themeColor="text1"/>
          <w:sz w:val="22"/>
        </w:rPr>
        <w:t>.</w:t>
      </w:r>
      <w:r w:rsidR="00BA7E25">
        <w:rPr>
          <w:rFonts w:ascii="Arial" w:hAnsi="Arial" w:cs="Arial"/>
          <w:color w:val="000000" w:themeColor="text1"/>
          <w:sz w:val="22"/>
        </w:rPr>
        <w:t xml:space="preserve"> (Accessed 30</w:t>
      </w:r>
      <w:r w:rsidR="00BA7E25" w:rsidRPr="00BA7E25">
        <w:rPr>
          <w:rFonts w:ascii="Arial" w:hAnsi="Arial" w:cs="Arial"/>
          <w:color w:val="000000" w:themeColor="text1"/>
          <w:sz w:val="22"/>
          <w:vertAlign w:val="superscript"/>
        </w:rPr>
        <w:t>th</w:t>
      </w:r>
      <w:r w:rsidR="00BA7E25">
        <w:rPr>
          <w:rFonts w:ascii="Arial" w:hAnsi="Arial" w:cs="Arial"/>
          <w:color w:val="000000" w:themeColor="text1"/>
          <w:sz w:val="22"/>
        </w:rPr>
        <w:t xml:space="preserve"> November 2025).</w:t>
      </w:r>
    </w:p>
    <w:p w14:paraId="3AEF05B4" w14:textId="2A6727CB" w:rsidR="00BA7E25" w:rsidRDefault="00BA7E25" w:rsidP="00733343">
      <w:pPr>
        <w:spacing w:line="360" w:lineRule="auto"/>
        <w:jc w:val="both"/>
        <w:rPr>
          <w:rFonts w:ascii="Arial" w:hAnsi="Arial" w:cs="Arial"/>
          <w:color w:val="000000" w:themeColor="text1"/>
          <w:sz w:val="22"/>
        </w:rPr>
      </w:pPr>
      <w:r w:rsidRPr="00BA7E25">
        <w:rPr>
          <w:rFonts w:ascii="Arial" w:hAnsi="Arial" w:cs="Arial"/>
          <w:color w:val="000000" w:themeColor="text1"/>
          <w:sz w:val="22"/>
        </w:rPr>
        <w:t>Frost, D.M. and Meyer, I.H. (2023). Minority stress theory: Application, critique, and continued relevance. </w:t>
      </w:r>
      <w:r w:rsidRPr="00BA7E25">
        <w:rPr>
          <w:rFonts w:ascii="Arial" w:hAnsi="Arial" w:cs="Arial"/>
          <w:i/>
          <w:iCs/>
          <w:color w:val="000000" w:themeColor="text1"/>
          <w:sz w:val="22"/>
        </w:rPr>
        <w:t>Current Opinion in Psychology</w:t>
      </w:r>
      <w:r w:rsidRPr="00BA7E25">
        <w:rPr>
          <w:rFonts w:ascii="Arial" w:hAnsi="Arial" w:cs="Arial"/>
          <w:color w:val="000000" w:themeColor="text1"/>
          <w:sz w:val="22"/>
        </w:rPr>
        <w:t xml:space="preserve">, 51. </w:t>
      </w:r>
      <w:proofErr w:type="spellStart"/>
      <w:proofErr w:type="gramStart"/>
      <w:r w:rsidRPr="00BA7E25">
        <w:rPr>
          <w:rFonts w:ascii="Arial" w:hAnsi="Arial" w:cs="Arial"/>
          <w:color w:val="000000" w:themeColor="text1"/>
          <w:sz w:val="22"/>
        </w:rPr>
        <w:t>doi:https</w:t>
      </w:r>
      <w:proofErr w:type="spellEnd"/>
      <w:r w:rsidRPr="00BA7E25">
        <w:rPr>
          <w:rFonts w:ascii="Arial" w:hAnsi="Arial" w:cs="Arial"/>
          <w:color w:val="000000" w:themeColor="text1"/>
          <w:sz w:val="22"/>
        </w:rPr>
        <w:t>://doi.org/10.1016/j.copsyc.2023.101579</w:t>
      </w:r>
      <w:proofErr w:type="gramEnd"/>
      <w:r w:rsidRPr="00BA7E25">
        <w:rPr>
          <w:rFonts w:ascii="Arial" w:hAnsi="Arial" w:cs="Arial"/>
          <w:color w:val="000000" w:themeColor="text1"/>
          <w:sz w:val="22"/>
        </w:rPr>
        <w:t>.</w:t>
      </w:r>
      <w:r>
        <w:rPr>
          <w:rFonts w:ascii="Arial" w:hAnsi="Arial" w:cs="Arial"/>
          <w:color w:val="000000" w:themeColor="text1"/>
          <w:sz w:val="22"/>
        </w:rPr>
        <w:t xml:space="preserve"> (Accessed </w:t>
      </w:r>
      <w:r w:rsidR="005F5266">
        <w:rPr>
          <w:rFonts w:ascii="Arial" w:hAnsi="Arial" w:cs="Arial"/>
          <w:color w:val="000000" w:themeColor="text1"/>
          <w:sz w:val="22"/>
        </w:rPr>
        <w:t>01</w:t>
      </w:r>
      <w:proofErr w:type="gramStart"/>
      <w:r w:rsidR="005F5266" w:rsidRPr="005F5266">
        <w:rPr>
          <w:rFonts w:ascii="Arial" w:hAnsi="Arial" w:cs="Arial"/>
          <w:color w:val="000000" w:themeColor="text1"/>
          <w:sz w:val="22"/>
          <w:vertAlign w:val="superscript"/>
        </w:rPr>
        <w:t>st</w:t>
      </w:r>
      <w:r w:rsidR="005F5266">
        <w:rPr>
          <w:rFonts w:ascii="Arial" w:hAnsi="Arial" w:cs="Arial"/>
          <w:color w:val="000000" w:themeColor="text1"/>
          <w:sz w:val="22"/>
        </w:rPr>
        <w:t xml:space="preserve"> </w:t>
      </w:r>
      <w:r>
        <w:rPr>
          <w:rFonts w:ascii="Arial" w:hAnsi="Arial" w:cs="Arial"/>
          <w:color w:val="000000" w:themeColor="text1"/>
          <w:sz w:val="22"/>
        </w:rPr>
        <w:t xml:space="preserve"> December</w:t>
      </w:r>
      <w:proofErr w:type="gramEnd"/>
      <w:r>
        <w:rPr>
          <w:rFonts w:ascii="Arial" w:hAnsi="Arial" w:cs="Arial"/>
          <w:color w:val="000000" w:themeColor="text1"/>
          <w:sz w:val="22"/>
        </w:rPr>
        <w:t xml:space="preserve"> 2025).</w:t>
      </w:r>
    </w:p>
    <w:p w14:paraId="0D4D3653" w14:textId="0071974B" w:rsidR="008A3A49" w:rsidRPr="008A3A49" w:rsidRDefault="008A3A49" w:rsidP="00733343">
      <w:pPr>
        <w:spacing w:line="360" w:lineRule="auto"/>
        <w:jc w:val="both"/>
        <w:rPr>
          <w:rFonts w:ascii="Arial" w:hAnsi="Arial" w:cs="Arial"/>
          <w:color w:val="000000" w:themeColor="text1"/>
          <w:sz w:val="22"/>
        </w:rPr>
      </w:pPr>
      <w:proofErr w:type="spellStart"/>
      <w:r w:rsidRPr="008A3A49">
        <w:rPr>
          <w:rFonts w:ascii="Arial" w:hAnsi="Arial" w:cs="Arial"/>
          <w:color w:val="000000" w:themeColor="text1"/>
          <w:sz w:val="22"/>
        </w:rPr>
        <w:t>Shahraki</w:t>
      </w:r>
      <w:proofErr w:type="spellEnd"/>
      <w:r w:rsidRPr="008A3A49">
        <w:rPr>
          <w:rFonts w:ascii="Arial" w:hAnsi="Arial" w:cs="Arial"/>
          <w:color w:val="000000" w:themeColor="text1"/>
          <w:sz w:val="22"/>
        </w:rPr>
        <w:t>, A.A. (2020). Urban planning for physically disabled people’s needs with case studies. </w:t>
      </w:r>
      <w:r w:rsidRPr="008A3A49">
        <w:rPr>
          <w:rFonts w:ascii="Arial" w:hAnsi="Arial" w:cs="Arial"/>
          <w:i/>
          <w:iCs/>
          <w:color w:val="000000" w:themeColor="text1"/>
          <w:sz w:val="22"/>
        </w:rPr>
        <w:t>Spatial Information Research</w:t>
      </w:r>
      <w:r w:rsidRPr="008A3A49">
        <w:rPr>
          <w:rFonts w:ascii="Arial" w:hAnsi="Arial" w:cs="Arial"/>
          <w:color w:val="000000" w:themeColor="text1"/>
          <w:sz w:val="22"/>
        </w:rPr>
        <w:t xml:space="preserve">. </w:t>
      </w:r>
      <w:proofErr w:type="spellStart"/>
      <w:proofErr w:type="gramStart"/>
      <w:r w:rsidRPr="008A3A49">
        <w:rPr>
          <w:rFonts w:ascii="Arial" w:hAnsi="Arial" w:cs="Arial"/>
          <w:color w:val="000000" w:themeColor="text1"/>
          <w:sz w:val="22"/>
        </w:rPr>
        <w:t>doi:https</w:t>
      </w:r>
      <w:proofErr w:type="spellEnd"/>
      <w:r w:rsidRPr="008A3A49">
        <w:rPr>
          <w:rFonts w:ascii="Arial" w:hAnsi="Arial" w:cs="Arial"/>
          <w:color w:val="000000" w:themeColor="text1"/>
          <w:sz w:val="22"/>
        </w:rPr>
        <w:t>://doi.org/10.1007/s41324-020-00343-9</w:t>
      </w:r>
      <w:proofErr w:type="gramEnd"/>
      <w:r w:rsidRPr="008A3A49">
        <w:rPr>
          <w:rFonts w:ascii="Arial" w:hAnsi="Arial" w:cs="Arial"/>
          <w:color w:val="000000" w:themeColor="text1"/>
          <w:sz w:val="22"/>
        </w:rPr>
        <w:t>.</w:t>
      </w:r>
      <w:r>
        <w:rPr>
          <w:rFonts w:ascii="Arial" w:hAnsi="Arial" w:cs="Arial"/>
          <w:color w:val="000000" w:themeColor="text1"/>
          <w:sz w:val="22"/>
        </w:rPr>
        <w:t xml:space="preserve"> (Accessed </w:t>
      </w:r>
      <w:r w:rsidR="005F5266">
        <w:rPr>
          <w:rFonts w:ascii="Arial" w:hAnsi="Arial" w:cs="Arial"/>
          <w:color w:val="000000" w:themeColor="text1"/>
          <w:sz w:val="22"/>
        </w:rPr>
        <w:t>01</w:t>
      </w:r>
      <w:r w:rsidR="005F5266" w:rsidRPr="005F5266">
        <w:rPr>
          <w:rFonts w:ascii="Arial" w:hAnsi="Arial" w:cs="Arial"/>
          <w:color w:val="000000" w:themeColor="text1"/>
          <w:sz w:val="22"/>
          <w:vertAlign w:val="superscript"/>
        </w:rPr>
        <w:t>st</w:t>
      </w:r>
      <w:r w:rsidR="005F5266">
        <w:rPr>
          <w:rFonts w:ascii="Arial" w:hAnsi="Arial" w:cs="Arial"/>
          <w:color w:val="000000" w:themeColor="text1"/>
          <w:sz w:val="22"/>
        </w:rPr>
        <w:t xml:space="preserve"> December</w:t>
      </w:r>
      <w:r>
        <w:rPr>
          <w:rFonts w:ascii="Arial" w:hAnsi="Arial" w:cs="Arial"/>
          <w:color w:val="000000" w:themeColor="text1"/>
          <w:sz w:val="22"/>
        </w:rPr>
        <w:t xml:space="preserve"> 2025).</w:t>
      </w:r>
    </w:p>
    <w:p w14:paraId="13FA88EB" w14:textId="5994C6EF" w:rsidR="008A3A49" w:rsidRPr="008A3A49" w:rsidRDefault="008A3A49" w:rsidP="00733343">
      <w:pPr>
        <w:spacing w:line="360" w:lineRule="auto"/>
        <w:jc w:val="both"/>
        <w:rPr>
          <w:rFonts w:ascii="Arial" w:hAnsi="Arial" w:cs="Arial"/>
          <w:color w:val="000000" w:themeColor="text1"/>
          <w:sz w:val="22"/>
        </w:rPr>
      </w:pPr>
      <w:r w:rsidRPr="008A3A49">
        <w:rPr>
          <w:rFonts w:ascii="Arial" w:hAnsi="Arial" w:cs="Arial"/>
          <w:color w:val="000000" w:themeColor="text1"/>
          <w:sz w:val="22"/>
        </w:rPr>
        <w:t>‌</w:t>
      </w:r>
      <w:r w:rsidRPr="008A3A49">
        <w:rPr>
          <w:rFonts w:ascii="Calibri" w:eastAsia="Times New Roman" w:hAnsi="Calibri" w:cs="Calibri"/>
          <w:color w:val="000000"/>
          <w:sz w:val="27"/>
          <w:szCs w:val="27"/>
          <w:lang w:eastAsia="en-GB"/>
        </w:rPr>
        <w:t xml:space="preserve"> </w:t>
      </w:r>
      <w:r w:rsidRPr="008A3A49">
        <w:rPr>
          <w:rFonts w:ascii="Arial" w:hAnsi="Arial" w:cs="Arial"/>
          <w:color w:val="000000" w:themeColor="text1"/>
          <w:sz w:val="22"/>
        </w:rPr>
        <w:t xml:space="preserve">Pazzaglia, C., </w:t>
      </w:r>
      <w:proofErr w:type="spellStart"/>
      <w:r w:rsidRPr="008A3A49">
        <w:rPr>
          <w:rFonts w:ascii="Arial" w:hAnsi="Arial" w:cs="Arial"/>
          <w:color w:val="000000" w:themeColor="text1"/>
          <w:sz w:val="22"/>
        </w:rPr>
        <w:t>Camedda</w:t>
      </w:r>
      <w:proofErr w:type="spellEnd"/>
      <w:r w:rsidRPr="008A3A49">
        <w:rPr>
          <w:rFonts w:ascii="Arial" w:hAnsi="Arial" w:cs="Arial"/>
          <w:color w:val="000000" w:themeColor="text1"/>
          <w:sz w:val="22"/>
        </w:rPr>
        <w:t xml:space="preserve">, C., Ugenti, N.V., Trentin, A., </w:t>
      </w:r>
      <w:proofErr w:type="spellStart"/>
      <w:r w:rsidRPr="008A3A49">
        <w:rPr>
          <w:rFonts w:ascii="Arial" w:hAnsi="Arial" w:cs="Arial"/>
          <w:color w:val="000000" w:themeColor="text1"/>
          <w:sz w:val="22"/>
        </w:rPr>
        <w:t>Scalorbi</w:t>
      </w:r>
      <w:proofErr w:type="spellEnd"/>
      <w:r w:rsidRPr="008A3A49">
        <w:rPr>
          <w:rFonts w:ascii="Arial" w:hAnsi="Arial" w:cs="Arial"/>
          <w:color w:val="000000" w:themeColor="text1"/>
          <w:sz w:val="22"/>
        </w:rPr>
        <w:t>, S. and Longobucco, Y. (2023). Community Health Assessment Tools Adoptable in Nursing Practice: A Scoping Review. </w:t>
      </w:r>
      <w:r w:rsidRPr="008A3A49">
        <w:rPr>
          <w:rFonts w:ascii="Arial" w:hAnsi="Arial" w:cs="Arial"/>
          <w:i/>
          <w:iCs/>
          <w:color w:val="000000" w:themeColor="text1"/>
          <w:sz w:val="22"/>
        </w:rPr>
        <w:t>International Journal of Environmental Research and Public Health</w:t>
      </w:r>
      <w:r w:rsidRPr="008A3A49">
        <w:rPr>
          <w:rFonts w:ascii="Arial" w:hAnsi="Arial" w:cs="Arial"/>
          <w:color w:val="000000" w:themeColor="text1"/>
          <w:sz w:val="22"/>
        </w:rPr>
        <w:t xml:space="preserve">, [online] 20(3). </w:t>
      </w:r>
      <w:proofErr w:type="spellStart"/>
      <w:proofErr w:type="gramStart"/>
      <w:r w:rsidRPr="008A3A49">
        <w:rPr>
          <w:rFonts w:ascii="Arial" w:hAnsi="Arial" w:cs="Arial"/>
          <w:color w:val="000000" w:themeColor="text1"/>
          <w:sz w:val="22"/>
        </w:rPr>
        <w:t>doi:https</w:t>
      </w:r>
      <w:proofErr w:type="spellEnd"/>
      <w:r w:rsidRPr="008A3A49">
        <w:rPr>
          <w:rFonts w:ascii="Arial" w:hAnsi="Arial" w:cs="Arial"/>
          <w:color w:val="000000" w:themeColor="text1"/>
          <w:sz w:val="22"/>
        </w:rPr>
        <w:t>://doi.org/10.3390/ijerph20031667</w:t>
      </w:r>
      <w:proofErr w:type="gramEnd"/>
      <w:r w:rsidRPr="008A3A49">
        <w:rPr>
          <w:rFonts w:ascii="Arial" w:hAnsi="Arial" w:cs="Arial"/>
          <w:color w:val="000000" w:themeColor="text1"/>
          <w:sz w:val="22"/>
        </w:rPr>
        <w:t>.</w:t>
      </w:r>
      <w:r>
        <w:rPr>
          <w:rFonts w:ascii="Arial" w:hAnsi="Arial" w:cs="Arial"/>
          <w:color w:val="000000" w:themeColor="text1"/>
          <w:sz w:val="22"/>
        </w:rPr>
        <w:t xml:space="preserve"> (Accessed 30</w:t>
      </w:r>
      <w:r w:rsidRPr="008A3A49">
        <w:rPr>
          <w:rFonts w:ascii="Arial" w:hAnsi="Arial" w:cs="Arial"/>
          <w:color w:val="000000" w:themeColor="text1"/>
          <w:sz w:val="22"/>
          <w:vertAlign w:val="superscript"/>
        </w:rPr>
        <w:t>th</w:t>
      </w:r>
      <w:r>
        <w:rPr>
          <w:rFonts w:ascii="Arial" w:hAnsi="Arial" w:cs="Arial"/>
          <w:color w:val="000000" w:themeColor="text1"/>
          <w:sz w:val="22"/>
        </w:rPr>
        <w:t xml:space="preserve"> November 2025).</w:t>
      </w:r>
    </w:p>
    <w:p w14:paraId="50CD76BD" w14:textId="21878D6B" w:rsidR="005F5266" w:rsidRDefault="008A3A49" w:rsidP="00733343">
      <w:pPr>
        <w:spacing w:line="360" w:lineRule="auto"/>
        <w:jc w:val="both"/>
        <w:rPr>
          <w:rFonts w:ascii="Arial" w:hAnsi="Arial" w:cs="Arial"/>
          <w:color w:val="000000" w:themeColor="text1"/>
          <w:sz w:val="22"/>
        </w:rPr>
      </w:pPr>
      <w:r w:rsidRPr="008A3A49">
        <w:rPr>
          <w:rFonts w:ascii="Arial" w:hAnsi="Arial" w:cs="Arial"/>
          <w:color w:val="000000" w:themeColor="text1"/>
          <w:sz w:val="22"/>
        </w:rPr>
        <w:t>‌</w:t>
      </w:r>
      <w:r w:rsidR="005F5266" w:rsidRPr="005F5266">
        <w:rPr>
          <w:rFonts w:ascii="Calibri" w:eastAsia="Times New Roman" w:hAnsi="Calibri" w:cs="Calibri"/>
          <w:color w:val="000000"/>
          <w:sz w:val="27"/>
          <w:szCs w:val="27"/>
          <w:lang w:eastAsia="en-GB"/>
        </w:rPr>
        <w:t xml:space="preserve"> </w:t>
      </w:r>
      <w:r w:rsidR="005F5266" w:rsidRPr="005F5266">
        <w:rPr>
          <w:rFonts w:ascii="Arial" w:hAnsi="Arial" w:cs="Arial"/>
          <w:color w:val="000000" w:themeColor="text1"/>
          <w:sz w:val="22"/>
        </w:rPr>
        <w:t>Nierling, L. and Maia, M. (2020). Assistive Technologies: Social Barriers and Socio-Technical Pathways. </w:t>
      </w:r>
      <w:r w:rsidR="005F5266" w:rsidRPr="005F5266">
        <w:rPr>
          <w:rFonts w:ascii="Arial" w:hAnsi="Arial" w:cs="Arial"/>
          <w:i/>
          <w:iCs/>
          <w:color w:val="000000" w:themeColor="text1"/>
          <w:sz w:val="22"/>
        </w:rPr>
        <w:t>Societies</w:t>
      </w:r>
      <w:r w:rsidR="005F5266" w:rsidRPr="005F5266">
        <w:rPr>
          <w:rFonts w:ascii="Arial" w:hAnsi="Arial" w:cs="Arial"/>
          <w:color w:val="000000" w:themeColor="text1"/>
          <w:sz w:val="22"/>
        </w:rPr>
        <w:t xml:space="preserve">, 10(2), p.41. </w:t>
      </w:r>
      <w:proofErr w:type="spellStart"/>
      <w:proofErr w:type="gramStart"/>
      <w:r w:rsidR="005F5266" w:rsidRPr="005F5266">
        <w:rPr>
          <w:rFonts w:ascii="Arial" w:hAnsi="Arial" w:cs="Arial"/>
          <w:color w:val="000000" w:themeColor="text1"/>
          <w:sz w:val="22"/>
        </w:rPr>
        <w:t>doi:https</w:t>
      </w:r>
      <w:proofErr w:type="spellEnd"/>
      <w:r w:rsidR="005F5266" w:rsidRPr="005F5266">
        <w:rPr>
          <w:rFonts w:ascii="Arial" w:hAnsi="Arial" w:cs="Arial"/>
          <w:color w:val="000000" w:themeColor="text1"/>
          <w:sz w:val="22"/>
        </w:rPr>
        <w:t>://doi.org/10.3390/soc10020041</w:t>
      </w:r>
      <w:proofErr w:type="gramEnd"/>
      <w:r w:rsidR="005F5266" w:rsidRPr="005F5266">
        <w:rPr>
          <w:rFonts w:ascii="Arial" w:hAnsi="Arial" w:cs="Arial"/>
          <w:color w:val="000000" w:themeColor="text1"/>
          <w:sz w:val="22"/>
        </w:rPr>
        <w:t>.</w:t>
      </w:r>
      <w:r w:rsidR="005F5266">
        <w:rPr>
          <w:rFonts w:ascii="Arial" w:hAnsi="Arial" w:cs="Arial"/>
          <w:color w:val="000000" w:themeColor="text1"/>
          <w:sz w:val="22"/>
        </w:rPr>
        <w:t xml:space="preserve"> (Accessed 01</w:t>
      </w:r>
      <w:r w:rsidR="005F5266" w:rsidRPr="005F5266">
        <w:rPr>
          <w:rFonts w:ascii="Arial" w:hAnsi="Arial" w:cs="Arial"/>
          <w:color w:val="000000" w:themeColor="text1"/>
          <w:sz w:val="22"/>
          <w:vertAlign w:val="superscript"/>
        </w:rPr>
        <w:t>st</w:t>
      </w:r>
      <w:r w:rsidR="005F5266">
        <w:rPr>
          <w:rFonts w:ascii="Arial" w:hAnsi="Arial" w:cs="Arial"/>
          <w:color w:val="000000" w:themeColor="text1"/>
          <w:sz w:val="22"/>
        </w:rPr>
        <w:t xml:space="preserve"> December 2025).</w:t>
      </w:r>
    </w:p>
    <w:p w14:paraId="09D0FB7C" w14:textId="0ADF49B5" w:rsidR="00F13494" w:rsidRDefault="00F13494" w:rsidP="00733343">
      <w:pPr>
        <w:spacing w:line="360" w:lineRule="auto"/>
        <w:jc w:val="both"/>
        <w:rPr>
          <w:rFonts w:ascii="Arial" w:hAnsi="Arial" w:cs="Arial"/>
          <w:color w:val="000000" w:themeColor="text1"/>
          <w:sz w:val="22"/>
        </w:rPr>
      </w:pPr>
      <w:r w:rsidRPr="00F13494">
        <w:rPr>
          <w:rFonts w:ascii="Arial" w:hAnsi="Arial" w:cs="Arial"/>
          <w:color w:val="000000" w:themeColor="text1"/>
          <w:sz w:val="22"/>
        </w:rPr>
        <w:lastRenderedPageBreak/>
        <w:t>Shamsuddin, S. (2020). Resilience resistance: The challenges and implications of urban resilience implementation. </w:t>
      </w:r>
      <w:r w:rsidRPr="00F13494">
        <w:rPr>
          <w:rFonts w:ascii="Arial" w:hAnsi="Arial" w:cs="Arial"/>
          <w:i/>
          <w:iCs/>
          <w:color w:val="000000" w:themeColor="text1"/>
          <w:sz w:val="22"/>
        </w:rPr>
        <w:t>Cities</w:t>
      </w:r>
      <w:r w:rsidRPr="00F13494">
        <w:rPr>
          <w:rFonts w:ascii="Arial" w:hAnsi="Arial" w:cs="Arial"/>
          <w:color w:val="000000" w:themeColor="text1"/>
          <w:sz w:val="22"/>
        </w:rPr>
        <w:t xml:space="preserve">, 103, p.102763. </w:t>
      </w:r>
      <w:proofErr w:type="spellStart"/>
      <w:proofErr w:type="gramStart"/>
      <w:r w:rsidRPr="00F13494">
        <w:rPr>
          <w:rFonts w:ascii="Arial" w:hAnsi="Arial" w:cs="Arial"/>
          <w:color w:val="000000" w:themeColor="text1"/>
          <w:sz w:val="22"/>
        </w:rPr>
        <w:t>doi:https</w:t>
      </w:r>
      <w:proofErr w:type="spellEnd"/>
      <w:r w:rsidRPr="00F13494">
        <w:rPr>
          <w:rFonts w:ascii="Arial" w:hAnsi="Arial" w:cs="Arial"/>
          <w:color w:val="000000" w:themeColor="text1"/>
          <w:sz w:val="22"/>
        </w:rPr>
        <w:t>://doi.org/10.1016/j.cities.2020.102763</w:t>
      </w:r>
      <w:proofErr w:type="gramEnd"/>
      <w:r w:rsidRPr="00F13494">
        <w:rPr>
          <w:rFonts w:ascii="Arial" w:hAnsi="Arial" w:cs="Arial"/>
          <w:color w:val="000000" w:themeColor="text1"/>
          <w:sz w:val="22"/>
        </w:rPr>
        <w:t>.</w:t>
      </w:r>
      <w:r>
        <w:rPr>
          <w:rFonts w:ascii="Arial" w:hAnsi="Arial" w:cs="Arial"/>
          <w:color w:val="000000" w:themeColor="text1"/>
          <w:sz w:val="22"/>
        </w:rPr>
        <w:t xml:space="preserve"> (Accessed 30</w:t>
      </w:r>
      <w:r w:rsidRPr="00F13494">
        <w:rPr>
          <w:rFonts w:ascii="Arial" w:hAnsi="Arial" w:cs="Arial"/>
          <w:color w:val="000000" w:themeColor="text1"/>
          <w:sz w:val="22"/>
          <w:vertAlign w:val="superscript"/>
        </w:rPr>
        <w:t>th</w:t>
      </w:r>
      <w:r>
        <w:rPr>
          <w:rFonts w:ascii="Arial" w:hAnsi="Arial" w:cs="Arial"/>
          <w:color w:val="000000" w:themeColor="text1"/>
          <w:sz w:val="22"/>
        </w:rPr>
        <w:t xml:space="preserve"> November 2025).</w:t>
      </w:r>
    </w:p>
    <w:p w14:paraId="662012EC" w14:textId="78E16138" w:rsidR="00007559" w:rsidRPr="00007559" w:rsidRDefault="00007559" w:rsidP="00007559">
      <w:pPr>
        <w:spacing w:line="360" w:lineRule="auto"/>
        <w:jc w:val="both"/>
        <w:rPr>
          <w:rFonts w:ascii="Arial" w:hAnsi="Arial" w:cs="Arial"/>
          <w:color w:val="000000" w:themeColor="text1"/>
          <w:sz w:val="22"/>
        </w:rPr>
      </w:pPr>
      <w:r w:rsidRPr="00007559">
        <w:rPr>
          <w:rFonts w:ascii="Arial" w:hAnsi="Arial" w:cs="Arial"/>
          <w:color w:val="000000" w:themeColor="text1"/>
          <w:sz w:val="22"/>
        </w:rPr>
        <w:t>Smith, J.D., Li, D.H. and Rafferty, M.R. (2020). The Implementation Research Logic Model: a Method for planning, executing, reporting, and Synthesizing Implementation Projects. </w:t>
      </w:r>
      <w:r w:rsidRPr="00007559">
        <w:rPr>
          <w:rFonts w:ascii="Arial" w:hAnsi="Arial" w:cs="Arial"/>
          <w:i/>
          <w:iCs/>
          <w:color w:val="000000" w:themeColor="text1"/>
          <w:sz w:val="22"/>
        </w:rPr>
        <w:t>Implementation Science</w:t>
      </w:r>
      <w:r w:rsidRPr="00007559">
        <w:rPr>
          <w:rFonts w:ascii="Arial" w:hAnsi="Arial" w:cs="Arial"/>
          <w:color w:val="000000" w:themeColor="text1"/>
          <w:sz w:val="22"/>
        </w:rPr>
        <w:t xml:space="preserve">, [online] 15(1). Available at: </w:t>
      </w:r>
      <w:hyperlink r:id="rId9" w:history="1">
        <w:r w:rsidRPr="00007559">
          <w:rPr>
            <w:rStyle w:val="Hyperlink"/>
            <w:rFonts w:ascii="Arial" w:hAnsi="Arial" w:cs="Arial"/>
            <w:sz w:val="22"/>
          </w:rPr>
          <w:t>https://link.springer.com/article/10.1186/s13012-020-01041-8</w:t>
        </w:r>
      </w:hyperlink>
      <w:r w:rsidRPr="00007559">
        <w:rPr>
          <w:rFonts w:ascii="Arial" w:hAnsi="Arial" w:cs="Arial"/>
          <w:color w:val="000000" w:themeColor="text1"/>
          <w:sz w:val="22"/>
        </w:rPr>
        <w:t>.</w:t>
      </w:r>
      <w:r>
        <w:rPr>
          <w:rFonts w:ascii="Arial" w:hAnsi="Arial" w:cs="Arial"/>
          <w:color w:val="000000" w:themeColor="text1"/>
          <w:sz w:val="22"/>
        </w:rPr>
        <w:t xml:space="preserve"> (Accessed 01</w:t>
      </w:r>
      <w:r w:rsidRPr="00007559">
        <w:rPr>
          <w:rFonts w:ascii="Arial" w:hAnsi="Arial" w:cs="Arial"/>
          <w:color w:val="000000" w:themeColor="text1"/>
          <w:sz w:val="22"/>
          <w:vertAlign w:val="superscript"/>
        </w:rPr>
        <w:t>st</w:t>
      </w:r>
      <w:r>
        <w:rPr>
          <w:rFonts w:ascii="Arial" w:hAnsi="Arial" w:cs="Arial"/>
          <w:color w:val="000000" w:themeColor="text1"/>
          <w:sz w:val="22"/>
        </w:rPr>
        <w:t xml:space="preserve"> December 2025).</w:t>
      </w:r>
    </w:p>
    <w:p w14:paraId="7782C850" w14:textId="77777777" w:rsidR="00007559" w:rsidRPr="00007559" w:rsidRDefault="00007559" w:rsidP="00007559">
      <w:pPr>
        <w:spacing w:line="360" w:lineRule="auto"/>
        <w:jc w:val="both"/>
        <w:rPr>
          <w:rFonts w:ascii="Arial" w:hAnsi="Arial" w:cs="Arial"/>
          <w:color w:val="000000" w:themeColor="text1"/>
          <w:sz w:val="22"/>
        </w:rPr>
      </w:pPr>
      <w:r w:rsidRPr="00007559">
        <w:rPr>
          <w:rFonts w:ascii="Arial" w:hAnsi="Arial" w:cs="Arial"/>
          <w:color w:val="000000" w:themeColor="text1"/>
          <w:sz w:val="22"/>
        </w:rPr>
        <w:t>‌</w:t>
      </w:r>
    </w:p>
    <w:p w14:paraId="30FA8D35" w14:textId="5FB8D039" w:rsidR="006A3CB8" w:rsidRPr="006A3CB8" w:rsidRDefault="006A3CB8" w:rsidP="006A3CB8">
      <w:pPr>
        <w:spacing w:line="360" w:lineRule="auto"/>
        <w:jc w:val="both"/>
        <w:rPr>
          <w:rFonts w:ascii="Arial" w:hAnsi="Arial" w:cs="Arial"/>
          <w:color w:val="000000" w:themeColor="text1"/>
          <w:sz w:val="22"/>
        </w:rPr>
      </w:pPr>
    </w:p>
    <w:p w14:paraId="1707FB41" w14:textId="77777777" w:rsidR="006A3CB8" w:rsidRPr="006A3CB8" w:rsidRDefault="006A3CB8" w:rsidP="006A3CB8">
      <w:pPr>
        <w:spacing w:line="360" w:lineRule="auto"/>
        <w:jc w:val="both"/>
        <w:rPr>
          <w:rFonts w:ascii="Arial" w:hAnsi="Arial" w:cs="Arial"/>
          <w:color w:val="000000" w:themeColor="text1"/>
          <w:sz w:val="22"/>
        </w:rPr>
      </w:pPr>
      <w:r w:rsidRPr="006A3CB8">
        <w:rPr>
          <w:rFonts w:ascii="Arial" w:hAnsi="Arial" w:cs="Arial"/>
          <w:color w:val="000000" w:themeColor="text1"/>
          <w:sz w:val="22"/>
        </w:rPr>
        <w:t>‌</w:t>
      </w:r>
    </w:p>
    <w:p w14:paraId="070211FF" w14:textId="77777777" w:rsidR="006A3CB8" w:rsidRPr="00F13494" w:rsidRDefault="006A3CB8" w:rsidP="00733343">
      <w:pPr>
        <w:spacing w:line="360" w:lineRule="auto"/>
        <w:jc w:val="both"/>
        <w:rPr>
          <w:rFonts w:ascii="Arial" w:hAnsi="Arial" w:cs="Arial"/>
          <w:color w:val="000000" w:themeColor="text1"/>
          <w:sz w:val="22"/>
        </w:rPr>
      </w:pPr>
    </w:p>
    <w:p w14:paraId="314C8C58" w14:textId="77777777" w:rsidR="00F13494" w:rsidRPr="00F13494" w:rsidRDefault="00F13494" w:rsidP="00733343">
      <w:pPr>
        <w:spacing w:line="360" w:lineRule="auto"/>
        <w:jc w:val="both"/>
        <w:rPr>
          <w:rFonts w:ascii="Arial" w:hAnsi="Arial" w:cs="Arial"/>
          <w:color w:val="000000" w:themeColor="text1"/>
          <w:sz w:val="22"/>
        </w:rPr>
      </w:pPr>
      <w:r w:rsidRPr="00F13494">
        <w:rPr>
          <w:rFonts w:ascii="Arial" w:hAnsi="Arial" w:cs="Arial"/>
          <w:color w:val="000000" w:themeColor="text1"/>
          <w:sz w:val="22"/>
        </w:rPr>
        <w:t>‌</w:t>
      </w:r>
    </w:p>
    <w:p w14:paraId="513544CA" w14:textId="77777777" w:rsidR="00F13494" w:rsidRPr="005F5266" w:rsidRDefault="00F13494" w:rsidP="00733343">
      <w:pPr>
        <w:spacing w:line="360" w:lineRule="auto"/>
        <w:jc w:val="both"/>
        <w:rPr>
          <w:rFonts w:ascii="Arial" w:hAnsi="Arial" w:cs="Arial"/>
          <w:color w:val="000000" w:themeColor="text1"/>
          <w:sz w:val="22"/>
        </w:rPr>
      </w:pPr>
    </w:p>
    <w:p w14:paraId="755112E3" w14:textId="77777777" w:rsidR="005F5266" w:rsidRPr="005F5266" w:rsidRDefault="005F5266" w:rsidP="00733343">
      <w:pPr>
        <w:spacing w:line="360" w:lineRule="auto"/>
        <w:jc w:val="both"/>
        <w:rPr>
          <w:rFonts w:ascii="Arial" w:hAnsi="Arial" w:cs="Arial"/>
          <w:color w:val="000000" w:themeColor="text1"/>
          <w:sz w:val="22"/>
        </w:rPr>
      </w:pPr>
      <w:r w:rsidRPr="005F5266">
        <w:rPr>
          <w:rFonts w:ascii="Arial" w:hAnsi="Arial" w:cs="Arial"/>
          <w:color w:val="000000" w:themeColor="text1"/>
          <w:sz w:val="22"/>
        </w:rPr>
        <w:t>‌</w:t>
      </w:r>
    </w:p>
    <w:p w14:paraId="0D636848" w14:textId="424E93B0" w:rsidR="008A3A49" w:rsidRPr="008A3A49" w:rsidRDefault="008A3A49" w:rsidP="008A3A49">
      <w:pPr>
        <w:rPr>
          <w:rFonts w:ascii="Arial" w:hAnsi="Arial" w:cs="Arial"/>
          <w:color w:val="000000" w:themeColor="text1"/>
          <w:sz w:val="22"/>
        </w:rPr>
      </w:pPr>
    </w:p>
    <w:p w14:paraId="6629CE5D" w14:textId="39A43B84" w:rsidR="008A3A49" w:rsidRPr="008A3A49" w:rsidRDefault="008A3A49" w:rsidP="008A3A49">
      <w:pPr>
        <w:rPr>
          <w:rFonts w:ascii="Arial" w:hAnsi="Arial" w:cs="Arial"/>
          <w:color w:val="000000" w:themeColor="text1"/>
          <w:sz w:val="22"/>
        </w:rPr>
      </w:pPr>
    </w:p>
    <w:p w14:paraId="45CA4C21" w14:textId="77777777" w:rsidR="008A3A49" w:rsidRPr="00BA7E25" w:rsidRDefault="008A3A49" w:rsidP="00BA7E25">
      <w:pPr>
        <w:rPr>
          <w:rFonts w:ascii="Arial" w:hAnsi="Arial" w:cs="Arial"/>
          <w:color w:val="000000" w:themeColor="text1"/>
          <w:sz w:val="22"/>
        </w:rPr>
      </w:pPr>
    </w:p>
    <w:p w14:paraId="7EBA8BE0" w14:textId="77777777" w:rsidR="00BA7E25" w:rsidRPr="00BA7E25" w:rsidRDefault="00BA7E25" w:rsidP="00BA7E25">
      <w:pPr>
        <w:rPr>
          <w:rFonts w:ascii="Arial" w:hAnsi="Arial" w:cs="Arial"/>
          <w:color w:val="000000" w:themeColor="text1"/>
          <w:sz w:val="22"/>
        </w:rPr>
      </w:pPr>
      <w:r w:rsidRPr="00BA7E25">
        <w:rPr>
          <w:rFonts w:ascii="Arial" w:hAnsi="Arial" w:cs="Arial"/>
          <w:color w:val="000000" w:themeColor="text1"/>
          <w:sz w:val="22"/>
        </w:rPr>
        <w:t>‌</w:t>
      </w:r>
    </w:p>
    <w:p w14:paraId="7EADC642" w14:textId="77777777" w:rsidR="00BA7E25" w:rsidRPr="00DA144F" w:rsidRDefault="00BA7E25" w:rsidP="00DA144F">
      <w:pPr>
        <w:rPr>
          <w:rFonts w:ascii="Arial" w:hAnsi="Arial" w:cs="Arial"/>
          <w:color w:val="000000" w:themeColor="text1"/>
          <w:sz w:val="22"/>
        </w:rPr>
      </w:pPr>
    </w:p>
    <w:p w14:paraId="35A25B06" w14:textId="77777777" w:rsidR="00DA144F" w:rsidRPr="00DA144F" w:rsidRDefault="00DA144F" w:rsidP="00DA144F">
      <w:pPr>
        <w:rPr>
          <w:rFonts w:ascii="Arial" w:hAnsi="Arial" w:cs="Arial"/>
          <w:color w:val="000000" w:themeColor="text1"/>
          <w:sz w:val="22"/>
        </w:rPr>
      </w:pPr>
      <w:r w:rsidRPr="00DA144F">
        <w:rPr>
          <w:rFonts w:ascii="Arial" w:hAnsi="Arial" w:cs="Arial"/>
          <w:color w:val="000000" w:themeColor="text1"/>
          <w:sz w:val="22"/>
        </w:rPr>
        <w:t>‌</w:t>
      </w:r>
    </w:p>
    <w:p w14:paraId="741EB5E9" w14:textId="77777777" w:rsidR="00DA144F" w:rsidRPr="00CA1126" w:rsidRDefault="00DA144F" w:rsidP="006E298C">
      <w:pPr>
        <w:rPr>
          <w:rFonts w:ascii="Arial" w:hAnsi="Arial" w:cs="Arial"/>
          <w:color w:val="000000" w:themeColor="text1"/>
          <w:sz w:val="22"/>
        </w:rPr>
      </w:pPr>
    </w:p>
    <w:sectPr w:rsidR="00DA144F" w:rsidRPr="00CA112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16435" w14:textId="77777777" w:rsidR="00837F6D" w:rsidRDefault="00837F6D" w:rsidP="00032A5B">
      <w:pPr>
        <w:spacing w:after="0" w:line="240" w:lineRule="auto"/>
      </w:pPr>
      <w:r>
        <w:separator/>
      </w:r>
    </w:p>
  </w:endnote>
  <w:endnote w:type="continuationSeparator" w:id="0">
    <w:p w14:paraId="1F7FB5DC" w14:textId="77777777" w:rsidR="00837F6D" w:rsidRDefault="00837F6D"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890509"/>
      <w:docPartObj>
        <w:docPartGallery w:val="Page Numbers (Bottom of Page)"/>
        <w:docPartUnique/>
      </w:docPartObj>
    </w:sdtPr>
    <w:sdtEndPr>
      <w:rPr>
        <w:noProof/>
      </w:rPr>
    </w:sdtEndPr>
    <w:sdtContent>
      <w:p w14:paraId="4D0AF3B6" w14:textId="154AEEBA" w:rsidR="008A5D5A" w:rsidRDefault="008A5D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E3E8D9" w14:textId="77777777" w:rsidR="008A5D5A" w:rsidRDefault="008A5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CBBE8" w14:textId="77777777" w:rsidR="00837F6D" w:rsidRDefault="00837F6D" w:rsidP="00032A5B">
      <w:pPr>
        <w:spacing w:after="0" w:line="240" w:lineRule="auto"/>
      </w:pPr>
      <w:r>
        <w:separator/>
      </w:r>
    </w:p>
  </w:footnote>
  <w:footnote w:type="continuationSeparator" w:id="0">
    <w:p w14:paraId="31D4665D" w14:textId="77777777" w:rsidR="00837F6D" w:rsidRDefault="00837F6D"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7559"/>
    <w:rsid w:val="00032A5B"/>
    <w:rsid w:val="00052021"/>
    <w:rsid w:val="000C2375"/>
    <w:rsid w:val="001333C2"/>
    <w:rsid w:val="001F4B75"/>
    <w:rsid w:val="00282572"/>
    <w:rsid w:val="00317E3D"/>
    <w:rsid w:val="003B4C3F"/>
    <w:rsid w:val="003E4ED4"/>
    <w:rsid w:val="004E394D"/>
    <w:rsid w:val="0058218C"/>
    <w:rsid w:val="005F5266"/>
    <w:rsid w:val="006524ED"/>
    <w:rsid w:val="006A3CB8"/>
    <w:rsid w:val="006B2A20"/>
    <w:rsid w:val="006D2F2D"/>
    <w:rsid w:val="006E1FF9"/>
    <w:rsid w:val="006E298C"/>
    <w:rsid w:val="006F27A1"/>
    <w:rsid w:val="00733343"/>
    <w:rsid w:val="00785886"/>
    <w:rsid w:val="007F3A6A"/>
    <w:rsid w:val="00837F6D"/>
    <w:rsid w:val="008600E4"/>
    <w:rsid w:val="008A3A49"/>
    <w:rsid w:val="008A5D5A"/>
    <w:rsid w:val="00940A4E"/>
    <w:rsid w:val="00A12979"/>
    <w:rsid w:val="00A14675"/>
    <w:rsid w:val="00B71A28"/>
    <w:rsid w:val="00BA7E25"/>
    <w:rsid w:val="00BC79FE"/>
    <w:rsid w:val="00BE3746"/>
    <w:rsid w:val="00C558B0"/>
    <w:rsid w:val="00CA1126"/>
    <w:rsid w:val="00D545BA"/>
    <w:rsid w:val="00D83A4E"/>
    <w:rsid w:val="00DA144F"/>
    <w:rsid w:val="00E30E89"/>
    <w:rsid w:val="00E81204"/>
    <w:rsid w:val="00F13494"/>
    <w:rsid w:val="00F81510"/>
    <w:rsid w:val="00FA1054"/>
    <w:rsid w:val="00FA6248"/>
    <w:rsid w:val="00FF26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semiHidden/>
    <w:unhideWhenUsed/>
    <w:rsid w:val="008A3A49"/>
    <w:rPr>
      <w:rFonts w:cs="Times New Roman"/>
      <w:szCs w:val="24"/>
    </w:rPr>
  </w:style>
  <w:style w:type="character" w:styleId="Hyperlink">
    <w:name w:val="Hyperlink"/>
    <w:basedOn w:val="DefaultParagraphFont"/>
    <w:uiPriority w:val="99"/>
    <w:unhideWhenUsed/>
    <w:rsid w:val="006A3CB8"/>
    <w:rPr>
      <w:color w:val="0563C1" w:themeColor="hyperlink"/>
      <w:u w:val="single"/>
    </w:rPr>
  </w:style>
  <w:style w:type="character" w:styleId="UnresolvedMention">
    <w:name w:val="Unresolved Mention"/>
    <w:basedOn w:val="DefaultParagraphFont"/>
    <w:uiPriority w:val="99"/>
    <w:semiHidden/>
    <w:unhideWhenUsed/>
    <w:rsid w:val="006A3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nk.springer.com/article/10.1186/s13012-020-010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2786</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janio bissoli</cp:lastModifiedBy>
  <cp:revision>2</cp:revision>
  <dcterms:created xsi:type="dcterms:W3CDTF">2025-12-01T14:01:00Z</dcterms:created>
  <dcterms:modified xsi:type="dcterms:W3CDTF">2025-12-01T14:01:00Z</dcterms:modified>
</cp:coreProperties>
</file>