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768CB" w14:textId="77777777" w:rsidR="0076366F" w:rsidRDefault="0076366F" w:rsidP="0076366F">
      <w:pPr>
        <w:pStyle w:val="Title"/>
      </w:pPr>
    </w:p>
    <w:p w14:paraId="30EBDCBC" w14:textId="77777777" w:rsidR="0076366F" w:rsidRPr="00513D40" w:rsidRDefault="0076366F" w:rsidP="0076366F">
      <w:pPr>
        <w:rPr>
          <w:sz w:val="28"/>
          <w:szCs w:val="28"/>
        </w:rPr>
      </w:pPr>
      <w:r w:rsidRPr="00513D40">
        <w:rPr>
          <w:b/>
          <w:bCs/>
          <w:sz w:val="28"/>
          <w:szCs w:val="28"/>
        </w:rPr>
        <w:t>Student name</w:t>
      </w:r>
      <w:r w:rsidRPr="00513D40">
        <w:rPr>
          <w:sz w:val="28"/>
          <w:szCs w:val="28"/>
        </w:rPr>
        <w:t xml:space="preserve"> – Anthony Burns</w:t>
      </w:r>
    </w:p>
    <w:p w14:paraId="637FD97C" w14:textId="77777777" w:rsidR="0076366F" w:rsidRPr="00513D40" w:rsidRDefault="0076366F" w:rsidP="0076366F">
      <w:pPr>
        <w:rPr>
          <w:sz w:val="28"/>
          <w:szCs w:val="28"/>
        </w:rPr>
      </w:pPr>
      <w:r w:rsidRPr="00513D40">
        <w:rPr>
          <w:b/>
          <w:bCs/>
          <w:sz w:val="28"/>
          <w:szCs w:val="28"/>
        </w:rPr>
        <w:t>Student code</w:t>
      </w:r>
      <w:r w:rsidRPr="00513D40">
        <w:rPr>
          <w:sz w:val="28"/>
          <w:szCs w:val="28"/>
        </w:rPr>
        <w:t xml:space="preserve"> - 1104353</w:t>
      </w:r>
    </w:p>
    <w:p w14:paraId="3AC744EF" w14:textId="72849FF9" w:rsidR="0076366F" w:rsidRPr="00513D40" w:rsidRDefault="0076366F" w:rsidP="0076366F">
      <w:pPr>
        <w:rPr>
          <w:b/>
          <w:bCs/>
          <w:sz w:val="28"/>
          <w:szCs w:val="28"/>
        </w:rPr>
      </w:pPr>
      <w:r w:rsidRPr="00513D40">
        <w:rPr>
          <w:b/>
          <w:bCs/>
          <w:sz w:val="28"/>
          <w:szCs w:val="28"/>
        </w:rPr>
        <w:t>BMDP70</w:t>
      </w:r>
      <w:r>
        <w:rPr>
          <w:b/>
          <w:bCs/>
          <w:sz w:val="28"/>
          <w:szCs w:val="28"/>
        </w:rPr>
        <w:t>1</w:t>
      </w:r>
      <w:r w:rsidRPr="00513D40">
        <w:rPr>
          <w:b/>
          <w:bCs/>
          <w:sz w:val="28"/>
          <w:szCs w:val="28"/>
        </w:rPr>
        <w:t xml:space="preserve">0 Approaches to Research and Academic Communication </w:t>
      </w:r>
    </w:p>
    <w:p w14:paraId="09AC6B54" w14:textId="037C0A59" w:rsidR="0076366F" w:rsidRPr="00513D40" w:rsidRDefault="0076366F" w:rsidP="0076366F">
      <w:pPr>
        <w:rPr>
          <w:sz w:val="28"/>
          <w:szCs w:val="28"/>
        </w:rPr>
      </w:pPr>
      <w:r w:rsidRPr="00513D40">
        <w:rPr>
          <w:b/>
          <w:bCs/>
          <w:sz w:val="28"/>
          <w:szCs w:val="28"/>
        </w:rPr>
        <w:t>Tutors</w:t>
      </w:r>
      <w:r w:rsidRPr="00513D40">
        <w:rPr>
          <w:sz w:val="28"/>
          <w:szCs w:val="28"/>
        </w:rPr>
        <w:t xml:space="preserve"> – Dr</w:t>
      </w:r>
      <w:r>
        <w:rPr>
          <w:sz w:val="28"/>
          <w:szCs w:val="28"/>
        </w:rPr>
        <w:t xml:space="preserve"> Laura James</w:t>
      </w:r>
    </w:p>
    <w:p w14:paraId="369E3B93" w14:textId="1BAEB0A8" w:rsidR="0076366F" w:rsidRPr="00513D40" w:rsidRDefault="0076366F" w:rsidP="0076366F">
      <w:pPr>
        <w:rPr>
          <w:b/>
          <w:bCs/>
          <w:sz w:val="28"/>
          <w:szCs w:val="28"/>
        </w:rPr>
      </w:pPr>
      <w:r w:rsidRPr="00513D40">
        <w:rPr>
          <w:b/>
          <w:bCs/>
          <w:sz w:val="28"/>
          <w:szCs w:val="28"/>
        </w:rPr>
        <w:t>Portfolio written component</w:t>
      </w:r>
    </w:p>
    <w:p w14:paraId="6F6049DF" w14:textId="42D28AB1" w:rsidR="0076366F" w:rsidRPr="00513D40" w:rsidRDefault="0076366F" w:rsidP="0076366F">
      <w:pPr>
        <w:rPr>
          <w:sz w:val="28"/>
          <w:szCs w:val="28"/>
        </w:rPr>
      </w:pPr>
      <w:r w:rsidRPr="00513D40">
        <w:rPr>
          <w:sz w:val="28"/>
          <w:szCs w:val="28"/>
        </w:rPr>
        <w:t>1.</w:t>
      </w:r>
      <w:r w:rsidRPr="00513D40">
        <w:rPr>
          <w:sz w:val="28"/>
          <w:szCs w:val="28"/>
        </w:rPr>
        <w:tab/>
        <w:t xml:space="preserve">Written assignment of </w:t>
      </w:r>
      <w:r>
        <w:rPr>
          <w:sz w:val="28"/>
          <w:szCs w:val="28"/>
        </w:rPr>
        <w:t>7,5</w:t>
      </w:r>
      <w:r w:rsidRPr="00513D40">
        <w:rPr>
          <w:sz w:val="28"/>
          <w:szCs w:val="28"/>
        </w:rPr>
        <w:t>00 words</w:t>
      </w:r>
    </w:p>
    <w:p w14:paraId="638F3A08" w14:textId="3796D16D" w:rsidR="0076366F" w:rsidRPr="0076366F" w:rsidRDefault="0076366F" w:rsidP="0076366F">
      <w:pPr>
        <w:rPr>
          <w:sz w:val="28"/>
          <w:szCs w:val="28"/>
        </w:rPr>
      </w:pPr>
      <w:r w:rsidRPr="0076366F">
        <w:rPr>
          <w:sz w:val="28"/>
          <w:szCs w:val="28"/>
        </w:rPr>
        <w:t>Portfolio of work equivalent to 7500 Words.</w:t>
      </w:r>
    </w:p>
    <w:p w14:paraId="5A922AEC" w14:textId="5169D14C" w:rsidR="0076366F" w:rsidRPr="00513D40" w:rsidRDefault="0076366F" w:rsidP="0076366F">
      <w:pPr>
        <w:rPr>
          <w:sz w:val="28"/>
          <w:szCs w:val="28"/>
        </w:rPr>
      </w:pPr>
      <w:r w:rsidRPr="00513D40">
        <w:rPr>
          <w:b/>
          <w:bCs/>
          <w:sz w:val="28"/>
          <w:szCs w:val="28"/>
        </w:rPr>
        <w:t>Submission deadline</w:t>
      </w:r>
      <w:r w:rsidRPr="00513D40">
        <w:rPr>
          <w:sz w:val="28"/>
          <w:szCs w:val="28"/>
        </w:rPr>
        <w:t xml:space="preserve"> – </w:t>
      </w:r>
      <w:r>
        <w:rPr>
          <w:sz w:val="28"/>
          <w:szCs w:val="28"/>
        </w:rPr>
        <w:t>22</w:t>
      </w:r>
      <w:r w:rsidRPr="0076366F">
        <w:rPr>
          <w:sz w:val="28"/>
          <w:szCs w:val="28"/>
          <w:vertAlign w:val="superscript"/>
        </w:rPr>
        <w:t>nd</w:t>
      </w:r>
      <w:r>
        <w:rPr>
          <w:sz w:val="28"/>
          <w:szCs w:val="28"/>
        </w:rPr>
        <w:t xml:space="preserve"> May</w:t>
      </w:r>
      <w:r w:rsidRPr="00513D40">
        <w:rPr>
          <w:sz w:val="28"/>
          <w:szCs w:val="28"/>
        </w:rPr>
        <w:t xml:space="preserve"> 2026</w:t>
      </w:r>
    </w:p>
    <w:p w14:paraId="34857B73" w14:textId="77777777" w:rsidR="0076366F" w:rsidRDefault="0076366F" w:rsidP="0076366F">
      <w:r>
        <w:br w:type="page"/>
      </w:r>
    </w:p>
    <w:p w14:paraId="7FDDAAD6" w14:textId="77777777" w:rsidR="0076366F" w:rsidRPr="00DE50A2" w:rsidRDefault="0076366F" w:rsidP="0076366F">
      <w:pPr>
        <w:rPr>
          <w:b/>
          <w:bCs/>
          <w:sz w:val="28"/>
          <w:szCs w:val="28"/>
        </w:rPr>
      </w:pPr>
      <w:r w:rsidRPr="00DE50A2">
        <w:rPr>
          <w:b/>
          <w:bCs/>
          <w:sz w:val="28"/>
          <w:szCs w:val="28"/>
        </w:rPr>
        <w:lastRenderedPageBreak/>
        <w:t>Acknowledgement of the use of AI tools</w:t>
      </w:r>
    </w:p>
    <w:p w14:paraId="75EFDF8E" w14:textId="43147AFF" w:rsidR="0076366F" w:rsidRDefault="0076366F" w:rsidP="0076366F">
      <w:r>
        <w:t xml:space="preserve">I acknowledge the use of (https://Elicit.com/) on </w:t>
      </w:r>
      <w:r w:rsidR="008F7F07">
        <w:t>7</w:t>
      </w:r>
      <w:r>
        <w:t xml:space="preserve">th </w:t>
      </w:r>
      <w:r w:rsidR="008F7F07">
        <w:t>April</w:t>
      </w:r>
      <w:r>
        <w:t xml:space="preserve"> 202</w:t>
      </w:r>
      <w:r w:rsidR="008F7F07">
        <w:t>6</w:t>
      </w:r>
      <w:r>
        <w:t xml:space="preserve"> to find academic research papers covering my research area, using the prompt:</w:t>
      </w:r>
    </w:p>
    <w:p w14:paraId="2C408763" w14:textId="03054DD5" w:rsidR="0076366F" w:rsidRDefault="0076366F" w:rsidP="0076366F">
      <w:pPr>
        <w:pStyle w:val="ListParagraph"/>
        <w:numPr>
          <w:ilvl w:val="0"/>
          <w:numId w:val="12"/>
        </w:numPr>
        <w:spacing w:after="200" w:line="276" w:lineRule="auto"/>
      </w:pPr>
      <w:r w:rsidRPr="00526E8F">
        <w:t xml:space="preserve">Locate peer-reviewed academic research examining </w:t>
      </w:r>
      <w:r>
        <w:t>formal and informal knowledge, tacit and explicit knowledge</w:t>
      </w:r>
      <w:r w:rsidR="008F7F07">
        <w:t xml:space="preserve"> and </w:t>
      </w:r>
      <w:r w:rsidR="008F7F07" w:rsidRPr="008F7F07">
        <w:t>Autoethnography</w:t>
      </w:r>
    </w:p>
    <w:p w14:paraId="1ED17CC1" w14:textId="77777777" w:rsidR="0076366F" w:rsidRDefault="0076366F" w:rsidP="0076366F">
      <w:r>
        <w:t>I confirm that I have not presented any AI generated text as my own work. I confirm I have copies of my drafts, notes, and other resources I used before, and after the use of AI tools which I may be asked to provide in evidence.</w:t>
      </w:r>
    </w:p>
    <w:p w14:paraId="65ABB268" w14:textId="77777777" w:rsidR="0076366F" w:rsidRDefault="0076366F" w:rsidP="0076366F"/>
    <w:p w14:paraId="06E825C3" w14:textId="57C8F08A" w:rsidR="0076366F" w:rsidRDefault="0076366F" w:rsidP="0076366F">
      <w:r>
        <w:t xml:space="preserve">I acknowledge the use of Grammarly (https://www.grammarly.com/) on </w:t>
      </w:r>
      <w:r w:rsidR="008F7F07">
        <w:t>28</w:t>
      </w:r>
      <w:r w:rsidR="008F7F07" w:rsidRPr="008F7F07">
        <w:rPr>
          <w:vertAlign w:val="superscript"/>
        </w:rPr>
        <w:t>th</w:t>
      </w:r>
      <w:r w:rsidR="008F7F07">
        <w:t xml:space="preserve"> April</w:t>
      </w:r>
      <w:r>
        <w:t xml:space="preserve"> 20</w:t>
      </w:r>
      <w:r w:rsidR="008F7F07">
        <w:t>26</w:t>
      </w:r>
      <w:r>
        <w:t xml:space="preserve"> to check my work using the prompt:</w:t>
      </w:r>
    </w:p>
    <w:p w14:paraId="12FD657C" w14:textId="77777777" w:rsidR="0076366F" w:rsidRDefault="0076366F" w:rsidP="0076366F">
      <w:pPr>
        <w:pStyle w:val="ListParagraph"/>
        <w:numPr>
          <w:ilvl w:val="0"/>
          <w:numId w:val="11"/>
        </w:numPr>
        <w:spacing w:after="200" w:line="276" w:lineRule="auto"/>
      </w:pPr>
      <w:r>
        <w:t>Please check the following text for readability, grammar and syntax.</w:t>
      </w:r>
    </w:p>
    <w:p w14:paraId="1E2B1001" w14:textId="77777777" w:rsidR="0076366F" w:rsidRDefault="0076366F" w:rsidP="0076366F">
      <w:r>
        <w:t>I confirm that I have not presented any AI generated text as my own work. I confirm I have copies of my drafts, notes, and other resources I used before, and after the use of AI tools which I may be asked to provide in evidence.</w:t>
      </w:r>
    </w:p>
    <w:p w14:paraId="7511B48D" w14:textId="77777777" w:rsidR="0076366F" w:rsidRDefault="0076366F" w:rsidP="0076366F"/>
    <w:p w14:paraId="43487C49" w14:textId="77777777" w:rsidR="0076366F" w:rsidRDefault="0076366F" w:rsidP="0076366F"/>
    <w:p w14:paraId="4ED4C81F" w14:textId="77777777" w:rsidR="0076366F" w:rsidRDefault="0076366F" w:rsidP="0076366F"/>
    <w:p w14:paraId="540E31AA" w14:textId="77777777" w:rsidR="0076366F" w:rsidRDefault="0076366F" w:rsidP="0076366F"/>
    <w:p w14:paraId="3F942FE2" w14:textId="77777777" w:rsidR="0076366F" w:rsidRDefault="0076366F" w:rsidP="0076366F"/>
    <w:p w14:paraId="32FDC4DF" w14:textId="77777777" w:rsidR="0076366F" w:rsidRDefault="0076366F" w:rsidP="0076366F"/>
    <w:p w14:paraId="4C767BB3" w14:textId="77777777" w:rsidR="0076366F" w:rsidRDefault="0076366F" w:rsidP="0076366F"/>
    <w:p w14:paraId="78744FF3" w14:textId="77777777" w:rsidR="0076366F" w:rsidRDefault="0076366F" w:rsidP="0076366F"/>
    <w:p w14:paraId="212C19E3" w14:textId="77777777" w:rsidR="0076366F" w:rsidRDefault="0076366F" w:rsidP="0076366F"/>
    <w:p w14:paraId="33E9CFA4" w14:textId="77777777" w:rsidR="0076366F" w:rsidRDefault="0076366F" w:rsidP="0076366F"/>
    <w:p w14:paraId="2BCF8692" w14:textId="77777777" w:rsidR="0076366F" w:rsidRDefault="0076366F" w:rsidP="0076366F"/>
    <w:p w14:paraId="536A4729" w14:textId="77777777" w:rsidR="0076366F" w:rsidRDefault="0076366F" w:rsidP="0076366F"/>
    <w:p w14:paraId="6ED2F8D9" w14:textId="77777777" w:rsidR="0076366F" w:rsidRDefault="0076366F" w:rsidP="007952E3">
      <w:pPr>
        <w:ind w:left="720" w:hanging="360"/>
      </w:pPr>
    </w:p>
    <w:p w14:paraId="06D90DA0" w14:textId="77777777" w:rsidR="0076366F" w:rsidRDefault="0076366F" w:rsidP="007952E3">
      <w:pPr>
        <w:ind w:left="720" w:hanging="360"/>
      </w:pPr>
    </w:p>
    <w:p w14:paraId="3DAFB685" w14:textId="77777777" w:rsidR="0076366F" w:rsidRDefault="0076366F" w:rsidP="007952E3">
      <w:pPr>
        <w:ind w:left="720" w:hanging="360"/>
      </w:pPr>
    </w:p>
    <w:p w14:paraId="44F40A3B" w14:textId="77777777" w:rsidR="0076366F" w:rsidRDefault="0076366F" w:rsidP="007952E3">
      <w:pPr>
        <w:ind w:left="720" w:hanging="360"/>
      </w:pPr>
    </w:p>
    <w:p w14:paraId="6F1CD786" w14:textId="77777777" w:rsidR="0076366F" w:rsidRDefault="0076366F" w:rsidP="007952E3">
      <w:pPr>
        <w:ind w:left="720" w:hanging="360"/>
      </w:pPr>
    </w:p>
    <w:p w14:paraId="4BC519E3" w14:textId="77777777" w:rsidR="0076366F" w:rsidRDefault="0076366F" w:rsidP="007952E3">
      <w:pPr>
        <w:ind w:left="720" w:hanging="360"/>
      </w:pPr>
    </w:p>
    <w:p w14:paraId="1851689F" w14:textId="77777777" w:rsidR="0076366F" w:rsidRDefault="0076366F" w:rsidP="007952E3">
      <w:pPr>
        <w:ind w:left="720" w:hanging="360"/>
      </w:pPr>
    </w:p>
    <w:p w14:paraId="0E316DE3" w14:textId="7437E36A" w:rsidR="0035407C" w:rsidRPr="00BA0948" w:rsidRDefault="0035407C" w:rsidP="007952E3">
      <w:pPr>
        <w:pStyle w:val="ListParagraph"/>
        <w:numPr>
          <w:ilvl w:val="0"/>
          <w:numId w:val="10"/>
        </w:numPr>
      </w:pPr>
      <w:r w:rsidRPr="00BA0948">
        <w:t>Critical Review of Professional Learning</w:t>
      </w:r>
    </w:p>
    <w:p w14:paraId="195156CA" w14:textId="77777777" w:rsidR="0035407C" w:rsidRPr="00BA0948" w:rsidRDefault="0035407C" w:rsidP="0035407C">
      <w:r w:rsidRPr="00BA0948">
        <w:t>1.1 Introduction: Professional Learning as Complex, Situated and Contested</w:t>
      </w:r>
    </w:p>
    <w:p w14:paraId="4A6A4ABC" w14:textId="71704B01" w:rsidR="00E57A59" w:rsidRPr="00BA0948" w:rsidRDefault="00E57A59" w:rsidP="0035407C">
      <w:r w:rsidRPr="00BA0948">
        <w:t xml:space="preserve">Professional learning within higher education cannot be adequately understood through linear, competency-based, or purely formal models of development (Eraut, 2004; </w:t>
      </w:r>
      <w:proofErr w:type="spellStart"/>
      <w:r w:rsidRPr="00BA0948">
        <w:t>Sfard</w:t>
      </w:r>
      <w:proofErr w:type="spellEnd"/>
      <w:r w:rsidRPr="00BA0948">
        <w:t>, 1998; Lave &amp; Wenger, 1991). While such models remain institutionally dominant due to their alignment with audit cultures, accountability frameworks, and the increasing demand for measurable outcomes (Ball, 2003; Biesta, 2009; Shore &amp; Wright, 2015), they offer only a partial and arguably reductionist account of how learning occurs in practice. In such frameworks, learning is often conceptualised as the acquisition of discrete skills or knowledge units that can be demonstrated, assessed, and recorded (</w:t>
      </w:r>
      <w:proofErr w:type="spellStart"/>
      <w:r w:rsidRPr="00BA0948">
        <w:t>Sfard</w:t>
      </w:r>
      <w:proofErr w:type="spellEnd"/>
      <w:r w:rsidRPr="00BA0948">
        <w:t xml:space="preserve">, 1998). However, </w:t>
      </w:r>
      <w:r w:rsidR="006B1E5A" w:rsidRPr="00BA0948">
        <w:t>these fram</w:t>
      </w:r>
      <w:r w:rsidR="00324121">
        <w:t>eworks</w:t>
      </w:r>
      <w:r w:rsidR="006B1E5A" w:rsidRPr="00BA0948">
        <w:t xml:space="preserve"> risk</w:t>
      </w:r>
      <w:r w:rsidRPr="00BA0948">
        <w:t xml:space="preserve"> obscuring the more subtle, emergent, and socially embedded dimensions of professional learning that occur in everyday practice (Eraut, 2004; Lave &amp; Wenger, 1991; Boud &amp; Hager, 2012).</w:t>
      </w:r>
    </w:p>
    <w:p w14:paraId="71B24A91" w14:textId="77777777" w:rsidR="0035407C" w:rsidRPr="00BA0948" w:rsidRDefault="0035407C" w:rsidP="0035407C">
      <w:r w:rsidRPr="00BA0948">
        <w:t xml:space="preserve">A more convincing conceptualisation positions professional learning as complex, socially situated, and contextually mediated, shaped by the interaction between institutional structures, professional identity, material conditions, and multiple forms of knowledge (Barnett, 2000; Blackler, 1995). From this perspective, learning is not something that is simply “delivered” or “received,” but something that is actively constructed through participation in practice. This perspective is strongly supported by cognitive and learning sciences research, which emphasises the importance of prior knowledge structures and scaffolded learning environments in shaping understanding (Bransford, Brown and Cocking, 2000). It is also consistent with sociocultural theory, which positions learning as mediated through interaction, language, and social context (Vygotsky, 1978). In higher education, this connects with scholarship suggesting that teaching involves the active transformation of knowledge rather than simple transmission (Prosser and </w:t>
      </w:r>
      <w:proofErr w:type="spellStart"/>
      <w:r w:rsidRPr="00BA0948">
        <w:t>Trigwell</w:t>
      </w:r>
      <w:proofErr w:type="spellEnd"/>
      <w:r w:rsidRPr="00BA0948">
        <w:t xml:space="preserve">, 1999; Boyle and </w:t>
      </w:r>
      <w:proofErr w:type="spellStart"/>
      <w:r w:rsidRPr="00BA0948">
        <w:t>Trigwell</w:t>
      </w:r>
      <w:proofErr w:type="spellEnd"/>
      <w:r w:rsidRPr="00BA0948">
        <w:t>, 2004), while broader systemic perspectives highlight the emergence of hybrid knowledge systems across academic and professional domains (Gibbons et al., 1994; Johnson and Majewska, 2022). This reflects a broader epistemological shift in the literature from acquisition-based models of learning towards participation-based and practice-oriented perspectives, where knowledge is understood as something enacted rather than possessed (Lave and Wenger, 1991).</w:t>
      </w:r>
    </w:p>
    <w:p w14:paraId="5812B36C" w14:textId="39F030A6" w:rsidR="00E3552C" w:rsidRPr="00BA0948" w:rsidRDefault="00E3552C" w:rsidP="0035407C">
      <w:r w:rsidRPr="00BA0948">
        <w:t xml:space="preserve">This </w:t>
      </w:r>
      <w:proofErr w:type="spellStart"/>
      <w:r w:rsidRPr="00BA0948">
        <w:t>reconceptualisation</w:t>
      </w:r>
      <w:proofErr w:type="spellEnd"/>
      <w:r w:rsidRPr="00BA0948">
        <w:t xml:space="preserve"> becomes particularly evident when examined through my own professional experience in higher education, which reflects broader critiques of formalised models of professional learning (Eraut, 2004; Boud &amp; Hager, 2012). Initially, I understood professional learning largely in terms of formal development activities, such as attending workshops, training sessions, and structured institutional programmes, which aligns with traditional “training transfer” assumptions in professional development literature (Eraut, 2004; </w:t>
      </w:r>
      <w:proofErr w:type="spellStart"/>
      <w:r w:rsidRPr="00BA0948">
        <w:t>Guskey</w:t>
      </w:r>
      <w:proofErr w:type="spellEnd"/>
      <w:r w:rsidRPr="00BA0948">
        <w:t xml:space="preserve">, 2002). For example, a university-led session on artificial intelligence in education provided a structured introduction to emerging technologies and their potential applications in teaching and assessment, reflecting wider institutional discourses around digital transformation in higher education (Selwyn, 2019; Williamson &amp; Eynon, 2020). The session was well-designed, content-rich, and aligned with institutional priorities around digital transformation and educational innovation (Jisc, 2019). However, while it offered valuable conceptual insights, research on professional learning suggests that such formal interventions do not automatically translate into sustained changes in practice without contextual </w:t>
      </w:r>
      <w:r w:rsidRPr="00BA0948">
        <w:lastRenderedPageBreak/>
        <w:t xml:space="preserve">embedding, reflection, and experiential integration (Bates &amp; </w:t>
      </w:r>
      <w:proofErr w:type="spellStart"/>
      <w:r w:rsidRPr="00BA0948">
        <w:t>Khasawneh</w:t>
      </w:r>
      <w:proofErr w:type="spellEnd"/>
      <w:r w:rsidRPr="00BA0948">
        <w:t>, 2007; Eraut, 2004). This was reflected in my own experience, where the session did not in itself result in meaningful or sustained changes to my practice.</w:t>
      </w:r>
    </w:p>
    <w:p w14:paraId="3C05E59D" w14:textId="4672D6C6" w:rsidR="00A814AF" w:rsidRPr="00BA0948" w:rsidRDefault="00A814AF" w:rsidP="0035407C">
      <w:r w:rsidRPr="00BA0948">
        <w:t>Instead, the most significant learning occurred in the subsequent process of attempting to interpret, adapt, and apply this knowledge within my own teaching context, consistent with practice-based accounts of professional learning (Billett, 2001; Eraut, 2004). This involved experimentation with new pedagogical approaches, negotiation of uncertainty, and iterative refinement of practice in response to student engagement and feedback, reflecting experiential learning processes described in Kolb’s (1984) learning cycle. Importantly, this process was neither linear nor predictable, aligning with critiques of cyclical learning models that highlight their limitations in capturing the messy and contingent nature of professional practice (Fenwick, 2008). It unfolded over time, through cycles of trial, error, reflection, and adjustment, which is consistent with scholarship on workplace learning as emergent and socially situated (Lave &amp; Wenger, 1991; Boud &amp; Hager, 2012). Such experiences highlight a persistent disjuncture between formal knowledge acquisition and situated application, reinforcing Eraut’s (2004) argument that professional learning is fundamentally embedded within practice rather than external to it.</w:t>
      </w:r>
    </w:p>
    <w:p w14:paraId="493ABDCB" w14:textId="3A6FDF4B" w:rsidR="00663C01" w:rsidRPr="00BA0948" w:rsidRDefault="00663C01" w:rsidP="0035407C">
      <w:r w:rsidRPr="00BA0948">
        <w:t>However, situated and practice-based learning introduces important tensions that are well documented in workplace and professional learning literature (Eraut, 2004; Fenwick, 2008; Boud &amp; Hager, 2012). Informal and experiential learning offer responsiveness to context and enable professionals to navigate complexity in real time, yet they often lack visibility, legitimacy, and formal recognition within institutional frameworks shaped by audit cultures and performativity regimes (Ball, 2003; Shore &amp; Wright, 2015). Conversely, formal learning provides structure, validation, and coherence, but frequently fails to engage with the ambiguity, contingency, and unpredictability of real-world practice, a limitation widely noted in critiques of competence-based and training-oriented models of professional development (</w:t>
      </w:r>
      <w:proofErr w:type="spellStart"/>
      <w:r w:rsidRPr="00BA0948">
        <w:t>Sfard</w:t>
      </w:r>
      <w:proofErr w:type="spellEnd"/>
      <w:r w:rsidRPr="00BA0948">
        <w:t>, 1998; Eraut, 2004). My own experience reflects this unresolved tension, particularly in balancing institutional expectations for formal professional development with the lived realities of teaching, administrative responsibilities, and doctoral study, which aligns with broader accounts of workload fragmentation in contemporary higher education (Barnett, 2000; Tight, 2010). These competing demands suggest that professional learning is not only complex but also deeply contested, shaped by differing assumptions about what constitutes legitimate knowledge and how it should be developed, recognised, and valued (Lave &amp; Wenger, 1991; Gherardi, 2006).</w:t>
      </w:r>
    </w:p>
    <w:p w14:paraId="2C9C1F9C" w14:textId="77777777" w:rsidR="0035407C" w:rsidRPr="00BA0948" w:rsidRDefault="0035407C" w:rsidP="0035407C">
      <w:r w:rsidRPr="00BA0948">
        <w:t>1.2 Informal Learning: Centrality, Fluidity and Critical Limitations</w:t>
      </w:r>
    </w:p>
    <w:p w14:paraId="7C758094" w14:textId="77777777" w:rsidR="0035407C" w:rsidRPr="00BA0948" w:rsidRDefault="0035407C" w:rsidP="0035407C">
      <w:r w:rsidRPr="00BA0948">
        <w:t xml:space="preserve">A central insight emerging from my professional experience is that learning in higher education is predominantly informal, occurring through everyday activities such as teaching, collaboration with colleagues, student interaction, administrative problem-solving, and engagement with institutional processes rather than through structured programmes alone. This challenges simplistic distinctions between formal and informal learning, which have been critiqued as overly rigid in adult education literature (Jarvis, 2010; Johnson and Majewska, 2022). From a sociocultural perspective, such learning is socially mediated and co-constructed through interaction, consistent with Vygotskian accounts of development (Vygotsky, 1978). However, workplace learning research also highlights that such processes are not inherently progressive and may reinforce existing norms and practices if not critically examined (Faller, Lundgren and </w:t>
      </w:r>
      <w:proofErr w:type="spellStart"/>
      <w:r w:rsidRPr="00BA0948">
        <w:t>Marsick</w:t>
      </w:r>
      <w:proofErr w:type="spellEnd"/>
      <w:r w:rsidRPr="00BA0948">
        <w:t xml:space="preserve">, 2020). This aligns with </w:t>
      </w:r>
      <w:proofErr w:type="spellStart"/>
      <w:r w:rsidRPr="00BA0948">
        <w:t>Marsick</w:t>
      </w:r>
      <w:proofErr w:type="spellEnd"/>
      <w:r w:rsidRPr="00BA0948">
        <w:t xml:space="preserve"> and Watkins’ (1990) conceptualisation of informal and </w:t>
      </w:r>
      <w:r w:rsidRPr="00BA0948">
        <w:lastRenderedPageBreak/>
        <w:t>incidental learning, which distinguishes between implicit, reactive, and deliberative forms of learning. However, while this typology offers a useful heuristic for categorising different forms of learning, its application in practice reveals significant limitations.</w:t>
      </w:r>
    </w:p>
    <w:p w14:paraId="1474F2A2" w14:textId="77777777" w:rsidR="00431506" w:rsidRPr="00BA0948" w:rsidRDefault="00431506" w:rsidP="0035407C">
      <w:r w:rsidRPr="00BA0948">
        <w:t xml:space="preserve">In reality, these categories are not discrete but deeply intertwined, consistent with critiques of formal/informal learning distinctions in workplace learning literature (Colley, Hodkinson, &amp; Malcolm, 2003; Eraut, 2004). For instance, my experience of supervising MBA dissertations revealed gaps in my methodological knowledge, particularly in relation to qualitative research design and epistemological positioning, reflecting the complexity and contested nature of research supervision in higher education (Lee, 2008; Kiley, 2015). This initially prompted a reactive form of learning, as I sought immediate solutions to support students effectively, aligning with Eraut’s (2004) distinction between reactive and deliberative workplace learning. However, this subsequently developed into more deliberate engagement with research design literature, methodological texts, and supervisory guidance frameworks, consistent with conceptions of research supervision as a developmental and experiential practice (Halse &amp; </w:t>
      </w:r>
      <w:proofErr w:type="spellStart"/>
      <w:r w:rsidRPr="00BA0948">
        <w:t>Malfroy</w:t>
      </w:r>
      <w:proofErr w:type="spellEnd"/>
      <w:r w:rsidRPr="00BA0948">
        <w:t>, 2010). What began as an urgent, practice-driven response evolved into a sustained and reflective learning process, reflecting broader accounts of professional learning as iterative, situated, and experience-based (Boud &amp; Hager, 2012; Lave &amp; Wenger, 1991).</w:t>
      </w:r>
    </w:p>
    <w:p w14:paraId="11244A59" w14:textId="28028AAC" w:rsidR="0015387E" w:rsidRPr="00BA0948" w:rsidRDefault="0015387E" w:rsidP="0035407C">
      <w:r w:rsidRPr="00BA0948">
        <w:t>Similarly, implicit learning occurs through observing colleagues’ teaching approaches, communication styles, and assessment practices, consistent with sociocultural and situated accounts of workplace learning (Lave &amp; Wenger, 1991; Eraut, 2004). These influences are often unarticulated and unacknowledged at the time, becoming visible only retrospectively when reflecting on changes in one’s own practice, which aligns with research on tacit and informal dimensions of professional learning (Polanyi, 1966; Boud &amp; Hager, 2012). For example, I gradually adopted more dialogic approaches to teaching after observing colleagues who effectively used questioning strategies to stimulate student engagement, reflecting scholarship on dialogic pedagogy in higher education (Alexander, 2008; Mercer &amp; Howe, 2012). This learning was not formally taught, nor consciously planned; rather, it emerged through participation in a shared professional environment, consistent with communities of practice theory in which learning is understood as participation in social practice rather than formal instruction (Wenger, 1998; Lave &amp; Wenger, 1991).</w:t>
      </w:r>
    </w:p>
    <w:p w14:paraId="2F968F0C" w14:textId="77777777" w:rsidR="009F0649" w:rsidRPr="00BA0948" w:rsidRDefault="009F0649" w:rsidP="0035407C">
      <w:r w:rsidRPr="00BA0948">
        <w:t>Incidental learning is particularly evident within my teaching practice and aligns with workplace learning literature that emphasises learning arising unexpectedly through engagement with practice rather than formal instruction (</w:t>
      </w:r>
      <w:proofErr w:type="spellStart"/>
      <w:r w:rsidRPr="00BA0948">
        <w:t>Marsick</w:t>
      </w:r>
      <w:proofErr w:type="spellEnd"/>
      <w:r w:rsidRPr="00BA0948">
        <w:t xml:space="preserve"> &amp; Watkins, 1990; Eraut, 2004). When delivering lectures on economic concepts, I initially relied heavily on abstract theoretical explanations supported by structured slides and formal definitions, reflecting both disciplinary conventions and prior experiences of transmission-oriented higher education teaching (</w:t>
      </w:r>
      <w:proofErr w:type="spellStart"/>
      <w:r w:rsidRPr="00BA0948">
        <w:t>Trigwell</w:t>
      </w:r>
      <w:proofErr w:type="spellEnd"/>
      <w:r w:rsidRPr="00BA0948">
        <w:t xml:space="preserve"> &amp; Prosser, 1996; Biggs &amp; Tang, 2011). However, observing student disengagement, limited participation, and later reviewing assessment performance indicated that this approach was not sufficiently effective for many learners, consistent with research highlighting the limitations of didactic teaching approaches in promoting deep learning (Entwistle, 2009). This prompted an unplanned but significant shift in my pedagogical approach, incorporating more applied examples, case-based discussions, and interactive classroom activities, which aligns with constructivist and student-centred learning theories (Prince, 2004; Biggs &amp; Tang, 2011). Importantly, this learning did not occur through formal pedagogical training or pre-planned curriculum redesign, but emerged directly from engagement with practice itself, reflecting situated accounts of </w:t>
      </w:r>
      <w:r w:rsidRPr="00BA0948">
        <w:lastRenderedPageBreak/>
        <w:t>professional learning in which knowledge develops through activity and reflection-in-action (Schön, 1983; Lave &amp; Wenger, 1991).</w:t>
      </w:r>
    </w:p>
    <w:p w14:paraId="39A863AB" w14:textId="4EC9D253" w:rsidR="0035407C" w:rsidRPr="00BA0948" w:rsidRDefault="0035407C" w:rsidP="0035407C">
      <w:r w:rsidRPr="00BA0948">
        <w:t>Despite its centrality, informal learning raises several critical concerns. As Boud and Middleton (2003) argue, workplace learning is often socially embedded yet remains largely invisible within formal recognition systems. In my institutional context, professional development frameworks tend to prioritise formal activities such as workshops, accredited training programmes, and recorded development hours, while the iterative and experiential learning that occurs through everyday practice is rarely acknowledged. This creates a structural misalignment between where learning actually occurs and how it is valued, potentially discouraging engagement with the very practices that are most influential in shaping professional capability.</w:t>
      </w:r>
    </w:p>
    <w:p w14:paraId="0C0462A7" w14:textId="77777777" w:rsidR="0035407C" w:rsidRPr="00BA0948" w:rsidRDefault="0035407C" w:rsidP="0035407C">
      <w:r w:rsidRPr="00BA0948">
        <w:t>Furthermore, informal learning is not inherently progressive, transformative, or emancipatory. Jeong et al. (2018) highlight the risk that informal learning may reinforce existing assumptions, norms, and habitual practices if not subjected to critical reflection. My own early reliance on lecture-based teaching illustrates this dynamic. Having been educated within systems that prioritised didactic instruction and knowledge transmission, I initially reproduced these pedagogical approaches in my own teaching practice without questioning their underlying assumptions. In this sense, informal learning functioned not as a mechanism of innovation but as a mechanism of reproduction, sustaining established patterns of practice.</w:t>
      </w:r>
    </w:p>
    <w:p w14:paraId="1F4957BE" w14:textId="77777777" w:rsidR="0035407C" w:rsidRPr="00BA0948" w:rsidRDefault="0035407C" w:rsidP="0035407C">
      <w:r w:rsidRPr="00BA0948">
        <w:t>This suggests that informal learning must be understood as contingent rather than inherently beneficial. Its developmental value depends on the extent to which it is accompanied by critical interrogation, reflexivity, and openness to alternative perspectives. Without such critical engagement, informal learning risks becoming habitual rather than developmental, reinforcing rather than challenging existing professional identities and practices.</w:t>
      </w:r>
    </w:p>
    <w:p w14:paraId="5BB7DAE7" w14:textId="77777777" w:rsidR="0035407C" w:rsidRPr="00BA0948" w:rsidRDefault="0035407C" w:rsidP="0035407C">
      <w:r w:rsidRPr="00BA0948">
        <w:t>1.3 Tacit Knowledge: Enabling Professional Judgement while Resisting Codification</w:t>
      </w:r>
    </w:p>
    <w:p w14:paraId="3755C9AD" w14:textId="77777777" w:rsidR="0035407C" w:rsidRPr="00BA0948" w:rsidRDefault="0035407C" w:rsidP="0035407C">
      <w:r w:rsidRPr="00BA0948">
        <w:t>Tacit knowledge plays a crucial and often under-recognised role in my professional practice, particularly in navigating complex institutional systems, ambiguous procedural requirements, and nuanced interpersonal dynamics. While Polanyi’s (1966) concept remains foundational, later interpretations emphasise that tacit knowledge is not merely individual but also socially embedded within organisational routines and practices (Collins, 2010). This aligns with broader sociocultural perspectives which suggest that knowledge is distributed across social contexts and mediated through participation in activity systems (Vygotsky, 1978). Polanyi’s (1966) assertion that “we know more than we can tell” provides a foundational insight into the nature of professional knowledge, highlighting the extent to which expertise operates beyond explicit articulation or formal documentation.</w:t>
      </w:r>
    </w:p>
    <w:p w14:paraId="7126D20E" w14:textId="77777777" w:rsidR="0035407C" w:rsidRPr="00BA0948" w:rsidRDefault="0035407C" w:rsidP="0035407C">
      <w:r w:rsidRPr="00BA0948">
        <w:t>In practice, tacit knowledge enables rapid, context-sensitive decision-making in situations where formal guidance is absent, incomplete, or insufficiently specific. For example, my approach to communication with different university departments has developed entirely through experience over time. I have learned that certain departments respond more effectively to informal, conversational engagement, while others require structured written communication and adherence to formal protocols. This understanding is not codified within institutional documentation, yet it significantly shapes the efficiency and effectiveness of outcomes.</w:t>
      </w:r>
    </w:p>
    <w:p w14:paraId="7955459D" w14:textId="77777777" w:rsidR="0035407C" w:rsidRPr="00BA0948" w:rsidRDefault="0035407C" w:rsidP="0035407C">
      <w:r w:rsidRPr="00BA0948">
        <w:t xml:space="preserve">Similarly, when addressing administrative issues such as incorrectly scheduled class registers or timetable discrepancies, my decision to resolve underlying structural issues before </w:t>
      </w:r>
      <w:r w:rsidRPr="00BA0948">
        <w:lastRenderedPageBreak/>
        <w:t>responding to central administrative units is informed by an implicit understanding of organisational processes, hierarchies, and escalation pathways. Such knowledge is rarely explicitly taught, yet it is essential for navigating institutional complexity effectively.</w:t>
      </w:r>
    </w:p>
    <w:p w14:paraId="575C92D7" w14:textId="35F879D6" w:rsidR="0035407C" w:rsidRPr="00BA0948" w:rsidRDefault="0035407C" w:rsidP="0035407C">
      <w:r w:rsidRPr="00BA0948">
        <w:t xml:space="preserve">However, the reliance on tacit knowledge introduces significant challenges. While it is indispensable for effective professional practice, it is inherently difficult to articulate, transfer, standardise, or evaluate. </w:t>
      </w:r>
      <w:r w:rsidR="00CC21D7" w:rsidRPr="00CC21D7">
        <w:t>The knowledge creation model developed by Nonaka and Takeuchi (1995) underscores how the externalisation of tacit knowledge into explicit knowledge facilitates organisational learning and the dissemination of knowledge.</w:t>
      </w:r>
      <w:r w:rsidR="00CC21D7">
        <w:t xml:space="preserve"> </w:t>
      </w:r>
      <w:r w:rsidRPr="00BA0948">
        <w:t>Yet my experience suggests that such conversion is always partial and incomplete. Much professional judgement remains deeply contextual, embodied, and situational, resisting full codification without loss of meaning or effectiveness.</w:t>
      </w:r>
    </w:p>
    <w:p w14:paraId="157A3739" w14:textId="7F6DF728" w:rsidR="0035407C" w:rsidRPr="00BA0948" w:rsidRDefault="0035407C" w:rsidP="0035407C">
      <w:r w:rsidRPr="00BA0948">
        <w:t>This creates a structural tension within higher education institutions. On one hand, there is a strong emphasis on standardisation, transparency, accountability, and auditability, all of which rely on codified and explicit knowledge systems. On the other hand, effective professional practice depends heavily on tacit understanding, experiential judgement, and contextual responsiveness. Blackler’s (1995) typology of knowledge</w:t>
      </w:r>
      <w:r w:rsidR="00BA0948">
        <w:t xml:space="preserve"> </w:t>
      </w:r>
      <w:r w:rsidRPr="00BA0948">
        <w:t>embodied, embedded, encultured, and encoded</w:t>
      </w:r>
      <w:r w:rsidR="00BA0948">
        <w:t xml:space="preserve"> </w:t>
      </w:r>
      <w:r w:rsidRPr="00BA0948">
        <w:t>helps to conceptualise this multiplicity, yet institutional systems tend to privilege encoded knowledge over other forms.</w:t>
      </w:r>
    </w:p>
    <w:p w14:paraId="09D9C1FB" w14:textId="29921AA7" w:rsidR="00DC225D" w:rsidRPr="00BA0948" w:rsidRDefault="00DC225D" w:rsidP="0035407C">
      <w:r w:rsidRPr="00BA0948">
        <w:t xml:space="preserve">This privileging creates a mismatch between how knowledge is represented within institutional frameworks and how it is actually enacted in practice. As a result, some of the most critical dimensions of professional expertise remain invisible within formal systems of evaluation and recognition, despite being central to effective organisational functioning (Blackler, 1995; Eraut, 2004; </w:t>
      </w:r>
      <w:proofErr w:type="spellStart"/>
      <w:r w:rsidRPr="00BA0948">
        <w:t>Tsoukas</w:t>
      </w:r>
      <w:proofErr w:type="spellEnd"/>
      <w:r w:rsidRPr="00BA0948">
        <w:t>, 2005). This reflects a broader tendency in audit-driven higher education systems to privilege measurable, codified outputs over situated, relational, and tacit forms of professional knowledge (Power, 1997; Shore &amp; Wright, 2015). Consequently, important aspects of expertise are often rendered invisible or undervalued within institutional frameworks of quality assurance and performance measurement, despite their central role in enabling effective organisational practice (Boud &amp; Middleton, 2003; Gherardi, 2006).</w:t>
      </w:r>
    </w:p>
    <w:p w14:paraId="724A037F" w14:textId="77777777" w:rsidR="00DC225D" w:rsidRPr="00BA0948" w:rsidRDefault="00DC225D" w:rsidP="0035407C"/>
    <w:p w14:paraId="3902B815" w14:textId="01F36A84" w:rsidR="0035407C" w:rsidRPr="00BA0948" w:rsidRDefault="0035407C" w:rsidP="0035407C">
      <w:r w:rsidRPr="00BA0948">
        <w:t>1.4 Reflection: Between Transformation and Reproduction</w:t>
      </w:r>
    </w:p>
    <w:p w14:paraId="385CE122" w14:textId="77777777" w:rsidR="0035407C" w:rsidRPr="00BA0948" w:rsidRDefault="0035407C" w:rsidP="0035407C">
      <w:r w:rsidRPr="00BA0948">
        <w:t>Reflection is widely regarded as a central mechanism through which experience is transformed into learning and professional development. Schön’s (1983) distinction between reflection-in-action and reflection-on-action provides a useful conceptual framework for understanding how practitioners engage with uncertainty and complexity. In my own practice, reflection-in-action occurs frequently during teaching sessions, where I adapt explanations, examples, and delivery styles in response to student engagement, comprehension, and participation in real time.</w:t>
      </w:r>
    </w:p>
    <w:p w14:paraId="5E35B795" w14:textId="2D446157" w:rsidR="0035407C" w:rsidRPr="00BA0948" w:rsidRDefault="0035407C" w:rsidP="0035407C">
      <w:r w:rsidRPr="00BA0948">
        <w:t xml:space="preserve">However, it is reflection-on-action that has led to more substantial and sustained changes in practice. For example, reflecting on student feedback and assessment outcomes has prompted me to redesign module structures, incorporate more active learning strategies, and reconsider the balance between theoretical and applied content. </w:t>
      </w:r>
      <w:r w:rsidR="00197804" w:rsidRPr="00197804">
        <w:t>This corresponds with David Kolb’s (1984) experiential learning cycle, which views learning as a cyclical process of experience, reflection, conceptualisation, and experimentation.</w:t>
      </w:r>
    </w:p>
    <w:p w14:paraId="4DD0ADFD" w14:textId="77777777" w:rsidR="0035407C" w:rsidRPr="00BA0948" w:rsidRDefault="0035407C" w:rsidP="0035407C">
      <w:r w:rsidRPr="00BA0948">
        <w:lastRenderedPageBreak/>
        <w:t>Nevertheless, my experience suggests that such cyclical models may oversimplify the complexity of professional learning. Rather than following a neat or sequential cycle, learning often occurs in fragmented, interrupted, and overlapping ways. Reflection is not always systematic or planned; it is frequently triggered by specific problems, constraints, or moments of dissonance within practice.</w:t>
      </w:r>
    </w:p>
    <w:p w14:paraId="59AF9B19" w14:textId="1FF3EFAA" w:rsidR="0035407C" w:rsidRPr="00BA0948" w:rsidRDefault="0035407C" w:rsidP="0035407C">
      <w:r w:rsidRPr="00BA0948">
        <w:t xml:space="preserve">Engagement with autoethnography has further extended my reflective practice by encouraging a more critical interrogation of personal experience. This connects directly with transformative learning theory, which argues that reflection can lead to shifts in meaning perspectives when individuals critically reassess their assumptions and beliefs (Mezirow, 1991). However, such transformation is not automatic; cognitive and contextual conditions strongly influence whether reflection leads to deep learning outcomes (Bransford, Brown and Cocking, 2000). In higher education settings, the quality of learning is also shaped by pedagogical design and teaching approaches, as highlighted in scholarship on teaching and learning (Boyle and </w:t>
      </w:r>
      <w:proofErr w:type="spellStart"/>
      <w:r w:rsidRPr="00BA0948">
        <w:t>Trigwell</w:t>
      </w:r>
      <w:proofErr w:type="spellEnd"/>
      <w:r w:rsidRPr="00BA0948">
        <w:t xml:space="preserve">, 2004). Through this approach, I have begun to examine the assumptions underlying my pedagogical choices, recognising the influence of my own educational background on my teaching philosophy. This has contributed to a gradual shift in professional identity, from viewing myself primarily as a transmitter of disciplinary knowledge to a facilitator of learning and </w:t>
      </w:r>
      <w:r w:rsidR="00E979D7" w:rsidRPr="00BA0948">
        <w:t>meaning making</w:t>
      </w:r>
      <w:r w:rsidRPr="00BA0948">
        <w:t>.</w:t>
      </w:r>
    </w:p>
    <w:p w14:paraId="40DE0644" w14:textId="77777777" w:rsidR="0035407C" w:rsidRPr="00BA0948" w:rsidRDefault="0035407C" w:rsidP="0035407C">
      <w:r w:rsidRPr="00BA0948">
        <w:t>However, reflection is not inherently critical or transformative. As Brookfield (2017) argues, reflection can easily become self-confirming if not accompanied by deliberate critical interrogation of assumptions, power relations, and underlying ideologies. My initial reflections on student engagement, for instance, were often shaped by assumptions about student motivation rather than structural or pedagogical factors. This highlights the importance of reflexivity rather than reflection alone.</w:t>
      </w:r>
    </w:p>
    <w:p w14:paraId="20A34608" w14:textId="3FC4CEFB" w:rsidR="0035407C" w:rsidRPr="00BA0948" w:rsidRDefault="0035407C" w:rsidP="0035407C">
      <w:r w:rsidRPr="00BA0948">
        <w:t xml:space="preserve">Autoethnography addresses some of these limitations by situating personal experience within broader cultural, institutional, and social contexts </w:t>
      </w:r>
      <w:r w:rsidR="00086A5D" w:rsidRPr="00BA0948">
        <w:t>(Adams et al., 2015; Ellis &amp; Bochner, 2000). H</w:t>
      </w:r>
      <w:r w:rsidRPr="00BA0948">
        <w:t>owever, it also raises methodological concerns regarding subjectivity, positionality, and generalisability. These tensions underscore the need to understand reflection not as a guaranteed pathway to learning, but as a contingent and situated practice whose effectiveness depends on its depth, criticality, and methodological rigour.</w:t>
      </w:r>
    </w:p>
    <w:p w14:paraId="32C266E4" w14:textId="77777777" w:rsidR="0035407C" w:rsidRPr="00BA0948" w:rsidRDefault="0035407C" w:rsidP="0035407C">
      <w:r w:rsidRPr="00BA0948">
        <w:t>1.5 Codified Knowledge: Structuring Practice while Constraining It</w:t>
      </w:r>
    </w:p>
    <w:p w14:paraId="7D9E0163" w14:textId="77777777" w:rsidR="00DC225D" w:rsidRPr="00BA0948" w:rsidRDefault="00DC225D" w:rsidP="0035407C">
      <w:r w:rsidRPr="00BA0948">
        <w:t xml:space="preserve">Codified knowledge systems play a central role in structuring higher education practice, providing consistency, accountability, and institutional legitimacy (Power, 1997; Shore &amp; Wright, 2015). In my context, these systems include assessment regulations, module specifications, programme learning outcomes, and quality assurance frameworks, which reflect broader governance mechanisms in higher education designed to standardise practice and ensure institutional comparability (Barnett, 2000; Morley, 2003). Such structures are essential for ensuring fairness, comparability, and compliance within large and complex educational organisations (Brennan &amp; Shah, 2000; </w:t>
      </w:r>
      <w:proofErr w:type="spellStart"/>
      <w:r w:rsidRPr="00BA0948">
        <w:t>Trow</w:t>
      </w:r>
      <w:proofErr w:type="spellEnd"/>
      <w:r w:rsidRPr="00BA0948">
        <w:t>, 1996), particularly in systems characterised by mass participation and intensified regulatory oversight.</w:t>
      </w:r>
    </w:p>
    <w:p w14:paraId="6DC352CF" w14:textId="032355C4" w:rsidR="0035407C" w:rsidRPr="00BA0948" w:rsidRDefault="0035407C" w:rsidP="0035407C">
      <w:r w:rsidRPr="00BA0948">
        <w:t xml:space="preserve">However, my experience also highlights their limitations. While codified frameworks provide necessary structure and coherence, they cannot fully capture the complexity, contingency, and situated nature of practice. For example, assessment criteria define expected standards and </w:t>
      </w:r>
      <w:r w:rsidRPr="00BA0948">
        <w:lastRenderedPageBreak/>
        <w:t>learning outcomes, but they do not fully account for the tacit pedagogical judgement required to interpret student work holistically or to support diverse forms of expression.</w:t>
      </w:r>
    </w:p>
    <w:p w14:paraId="794CD398" w14:textId="77777777" w:rsidR="0035407C" w:rsidRPr="00BA0948" w:rsidRDefault="0035407C" w:rsidP="0035407C">
      <w:r w:rsidRPr="00BA0948">
        <w:t>Similarly, administrative systems often create an appearance of order and rationality, yet in practice they frequently require informal negotiation, interpretation, and intervention to function effectively. This reflects a broader tension between formalisation and complexity, where codification inevitably involves simplification and abstraction.</w:t>
      </w:r>
    </w:p>
    <w:p w14:paraId="2A5515BD" w14:textId="77777777" w:rsidR="005E3D35" w:rsidRPr="00BA0948" w:rsidRDefault="005E3D35" w:rsidP="0035407C">
      <w:r w:rsidRPr="00BA0948">
        <w:t>As a result, practitioners must continuously interpret, translate, and adapt formal systems in response to specific contexts and situations (</w:t>
      </w:r>
      <w:proofErr w:type="spellStart"/>
      <w:r w:rsidRPr="00BA0948">
        <w:t>Tsoukas</w:t>
      </w:r>
      <w:proofErr w:type="spellEnd"/>
      <w:r w:rsidRPr="00BA0948">
        <w:t>, 2005; Gherardi, 2006). This interpretive work is often invisible within formal institutional accounts of practice, yet it is essential for the functioning of the system as a whole (Bourdieu, 1977; Spillane et al., 2002). Such “on-the-ground” enactment of policy highlights the gap between formal representations of work and its situated realisation in practice, where actors actively negotiate meaning rather than simply implement procedures (Ball et al., 2012; Orlikowski, 2000).</w:t>
      </w:r>
    </w:p>
    <w:p w14:paraId="28857992" w14:textId="549D1C57" w:rsidR="0035407C" w:rsidRPr="00BA0948" w:rsidRDefault="0035407C" w:rsidP="0035407C">
      <w:r w:rsidRPr="00BA0948">
        <w:t xml:space="preserve">1.6 Learning in Complexity: Navigating Uncertainty and </w:t>
      </w:r>
      <w:r w:rsidR="001B0DCB" w:rsidRPr="00BA0948">
        <w:t>Super complexity</w:t>
      </w:r>
    </w:p>
    <w:p w14:paraId="239595BB" w14:textId="77777777" w:rsidR="0035407C" w:rsidRPr="00BA0948" w:rsidRDefault="0035407C" w:rsidP="0035407C">
      <w:r w:rsidRPr="00BA0948">
        <w:t>Professional practice in higher education is characterised by uncertainty, ambiguity, and competing demands. Schön’s (1983) concept of the “swampy lowlands” effectively captures this condition, describing professional contexts where problems are ill-defined, unstable, and resistant to technical solutions. My experience of balancing teaching responsibilities, administrative duties, and doctoral study reflects this reality, requiring constant prioritisation, negotiation, and adaptation.</w:t>
      </w:r>
    </w:p>
    <w:p w14:paraId="3C9DE98C" w14:textId="77777777" w:rsidR="0035407C" w:rsidRPr="00BA0948" w:rsidRDefault="0035407C" w:rsidP="0035407C">
      <w:r w:rsidRPr="00BA0948">
        <w:t>This aligns with Hatano and Inagaki’s (1986) concept of adaptive expertise, which emphasises the ability to apply knowledge flexibly in response to novel and changing conditions. However, adaptation does not necessarily imply transformation. It may simply enable individuals to operate effectively within existing constraints without fundamentally challenging underlying structures or assumptions.</w:t>
      </w:r>
    </w:p>
    <w:p w14:paraId="111565B2" w14:textId="7A21906D" w:rsidR="0035407C" w:rsidRPr="00BA0948" w:rsidRDefault="0035407C" w:rsidP="0035407C">
      <w:r w:rsidRPr="00BA0948">
        <w:t xml:space="preserve">Barnett’s (2000) concept of </w:t>
      </w:r>
      <w:r w:rsidR="001B0DCB" w:rsidRPr="00BA0948">
        <w:t>super complexity</w:t>
      </w:r>
      <w:r w:rsidRPr="00BA0948">
        <w:t xml:space="preserve"> further extends this analysis by highlighting the coexistence of multiple, often conflicting frameworks of knowledge, values, and expectations within higher education. In such contexts, uncertainty is not an exception but a defining feature of professional life. Navigating </w:t>
      </w:r>
      <w:r w:rsidR="001B0DCB" w:rsidRPr="00BA0948">
        <w:t>super complexity</w:t>
      </w:r>
      <w:r w:rsidRPr="00BA0948">
        <w:t xml:space="preserve"> therefore requires not only cognitive flexibility but also epistemic humility and a willingness to engage with ambiguity rather than resolve it prematurely.</w:t>
      </w:r>
    </w:p>
    <w:p w14:paraId="7CEB1C3A" w14:textId="77777777" w:rsidR="0035407C" w:rsidRPr="00BA0948" w:rsidRDefault="0035407C" w:rsidP="0035407C">
      <w:r w:rsidRPr="00BA0948">
        <w:t>1.7 Conclusion</w:t>
      </w:r>
    </w:p>
    <w:p w14:paraId="62A6D09C" w14:textId="77777777" w:rsidR="0035407C" w:rsidRPr="00BA0948" w:rsidRDefault="0035407C" w:rsidP="0035407C">
      <w:r w:rsidRPr="00BA0948">
        <w:t>This expanded critical review demonstrates that professional learning in higher education is characterised by the dynamic interaction between informal learning, tacit knowledge, reflective practice, codified systems, and contextual complexity. However, these elements do not operate in harmony; rather, they are defined by persistent tensions between visibility and invisibility, structure and emergence, standardisation and adaptation, and theory and practice.</w:t>
      </w:r>
    </w:p>
    <w:p w14:paraId="24F8CF0E" w14:textId="65CEF387" w:rsidR="0035407C" w:rsidRPr="00BA0948" w:rsidRDefault="00D1485B" w:rsidP="0035407C">
      <w:r w:rsidRPr="00BA0948">
        <w:t>Recognising these tensions is essential for developing a more sophisticated and realistic understanding of professional learning (Barnett, 2000; Fenwick, 2012). Rather than seeking to resolve these contradictions, a more productive approach involves critically engaging with them as constitutive features of professional practice (</w:t>
      </w:r>
      <w:proofErr w:type="spellStart"/>
      <w:r w:rsidRPr="00BA0948">
        <w:t>Tsoukas</w:t>
      </w:r>
      <w:proofErr w:type="spellEnd"/>
      <w:r w:rsidRPr="00BA0948">
        <w:t xml:space="preserve">, 2005; Gherardi, 2006). In doing so, professional learning can be understood not as a linear process of improvement, but as an </w:t>
      </w:r>
      <w:r w:rsidRPr="00BA0948">
        <w:lastRenderedPageBreak/>
        <w:t>ongoing, contested, and situated process of becoming within complex institutional environments (Lave &amp; Wenger, 1991; Hodkinson et al., 2008; Fenwick, 2010).</w:t>
      </w:r>
    </w:p>
    <w:p w14:paraId="7F4E24D0" w14:textId="343C867D" w:rsidR="00FF4A30" w:rsidRPr="00BA0948" w:rsidRDefault="00FF4A30" w:rsidP="00FF4A30">
      <w:r w:rsidRPr="00BA0948">
        <w:t>2. Conceptual Framework for Practice</w:t>
      </w:r>
    </w:p>
    <w:p w14:paraId="73E73B7E" w14:textId="77777777" w:rsidR="00FF4A30" w:rsidRPr="00BA0948" w:rsidRDefault="00FF4A30" w:rsidP="00FF4A30">
      <w:r w:rsidRPr="00BA0948">
        <w:t>2.1 Introduction: From Reflection to Conceptualisation</w:t>
      </w:r>
    </w:p>
    <w:p w14:paraId="08E23B66" w14:textId="77777777" w:rsidR="00FF4A30" w:rsidRPr="00BA0948" w:rsidRDefault="00FF4A30" w:rsidP="00FF4A30">
      <w:r w:rsidRPr="00BA0948">
        <w:t>Section 1 established that professional learning within my context cannot be adequately understood as a linear, cumulative process or as the outcome of discrete training events. Rather, it emerges through dynamic and often unpredictable interactions between informal learning, tacit knowledge, reflective practice, and institutional structures. This section builds on that foundation by developing a conceptual framework intended to represent how these elements interact within my professional practice. However, it is necessary to foreground a critical caveat: any attempt to represent professional knowledge through a framework is inherently reductive.</w:t>
      </w:r>
    </w:p>
    <w:p w14:paraId="6A0D7DD0" w14:textId="76470261" w:rsidR="00FF4A30" w:rsidRPr="00BA0948" w:rsidRDefault="00FF4A30" w:rsidP="00FF4A30">
      <w:r w:rsidRPr="00BA0948">
        <w:t xml:space="preserve">As </w:t>
      </w:r>
      <w:proofErr w:type="spellStart"/>
      <w:r w:rsidRPr="00BA0948">
        <w:t>Tsoukas</w:t>
      </w:r>
      <w:proofErr w:type="spellEnd"/>
      <w:r w:rsidRPr="00BA0948">
        <w:t xml:space="preserve"> (2005) argues, organisational knowledge is not a stable entity that can be captured and codified, but is instead distributed, relational, and continuously reconstituted through practice. Frameworks, therefore, risk presenting an illusion of coherence and stability that does not exist in reality. The model developed here should not be interpreted as a definitive representation of professional learning, but rather as a heuristic device</w:t>
      </w:r>
      <w:r w:rsidR="00BA0948">
        <w:t xml:space="preserve">, </w:t>
      </w:r>
      <w:r w:rsidRPr="00BA0948">
        <w:t>an analytical lens through which the complexity of practice can be interrogated. This distinction is important because it positions the framework not as a solution to complexity, but as a means of engaging more critically with it.</w:t>
      </w:r>
    </w:p>
    <w:p w14:paraId="22A07286" w14:textId="77777777" w:rsidR="00FF4A30" w:rsidRPr="00BA0948" w:rsidRDefault="00FF4A30" w:rsidP="00FF4A30">
      <w:r w:rsidRPr="00BA0948">
        <w:t>The framework has been developed inductively, grounded in recurring patterns identified across my teaching, administrative responsibilities, and doctoral engagement. This approach aligns with practice-based theories of learning (Billett, 2001; Gherardi, 2006), which conceptualise knowledge as something enacted rather than possessed. From this perspective, knowing is inseparable from doing, and learning is embedded within participation in professional activity. However, while such perspectives offer a compelling alternative to acquisition-based models of learning (</w:t>
      </w:r>
      <w:proofErr w:type="spellStart"/>
      <w:r w:rsidRPr="00BA0948">
        <w:t>Sfard</w:t>
      </w:r>
      <w:proofErr w:type="spellEnd"/>
      <w:r w:rsidRPr="00BA0948">
        <w:t>, 1998), they also risk underestimating the role of structural constraints. Institutional policies, workload pressures, and organisational hierarchies significantly shape what kinds of learning are possible, and under what conditions.</w:t>
      </w:r>
    </w:p>
    <w:p w14:paraId="7C948850" w14:textId="716030E0" w:rsidR="00F2315A" w:rsidRPr="00BA0948" w:rsidRDefault="00F2315A" w:rsidP="00FF4A30">
      <w:r w:rsidRPr="00BA0948">
        <w:t xml:space="preserve">This creates an important tension within the framework. On one hand, it emphasises agency, adaptability, and the emergent nature of learning (Billett, 2001; Gherardi, 2006). On the other hand, my experience suggests that professional learning is equally shaped by constraints that limit autonomy and influence decision-making, reflecting the structuring effects of institutional contexts and power relations (Barnett, 2000; Hodkinson et al., 2008; Fenwick, 2012). The framework must therefore be read as capturing not only how learning occurs, but also the boundaries within which it is enacted, consistent with practice-based perspectives that emphasise the interplay between structure and agency in the production of knowledge (Giddens, 1984; </w:t>
      </w:r>
      <w:proofErr w:type="spellStart"/>
      <w:r w:rsidRPr="00BA0948">
        <w:t>Tsoukas</w:t>
      </w:r>
      <w:proofErr w:type="spellEnd"/>
      <w:r w:rsidRPr="00BA0948">
        <w:t>, 2005).</w:t>
      </w:r>
    </w:p>
    <w:p w14:paraId="0A4706BC" w14:textId="77777777" w:rsidR="00FF4A30" w:rsidRPr="00BA0948" w:rsidRDefault="00FF4A30" w:rsidP="00FF4A30">
      <w:r w:rsidRPr="00BA0948">
        <w:t>2.2 Conceptual Framework for Professional Knowledge</w:t>
      </w:r>
    </w:p>
    <w:p w14:paraId="3D67C00B" w14:textId="77777777" w:rsidR="002A58D0" w:rsidRPr="00BA0948" w:rsidRDefault="002A58D0" w:rsidP="002A58D0">
      <w:r w:rsidRPr="00BA0948">
        <w:rPr>
          <w:b/>
          <w:bCs/>
        </w:rPr>
        <w:t>Figure 1</w:t>
      </w:r>
      <w:r w:rsidRPr="00BA0948">
        <w:t xml:space="preserve"> presents the conceptual framework developed from this analysis.</w:t>
      </w:r>
    </w:p>
    <w:p w14:paraId="43480800" w14:textId="77777777" w:rsidR="002A58D0" w:rsidRPr="00BA0948" w:rsidRDefault="002A58D0" w:rsidP="00FF4A30"/>
    <w:p w14:paraId="6F7506E1" w14:textId="1BE8C1AE" w:rsidR="002A58D0" w:rsidRPr="00BA0948" w:rsidRDefault="002A58D0" w:rsidP="00FF4A30">
      <w:r w:rsidRPr="00BA0948">
        <w:rPr>
          <w:noProof/>
        </w:rPr>
        <w:lastRenderedPageBreak/>
        <w:drawing>
          <wp:inline distT="0" distB="0" distL="0" distR="0" wp14:anchorId="4B5AF4D8" wp14:editId="04005FC6">
            <wp:extent cx="5731510" cy="4591685"/>
            <wp:effectExtent l="0" t="0" r="2540" b="0"/>
            <wp:docPr id="7324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91685"/>
                    </a:xfrm>
                    <a:prstGeom prst="rect">
                      <a:avLst/>
                    </a:prstGeom>
                    <a:noFill/>
                  </pic:spPr>
                </pic:pic>
              </a:graphicData>
            </a:graphic>
          </wp:inline>
        </w:drawing>
      </w:r>
    </w:p>
    <w:p w14:paraId="44FB31A2" w14:textId="13A3C34E" w:rsidR="002A58D0" w:rsidRPr="00BA0948" w:rsidRDefault="002A58D0" w:rsidP="00FF4A30">
      <w:pPr>
        <w:rPr>
          <w:b/>
          <w:bCs/>
        </w:rPr>
      </w:pPr>
      <w:r w:rsidRPr="00BA0948">
        <w:rPr>
          <w:b/>
          <w:bCs/>
        </w:rPr>
        <w:t>Figure 1. Conceptual Framework of Professional Knowledge in Practice</w:t>
      </w:r>
    </w:p>
    <w:p w14:paraId="61DA16C4" w14:textId="764C7D6F" w:rsidR="00FF4A30" w:rsidRPr="00BA0948" w:rsidRDefault="00FF4A30" w:rsidP="00FF4A30">
      <w:r w:rsidRPr="00BA0948">
        <w:t>The conceptual framework (Figure 1) positions professional practice at its centre, surrounded by interrelated domains: informal learning, tacit knowledge, reflective practice, communities of practice, professional identity (self-authorship), and future-oriented learning conceptualised through the Three Horizons model. These domains are not discrete components but are interconnected, overlapping, and mutually constitutive.</w:t>
      </w:r>
    </w:p>
    <w:p w14:paraId="06A83577" w14:textId="77777777" w:rsidR="00FF4A30" w:rsidRPr="00BA0948" w:rsidRDefault="00FF4A30" w:rsidP="00FF4A30">
      <w:r w:rsidRPr="00BA0948">
        <w:t xml:space="preserve">This structure draws on a range of theoretical perspectives, yet it also introduces a significant conceptual tension. Frameworks inherently suggest order, integration, and coherence, whereas professional learning is often fragmented, contingent, and contradictory. In my own experience, the demands of teaching, administration, and doctoral study frequently compete rather than align. For example, time pressures associated with administrative tasks can limit opportunities for reflective practice, while institutional requirements may constrain pedagogical innovation. As a result, the framework represents an </w:t>
      </w:r>
      <w:r w:rsidRPr="00BA0948">
        <w:rPr>
          <w:i/>
          <w:iCs/>
        </w:rPr>
        <w:t>aspirational integration</w:t>
      </w:r>
      <w:r w:rsidRPr="00BA0948">
        <w:t xml:space="preserve"> rather than an empirical reality.</w:t>
      </w:r>
    </w:p>
    <w:p w14:paraId="3D3C4FE9" w14:textId="06A09E96" w:rsidR="00F2315A" w:rsidRPr="00BA0948" w:rsidRDefault="00F2315A" w:rsidP="00FF4A30">
      <w:r w:rsidRPr="00BA0948">
        <w:t>This distinction is important because it highlights a key limitation of conceptual modelling: it can obscure the messy, contested, and emergent nature of practice (</w:t>
      </w:r>
      <w:proofErr w:type="spellStart"/>
      <w:r w:rsidRPr="00BA0948">
        <w:t>Tsoukas</w:t>
      </w:r>
      <w:proofErr w:type="spellEnd"/>
      <w:r w:rsidRPr="00BA0948">
        <w:t>, 2005; Fenwick, 2012). The framework is therefore best understood not as a description of what is, but as a heuristic representation of how different dimensions of professional learning interact under idealised conditions, while acknowledging that such conditions are only partially realised in practice (Gherardi, 2006; Orlikowski, 2000). In this sense, conceptual models function as analytical devices that simplify complexity in order to make it thinkable, rather than fully capturing the lived reality of professional work (Weick, 1995; Barnett, 2000).</w:t>
      </w:r>
    </w:p>
    <w:p w14:paraId="6F2F529E" w14:textId="77777777" w:rsidR="00FF4A30" w:rsidRPr="00BA0948" w:rsidRDefault="00FF4A30" w:rsidP="00FF4A30">
      <w:r w:rsidRPr="00BA0948">
        <w:lastRenderedPageBreak/>
        <w:t>2.3 Centrality of Practice: Knowledge as Situated and Emergent</w:t>
      </w:r>
    </w:p>
    <w:p w14:paraId="058160D4" w14:textId="77777777" w:rsidR="00FF4A30" w:rsidRPr="00BA0948" w:rsidRDefault="00FF4A30" w:rsidP="00FF4A30">
      <w:r w:rsidRPr="00BA0948">
        <w:t>At the core of the framework is the proposition that learning is embedded within professional activity (Eraut, 2004). This is reinforced by situated learning theory (Lave &amp; Wenger, 1991), which conceptualises learning as participation in social practice rather than the acquisition of abstract knowledge. Within my own context, this is evident in the way teaching practices have evolved through iterative engagement with students, rather than through prior theoretical design.</w:t>
      </w:r>
    </w:p>
    <w:p w14:paraId="4F6C4802" w14:textId="77777777" w:rsidR="00FF4A30" w:rsidRPr="00BA0948" w:rsidRDefault="00FF4A30" w:rsidP="00FF4A30">
      <w:r w:rsidRPr="00BA0948">
        <w:t>For example, the shift from lecture-based delivery to more interactive teaching approaches emerged initially from observing student disengagement and reflecting on assessment outcomes. This process aligns with experiential learning (Kolb, 1984), where knowledge is constructed through cycles of action and reflection. However, while these perspectives foreground the importance of context and experience, they can inadvertently marginalise the role of formal knowledge.</w:t>
      </w:r>
    </w:p>
    <w:p w14:paraId="081347E7" w14:textId="77777777" w:rsidR="00FF4A30" w:rsidRPr="00BA0948" w:rsidRDefault="00FF4A30" w:rsidP="00FF4A30">
      <w:r w:rsidRPr="00BA0948">
        <w:t>Biggs’ (1996) concept of constructive alignment highlights the necessity of deliberate pedagogical design, suggesting that effective teaching requires alignment between learning outcomes, teaching activities, and assessment. My experience indicates that relying solely on emergent, practice-based learning can lead to inconsistency and inefficiency. The improvements in my teaching practice only became sustainable when experiential insights were combined with theoretical frameworks.</w:t>
      </w:r>
    </w:p>
    <w:p w14:paraId="66BA0DDB" w14:textId="77777777" w:rsidR="00FF4A30" w:rsidRPr="00BA0948" w:rsidRDefault="00FF4A30" w:rsidP="00FF4A30">
      <w:r w:rsidRPr="00BA0948">
        <w:t>This reveals a critical limitation within practice-based approaches: while they effectively capture the situated nature of learning, they may underplay the importance of structured knowledge. The framework therefore attempts to reconcile this tension by positioning practice as central, but not sufficient in itself. Effective professional learning requires both experiential engagement and theoretical grounding.</w:t>
      </w:r>
    </w:p>
    <w:p w14:paraId="0AB27975" w14:textId="77777777" w:rsidR="00FF4A30" w:rsidRPr="00BA0948" w:rsidRDefault="00FF4A30" w:rsidP="00FF4A30">
      <w:r w:rsidRPr="00BA0948">
        <w:t>Furthermore, positioning practice at the centre risks normalising existing conditions. As Fenwick (2012) argues, complexity-oriented perspectives often emphasise adaptation rather than transformation. In my context, adapting to institutional systems—such as navigating administrative processes—frequently involves working within constraints rather than challenging them. This raises a critical question: does the framework enable critical transformation of practice, or does it simply describe adaptation within existing structures? This unresolved tension represents a significant limitation.</w:t>
      </w:r>
    </w:p>
    <w:p w14:paraId="7BEA2A62" w14:textId="77777777" w:rsidR="00FF4A30" w:rsidRPr="00BA0948" w:rsidRDefault="00FF4A30" w:rsidP="00FF4A30">
      <w:r w:rsidRPr="00BA0948">
        <w:t>2.4 Informal Learning: Dominant but Critically Contested</w:t>
      </w:r>
    </w:p>
    <w:p w14:paraId="6168EA3C" w14:textId="77777777" w:rsidR="00FF4A30" w:rsidRPr="00BA0948" w:rsidRDefault="00FF4A30" w:rsidP="00FF4A30">
      <w:r w:rsidRPr="00BA0948">
        <w:t>Informal learning occupies a prominent position within the framework, reflecting its centrality in professional contexts (</w:t>
      </w:r>
      <w:proofErr w:type="spellStart"/>
      <w:r w:rsidRPr="00BA0948">
        <w:t>Marsick</w:t>
      </w:r>
      <w:proofErr w:type="spellEnd"/>
      <w:r w:rsidRPr="00BA0948">
        <w:t xml:space="preserve"> &amp; Watkins, 1990; </w:t>
      </w:r>
      <w:proofErr w:type="spellStart"/>
      <w:r w:rsidRPr="00BA0948">
        <w:t>Manuti</w:t>
      </w:r>
      <w:proofErr w:type="spellEnd"/>
      <w:r w:rsidRPr="00BA0948">
        <w:t xml:space="preserve"> et al., 2015). My experience strongly supports this, as the majority of meaningful learning occurs through teaching, problem-solving, and interaction rather than formal training.</w:t>
      </w:r>
    </w:p>
    <w:p w14:paraId="10EEEAB9" w14:textId="6415E526" w:rsidR="00FF4A30" w:rsidRPr="00BA0948" w:rsidRDefault="00FF4A30" w:rsidP="00FF4A30">
      <w:r w:rsidRPr="00BA0948">
        <w:t xml:space="preserve">However, the literature often presents informal learning in overly positive terms, emphasising its authenticity and contextual relevance. This perspective requires critical interrogation. As Colley et al. (2003) argue, the distinction between formal and informal learning is not </w:t>
      </w:r>
      <w:r w:rsidR="00152524" w:rsidRPr="00BA0948">
        <w:t>clear-cut and</w:t>
      </w:r>
      <w:r w:rsidRPr="00BA0948">
        <w:t xml:space="preserve"> privileging informal learning risks overlooking its limitations.</w:t>
      </w:r>
    </w:p>
    <w:p w14:paraId="38AF7667" w14:textId="77777777" w:rsidR="00FF4A30" w:rsidRPr="00BA0948" w:rsidRDefault="00FF4A30" w:rsidP="00FF4A30">
      <w:r w:rsidRPr="00BA0948">
        <w:t xml:space="preserve">In my own practice, informal learning has been both enabling and constraining. While it allows for responsiveness and adaptability, it can also reinforce unexamined assumptions. The persistence of lecture-based teaching in my early practice illustrates how informal learning can </w:t>
      </w:r>
      <w:r w:rsidRPr="00BA0948">
        <w:lastRenderedPageBreak/>
        <w:t>reproduce existing norms rather than challenge them. It was only through structured reflection and engagement with theory that this pattern was disrupted.</w:t>
      </w:r>
    </w:p>
    <w:p w14:paraId="3E5E13ED" w14:textId="77777777" w:rsidR="00FF4A30" w:rsidRPr="00BA0948" w:rsidRDefault="00FF4A30" w:rsidP="00FF4A30">
      <w:r w:rsidRPr="00BA0948">
        <w:t>Additionally, informal learning is not equally accessible. Boud and Middleton (2003) highlight the importance of social interaction, yet access to such interactions is shaped by institutional positioning, confidence, and networks. In my experience, valuable learning often occurs through informal conversations with colleagues, but these opportunities are neither systematic nor guaranteed. This raises questions about equity and highlights a limitation of relying on informal learning as a primary mode of development.</w:t>
      </w:r>
    </w:p>
    <w:p w14:paraId="3A2F4204" w14:textId="77777777" w:rsidR="00FF4A30" w:rsidRPr="00BA0948" w:rsidRDefault="00FF4A30" w:rsidP="00FF4A30">
      <w:r w:rsidRPr="00BA0948">
        <w:t>2.5 Tacit Knowledge: Enabling Practice, Limiting Transparency</w:t>
      </w:r>
    </w:p>
    <w:p w14:paraId="420461E7" w14:textId="77777777" w:rsidR="00FF4A30" w:rsidRPr="00BA0948" w:rsidRDefault="00FF4A30" w:rsidP="00FF4A30">
      <w:r w:rsidRPr="00BA0948">
        <w:t>Tacit knowledge plays a central role within the framework, underpinning professional judgement and decision-making (Polanyi, 1966; Eraut, 2000). My experience confirms its importance, particularly in navigating complex administrative systems and interpersonal dynamics.</w:t>
      </w:r>
    </w:p>
    <w:p w14:paraId="3D2CBB93" w14:textId="77777777" w:rsidR="00FF4A30" w:rsidRPr="00BA0948" w:rsidRDefault="00FF4A30" w:rsidP="00FF4A30">
      <w:r w:rsidRPr="00BA0948">
        <w:t>However, the privileging of tacit knowledge introduces significant challenges. While it enables effective action in context-specific situations, it is inherently difficult to articulate, share, or evaluate. Nonaka and Takeuchi (1995) propose that tacit knowledge can be converted into explicit knowledge, but this process is often incomplete. My own attempts to articulate tacit understanding frequently result in oversimplification, losing the nuance that makes such knowledge effective.</w:t>
      </w:r>
    </w:p>
    <w:p w14:paraId="7824DC60" w14:textId="77777777" w:rsidR="00FF4A30" w:rsidRPr="00BA0948" w:rsidRDefault="00FF4A30" w:rsidP="00FF4A30">
      <w:r w:rsidRPr="00BA0948">
        <w:t>This creates a tension between individual expertise and organisational requirements. Institutions rely on codified knowledge to ensure consistency and accountability, yet effective practice often depends on tacit understanding. This tension is particularly evident in administrative processes, where formal procedures exist but are insufficient to manage complex situations.</w:t>
      </w:r>
    </w:p>
    <w:p w14:paraId="76529BB9" w14:textId="3485F5C7" w:rsidR="00811163" w:rsidRPr="00BA0948" w:rsidRDefault="00811163" w:rsidP="00FF4A30">
      <w:r w:rsidRPr="00BA0948">
        <w:t>Moreover, reliance on tacit knowledge raises issues of accountability. Decisions based on experience may be effective but are difficult to justify within systems that prioritise transparency and auditability (Power, 1997; Shore &amp; Wright, 2015). This reflects a broader tension between codified accountability regimes and situated professional judgement, where the latter is often necessary for effective practice but resistant to formal articulation (Eraut, 2000; Collins, 2010). The framework acknowledges the importance of tacit knowledge but does not fully resolve this tension, highlighting an inherent limitation in attempts to reconcile experiential knowing with institutional demands for explicit justification (</w:t>
      </w:r>
      <w:proofErr w:type="spellStart"/>
      <w:r w:rsidRPr="00BA0948">
        <w:t>Tsoukas</w:t>
      </w:r>
      <w:proofErr w:type="spellEnd"/>
      <w:r w:rsidRPr="00BA0948">
        <w:t>, 2005; Nonaka &amp; Takeuchi, 1995).</w:t>
      </w:r>
    </w:p>
    <w:p w14:paraId="354AD5D8" w14:textId="77777777" w:rsidR="00FF4A30" w:rsidRPr="00BA0948" w:rsidRDefault="00FF4A30" w:rsidP="00FF4A30">
      <w:r w:rsidRPr="00BA0948">
        <w:t>2.6 Reflective Practice: Necessary but Not Sufficient</w:t>
      </w:r>
    </w:p>
    <w:p w14:paraId="12FA7DAA" w14:textId="77777777" w:rsidR="00FF4A30" w:rsidRPr="00BA0948" w:rsidRDefault="00FF4A30" w:rsidP="00FF4A30">
      <w:r w:rsidRPr="00BA0948">
        <w:t>Reflective practice is positioned as a mediating process within the framework, enabling the transformation of experience into learning (Schön, 1983; Kolb, 1984). My experience supports its importance, particularly in developing teaching practice and professional identity.</w:t>
      </w:r>
    </w:p>
    <w:p w14:paraId="2EB38D18" w14:textId="77777777" w:rsidR="00FF4A30" w:rsidRPr="00BA0948" w:rsidRDefault="00FF4A30" w:rsidP="00FF4A30">
      <w:r w:rsidRPr="00BA0948">
        <w:t>However, the assumption that reflection leads to improvement is problematic. As Brookfield (2017) argues, reflection can reinforce existing beliefs if not critically structured. My early reflections often interpreted student disengagement as a student deficit rather than a limitation of my teaching approach. Only through deeper, theory-informed reflection did meaningful change occur.</w:t>
      </w:r>
    </w:p>
    <w:p w14:paraId="39389D3F" w14:textId="77777777" w:rsidR="00FF4A30" w:rsidRPr="00BA0948" w:rsidRDefault="00FF4A30" w:rsidP="00FF4A30">
      <w:r w:rsidRPr="00BA0948">
        <w:t xml:space="preserve">Autoethnography (Adams et al., 2015) has extended this process by enabling critical examination of assumptions and identity. However, it also raises methodological concerns. As </w:t>
      </w:r>
      <w:r w:rsidRPr="00BA0948">
        <w:lastRenderedPageBreak/>
        <w:t>Denzin and Lincoln (2018) note, such approaches can lack generalisability and may be influenced by subjectivity. This creates a tension between depth of insight and academic rigour, particularly within doctoral contexts.</w:t>
      </w:r>
    </w:p>
    <w:p w14:paraId="4BF55752" w14:textId="77777777" w:rsidR="00FF4A30" w:rsidRPr="00BA0948" w:rsidRDefault="00FF4A30" w:rsidP="00FF4A30">
      <w:r w:rsidRPr="00BA0948">
        <w:t>2.7 Social Learning and Identity: Fragmented and Constrained</w:t>
      </w:r>
    </w:p>
    <w:p w14:paraId="1E23D209" w14:textId="77777777" w:rsidR="00FF4A30" w:rsidRPr="00BA0948" w:rsidRDefault="00FF4A30" w:rsidP="00FF4A30">
      <w:r w:rsidRPr="00BA0948">
        <w:t>The inclusion of communities of practice (Wenger, 2000) and self-authorship (Baxter Magolda, 2008) reflects the social and developmental dimensions of learning. While both are evident in my experience, they are also constrained.</w:t>
      </w:r>
    </w:p>
    <w:p w14:paraId="5F3D76AA" w14:textId="77777777" w:rsidR="00FF4A30" w:rsidRPr="00BA0948" w:rsidRDefault="00FF4A30" w:rsidP="00FF4A30">
      <w:r w:rsidRPr="00BA0948">
        <w:t>Communities of practice are often assumed to be cohesive and stable, yet my experience is characterised by fragmented interactions across roles and departments. Similarly, self-authorship assumes increasing autonomy, yet institutional constraints frequently limit this development. These tensions highlight the gap between theoretical models and lived reality.</w:t>
      </w:r>
    </w:p>
    <w:p w14:paraId="53FE37F7" w14:textId="77777777" w:rsidR="00FF4A30" w:rsidRPr="00BA0948" w:rsidRDefault="00FF4A30" w:rsidP="00FF4A30">
      <w:r w:rsidRPr="00BA0948">
        <w:t>2.8 Temporal Dimension: Uncertainty and Non-Linearity</w:t>
      </w:r>
    </w:p>
    <w:p w14:paraId="5AB5E143" w14:textId="77777777" w:rsidR="00FF4A30" w:rsidRPr="00BA0948" w:rsidRDefault="00FF4A30" w:rsidP="00FF4A30">
      <w:r w:rsidRPr="00BA0948">
        <w:t>The Three Horizons model (Curry &amp; Hodgson, 2008) introduces a future-oriented dimension, but it risks oversimplifying the unpredictability of learning. My experience suggests that development is iterative, non-linear, and shaped by emergent conditions rather than planned progression.</w:t>
      </w:r>
    </w:p>
    <w:p w14:paraId="0E8F9BB6" w14:textId="77777777" w:rsidR="00FF4A30" w:rsidRPr="00BA0948" w:rsidRDefault="00FF4A30" w:rsidP="00FF4A30">
      <w:r w:rsidRPr="00BA0948">
        <w:t>2.9 Critical Synthesis and Implications</w:t>
      </w:r>
    </w:p>
    <w:p w14:paraId="5CE7E45E" w14:textId="5047F379" w:rsidR="00FF4A30" w:rsidRPr="00BA0948" w:rsidRDefault="00FF4A30" w:rsidP="00FF4A30">
      <w:r w:rsidRPr="00BA0948">
        <w:t>The framework provides a valuable integrative perspective but remains inherently limited. It offers coherence at the expense of complexity and represents an idealised version of practice. Its value lies not in accuracy, but in its ability to support critical reflection. The tensions it exposes—between formal and informal learning, tacit and explicit knowledge, agency and structure—are not problems to be resolved, but fundamental characteristics of professional learning that must be continuously navigated.</w:t>
      </w:r>
    </w:p>
    <w:p w14:paraId="3EDCACB3" w14:textId="735B7B26" w:rsidR="00964F06" w:rsidRPr="00BA0948" w:rsidRDefault="00964F06" w:rsidP="00964F06">
      <w:r w:rsidRPr="00BA0948">
        <w:t>3. Strategic Learning and Development Plan</w:t>
      </w:r>
    </w:p>
    <w:p w14:paraId="32DA26FF" w14:textId="77777777" w:rsidR="00964F06" w:rsidRPr="00BA0948" w:rsidRDefault="00964F06" w:rsidP="00964F06">
      <w:r w:rsidRPr="00BA0948">
        <w:t>3.1 Introduction: Reframing Strategic Learning in Context</w:t>
      </w:r>
    </w:p>
    <w:p w14:paraId="7616C18D" w14:textId="77777777" w:rsidR="00964F06" w:rsidRPr="00BA0948" w:rsidRDefault="00964F06" w:rsidP="00964F06">
      <w:r w:rsidRPr="00BA0948">
        <w:t>Strategic learning at doctoral level is often presented as a deliberate and structured process, implying coherence, direction, and rational planning. However, such a framing risks oversimplifying the realities of professional learning, particularly within higher education contexts characterised by complexity, uncertainty, and competing demands. My experience suggests that learning is not fully amenable to strategic control; rather, it is shaped by emergent challenges, institutional constraints, and evolving professional identities. As such, this plan does not represent a fixed or linear roadmap but instead operates as a critically informed, adaptive framework that recognises both intentionality and contingency.</w:t>
      </w:r>
    </w:p>
    <w:p w14:paraId="620C31E9" w14:textId="77777777" w:rsidR="00964F06" w:rsidRPr="00BA0948" w:rsidRDefault="00964F06" w:rsidP="00964F06">
      <w:r w:rsidRPr="00BA0948">
        <w:t>This perspective aligns with Eraut’s (2004) argument that professional learning involves an integration of formal, non-formal, and informal processes, many of which occur outside structured planning. It also resonates with Kiley’s (2015) conception of doctoral development as an identity-forming process, in which learning is not merely the acquisition of knowledge but the gradual transformation of how one understands oneself as a researcher and practitioner. However, while these perspectives foreground the fluid and developmental nature of learning, they can underplay the structural realities that shape what is possible. Institutional demands, workload pressures, and disciplinary expectations impose constraints that limit the extent to which learning can be strategically directed.</w:t>
      </w:r>
    </w:p>
    <w:p w14:paraId="08E3A2DF" w14:textId="77777777" w:rsidR="00964F06" w:rsidRPr="00BA0948" w:rsidRDefault="00964F06" w:rsidP="00964F06">
      <w:r w:rsidRPr="00BA0948">
        <w:lastRenderedPageBreak/>
        <w:t>In my own context, the interrelationship between teaching, administration, and doctoral study exemplifies this tension. For instance, my efforts to redesign teaching in response to student feedback have not only enhanced pedagogical practice but also informed my emerging research interests in experiential learning. Similarly, the need to supervise dissertations has required engagement with research methodology, often in a reactive rather than planned manner. These experiences illustrate that strategic learning cannot be separated from practice; it is embedded within it, shaped by immediate demands as much as long-term goals.</w:t>
      </w:r>
    </w:p>
    <w:p w14:paraId="3A3E49DE" w14:textId="189BB5C4" w:rsidR="00964F06" w:rsidRPr="00BA0948" w:rsidRDefault="00964F06" w:rsidP="00964F06">
      <w:r w:rsidRPr="00BA0948">
        <w:t>Consequently, this strategic plan adopts a critical stance towards the notion of “strategy” itself. Rather than assuming coherence and predictability, it acknowledges fragmentation, uncertainty, and tension as inherent features of professional learning. The aim is therefore not to eliminate these tensions but to engage with them productively, using them as a basis for ongoing development.</w:t>
      </w:r>
    </w:p>
    <w:p w14:paraId="02A4A211" w14:textId="77777777" w:rsidR="00964F06" w:rsidRPr="00BA0948" w:rsidRDefault="00964F06" w:rsidP="00964F06">
      <w:r w:rsidRPr="00BA0948">
        <w:t>3.2 Critically Analysing Learning Needs</w:t>
      </w:r>
    </w:p>
    <w:p w14:paraId="00EA268B" w14:textId="6D2DB0BE" w:rsidR="00964F06" w:rsidRPr="00BA0948" w:rsidRDefault="00964F06" w:rsidP="00964F06">
      <w:r w:rsidRPr="00BA0948">
        <w:t>Identifying learning needs within this context is not a straightforward diagnostic exercise but a reflective and interpretive process shaped by both experience and theoretical engagement. My learning needs can be broadly situated across two interconnected domains: teaching practice and doctoral development. However, these domains are deeply interdependent and attempts to treat them as separate risk obscuring the ways in which each informs and constrains the other.</w:t>
      </w:r>
    </w:p>
    <w:p w14:paraId="31D55719" w14:textId="184ED9B4" w:rsidR="00964F06" w:rsidRPr="00BA0948" w:rsidRDefault="00964F06" w:rsidP="00964F06">
      <w:r w:rsidRPr="00BA0948">
        <w:t>In relation to teaching practice, a central need is the development of a more robust theoretical grounding in pedagogy. While my teaching has evolved significantly</w:t>
      </w:r>
      <w:r w:rsidR="00BA0948">
        <w:t xml:space="preserve"> </w:t>
      </w:r>
      <w:r w:rsidRPr="00BA0948">
        <w:t>particularly through shifts towards more applied and interactive approaches</w:t>
      </w:r>
      <w:r w:rsidR="00BA0948">
        <w:t xml:space="preserve">, </w:t>
      </w:r>
      <w:r w:rsidRPr="00BA0948">
        <w:t>this evolution has been largely driven by experience and reflection rather than explicit engagement with pedagogical theory. This creates a fundamental limitation. Without theoretical grounding, pedagogical innovation risks remaining reactive, shaped by immediate feedback rather than informed by a coherent understanding of learning processes. Biggs’ (1996) concept of constructive alignment, for example, highlights the importance of systematically aligning learning outcomes, teaching activities, and assessment. My current practice only partially reflects this alignment, indicating a gap between intuitive adaptation and theoretically informed design.</w:t>
      </w:r>
    </w:p>
    <w:p w14:paraId="607B382F" w14:textId="77777777" w:rsidR="00964F06" w:rsidRPr="00BA0948" w:rsidRDefault="00964F06" w:rsidP="00964F06">
      <w:r w:rsidRPr="00BA0948">
        <w:t>At the same time, this need must be understood critically. The assumption that increased theoretical knowledge will necessarily improve teaching is itself problematic. As Gibbs and Coffey (2004) suggest, engagement with pedagogical theory does not automatically translate into improved practice. There is therefore a tension between the perceived value of theory and its practical applicability. My own experience reflects this, as theoretical insights often require significant adaptation to fit the realities of classroom contexts.</w:t>
      </w:r>
    </w:p>
    <w:p w14:paraId="72275586" w14:textId="77777777" w:rsidR="00964F06" w:rsidRPr="00BA0948" w:rsidRDefault="00964F06" w:rsidP="00964F06">
      <w:r w:rsidRPr="00BA0948">
        <w:t>The integration of artificial intelligence into teaching further complicates this domain. While institutional initiatives provide initial exposure, they often emphasise technological capability over pedagogical integration. My experience of attending an AI workshop illustrates this limitation: while the session introduced key concepts, it did not address how these tools could be meaningfully incorporated into disciplinary teaching. This highlights a broader issue within professional development, where formal training may prioritise awareness over deep learning. Consequently, my learning need extends beyond acquiring knowledge of AI tools to developing a critical understanding of their pedagogical implications.</w:t>
      </w:r>
    </w:p>
    <w:p w14:paraId="6A08F428" w14:textId="77777777" w:rsidR="00964F06" w:rsidRPr="00BA0948" w:rsidRDefault="00964F06" w:rsidP="00964F06">
      <w:r w:rsidRPr="00BA0948">
        <w:t xml:space="preserve">In the domain of doctoral development, the primary challenge lies in achieving conceptual and methodological clarity. Engaging with research methodology has revealed the complexity and </w:t>
      </w:r>
      <w:r w:rsidRPr="00BA0948">
        <w:lastRenderedPageBreak/>
        <w:t>contested nature of the field, where different paradigms offer competing assumptions about knowledge, reality, and validity. This aligns with Kiley’s (2015) observation that doctoral candidates often struggle to navigate theoretical complexity, particularly when transitioning from practice-based knowledge to academic research.</w:t>
      </w:r>
    </w:p>
    <w:p w14:paraId="748B93BF" w14:textId="77777777" w:rsidR="00964F06" w:rsidRPr="00BA0948" w:rsidRDefault="00964F06" w:rsidP="00964F06">
      <w:r w:rsidRPr="00BA0948">
        <w:t>My own experience reflects this struggle. While my teaching provides rich experiential insights, translating these into rigorous research requires engagement with abstract theoretical frameworks that are often difficult to reconcile with practice. This creates a tension between experiential knowledge and academic expectations. On one hand, practice-based insights offer depth and relevance; on the other, academic rigour demands systematic and theoretically grounded analysis.</w:t>
      </w:r>
    </w:p>
    <w:p w14:paraId="5DDD6480" w14:textId="13C07F56" w:rsidR="00964F06" w:rsidRPr="00BA0948" w:rsidRDefault="00811163" w:rsidP="00964F06">
      <w:r w:rsidRPr="00BA0948">
        <w:t>These learning needs are further shaped by contextual constraints. Time pressures, workload, and competing responsibilities significantly limit the capacity for sustained engagement with learning, reflecting well-documented structural conditions within higher education institutions (Boud &amp; Brew, 2013; Tight, 2010). This introduces a critical tension within strategic planning: the aspiration for deliberate development versus the reality of constrained capacity (Eraut, 2004; Barnett, 2000). Any strategic plan that fails to acknowledge this tension risks being aspirational rather than achievable, particularly in contexts where professional practice is shaped by competing institutional demands and limited temporal resources (Kreber, 2010; Hodkinson et al., 2008).</w:t>
      </w:r>
    </w:p>
    <w:p w14:paraId="11656077" w14:textId="77777777" w:rsidR="00964F06" w:rsidRPr="00BA0948" w:rsidRDefault="00964F06" w:rsidP="00964F06">
      <w:r w:rsidRPr="00BA0948">
        <w:t>3.3 Strategic Priorities: Engaging with Tensions</w:t>
      </w:r>
    </w:p>
    <w:p w14:paraId="79326029" w14:textId="77777777" w:rsidR="00964F06" w:rsidRPr="00BA0948" w:rsidRDefault="00964F06" w:rsidP="00964F06">
      <w:r w:rsidRPr="00BA0948">
        <w:t>Rather than defining strategic priorities as discrete and achievable objectives, it is more appropriate to conceptualise them as ongoing tensions that require continuous negotiation. This reflects the complexity of professional learning, where progress is rarely linear and often involves navigating competing demands.</w:t>
      </w:r>
    </w:p>
    <w:p w14:paraId="1CA0082C" w14:textId="77777777" w:rsidR="00964F06" w:rsidRPr="00BA0948" w:rsidRDefault="00964F06" w:rsidP="00964F06">
      <w:r w:rsidRPr="00BA0948">
        <w:t>The first priority involves balancing experiential and theoretical knowledge. My practice has been strongly shaped by experiential learning, particularly through teaching and problem-solving. While this provides contextual relevance, it also risks reinforcing existing assumptions. The integration of theory is therefore essential for developing a more critical and systematic approach. However, this integration is not straightforward. Theory does not simply “apply” to practice; it requires interpretation, adaptation, and sometimes rejection. This creates an ongoing tension between abstraction and application, which cannot be fully resolved.</w:t>
      </w:r>
    </w:p>
    <w:p w14:paraId="42663C74" w14:textId="77777777" w:rsidR="00964F06" w:rsidRPr="00BA0948" w:rsidRDefault="00964F06" w:rsidP="00964F06">
      <w:r w:rsidRPr="00BA0948">
        <w:t>The second priority is the development of methodological competence. This extends beyond acquiring technical knowledge of research methods to developing the capacity to critically engage with methodological choices. Research methodology is not neutral; it reflects underlying epistemological and ontological assumptions. My current engagement with methodology has highlighted both the richness and the complexity of these debates. Developing competence therefore involves embracing uncertainty and ambiguity rather than seeking definitive answers. This represents a shift from viewing methodology as a set of tools to understanding it as a framework for thinking.</w:t>
      </w:r>
    </w:p>
    <w:p w14:paraId="60E9C104" w14:textId="3A892C72" w:rsidR="00D24058" w:rsidRPr="00BA0948" w:rsidRDefault="00D24058" w:rsidP="00964F06">
      <w:r w:rsidRPr="00BA0948">
        <w:t xml:space="preserve">The third priority concerns professional identity development. The transition from lecturer to practitioner-researcher is not merely a change in role but a transformation in how knowledge is understood and produced, reflecting broader understandings of identity as socially constructed and continually negotiated through practice (Wenger, 1998; Beauchamp &amp; Thomas, 2009). Autoethnography has played a significant role in initiating this process, enabling critical </w:t>
      </w:r>
      <w:r w:rsidRPr="00BA0948">
        <w:lastRenderedPageBreak/>
        <w:t>reflection on my own practice and assumptions and supporting the development of reflexive professional identity (Adams et al., 2015; Ellis &amp; Bochner, 2000). However, this approach also raises questions about legitimacy within academic discourse, particularly in relation to concerns about subjectivity, validity, and scholarly rigour (Denzin &amp; Lincoln, 2018; Sparkes, 2000). Balancing the subjective, situated insights of autoethnography with the expectations of academic rigour and methodological transparency remains an ongoing and contested challenge in qualitative research practice (Bochner, 2000; Holt, 2003).</w:t>
      </w:r>
    </w:p>
    <w:p w14:paraId="7868053C" w14:textId="1F7F2673" w:rsidR="00964F06" w:rsidRPr="00BA0948" w:rsidRDefault="00964F06" w:rsidP="00964F06">
      <w:r w:rsidRPr="00BA0948">
        <w:t>Importantly, these priorities are deeply interconnected. Progress in one area inevitably influences the others. For example, developing methodological competence supports both theoretical understanding and identity formation. Similarly, engaging with theory informs both teaching practice and research development. This interconnectedness reinforces the need for an integrated rather than compartmentalised approach to strategic learning.</w:t>
      </w:r>
    </w:p>
    <w:p w14:paraId="472CB296" w14:textId="71F87100" w:rsidR="00CC64E9" w:rsidRPr="00BA0948" w:rsidRDefault="00CC64E9" w:rsidP="00CC64E9">
      <w:r w:rsidRPr="00BA0948">
        <w:t>3.4 Strategic Foresight and the Three Horizons Model</w:t>
      </w:r>
    </w:p>
    <w:p w14:paraId="18CBFB30" w14:textId="77777777" w:rsidR="00CC64E9" w:rsidRPr="00BA0948" w:rsidRDefault="00CC64E9" w:rsidP="00CC64E9">
      <w:r w:rsidRPr="00BA0948">
        <w:t>The Three Horizons model (Curry &amp; Hodgson, 2008) offers a useful way of conceptualising future-oriented professional learning by distinguishing between current practice, emerging innovation, and longer-term transformation. Within the conceptual framework presented in Figure 1, it provides the temporal dimension that complements the spatial and relational domains of informal learning, tacit knowledge, reflective practice, and identity formation.</w:t>
      </w:r>
    </w:p>
    <w:p w14:paraId="647019FB" w14:textId="77777777" w:rsidR="00CC64E9" w:rsidRPr="00BA0948" w:rsidRDefault="00CC64E9" w:rsidP="00CC64E9">
      <w:r w:rsidRPr="00BA0948">
        <w:t>However, while the model adds a valuable future-oriented lens, it risks implying a linear and staged progression that does not reflect the lived reality of professional practice. In practice, the horizons are better understood as overlapping temporal logics rather than sequential phases. This interpretation aligns more closely with the non-linear and emergent character of professional learning identified across this study.</w:t>
      </w:r>
    </w:p>
    <w:p w14:paraId="3BA19F34" w14:textId="77777777" w:rsidR="00CC64E9" w:rsidRPr="00BA0948" w:rsidRDefault="00CC64E9" w:rsidP="00CC64E9">
      <w:r w:rsidRPr="00BA0948">
        <w:t>In my context, Horizon 1 represents established teaching practice, shaped by institutional structures, disciplinary norms, and routine pedagogical approaches. Horizon 2 reflects ongoing experimentation, including the incorporation of applied teaching strategies, iterative pedagogical adjustments, and engagement with emerging technologies. Horizon 3 represents a more integrated configuration in which teaching, research, and professional identity are closely aligned, enabling practice to contribute directly to disciplinary knowledge development.</w:t>
      </w:r>
    </w:p>
    <w:p w14:paraId="426572BF" w14:textId="77777777" w:rsidR="00CC64E9" w:rsidRPr="00BA0948" w:rsidRDefault="00CC64E9" w:rsidP="00CC64E9">
      <w:r w:rsidRPr="00BA0948">
        <w:t>However, these horizons do not exist as discrete categories. Instead, they coexist within the same professional space. Elements associated with Horizon 3 are already evident in my current practice, particularly in the alignment between teaching activity and doctoral research interests. At the same time, Horizon 1 practices persist, shaped by institutional requirements, workload structures, and assessment frameworks that constrain the pace and direction of change. This reinforces a key argument developed throughout this thesis: professional learning is not a process of linear progression, but one of continual negotiation between stability and change.</w:t>
      </w:r>
    </w:p>
    <w:p w14:paraId="48EFCF98" w14:textId="77777777" w:rsidR="00CC64E9" w:rsidRPr="00BA0948" w:rsidRDefault="00CC64E9" w:rsidP="00CC64E9">
      <w:r w:rsidRPr="00BA0948">
        <w:t>This interpretation directly connects with the conceptual framework in Figure 1, particularly the tension between structure and emergence. Horizon 1 reflects codified knowledge systems and institutional constraints; Horizon 2 aligns with informal learning, reflective experimentation, and tacit adaptation; while Horizon 3 corresponds to identity formation and the evolving integration of practice and scholarship. Rather than occupying separate domains, these dimensions interact dynamically within the same professional field.</w:t>
      </w:r>
    </w:p>
    <w:p w14:paraId="32FBDBA0" w14:textId="77777777" w:rsidR="00CC64E9" w:rsidRPr="00BA0948" w:rsidRDefault="00CC64E9" w:rsidP="00CC64E9">
      <w:r w:rsidRPr="00BA0948">
        <w:lastRenderedPageBreak/>
        <w:t>Furthermore, the model assumes a level of individual agency that may not fully reflect institutional conditions. While it encourages forward-oriented thinking, it underestimates the extent to which professional trajectories are shaped by structural constraints such as workload allocation, policy environments, and resource limitations. These factors mediate what kinds of development are possible, and at what pace.</w:t>
      </w:r>
    </w:p>
    <w:p w14:paraId="03256810" w14:textId="77777777" w:rsidR="00CC64E9" w:rsidRPr="00BA0948" w:rsidRDefault="00CC64E9" w:rsidP="00CC64E9">
      <w:r w:rsidRPr="00BA0948">
        <w:t>The inclusion of anticipatory thinking (Miller, 2018) extends this temporal dimension by emphasising that professional learning is not only responsive but also imaginative. It foregrounds the role of foresight, scenario construction, and future-oriented reasoning in shaping present decision-making and professional identity. From this perspective, learning involves not only adapting to complexity but also actively constructing possible futures that inform current practice.</w:t>
      </w:r>
    </w:p>
    <w:p w14:paraId="5D4D1F5A" w14:textId="1980EE89" w:rsidR="00745636" w:rsidRPr="00BA0948" w:rsidRDefault="00745636" w:rsidP="00CC64E9">
      <w:r w:rsidRPr="00BA0948">
        <w:t>However, anticipatory thinking must itself be understood as socially and institutionally conditioned (Miller, 2018; Beckert, 2016). The capacity to imagine alternative futures is unevenly distributed and shaped by disciplinary norms, institutional priorities, and time constraints, reflecting broader inequalities in access to “</w:t>
      </w:r>
      <w:proofErr w:type="spellStart"/>
      <w:r w:rsidRPr="00BA0948">
        <w:t>futuring</w:t>
      </w:r>
      <w:proofErr w:type="spellEnd"/>
      <w:r w:rsidRPr="00BA0948">
        <w:t>” practices within organisations (Hajer &amp; Pelzer, 2018; Giddens, 1991). In this sense, foresight is not neutral: it risks reproducing dominant organisational logics if it is not critically interrogated, particularly when it aligns with existing governance or performance frameworks (Miller, 2018; Bell, 2009). Within my own practice, for example, time pressures associated with teaching and doctoral work limit sustained engagement with long-term scenario thinking, reinforcing a tendency towards short-term adaptive responses rather than transformative reimagining (Barnett, 2000; Tight, 2010).</w:t>
      </w:r>
    </w:p>
    <w:p w14:paraId="32CE35B6" w14:textId="5E8647EA" w:rsidR="00964F06" w:rsidRPr="00BA0948" w:rsidRDefault="00CC64E9" w:rsidP="00964F06">
      <w:r w:rsidRPr="00BA0948">
        <w:t>Overall, the Three Horizons model contributes to the conceptual framework in Figure 1 by providing a temporal lens through which the interaction between practice, identity, and knowledge can be understood. However, its value lies not in offering a predictive model of development, but in making visible the coexistence of multiple temporalities within professional learning. These temporalities are not sequential stages but overlapping conditions that must be continuously navigated within complex institutional environments.</w:t>
      </w:r>
    </w:p>
    <w:p w14:paraId="2BEF63E1" w14:textId="77777777" w:rsidR="00964F06" w:rsidRPr="00BA0948" w:rsidRDefault="00964F06" w:rsidP="00964F06">
      <w:r w:rsidRPr="00BA0948">
        <w:t>3.5 Methodological Approaches to Learning</w:t>
      </w:r>
    </w:p>
    <w:p w14:paraId="19D783A2" w14:textId="77777777" w:rsidR="00964F06" w:rsidRPr="00BA0948" w:rsidRDefault="00964F06" w:rsidP="00964F06">
      <w:r w:rsidRPr="00BA0948">
        <w:t>My approach to learning integrates formal, informal, and reflective processes, reflecting the multifaceted nature of professional development. Formal learning, including doctoral modules and engagement with academic literature, provides theoretical grounding and exposure to disciplinary debates. Informal learning, occurring through teaching, collaboration, and problem-solving, offers contextual relevance and immediacy. Reflective practice, particularly through autoethnographic writing, serves as a mechanism for integrating these forms of learning.</w:t>
      </w:r>
    </w:p>
    <w:p w14:paraId="7BE1AFF8" w14:textId="77777777" w:rsidR="00964F06" w:rsidRPr="00BA0948" w:rsidRDefault="00964F06" w:rsidP="00964F06">
      <w:r w:rsidRPr="00BA0948">
        <w:t>However, each of these approaches has inherent limitations. Formal learning may lack direct applicability, particularly when theoretical concepts are abstract or disconnected from practice. Informal learning, while contextually rich, may lack criticality and reinforce existing assumptions. Reflective practice, although valuable, may become descriptive rather than analytical if not rigorously structured.</w:t>
      </w:r>
    </w:p>
    <w:p w14:paraId="6265D92E" w14:textId="6081D504" w:rsidR="00964F06" w:rsidRPr="00BA0948" w:rsidRDefault="00564591" w:rsidP="00964F06">
      <w:r w:rsidRPr="00BA0948">
        <w:t xml:space="preserve">The challenge, therefore, lies in integrating these approaches in a way that maximises their strengths while mitigating their weaknesses (Eraut, 2004; Boud &amp; Walker, 1998). This requires a deliberate effort to connect theory with practice, to critically interrogate informal learning, and to structure reflection in a way that promotes deeper analysis (Schön, 1983; Brookfield, 2017). </w:t>
      </w:r>
      <w:r w:rsidRPr="00BA0948">
        <w:lastRenderedPageBreak/>
        <w:t>This integration is not automatic; it requires ongoing effort and critical awareness, reflecting the understanding that professional learning is an active, situated, and continuous process rather than a naturally occurring outcome of experience alone (Lave &amp; Wenger, 1991; Fenwick, 2010).</w:t>
      </w:r>
    </w:p>
    <w:p w14:paraId="7849B50A" w14:textId="77777777" w:rsidR="00964F06" w:rsidRPr="00BA0948" w:rsidRDefault="00964F06" w:rsidP="00964F06">
      <w:r w:rsidRPr="00BA0948">
        <w:t>3.6 Alignment with Doctoral Research</w:t>
      </w:r>
    </w:p>
    <w:p w14:paraId="3EB34016" w14:textId="77777777" w:rsidR="00964F06" w:rsidRPr="00BA0948" w:rsidRDefault="00964F06" w:rsidP="00964F06">
      <w:r w:rsidRPr="00BA0948">
        <w:t>The strategic plan is closely aligned with my doctoral research trajectory, particularly in relation to experiential learning in economics education. My teaching experiences provide a rich source of data and insight, highlighting the tension between lecture-based and interactive approaches. This tension forms the basis of my research inquiry, offering both practical relevance and theoretical significance.</w:t>
      </w:r>
    </w:p>
    <w:p w14:paraId="7DAE64C7" w14:textId="77777777" w:rsidR="00964F06" w:rsidRPr="00BA0948" w:rsidRDefault="00964F06" w:rsidP="00964F06">
      <w:r w:rsidRPr="00BA0948">
        <w:t>However, aligning practice with research also introduces challenges. Practice-based insights must be translated into forms that are recognisable within academic discourse, which often prioritises generalisability and theoretical abstraction. This creates a tension between the specificity of lived experience and the expectations of scholarly research.</w:t>
      </w:r>
    </w:p>
    <w:p w14:paraId="6001F7A4" w14:textId="7B409BC4" w:rsidR="00964F06" w:rsidRPr="00BA0948" w:rsidRDefault="00964F06" w:rsidP="00964F06">
      <w:r w:rsidRPr="00BA0948">
        <w:t>Maintaining this balance requires a dual focus: preserving the richness of practice while engaging with broader theoretical frameworks. Autoethnography offers one approach to achieving this, but it must be complemented by engagement with existing literature and methodological rigour.</w:t>
      </w:r>
    </w:p>
    <w:p w14:paraId="46863DEC" w14:textId="77777777" w:rsidR="00964F06" w:rsidRPr="00BA0948" w:rsidRDefault="00964F06" w:rsidP="00964F06">
      <w:r w:rsidRPr="00BA0948">
        <w:t>3.7 Critical Evaluation and Constraints</w:t>
      </w:r>
    </w:p>
    <w:p w14:paraId="27025D6E" w14:textId="77777777" w:rsidR="00964F06" w:rsidRPr="00BA0948" w:rsidRDefault="00964F06" w:rsidP="00964F06">
      <w:r w:rsidRPr="00BA0948">
        <w:t>The strategic plan is subject to a range of constraints that limit its implementation. Time pressures and workload represent the most immediate challenges, restricting the capacity for sustained engagement with learning. These constraints are not merely practical but structural, reflecting broader issues within higher education.</w:t>
      </w:r>
    </w:p>
    <w:p w14:paraId="44DD5B56" w14:textId="77777777" w:rsidR="00C764E5" w:rsidRPr="00BA0948" w:rsidRDefault="00C764E5" w:rsidP="00C764E5">
      <w:r w:rsidRPr="00BA0948">
        <w:t>There is also a risk that the plan itself becomes overly aspirational, failing to account for the unpredictability of professional learning in complex and dynamic institutional environments (Barnett, 2000; Fenwick, 2012). Strategic planning often assumes a level of control, linearity, and predictability that may not be realistic within higher education contexts characterised by uncertainty and competing demands (Mintzberg, 1994; Eraut, 2004).</w:t>
      </w:r>
    </w:p>
    <w:p w14:paraId="674FCDF4" w14:textId="5F64ED4E" w:rsidR="00964F06" w:rsidRPr="00BA0948" w:rsidRDefault="00C764E5" w:rsidP="00964F06">
      <w:r w:rsidRPr="00BA0948">
        <w:t>Additionally, there are epistemological constraints. The integration of experiential and theoretical knowledge is inherently challenging, requiring ongoing negotiation between different ways of knowing and being in practice (Billett, 2001; Hodkinson et al., 2008). This challenge is unlikely to be fully resolved, highlighting the need for continuous critical engagement with the assumptions underpinning knowledge production and professional learning (</w:t>
      </w:r>
      <w:proofErr w:type="spellStart"/>
      <w:r w:rsidRPr="00BA0948">
        <w:t>Tsoukas</w:t>
      </w:r>
      <w:proofErr w:type="spellEnd"/>
      <w:r w:rsidRPr="00BA0948">
        <w:t>, 2005; Gherardi, 2006).</w:t>
      </w:r>
    </w:p>
    <w:p w14:paraId="7B9CF635" w14:textId="77777777" w:rsidR="00964F06" w:rsidRPr="00BA0948" w:rsidRDefault="00964F06" w:rsidP="00964F06">
      <w:r w:rsidRPr="00BA0948">
        <w:t>3.8 Conclusion</w:t>
      </w:r>
    </w:p>
    <w:p w14:paraId="4F9E5706" w14:textId="77777777" w:rsidR="00964F06" w:rsidRPr="00BA0948" w:rsidRDefault="00964F06" w:rsidP="00964F06">
      <w:r w:rsidRPr="00BA0948">
        <w:t>This strategic learning and development plan represents a shift towards a more intentional and critically informed approach to professional development. However, it remains inherently provisional, shaped by ongoing experience and changing contexts. Its value lies not in providing a fixed pathway but in supporting continuous reflection, critical engagement, and adaptive learning.</w:t>
      </w:r>
    </w:p>
    <w:p w14:paraId="5F670A2E" w14:textId="77777777" w:rsidR="00E979D7" w:rsidRDefault="00E979D7" w:rsidP="0000486B">
      <w:pPr>
        <w:rPr>
          <w:b/>
          <w:bCs/>
        </w:rPr>
      </w:pPr>
    </w:p>
    <w:p w14:paraId="4F6BF729" w14:textId="77777777" w:rsidR="00E979D7" w:rsidRDefault="00E979D7" w:rsidP="0000486B">
      <w:pPr>
        <w:rPr>
          <w:b/>
          <w:bCs/>
        </w:rPr>
      </w:pPr>
    </w:p>
    <w:p w14:paraId="21831DD8" w14:textId="0EFE5E15" w:rsidR="0000486B" w:rsidRPr="00BA0948" w:rsidRDefault="0000486B" w:rsidP="0000486B">
      <w:pPr>
        <w:rPr>
          <w:b/>
          <w:bCs/>
        </w:rPr>
      </w:pPr>
      <w:r w:rsidRPr="00BA0948">
        <w:rPr>
          <w:b/>
          <w:bCs/>
        </w:rPr>
        <w:lastRenderedPageBreak/>
        <w:t>Reference list</w:t>
      </w:r>
    </w:p>
    <w:p w14:paraId="3E1C9E8B" w14:textId="77777777" w:rsidR="0000486B" w:rsidRPr="00BA0948" w:rsidRDefault="0000486B" w:rsidP="0000486B">
      <w:r w:rsidRPr="00BA0948">
        <w:t>Adams, T. E., Holman Jones, S., &amp; Ellis, C. (2015). Autoethnography: Understanding qualitative research. Oxford University Press.</w:t>
      </w:r>
    </w:p>
    <w:p w14:paraId="5B1D4BE4" w14:textId="43D53EF4" w:rsidR="0015387E" w:rsidRPr="00BA0948" w:rsidRDefault="0015387E" w:rsidP="0000486B">
      <w:r w:rsidRPr="00BA0948">
        <w:t xml:space="preserve">Alexander, R. (2008). </w:t>
      </w:r>
      <w:r w:rsidRPr="00BA0948">
        <w:rPr>
          <w:i/>
          <w:iCs/>
        </w:rPr>
        <w:t>Towards dialogic teaching: Rethinking classroom talk</w:t>
      </w:r>
      <w:r w:rsidRPr="00BA0948">
        <w:t xml:space="preserve"> (4th ed.). </w:t>
      </w:r>
      <w:proofErr w:type="spellStart"/>
      <w:r w:rsidRPr="00BA0948">
        <w:t>Dialogos</w:t>
      </w:r>
      <w:proofErr w:type="spellEnd"/>
    </w:p>
    <w:p w14:paraId="5F7F7A9B" w14:textId="4B598575" w:rsidR="00E57A59" w:rsidRPr="00BA0948" w:rsidRDefault="00E57A59" w:rsidP="0000486B">
      <w:r w:rsidRPr="00BA0948">
        <w:t xml:space="preserve">Ball, S. J. (2003). The teacher’s soul and the terrors of performativity. </w:t>
      </w:r>
      <w:r w:rsidRPr="00BA0948">
        <w:rPr>
          <w:i/>
          <w:iCs/>
        </w:rPr>
        <w:t>Journal of Education Policy, 18</w:t>
      </w:r>
      <w:r w:rsidRPr="00BA0948">
        <w:t xml:space="preserve">(2), 215–228. </w:t>
      </w:r>
      <w:hyperlink r:id="rId8" w:tgtFrame="_new" w:history="1">
        <w:r w:rsidRPr="00BA0948">
          <w:rPr>
            <w:rStyle w:val="Hyperlink"/>
          </w:rPr>
          <w:t>https://doi.org/10.1080/0268093022000043065</w:t>
        </w:r>
      </w:hyperlink>
    </w:p>
    <w:p w14:paraId="5D8FFC4E" w14:textId="23B4900E" w:rsidR="00745636" w:rsidRPr="00BA0948" w:rsidRDefault="00745636" w:rsidP="0000486B">
      <w:r w:rsidRPr="00BA0948">
        <w:t xml:space="preserve">Bell, W. (2009). </w:t>
      </w:r>
      <w:r w:rsidRPr="00BA0948">
        <w:rPr>
          <w:i/>
          <w:iCs/>
        </w:rPr>
        <w:t>Foundations of futures studies: Human science for a new era</w:t>
      </w:r>
      <w:r w:rsidRPr="00BA0948">
        <w:t xml:space="preserve"> (Vol. 1). Transaction Publishers.</w:t>
      </w:r>
    </w:p>
    <w:p w14:paraId="6AFB0160" w14:textId="77777777" w:rsidR="0000486B" w:rsidRPr="00BA0948" w:rsidRDefault="0000486B" w:rsidP="0000486B">
      <w:r w:rsidRPr="00BA0948">
        <w:t xml:space="preserve">Barnett, R. (2000). Realizing the university in an age of </w:t>
      </w:r>
      <w:proofErr w:type="spellStart"/>
      <w:r w:rsidRPr="00BA0948">
        <w:t>supercomplexity</w:t>
      </w:r>
      <w:proofErr w:type="spellEnd"/>
      <w:r w:rsidRPr="00BA0948">
        <w:t>. Society for Research into Higher Education.</w:t>
      </w:r>
    </w:p>
    <w:p w14:paraId="4C25CFB6" w14:textId="50387D38" w:rsidR="00E3552C" w:rsidRPr="00BA0948" w:rsidRDefault="00E3552C" w:rsidP="0000486B">
      <w:r w:rsidRPr="00BA0948">
        <w:t xml:space="preserve">Bates, R., &amp; </w:t>
      </w:r>
      <w:proofErr w:type="spellStart"/>
      <w:r w:rsidRPr="00BA0948">
        <w:t>Khasawneh</w:t>
      </w:r>
      <w:proofErr w:type="spellEnd"/>
      <w:r w:rsidRPr="00BA0948">
        <w:t xml:space="preserve">, S. (2007). Organizational learning culture, learning transfer climate and perceived innovation in Jordanian organizations. </w:t>
      </w:r>
      <w:r w:rsidRPr="00BA0948">
        <w:rPr>
          <w:i/>
          <w:iCs/>
        </w:rPr>
        <w:t>International Journal of Training and Development, 11</w:t>
      </w:r>
      <w:r w:rsidRPr="00BA0948">
        <w:t>(2), 96–109. https://doi.org/10.1111/j.1468-2419.2007.00276</w:t>
      </w:r>
    </w:p>
    <w:p w14:paraId="3A70B9A2" w14:textId="01A17A69" w:rsidR="0000486B" w:rsidRPr="00BA0948" w:rsidRDefault="0000486B" w:rsidP="0000486B">
      <w:r w:rsidRPr="00BA0948">
        <w:t xml:space="preserve">Baxter Magolda, M. B. (2008). Three elements of self-authorship. Journal of College Student Development, 49(4), 269–284. </w:t>
      </w:r>
      <w:hyperlink r:id="rId9" w:history="1">
        <w:r w:rsidR="00E57A59" w:rsidRPr="00BA0948">
          <w:rPr>
            <w:rStyle w:val="Hyperlink"/>
          </w:rPr>
          <w:t>https://doi.org/10.1353/csd.0.0016</w:t>
        </w:r>
      </w:hyperlink>
    </w:p>
    <w:p w14:paraId="5240FC56" w14:textId="5B3B4FC0" w:rsidR="00D24058" w:rsidRPr="00BA0948" w:rsidRDefault="00D24058" w:rsidP="0000486B">
      <w:r w:rsidRPr="00BA0948">
        <w:t xml:space="preserve">Beauchamp, C., &amp; Thomas, L. (2009). Understanding teacher identity: An overview of issues in the literature and implications for teacher education. </w:t>
      </w:r>
      <w:r w:rsidRPr="00BA0948">
        <w:rPr>
          <w:i/>
          <w:iCs/>
        </w:rPr>
        <w:t>Cambridge Journal of Education, 39</w:t>
      </w:r>
      <w:r w:rsidRPr="00BA0948">
        <w:t xml:space="preserve">(2), 175–189. </w:t>
      </w:r>
      <w:hyperlink r:id="rId10" w:tgtFrame="_new" w:history="1">
        <w:r w:rsidRPr="00BA0948">
          <w:rPr>
            <w:rStyle w:val="Hyperlink"/>
          </w:rPr>
          <w:t>https://doi.org/10.1080/03057640902902252</w:t>
        </w:r>
      </w:hyperlink>
    </w:p>
    <w:p w14:paraId="2F96758A" w14:textId="7BEBBE1B" w:rsidR="00745636" w:rsidRPr="00BA0948" w:rsidRDefault="00745636" w:rsidP="00745636">
      <w:r w:rsidRPr="00BA0948">
        <w:t xml:space="preserve">Beckert, J. (2016). </w:t>
      </w:r>
      <w:r w:rsidRPr="00BA0948">
        <w:rPr>
          <w:i/>
          <w:iCs/>
        </w:rPr>
        <w:t>Imagined futures: Fictional expectations and capitalist dynamics</w:t>
      </w:r>
      <w:r w:rsidRPr="00BA0948">
        <w:t>. Harvard University Press.</w:t>
      </w:r>
    </w:p>
    <w:p w14:paraId="5A10C6CA" w14:textId="38F1AC2B" w:rsidR="00E57A59" w:rsidRPr="00BA0948" w:rsidRDefault="00E57A59" w:rsidP="0000486B">
      <w:r w:rsidRPr="00BA0948">
        <w:t xml:space="preserve">Biesta, G. J. J. (2009). Good education in an age of measurement: On the need to reconnect with the question of purpose in education. </w:t>
      </w:r>
      <w:r w:rsidRPr="00BA0948">
        <w:rPr>
          <w:i/>
          <w:iCs/>
        </w:rPr>
        <w:t>Educational Assessment, Evaluation and Accountability, 21</w:t>
      </w:r>
      <w:r w:rsidRPr="00BA0948">
        <w:t xml:space="preserve">(1), 33–46. </w:t>
      </w:r>
      <w:hyperlink r:id="rId11" w:tgtFrame="_new" w:history="1">
        <w:r w:rsidRPr="00BA0948">
          <w:rPr>
            <w:rStyle w:val="Hyperlink"/>
          </w:rPr>
          <w:t>https://doi.org/10.1007/s11092-008-9064-9</w:t>
        </w:r>
      </w:hyperlink>
    </w:p>
    <w:p w14:paraId="118E5C23" w14:textId="7311A33D" w:rsidR="0000486B" w:rsidRPr="00BA0948" w:rsidRDefault="0000486B" w:rsidP="0000486B">
      <w:r w:rsidRPr="00BA0948">
        <w:t xml:space="preserve">Biggs, J. (1996). Enhancing teaching through constructive alignment. Higher Education, 32(3), 347–364. </w:t>
      </w:r>
      <w:hyperlink r:id="rId12" w:history="1">
        <w:r w:rsidR="009F0649" w:rsidRPr="00BA0948">
          <w:rPr>
            <w:rStyle w:val="Hyperlink"/>
          </w:rPr>
          <w:t>https://doi.org/10.1007/BF00138871</w:t>
        </w:r>
      </w:hyperlink>
    </w:p>
    <w:p w14:paraId="50ABF885" w14:textId="293D5920" w:rsidR="009F0649" w:rsidRPr="00BA0948" w:rsidRDefault="009F0649" w:rsidP="0000486B">
      <w:r w:rsidRPr="00BA0948">
        <w:t xml:space="preserve">Biggs, J., &amp; Tang, C. (2011). </w:t>
      </w:r>
      <w:r w:rsidRPr="00BA0948">
        <w:rPr>
          <w:i/>
          <w:iCs/>
        </w:rPr>
        <w:t>Teaching for quality learning at university</w:t>
      </w:r>
      <w:r w:rsidRPr="00BA0948">
        <w:t xml:space="preserve"> (4th ed.). Open University Press.</w:t>
      </w:r>
    </w:p>
    <w:p w14:paraId="1D716DDA" w14:textId="77777777" w:rsidR="0000486B" w:rsidRPr="00BA0948" w:rsidRDefault="0000486B" w:rsidP="0000486B">
      <w:r w:rsidRPr="00BA0948">
        <w:t>Billett, S. (2001). Learning in the workplace: Strategies for effective practice. Allen &amp; Unwin.</w:t>
      </w:r>
    </w:p>
    <w:p w14:paraId="23901472" w14:textId="42BFB4C6" w:rsidR="0000486B" w:rsidRPr="00BA0948" w:rsidRDefault="0000486B" w:rsidP="0000486B">
      <w:r w:rsidRPr="00BA0948">
        <w:t xml:space="preserve">Blackler, F. (1995). Knowledge, knowledge work and organizations: An overview and interpretation. Organization Studies, 16(6), 1021–1046. </w:t>
      </w:r>
      <w:hyperlink r:id="rId13" w:history="1">
        <w:r w:rsidR="00E57A59" w:rsidRPr="00BA0948">
          <w:rPr>
            <w:rStyle w:val="Hyperlink"/>
          </w:rPr>
          <w:t>https://doi.org/10.1177/017084069501600605</w:t>
        </w:r>
      </w:hyperlink>
    </w:p>
    <w:p w14:paraId="3493D8D1" w14:textId="5451307B" w:rsidR="00D24058" w:rsidRPr="00BA0948" w:rsidRDefault="00D24058" w:rsidP="0000486B">
      <w:r w:rsidRPr="00BA0948">
        <w:t xml:space="preserve">Bochner, A. P. (2000). Criteria against ourselves. </w:t>
      </w:r>
      <w:r w:rsidRPr="00BA0948">
        <w:rPr>
          <w:i/>
          <w:iCs/>
        </w:rPr>
        <w:t>Qualitative Inquiry, 6</w:t>
      </w:r>
      <w:r w:rsidRPr="00BA0948">
        <w:t>(2), 266–272. https://doi.org/10.1177/107780040000600209</w:t>
      </w:r>
    </w:p>
    <w:p w14:paraId="4BEEAC2D" w14:textId="43E2EA73" w:rsidR="00811163" w:rsidRPr="00BA0948" w:rsidRDefault="00811163" w:rsidP="0000486B">
      <w:r w:rsidRPr="00BA0948">
        <w:t xml:space="preserve">Boud, D., &amp; Brew, A. (2013). Reconceptualising academic work as professional practice: Implications for academic development. </w:t>
      </w:r>
      <w:r w:rsidRPr="00BA0948">
        <w:rPr>
          <w:i/>
          <w:iCs/>
        </w:rPr>
        <w:t>International Journal for Academic Development, 18</w:t>
      </w:r>
      <w:r w:rsidRPr="00BA0948">
        <w:t>(3), 208–221. https://doi.org/10.1080/1360144X.2012.671771</w:t>
      </w:r>
    </w:p>
    <w:p w14:paraId="149533B2" w14:textId="320DFBA4" w:rsidR="00E57A59" w:rsidRPr="00BA0948" w:rsidRDefault="00E57A59" w:rsidP="0000486B">
      <w:r w:rsidRPr="00BA0948">
        <w:lastRenderedPageBreak/>
        <w:t xml:space="preserve">Boud, D., &amp; Hager, P. (2012). Re-thinking continuing professional development through changing metaphors and location in professional practices. </w:t>
      </w:r>
      <w:r w:rsidRPr="00BA0948">
        <w:rPr>
          <w:i/>
          <w:iCs/>
        </w:rPr>
        <w:t>Studies in Continuing Education, 34</w:t>
      </w:r>
      <w:r w:rsidRPr="00BA0948">
        <w:t>(1), 17–30. https://doi.org/10.1080/0158037X.2011.608656</w:t>
      </w:r>
    </w:p>
    <w:p w14:paraId="696D217E" w14:textId="0ABB80B9" w:rsidR="0000486B" w:rsidRPr="00BA0948" w:rsidRDefault="0000486B" w:rsidP="0000486B">
      <w:r w:rsidRPr="00BA0948">
        <w:t xml:space="preserve">Boud, D., &amp; Middleton, H. (2003). Learning from others at work: Communities of practice and informal learning. Journal of Workplace Learning, 15(5), 194–202. </w:t>
      </w:r>
      <w:hyperlink r:id="rId14" w:history="1">
        <w:r w:rsidR="005E3D35" w:rsidRPr="00BA0948">
          <w:rPr>
            <w:rStyle w:val="Hyperlink"/>
          </w:rPr>
          <w:t>https://doi.org/10.1108/13665620310483895</w:t>
        </w:r>
      </w:hyperlink>
    </w:p>
    <w:p w14:paraId="322F8934" w14:textId="4A1BEFB6" w:rsidR="00564591" w:rsidRPr="00BA0948" w:rsidRDefault="00564591" w:rsidP="0000486B">
      <w:r w:rsidRPr="00BA0948">
        <w:t xml:space="preserve">Boud, D., &amp; Walker, D. (1998). Promoting reflection in professional courses: The challenge of context. </w:t>
      </w:r>
      <w:r w:rsidRPr="00BA0948">
        <w:rPr>
          <w:i/>
          <w:iCs/>
        </w:rPr>
        <w:t>Studies in Higher Education, 23</w:t>
      </w:r>
      <w:r w:rsidRPr="00BA0948">
        <w:t xml:space="preserve">(2), 191–206. </w:t>
      </w:r>
      <w:hyperlink r:id="rId15" w:history="1">
        <w:r w:rsidRPr="00BA0948">
          <w:rPr>
            <w:rStyle w:val="Hyperlink"/>
          </w:rPr>
          <w:t>https://doi.org/10.1080/03075079812331380384</w:t>
        </w:r>
      </w:hyperlink>
    </w:p>
    <w:p w14:paraId="4E2D9632" w14:textId="62F1911E" w:rsidR="005E3D35" w:rsidRPr="00BA0948" w:rsidRDefault="005E3D35" w:rsidP="0000486B">
      <w:r w:rsidRPr="00BA0948">
        <w:t xml:space="preserve">Bourdieu, P. (1977). </w:t>
      </w:r>
      <w:r w:rsidRPr="00BA0948">
        <w:rPr>
          <w:i/>
          <w:iCs/>
        </w:rPr>
        <w:t>Outline of a theory of practice</w:t>
      </w:r>
      <w:r w:rsidRPr="00BA0948">
        <w:t>. Cambridge University Press.</w:t>
      </w:r>
    </w:p>
    <w:p w14:paraId="1AAAD4F0" w14:textId="77777777" w:rsidR="0000486B" w:rsidRPr="00BA0948" w:rsidRDefault="0000486B" w:rsidP="0000486B">
      <w:r w:rsidRPr="00BA0948">
        <w:t xml:space="preserve">Boyle, A., &amp; </w:t>
      </w:r>
      <w:proofErr w:type="spellStart"/>
      <w:r w:rsidRPr="00BA0948">
        <w:t>Trigwell</w:t>
      </w:r>
      <w:proofErr w:type="spellEnd"/>
      <w:r w:rsidRPr="00BA0948">
        <w:t>, K. (2004). Enhancing student learning through scholarship of teaching. Higher Education Research &amp; Development, 23(4), 455–468. https://doi.org/10.1080/0729436042000276467</w:t>
      </w:r>
    </w:p>
    <w:p w14:paraId="26B7BFD3" w14:textId="77777777" w:rsidR="0000486B" w:rsidRPr="00BA0948" w:rsidRDefault="0000486B" w:rsidP="0000486B">
      <w:r w:rsidRPr="00BA0948">
        <w:t>Bransford, J. D., Brown, A. L., &amp; Cocking, R. R. (2000). How people learn: Brain, mind, experience, and school. National Academy Press.</w:t>
      </w:r>
    </w:p>
    <w:p w14:paraId="07763458" w14:textId="32A3504F" w:rsidR="00E71DA6" w:rsidRPr="00BA0948" w:rsidRDefault="00E71DA6" w:rsidP="0000486B">
      <w:r w:rsidRPr="00BA0948">
        <w:t xml:space="preserve">Brennan, J., &amp; Shah, T. (2000). </w:t>
      </w:r>
      <w:r w:rsidRPr="00BA0948">
        <w:rPr>
          <w:i/>
          <w:iCs/>
        </w:rPr>
        <w:t>Managing quality in higher education: An international perspective on institutional assessment and change</w:t>
      </w:r>
      <w:r w:rsidRPr="00BA0948">
        <w:t>. OECD.</w:t>
      </w:r>
    </w:p>
    <w:p w14:paraId="7246C3D0" w14:textId="77777777" w:rsidR="0000486B" w:rsidRPr="00BA0948" w:rsidRDefault="0000486B" w:rsidP="0000486B">
      <w:r w:rsidRPr="00BA0948">
        <w:t>Brookfield, S. D. (2017). Becoming a critically reflective teacher (2nd ed.). Jossey-Bass.</w:t>
      </w:r>
    </w:p>
    <w:p w14:paraId="1FD2EB51" w14:textId="77777777" w:rsidR="0000486B" w:rsidRPr="00BA0948" w:rsidRDefault="0000486B" w:rsidP="0000486B">
      <w:r w:rsidRPr="00BA0948">
        <w:t>Colley, H., Hodkinson, P., &amp; Malcolm, J. (2003). Informality and formality in learning. Learning and Skills Research Centre.</w:t>
      </w:r>
    </w:p>
    <w:p w14:paraId="799A3380" w14:textId="77777777" w:rsidR="0000486B" w:rsidRPr="00BA0948" w:rsidRDefault="0000486B" w:rsidP="0000486B">
      <w:r w:rsidRPr="00BA0948">
        <w:t>Collins, H. (2010). Tacit and explicit knowledge. University of Chicago Press.</w:t>
      </w:r>
    </w:p>
    <w:p w14:paraId="2BB6B4BB" w14:textId="77777777" w:rsidR="0000486B" w:rsidRPr="00BA0948" w:rsidRDefault="0000486B" w:rsidP="0000486B">
      <w:r w:rsidRPr="00BA0948">
        <w:t>Curry, A., &amp; Hodgson, A. (2008). Seeing in multiple horizons: Connecting futures to strategy. Journal of Futures Studies, 13(1), 1–20.</w:t>
      </w:r>
    </w:p>
    <w:p w14:paraId="1B402DE5" w14:textId="77777777" w:rsidR="0000486B" w:rsidRPr="00BA0948" w:rsidRDefault="0000486B" w:rsidP="0000486B">
      <w:r w:rsidRPr="00BA0948">
        <w:t>Denzin, N. K., &amp; Lincoln, Y. S. (2018). The SAGE handbook of qualitative research (5th ed.). SAGE.</w:t>
      </w:r>
    </w:p>
    <w:p w14:paraId="082D7A5E" w14:textId="77777777" w:rsidR="0000486B" w:rsidRPr="00BA0948" w:rsidRDefault="0000486B" w:rsidP="0000486B">
      <w:r w:rsidRPr="00BA0948">
        <w:t>Ellis, C., &amp; Bochner, A. P. (2000). Autoethnography, personal narrative, reflexivity. In N. K. Denzin &amp; Y. S. Lincoln (Eds.), Handbook of qualitative research (2nd ed., pp. 733–768). SAGE.</w:t>
      </w:r>
    </w:p>
    <w:p w14:paraId="149E0C36" w14:textId="77355612" w:rsidR="009F0649" w:rsidRPr="00BA0948" w:rsidRDefault="009F0649" w:rsidP="0000486B">
      <w:r w:rsidRPr="00BA0948">
        <w:t>Entwistle, N. (2009). Teaching for understanding at university: Deep approaches and distinctive ways of thinking. Palgrave Macmillan.</w:t>
      </w:r>
    </w:p>
    <w:p w14:paraId="53BC2943" w14:textId="77777777" w:rsidR="0000486B" w:rsidRPr="00BA0948" w:rsidRDefault="0000486B" w:rsidP="0000486B">
      <w:r w:rsidRPr="00BA0948">
        <w:t>Eraut, M. (2000). Non-formal learning and tacit knowledge in professional work. British Journal of Educational Psychology, 70(1), 113–136. https://doi.org/10.1348/000709900158001</w:t>
      </w:r>
    </w:p>
    <w:p w14:paraId="7487C342" w14:textId="2E4E9D76" w:rsidR="0000486B" w:rsidRPr="00BA0948" w:rsidRDefault="0000486B" w:rsidP="0000486B">
      <w:r w:rsidRPr="00BA0948">
        <w:t xml:space="preserve">Eraut, M. (2004). Informal learning in the workplace. Studies in Continuing Education, 26(2), 247–273. </w:t>
      </w:r>
      <w:hyperlink r:id="rId16" w:history="1">
        <w:r w:rsidR="00A814AF" w:rsidRPr="00BA0948">
          <w:rPr>
            <w:rStyle w:val="Hyperlink"/>
          </w:rPr>
          <w:t>https://doi.org/10.1080/158037042000225245</w:t>
        </w:r>
      </w:hyperlink>
    </w:p>
    <w:p w14:paraId="0D687863" w14:textId="56E53621" w:rsidR="00A814AF" w:rsidRPr="00BA0948" w:rsidRDefault="00A814AF" w:rsidP="0000486B">
      <w:r w:rsidRPr="00BA0948">
        <w:t xml:space="preserve">Fenwick, T. (2008). Workplace learning: Emerging trends and new perspectives. New Directions for Adult and Continuing Education, 2008(119), 17–26. </w:t>
      </w:r>
      <w:hyperlink r:id="rId17" w:history="1">
        <w:r w:rsidR="00D1485B" w:rsidRPr="00BA0948">
          <w:rPr>
            <w:rStyle w:val="Hyperlink"/>
          </w:rPr>
          <w:t>https://doi.org/10.1002/ace.302</w:t>
        </w:r>
      </w:hyperlink>
    </w:p>
    <w:p w14:paraId="42F872FD" w14:textId="6EADBD23" w:rsidR="00D1485B" w:rsidRPr="00BA0948" w:rsidRDefault="00D1485B" w:rsidP="0000486B">
      <w:r w:rsidRPr="00BA0948">
        <w:t xml:space="preserve">Fenwick, T. (2010). </w:t>
      </w:r>
      <w:r w:rsidRPr="00BA0948">
        <w:rPr>
          <w:i/>
          <w:iCs/>
        </w:rPr>
        <w:t>Professional learning through practice: Complexity, knowing and engagement in in-situ learning</w:t>
      </w:r>
      <w:r w:rsidRPr="00BA0948">
        <w:t>. Routledge.</w:t>
      </w:r>
    </w:p>
    <w:p w14:paraId="175AA59A" w14:textId="77777777" w:rsidR="0000486B" w:rsidRPr="00BA0948" w:rsidRDefault="0000486B" w:rsidP="0000486B">
      <w:r w:rsidRPr="00BA0948">
        <w:lastRenderedPageBreak/>
        <w:t>Fenwick, T. (2012). Complexity science and professional learning for collaboration. Journal of Education and Work, 25(1), 141–162. https://doi.org/10.1080/13639080.2012.644913</w:t>
      </w:r>
    </w:p>
    <w:p w14:paraId="0B8FCAB5" w14:textId="77777777" w:rsidR="0000486B" w:rsidRPr="00BA0948" w:rsidRDefault="0000486B" w:rsidP="0000486B">
      <w:r w:rsidRPr="00BA0948">
        <w:t xml:space="preserve">Faller, P., Lundgren, H., &amp; </w:t>
      </w:r>
      <w:proofErr w:type="spellStart"/>
      <w:r w:rsidRPr="00BA0948">
        <w:t>Marsick</w:t>
      </w:r>
      <w:proofErr w:type="spellEnd"/>
      <w:r w:rsidRPr="00BA0948">
        <w:t>, V. J. (2020). Reflecting on workplace learning. Advances in Developing Human Resources, 22(3), 276–290. https://doi.org/10.1177/1523422320927290</w:t>
      </w:r>
    </w:p>
    <w:p w14:paraId="2660395A" w14:textId="77777777" w:rsidR="0000486B" w:rsidRPr="00BA0948" w:rsidRDefault="0000486B" w:rsidP="0000486B">
      <w:r w:rsidRPr="00BA0948">
        <w:t>Gherardi, S. (2006). Organizational knowledge: The texture of workplace learning. Blackwell.</w:t>
      </w:r>
    </w:p>
    <w:p w14:paraId="548502FE" w14:textId="77777777" w:rsidR="0000486B" w:rsidRPr="00BA0948" w:rsidRDefault="0000486B" w:rsidP="0000486B">
      <w:r w:rsidRPr="00BA0948">
        <w:t>Gibbs, G., &amp; Coffey, M. (2004). The impact of training of university teachers on their teaching skills. Active Learning in Higher Education, 5(1), 87–100. https://doi.org/10.1177/1469787404040463</w:t>
      </w:r>
    </w:p>
    <w:p w14:paraId="0DD0A730" w14:textId="77777777" w:rsidR="0000486B" w:rsidRPr="00BA0948" w:rsidRDefault="0000486B" w:rsidP="0000486B">
      <w:r w:rsidRPr="00BA0948">
        <w:t xml:space="preserve">Gibbons, M., Limoges, C., Nowotny, H., Schwartzman, S., Scott, P., &amp; </w:t>
      </w:r>
      <w:proofErr w:type="spellStart"/>
      <w:r w:rsidRPr="00BA0948">
        <w:t>Trow</w:t>
      </w:r>
      <w:proofErr w:type="spellEnd"/>
      <w:r w:rsidRPr="00BA0948">
        <w:t>, M. (1994). The new production of knowledge. SAGE.</w:t>
      </w:r>
    </w:p>
    <w:p w14:paraId="12B0DF46" w14:textId="6E85E74E" w:rsidR="00F2315A" w:rsidRPr="00BA0948" w:rsidRDefault="00F2315A" w:rsidP="0000486B">
      <w:r w:rsidRPr="00BA0948">
        <w:t xml:space="preserve">Giddens, A. (1984). </w:t>
      </w:r>
      <w:r w:rsidRPr="00BA0948">
        <w:rPr>
          <w:i/>
          <w:iCs/>
        </w:rPr>
        <w:t>The constitution of society: Outline of the theory of structuration</w:t>
      </w:r>
      <w:r w:rsidRPr="00BA0948">
        <w:t>. Polity Press.</w:t>
      </w:r>
    </w:p>
    <w:p w14:paraId="18D5633E" w14:textId="59059A1B" w:rsidR="00745636" w:rsidRPr="00BA0948" w:rsidRDefault="00745636" w:rsidP="0000486B">
      <w:r w:rsidRPr="00BA0948">
        <w:t xml:space="preserve">Giddens, A. (1991). </w:t>
      </w:r>
      <w:r w:rsidRPr="00BA0948">
        <w:rPr>
          <w:i/>
          <w:iCs/>
        </w:rPr>
        <w:t>Modernity and self-identity</w:t>
      </w:r>
      <w:r w:rsidRPr="00BA0948">
        <w:t>. Stanford University Press.</w:t>
      </w:r>
    </w:p>
    <w:p w14:paraId="48CF5B07" w14:textId="02914360" w:rsidR="00E3552C" w:rsidRPr="00BA0948" w:rsidRDefault="00E3552C" w:rsidP="0000486B">
      <w:r w:rsidRPr="00BA0948">
        <w:t xml:space="preserve">Guskey, T. R. (2002). Professional development and teacher change. </w:t>
      </w:r>
      <w:r w:rsidRPr="00BA0948">
        <w:rPr>
          <w:i/>
          <w:iCs/>
        </w:rPr>
        <w:t>Teachers and Teaching: Theory and Practice, 8</w:t>
      </w:r>
      <w:r w:rsidRPr="00BA0948">
        <w:t xml:space="preserve">(3), 381–391. </w:t>
      </w:r>
      <w:hyperlink r:id="rId18" w:history="1">
        <w:r w:rsidR="0015387E" w:rsidRPr="00BA0948">
          <w:rPr>
            <w:rStyle w:val="Hyperlink"/>
          </w:rPr>
          <w:t>https://doi.org/10.1080/135406002100000512</w:t>
        </w:r>
      </w:hyperlink>
    </w:p>
    <w:p w14:paraId="3C5C13A9" w14:textId="401169B6" w:rsidR="00745636" w:rsidRPr="00BA0948" w:rsidRDefault="00745636" w:rsidP="0000486B">
      <w:r w:rsidRPr="00BA0948">
        <w:t xml:space="preserve">Hajer, M., &amp; Pelzer, P. (2018). 2050—An energetic odyssey: Understanding ‘techniques of </w:t>
      </w:r>
      <w:proofErr w:type="spellStart"/>
      <w:r w:rsidRPr="00BA0948">
        <w:t>futuring</w:t>
      </w:r>
      <w:proofErr w:type="spellEnd"/>
      <w:r w:rsidRPr="00BA0948">
        <w:t xml:space="preserve">’ in the transition towards renewable energy. </w:t>
      </w:r>
      <w:r w:rsidRPr="00BA0948">
        <w:rPr>
          <w:i/>
          <w:iCs/>
        </w:rPr>
        <w:t>Energy Research &amp; Social Science, 44</w:t>
      </w:r>
      <w:r w:rsidRPr="00BA0948">
        <w:t xml:space="preserve">, 222–231. </w:t>
      </w:r>
      <w:hyperlink r:id="rId19" w:tgtFrame="_new" w:history="1">
        <w:r w:rsidRPr="00BA0948">
          <w:rPr>
            <w:rStyle w:val="Hyperlink"/>
          </w:rPr>
          <w:t>https://doi.org/10.1016/j.erss.2018.01.013</w:t>
        </w:r>
      </w:hyperlink>
    </w:p>
    <w:p w14:paraId="633A09EF" w14:textId="6AEB3FA8" w:rsidR="0015387E" w:rsidRPr="00BA0948" w:rsidRDefault="0015387E" w:rsidP="0000486B">
      <w:r w:rsidRPr="00BA0948">
        <w:t xml:space="preserve">Halse, C., &amp; </w:t>
      </w:r>
      <w:proofErr w:type="spellStart"/>
      <w:r w:rsidRPr="00BA0948">
        <w:t>Malfroy</w:t>
      </w:r>
      <w:proofErr w:type="spellEnd"/>
      <w:r w:rsidRPr="00BA0948">
        <w:t xml:space="preserve">, J. (2010). Retheorizing doctoral supervision as professional work. </w:t>
      </w:r>
      <w:r w:rsidRPr="00BA0948">
        <w:rPr>
          <w:i/>
          <w:iCs/>
        </w:rPr>
        <w:t>Studies in Higher Education, 35</w:t>
      </w:r>
      <w:r w:rsidRPr="00BA0948">
        <w:t>(1), 79–92. https://doi.org/10.1080/03075070902906798</w:t>
      </w:r>
    </w:p>
    <w:p w14:paraId="18AA98E8" w14:textId="77777777" w:rsidR="0000486B" w:rsidRPr="00BA0948" w:rsidRDefault="0000486B" w:rsidP="0000486B">
      <w:r w:rsidRPr="00BA0948">
        <w:t>Hatano, G., &amp; Inagaki, K. (1986). Two courses of expertise. In H. Stevenson, H. Azuma, &amp; K. Hakuta (Eds.), Child development and education in Japan (pp. 262–272). Freeman.</w:t>
      </w:r>
    </w:p>
    <w:p w14:paraId="22EE519D" w14:textId="14D423A4" w:rsidR="00D1485B" w:rsidRPr="00BA0948" w:rsidRDefault="00D1485B" w:rsidP="0000486B">
      <w:r w:rsidRPr="00BA0948">
        <w:t xml:space="preserve">Hodkinson, P., Biesta, G., &amp; James, D. (2008). Understanding learning culturally: Overcoming the dualism between social and individual views of learning. </w:t>
      </w:r>
      <w:r w:rsidRPr="00BA0948">
        <w:rPr>
          <w:i/>
          <w:iCs/>
        </w:rPr>
        <w:t>Vocations and Learning, 1</w:t>
      </w:r>
      <w:r w:rsidRPr="00BA0948">
        <w:t xml:space="preserve">(1), 27–47. </w:t>
      </w:r>
      <w:hyperlink r:id="rId20" w:history="1">
        <w:r w:rsidR="00D24058" w:rsidRPr="00BA0948">
          <w:rPr>
            <w:rStyle w:val="Hyperlink"/>
          </w:rPr>
          <w:t>https://doi.org/10.1007/s12186-007-9001-y</w:t>
        </w:r>
      </w:hyperlink>
    </w:p>
    <w:p w14:paraId="6CDF7FC6" w14:textId="3BA2657B" w:rsidR="00D24058" w:rsidRPr="00BA0948" w:rsidRDefault="00D24058" w:rsidP="0000486B">
      <w:r w:rsidRPr="00BA0948">
        <w:t xml:space="preserve">Holt, N. L. (2003). Representation, legitimation, and autoethnography: An autoethnographic writing story. </w:t>
      </w:r>
      <w:r w:rsidRPr="00BA0948">
        <w:rPr>
          <w:i/>
          <w:iCs/>
        </w:rPr>
        <w:t>International Journal of Qualitative Methods, 2</w:t>
      </w:r>
      <w:r w:rsidRPr="00BA0948">
        <w:t xml:space="preserve">(1), 18–28. </w:t>
      </w:r>
      <w:hyperlink r:id="rId21" w:tgtFrame="_new" w:history="1">
        <w:r w:rsidRPr="00BA0948">
          <w:rPr>
            <w:rStyle w:val="Hyperlink"/>
          </w:rPr>
          <w:t>https://doi.org/10.1177/160940690300200102</w:t>
        </w:r>
      </w:hyperlink>
    </w:p>
    <w:p w14:paraId="63B8C629" w14:textId="77777777" w:rsidR="0000486B" w:rsidRPr="00BA0948" w:rsidRDefault="0000486B" w:rsidP="0000486B">
      <w:r w:rsidRPr="00BA0948">
        <w:t>Jarvis, P. (2010). Adult education and lifelong learning: Theory and practice (4th ed.). Routledge.</w:t>
      </w:r>
    </w:p>
    <w:p w14:paraId="4296F07B" w14:textId="761CBD42" w:rsidR="0000486B" w:rsidRPr="00BA0948" w:rsidRDefault="0000486B" w:rsidP="0000486B">
      <w:r w:rsidRPr="00BA0948">
        <w:t xml:space="preserve">Jeong, S., Han, S. J., Lee, J., </w:t>
      </w:r>
      <w:proofErr w:type="spellStart"/>
      <w:r w:rsidRPr="00BA0948">
        <w:t>Sunalai</w:t>
      </w:r>
      <w:proofErr w:type="spellEnd"/>
      <w:r w:rsidRPr="00BA0948">
        <w:t xml:space="preserve">, S., &amp; Yoon, S. W. (2018). Integrative literature review on informal learning. Human Resource Development Review, 17(2), 128–152. </w:t>
      </w:r>
      <w:hyperlink r:id="rId22" w:history="1">
        <w:r w:rsidR="00E3552C" w:rsidRPr="00BA0948">
          <w:rPr>
            <w:rStyle w:val="Hyperlink"/>
          </w:rPr>
          <w:t>https://doi.org/10.1177/1534484318774252</w:t>
        </w:r>
      </w:hyperlink>
    </w:p>
    <w:p w14:paraId="0FBA81F6" w14:textId="6DF9A940" w:rsidR="00E3552C" w:rsidRPr="00BA0948" w:rsidRDefault="00E3552C" w:rsidP="0000486B">
      <w:r w:rsidRPr="00BA0948">
        <w:t xml:space="preserve">Jisc. (2019). </w:t>
      </w:r>
      <w:r w:rsidRPr="00BA0948">
        <w:rPr>
          <w:i/>
          <w:iCs/>
        </w:rPr>
        <w:t>Artificial intelligence in education: Opportunities and challenges</w:t>
      </w:r>
      <w:r w:rsidRPr="00BA0948">
        <w:t xml:space="preserve">. </w:t>
      </w:r>
      <w:hyperlink r:id="rId23" w:tgtFrame="_new" w:history="1">
        <w:r w:rsidRPr="00BA0948">
          <w:rPr>
            <w:rStyle w:val="Hyperlink"/>
          </w:rPr>
          <w:t>https://www.jisc.ac.uk</w:t>
        </w:r>
      </w:hyperlink>
    </w:p>
    <w:p w14:paraId="33947381" w14:textId="77777777" w:rsidR="0000486B" w:rsidRPr="00BA0948" w:rsidRDefault="0000486B" w:rsidP="0000486B">
      <w:r w:rsidRPr="00BA0948">
        <w:t>Johnson, M., &amp; Majewska, D. (2022). Formal, non-formal and informal learning: A holistic perspective. Cambridge University Press.</w:t>
      </w:r>
    </w:p>
    <w:p w14:paraId="611FE704" w14:textId="77777777" w:rsidR="0000486B" w:rsidRPr="00BA0948" w:rsidRDefault="0000486B" w:rsidP="0000486B">
      <w:r w:rsidRPr="00BA0948">
        <w:lastRenderedPageBreak/>
        <w:t>Kiley, M. (2015). “I didn’t have a clue what they were talking about”: PhD candidates and theory. Innovations in Education and Teaching International, 52(1), 52–63. https://doi.org/10.1080/14703297.2013.803981</w:t>
      </w:r>
    </w:p>
    <w:p w14:paraId="1FEE656A" w14:textId="77777777" w:rsidR="0000486B" w:rsidRPr="00BA0948" w:rsidRDefault="0000486B" w:rsidP="0000486B">
      <w:r w:rsidRPr="00BA0948">
        <w:t>Kolb, D. A. (1984). Experiential learning: Experience as the source of learning and development. Prentice Hall.</w:t>
      </w:r>
    </w:p>
    <w:p w14:paraId="3D70F3DA" w14:textId="4B1B2C37" w:rsidR="00811163" w:rsidRPr="00BA0948" w:rsidRDefault="00811163" w:rsidP="0000486B">
      <w:r w:rsidRPr="00BA0948">
        <w:t xml:space="preserve">Kreber, C. (2010). Academics’ teacher identities, authenticity and pedagogy. </w:t>
      </w:r>
      <w:r w:rsidRPr="00BA0948">
        <w:rPr>
          <w:i/>
          <w:iCs/>
        </w:rPr>
        <w:t>Studies in Higher Education, 35</w:t>
      </w:r>
      <w:r w:rsidRPr="00BA0948">
        <w:t>(2), 171–194. https://doi.org/10.1080/03075070902953048</w:t>
      </w:r>
    </w:p>
    <w:p w14:paraId="17B548A2" w14:textId="77777777" w:rsidR="0000486B" w:rsidRPr="00BA0948" w:rsidRDefault="0000486B" w:rsidP="0000486B">
      <w:r w:rsidRPr="00BA0948">
        <w:t>Lave, J., &amp; Wenger, E. (1991). Situated learning: Legitimate peripheral participation. Cambridge University Press.</w:t>
      </w:r>
    </w:p>
    <w:p w14:paraId="1E388FE6" w14:textId="711CB8E0" w:rsidR="0015387E" w:rsidRPr="00BA0948" w:rsidRDefault="0015387E" w:rsidP="0000486B">
      <w:r w:rsidRPr="00BA0948">
        <w:t xml:space="preserve">Lee, A. (2008). How are doctoral students supervised? Concepts of doctoral research supervision. </w:t>
      </w:r>
      <w:r w:rsidRPr="00BA0948">
        <w:rPr>
          <w:i/>
          <w:iCs/>
        </w:rPr>
        <w:t>Studies in Higher Education, 33</w:t>
      </w:r>
      <w:r w:rsidRPr="00BA0948">
        <w:t xml:space="preserve">(3), 267–281. </w:t>
      </w:r>
      <w:hyperlink r:id="rId24" w:tgtFrame="_new" w:history="1">
        <w:r w:rsidRPr="00BA0948">
          <w:rPr>
            <w:rStyle w:val="Hyperlink"/>
          </w:rPr>
          <w:t>https://doi.org/10.1080/03075070802049202</w:t>
        </w:r>
      </w:hyperlink>
    </w:p>
    <w:p w14:paraId="20B04060" w14:textId="77777777" w:rsidR="0000486B" w:rsidRPr="00BA0948" w:rsidRDefault="0000486B" w:rsidP="0000486B">
      <w:proofErr w:type="spellStart"/>
      <w:r w:rsidRPr="00BA0948">
        <w:t>Manuti</w:t>
      </w:r>
      <w:proofErr w:type="spellEnd"/>
      <w:r w:rsidRPr="00BA0948">
        <w:t xml:space="preserve">, A., Pastore, S., Scardigno, A. F., Giancaspro, M. L., &amp; </w:t>
      </w:r>
      <w:proofErr w:type="spellStart"/>
      <w:r w:rsidRPr="00BA0948">
        <w:t>Morciano</w:t>
      </w:r>
      <w:proofErr w:type="spellEnd"/>
      <w:r w:rsidRPr="00BA0948">
        <w:t>, D. (2015). Formal and informal learning in the workplace. International Journal of Training and Development, 19(1), 1–17. https://doi.org/10.1111/ijtd.12044</w:t>
      </w:r>
    </w:p>
    <w:p w14:paraId="24A26E54" w14:textId="77777777" w:rsidR="0000486B" w:rsidRPr="00BA0948" w:rsidRDefault="0000486B" w:rsidP="0000486B">
      <w:proofErr w:type="spellStart"/>
      <w:r w:rsidRPr="00BA0948">
        <w:t>Marsick</w:t>
      </w:r>
      <w:proofErr w:type="spellEnd"/>
      <w:r w:rsidRPr="00BA0948">
        <w:t>, V. J., &amp; Watkins, K. E. (1990). Informal and incidental learning in the workplace. Routledge.</w:t>
      </w:r>
    </w:p>
    <w:p w14:paraId="1EFB9A87" w14:textId="37C61851" w:rsidR="0015387E" w:rsidRPr="00BA0948" w:rsidRDefault="0015387E" w:rsidP="0000486B">
      <w:r w:rsidRPr="00BA0948">
        <w:t xml:space="preserve">Mercer, N., &amp; Howe, C. (2012). Explaining the dialogic processes of teaching and learning: The value and potential of sociocultural theory. </w:t>
      </w:r>
      <w:r w:rsidRPr="00BA0948">
        <w:rPr>
          <w:i/>
          <w:iCs/>
        </w:rPr>
        <w:t>Learning, Culture and Social Interaction, 1</w:t>
      </w:r>
      <w:r w:rsidRPr="00BA0948">
        <w:t xml:space="preserve">(1), 12–21. </w:t>
      </w:r>
      <w:hyperlink r:id="rId25" w:tgtFrame="_new" w:history="1">
        <w:r w:rsidRPr="00BA0948">
          <w:rPr>
            <w:rStyle w:val="Hyperlink"/>
          </w:rPr>
          <w:t>https://doi.org/10.1016/j.lcsi.2012.03.001</w:t>
        </w:r>
      </w:hyperlink>
    </w:p>
    <w:p w14:paraId="066F62FD" w14:textId="77777777" w:rsidR="0000486B" w:rsidRPr="00BA0948" w:rsidRDefault="0000486B" w:rsidP="0000486B">
      <w:r w:rsidRPr="00BA0948">
        <w:t>Mezirow, J. (1991). Transformative dimensions of adult learning. Jossey-Bass.</w:t>
      </w:r>
    </w:p>
    <w:p w14:paraId="7A35288C" w14:textId="77777777" w:rsidR="0000486B" w:rsidRPr="00BA0948" w:rsidRDefault="0000486B" w:rsidP="0000486B">
      <w:r w:rsidRPr="00BA0948">
        <w:t>Miller, R. (2018). Transforming the future: Anticipation in the 21st century. Routledge.</w:t>
      </w:r>
    </w:p>
    <w:p w14:paraId="3E9E1F54" w14:textId="4C7593DC" w:rsidR="00C764E5" w:rsidRPr="00BA0948" w:rsidRDefault="00C764E5" w:rsidP="0000486B">
      <w:r w:rsidRPr="00BA0948">
        <w:t xml:space="preserve">Mintzberg, H. (1994). </w:t>
      </w:r>
      <w:r w:rsidRPr="00BA0948">
        <w:rPr>
          <w:i/>
          <w:iCs/>
        </w:rPr>
        <w:t>The rise and fall of strategic planning</w:t>
      </w:r>
      <w:r w:rsidRPr="00BA0948">
        <w:t>. Free Press.</w:t>
      </w:r>
    </w:p>
    <w:p w14:paraId="0BEF6DD0" w14:textId="2D852986" w:rsidR="00E71DA6" w:rsidRPr="00BA0948" w:rsidRDefault="00E71DA6" w:rsidP="0000486B">
      <w:r w:rsidRPr="00BA0948">
        <w:t xml:space="preserve">Morley, L. (2003). </w:t>
      </w:r>
      <w:r w:rsidRPr="00BA0948">
        <w:rPr>
          <w:i/>
          <w:iCs/>
        </w:rPr>
        <w:t>Quality and power in higher education</w:t>
      </w:r>
      <w:r w:rsidRPr="00BA0948">
        <w:t>. Open University Press.</w:t>
      </w:r>
    </w:p>
    <w:p w14:paraId="6F4A93EE" w14:textId="1B1A0DD8" w:rsidR="009F0649" w:rsidRPr="00BA0948" w:rsidRDefault="0000486B" w:rsidP="0000486B">
      <w:r w:rsidRPr="00BA0948">
        <w:t>Nonaka, I., &amp; Takeuchi, H. (1995). The knowledge-creating company. Oxford University Press.</w:t>
      </w:r>
    </w:p>
    <w:p w14:paraId="0DFA7DC7" w14:textId="2315C1BB" w:rsidR="005E3D35" w:rsidRPr="00BA0948" w:rsidRDefault="005E3D35" w:rsidP="0000486B">
      <w:r w:rsidRPr="00BA0948">
        <w:t xml:space="preserve">Orlikowski, W. J. (2000). Using technology and constituting structures: A practice lens for studying technology in organizations. </w:t>
      </w:r>
      <w:r w:rsidRPr="00BA0948">
        <w:rPr>
          <w:i/>
          <w:iCs/>
        </w:rPr>
        <w:t>Organization Science, 11</w:t>
      </w:r>
      <w:r w:rsidRPr="00BA0948">
        <w:t xml:space="preserve">(4), 404–428. </w:t>
      </w:r>
      <w:hyperlink r:id="rId26" w:tgtFrame="_new" w:history="1">
        <w:r w:rsidRPr="00BA0948">
          <w:rPr>
            <w:rStyle w:val="Hyperlink"/>
          </w:rPr>
          <w:t>https://doi.org/10.1287/orsc.11.4.404.14600</w:t>
        </w:r>
      </w:hyperlink>
    </w:p>
    <w:p w14:paraId="0AE83A42" w14:textId="360236BB" w:rsidR="0000486B" w:rsidRPr="00BA0948" w:rsidRDefault="0000486B" w:rsidP="0000486B">
      <w:r w:rsidRPr="00BA0948">
        <w:t>Polanyi, M. (1966). The tacit dimension. Routledge &amp; Kegan Paul.</w:t>
      </w:r>
    </w:p>
    <w:p w14:paraId="6CB8C7F7" w14:textId="342F6D41" w:rsidR="00DC225D" w:rsidRPr="00BA0948" w:rsidRDefault="00DC225D" w:rsidP="0000486B">
      <w:r w:rsidRPr="00BA0948">
        <w:t xml:space="preserve">Power, M. (1997). </w:t>
      </w:r>
      <w:r w:rsidRPr="00BA0948">
        <w:rPr>
          <w:i/>
          <w:iCs/>
        </w:rPr>
        <w:t>The audit society: Rituals of verification</w:t>
      </w:r>
      <w:r w:rsidRPr="00BA0948">
        <w:t>. Oxford University Press</w:t>
      </w:r>
    </w:p>
    <w:p w14:paraId="6425D4ED" w14:textId="6CCE2C3F" w:rsidR="009F0649" w:rsidRPr="00BA0948" w:rsidRDefault="009F0649" w:rsidP="0000486B">
      <w:r w:rsidRPr="00BA0948">
        <w:t xml:space="preserve">Prince, M. (2004). Does active learning work? A review of the research. </w:t>
      </w:r>
      <w:r w:rsidRPr="00BA0948">
        <w:rPr>
          <w:i/>
          <w:iCs/>
        </w:rPr>
        <w:t>Journal of Engineering Education, 93</w:t>
      </w:r>
      <w:r w:rsidRPr="00BA0948">
        <w:t xml:space="preserve">(3), 223–231. </w:t>
      </w:r>
      <w:hyperlink r:id="rId27" w:tgtFrame="_new" w:history="1">
        <w:r w:rsidRPr="00BA0948">
          <w:rPr>
            <w:rStyle w:val="Hyperlink"/>
          </w:rPr>
          <w:t>https://doi.org/10.1002/j.2168-9830.2004.tb00809</w:t>
        </w:r>
      </w:hyperlink>
    </w:p>
    <w:p w14:paraId="0A0FA064" w14:textId="77777777" w:rsidR="0000486B" w:rsidRPr="00BA0948" w:rsidRDefault="0000486B" w:rsidP="0000486B">
      <w:r w:rsidRPr="00BA0948">
        <w:t xml:space="preserve">Prosser, M., &amp; </w:t>
      </w:r>
      <w:proofErr w:type="spellStart"/>
      <w:r w:rsidRPr="00BA0948">
        <w:t>Trigwell</w:t>
      </w:r>
      <w:proofErr w:type="spellEnd"/>
      <w:r w:rsidRPr="00BA0948">
        <w:t>, K. (1999). Understanding learning and teaching: The experience in higher education. Open University Press.</w:t>
      </w:r>
    </w:p>
    <w:p w14:paraId="1488C877" w14:textId="77777777" w:rsidR="0000486B" w:rsidRPr="00BA0948" w:rsidRDefault="0000486B" w:rsidP="0000486B">
      <w:r w:rsidRPr="00BA0948">
        <w:t>Schön, D. A. (1983). The reflective practitioner. Basic Books.</w:t>
      </w:r>
    </w:p>
    <w:p w14:paraId="0B095553" w14:textId="0B68E327" w:rsidR="00E3552C" w:rsidRPr="00BA0948" w:rsidRDefault="00E3552C" w:rsidP="0000486B">
      <w:r w:rsidRPr="00BA0948">
        <w:t xml:space="preserve">Selwyn, N. (2019). </w:t>
      </w:r>
      <w:r w:rsidRPr="00BA0948">
        <w:rPr>
          <w:i/>
          <w:iCs/>
        </w:rPr>
        <w:t>Should robots replace teachers? AI and the future of education</w:t>
      </w:r>
      <w:r w:rsidRPr="00BA0948">
        <w:t>. Polity Press</w:t>
      </w:r>
    </w:p>
    <w:p w14:paraId="73B75480" w14:textId="47AB9117" w:rsidR="00E57A59" w:rsidRPr="00BA0948" w:rsidRDefault="00E57A59" w:rsidP="0000486B">
      <w:r w:rsidRPr="00BA0948">
        <w:lastRenderedPageBreak/>
        <w:t xml:space="preserve">Shore, C., &amp; Wright, S. (2015). Governing by numbers: Audit culture, rankings and the new world order. </w:t>
      </w:r>
      <w:r w:rsidRPr="00BA0948">
        <w:rPr>
          <w:i/>
          <w:iCs/>
        </w:rPr>
        <w:t>Social Anthropology, 23</w:t>
      </w:r>
      <w:r w:rsidRPr="00BA0948">
        <w:t>(1), 22–28. https://doi.org/10.1111/1469-8676.12098</w:t>
      </w:r>
    </w:p>
    <w:p w14:paraId="5E7F302E" w14:textId="78449EEF" w:rsidR="0000486B" w:rsidRPr="00BA0948" w:rsidRDefault="0000486B" w:rsidP="0000486B">
      <w:r w:rsidRPr="00BA0948">
        <w:t xml:space="preserve">Sfard, A. (1998). On two metaphors for learning. Educational Researcher, 27(2), 4–13. </w:t>
      </w:r>
      <w:hyperlink r:id="rId28" w:history="1">
        <w:r w:rsidR="00663C01" w:rsidRPr="00BA0948">
          <w:rPr>
            <w:rStyle w:val="Hyperlink"/>
          </w:rPr>
          <w:t>https://doi.org/10.3102/0013189X027002004</w:t>
        </w:r>
      </w:hyperlink>
    </w:p>
    <w:p w14:paraId="4CBACC6B" w14:textId="0F7D83DA" w:rsidR="00D24058" w:rsidRPr="00BA0948" w:rsidRDefault="00D24058" w:rsidP="0000486B">
      <w:r w:rsidRPr="00BA0948">
        <w:t xml:space="preserve">Sparkes, A. C. (2000). Autoethnography and narratives of self: Reflections on criteria in action. </w:t>
      </w:r>
      <w:r w:rsidRPr="00BA0948">
        <w:rPr>
          <w:i/>
          <w:iCs/>
        </w:rPr>
        <w:t>Sociology of Sport Journal, 17</w:t>
      </w:r>
      <w:r w:rsidRPr="00BA0948">
        <w:t xml:space="preserve">(1), 21–43. </w:t>
      </w:r>
      <w:hyperlink r:id="rId29" w:tgtFrame="_new" w:history="1">
        <w:r w:rsidRPr="00BA0948">
          <w:rPr>
            <w:rStyle w:val="Hyperlink"/>
          </w:rPr>
          <w:t>https://doi.org/10.1123/ssj.17.1.21</w:t>
        </w:r>
      </w:hyperlink>
    </w:p>
    <w:p w14:paraId="724D5030" w14:textId="14D29FAE" w:rsidR="005E3D35" w:rsidRPr="00BA0948" w:rsidRDefault="005E3D35" w:rsidP="0000486B">
      <w:r w:rsidRPr="00BA0948">
        <w:t xml:space="preserve">Spillane, J. P., Reiser, B. J., &amp; Reimer, T. (2002). Policy implementation and cognition: Reframing and refocusing implementation research. </w:t>
      </w:r>
      <w:r w:rsidRPr="00BA0948">
        <w:rPr>
          <w:i/>
          <w:iCs/>
        </w:rPr>
        <w:t>Review of Educational Research, 72</w:t>
      </w:r>
      <w:r w:rsidRPr="00BA0948">
        <w:t xml:space="preserve">(3), 387–431. </w:t>
      </w:r>
      <w:hyperlink r:id="rId30" w:tgtFrame="_new" w:history="1">
        <w:r w:rsidRPr="00BA0948">
          <w:rPr>
            <w:rStyle w:val="Hyperlink"/>
          </w:rPr>
          <w:t>https://doi.org/10.3102/00346543072003387</w:t>
        </w:r>
      </w:hyperlink>
    </w:p>
    <w:p w14:paraId="0C62AA70" w14:textId="45FCB106" w:rsidR="00745636" w:rsidRPr="00BA0948" w:rsidRDefault="00745636" w:rsidP="0000486B">
      <w:r w:rsidRPr="00BA0948">
        <w:t xml:space="preserve">Tight, M. (2010). Are academic workloads increasing? The post-war survey evidence in the UK. </w:t>
      </w:r>
      <w:r w:rsidRPr="00BA0948">
        <w:rPr>
          <w:i/>
          <w:iCs/>
        </w:rPr>
        <w:t>Higher Education Quarterly, 64</w:t>
      </w:r>
      <w:r w:rsidRPr="00BA0948">
        <w:t>(2), 200–215. https://doi.org/10.1111/j.1468-2273.2009.00431</w:t>
      </w:r>
    </w:p>
    <w:p w14:paraId="59B51369" w14:textId="2FF5C6EB" w:rsidR="00663C01" w:rsidRPr="00BA0948" w:rsidRDefault="00663C01" w:rsidP="0000486B">
      <w:r w:rsidRPr="00BA0948">
        <w:t xml:space="preserve">Tight, M. (2010). </w:t>
      </w:r>
      <w:r w:rsidRPr="00BA0948">
        <w:rPr>
          <w:i/>
          <w:iCs/>
        </w:rPr>
        <w:t>The curious case of academic work: The changing nature of academic employment in the UK</w:t>
      </w:r>
      <w:r w:rsidRPr="00BA0948">
        <w:t xml:space="preserve">. Higher Education Quarterly, 64(4), 409–425. </w:t>
      </w:r>
      <w:hyperlink r:id="rId31" w:history="1">
        <w:r w:rsidR="009F0649" w:rsidRPr="00BA0948">
          <w:rPr>
            <w:rStyle w:val="Hyperlink"/>
          </w:rPr>
          <w:t>https://doi.org/10.1111/j.1468-2273.2010.00465</w:t>
        </w:r>
      </w:hyperlink>
    </w:p>
    <w:p w14:paraId="0B3ED206" w14:textId="279AD451" w:rsidR="009F0649" w:rsidRPr="00BA0948" w:rsidRDefault="009F0649" w:rsidP="0000486B">
      <w:proofErr w:type="spellStart"/>
      <w:r w:rsidRPr="00BA0948">
        <w:t>Trigwell</w:t>
      </w:r>
      <w:proofErr w:type="spellEnd"/>
      <w:r w:rsidRPr="00BA0948">
        <w:t xml:space="preserve">, K., &amp; Prosser, M. (1996). Changing approaches to teaching: A relational perspective. </w:t>
      </w:r>
      <w:r w:rsidRPr="00BA0948">
        <w:rPr>
          <w:i/>
          <w:iCs/>
        </w:rPr>
        <w:t>Studies in Higher Education, 21</w:t>
      </w:r>
      <w:r w:rsidRPr="00BA0948">
        <w:t xml:space="preserve">(3), 275–284. </w:t>
      </w:r>
      <w:hyperlink r:id="rId32" w:history="1">
        <w:r w:rsidR="00E71DA6" w:rsidRPr="00BA0948">
          <w:rPr>
            <w:rStyle w:val="Hyperlink"/>
          </w:rPr>
          <w:t>https://doi.org/10.1080/03075079612331381211</w:t>
        </w:r>
      </w:hyperlink>
    </w:p>
    <w:p w14:paraId="1B7DFF0F" w14:textId="6122C21B" w:rsidR="00E71DA6" w:rsidRPr="00BA0948" w:rsidRDefault="00E71DA6" w:rsidP="0000486B">
      <w:proofErr w:type="spellStart"/>
      <w:r w:rsidRPr="00BA0948">
        <w:t>Trow</w:t>
      </w:r>
      <w:proofErr w:type="spellEnd"/>
      <w:r w:rsidRPr="00BA0948">
        <w:t xml:space="preserve">, M. (1996). Trust, markets and accountability in higher education: A comparative perspective. </w:t>
      </w:r>
      <w:r w:rsidRPr="00BA0948">
        <w:rPr>
          <w:i/>
          <w:iCs/>
        </w:rPr>
        <w:t>Higher Education Policy, 9</w:t>
      </w:r>
      <w:r w:rsidRPr="00BA0948">
        <w:t>(4), 309–324.</w:t>
      </w:r>
    </w:p>
    <w:p w14:paraId="50684255" w14:textId="77777777" w:rsidR="0000486B" w:rsidRPr="00BA0948" w:rsidRDefault="0000486B" w:rsidP="0000486B">
      <w:proofErr w:type="spellStart"/>
      <w:r w:rsidRPr="00BA0948">
        <w:t>Tsoukas</w:t>
      </w:r>
      <w:proofErr w:type="spellEnd"/>
      <w:r w:rsidRPr="00BA0948">
        <w:t>, H. (2005). Complex knowledge: Studies in organizational epistemology. Oxford University Press.</w:t>
      </w:r>
    </w:p>
    <w:p w14:paraId="49867366" w14:textId="0D1E8C38" w:rsidR="00462ECB" w:rsidRPr="00BA0948" w:rsidRDefault="00462ECB" w:rsidP="0000486B">
      <w:r w:rsidRPr="00BA0948">
        <w:t xml:space="preserve">Van Houten, M. M. (2023). Professional tacit knowledge sharing in practice. </w:t>
      </w:r>
      <w:r w:rsidRPr="00BA0948">
        <w:rPr>
          <w:i/>
          <w:iCs/>
        </w:rPr>
        <w:t>Journal of Workplace Learning</w:t>
      </w:r>
      <w:r w:rsidRPr="00BA0948">
        <w:t>, 35(9), 197–217.</w:t>
      </w:r>
    </w:p>
    <w:p w14:paraId="4AC586C1" w14:textId="77777777" w:rsidR="0000486B" w:rsidRPr="00BA0948" w:rsidRDefault="0000486B" w:rsidP="0000486B">
      <w:r w:rsidRPr="00BA0948">
        <w:t>Vygotsky, L. S. (1978). Mind in society. Harvard University Press.</w:t>
      </w:r>
    </w:p>
    <w:p w14:paraId="0902126C" w14:textId="32F8A590" w:rsidR="00F2315A" w:rsidRPr="00BA0948" w:rsidRDefault="00F2315A" w:rsidP="0000486B">
      <w:r w:rsidRPr="00BA0948">
        <w:t xml:space="preserve">Weick, K. E. (1995). </w:t>
      </w:r>
      <w:r w:rsidRPr="00BA0948">
        <w:rPr>
          <w:i/>
          <w:iCs/>
        </w:rPr>
        <w:t>Sensemaking in organizations</w:t>
      </w:r>
      <w:r w:rsidRPr="00BA0948">
        <w:t>. Sage.</w:t>
      </w:r>
    </w:p>
    <w:p w14:paraId="6C8DA8BF" w14:textId="19EA85F1" w:rsidR="00D24058" w:rsidRPr="00BA0948" w:rsidRDefault="00D24058" w:rsidP="0000486B">
      <w:r w:rsidRPr="00BA0948">
        <w:t xml:space="preserve">Wenger, E. (1998). </w:t>
      </w:r>
      <w:r w:rsidRPr="00BA0948">
        <w:rPr>
          <w:i/>
          <w:iCs/>
        </w:rPr>
        <w:t>Communities of practice: Learning, meaning, and identity</w:t>
      </w:r>
      <w:r w:rsidRPr="00BA0948">
        <w:t>. Cambridge University Press.</w:t>
      </w:r>
    </w:p>
    <w:p w14:paraId="534045B9" w14:textId="26F6E358" w:rsidR="00F2315A" w:rsidRPr="00BA0948" w:rsidRDefault="0000486B" w:rsidP="0000486B">
      <w:r w:rsidRPr="00BA0948">
        <w:t xml:space="preserve">Wenger, E. (2000). Communities of practice and social learning systems. Organization, 7(2), 225–246. </w:t>
      </w:r>
      <w:hyperlink r:id="rId33" w:history="1">
        <w:r w:rsidR="00E3552C" w:rsidRPr="00BA0948">
          <w:rPr>
            <w:rStyle w:val="Hyperlink"/>
          </w:rPr>
          <w:t>https://doi.org/10.1177/135050840072002</w:t>
        </w:r>
      </w:hyperlink>
    </w:p>
    <w:p w14:paraId="6CC3FF22" w14:textId="439BD574" w:rsidR="00E3552C" w:rsidRPr="00BA0948" w:rsidRDefault="00E3552C" w:rsidP="0000486B">
      <w:r w:rsidRPr="00BA0948">
        <w:t xml:space="preserve">Williamson, B., &amp; Eynon, R. (2020). Historical threads, missing links, and future directions in AI in education. </w:t>
      </w:r>
      <w:r w:rsidRPr="00BA0948">
        <w:rPr>
          <w:i/>
          <w:iCs/>
        </w:rPr>
        <w:t>Learning, Media and Technology, 45</w:t>
      </w:r>
      <w:r w:rsidRPr="00BA0948">
        <w:t xml:space="preserve">(3), 223–235. </w:t>
      </w:r>
      <w:hyperlink r:id="rId34" w:tgtFrame="_new" w:history="1">
        <w:r w:rsidRPr="00BA0948">
          <w:rPr>
            <w:rStyle w:val="Hyperlink"/>
          </w:rPr>
          <w:t>https://doi.org/10.1080/17439884.2020.1798995</w:t>
        </w:r>
      </w:hyperlink>
    </w:p>
    <w:p w14:paraId="2D7E01E3" w14:textId="77777777" w:rsidR="0000486B" w:rsidRPr="00BA0948" w:rsidRDefault="0000486B" w:rsidP="0000486B"/>
    <w:p w14:paraId="2CA44E88" w14:textId="77777777" w:rsidR="00163D22" w:rsidRDefault="00163D22"/>
    <w:sectPr w:rsidR="00163D2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C2E3A" w14:textId="77777777" w:rsidR="00322B2C" w:rsidRPr="00BA0948" w:rsidRDefault="00322B2C" w:rsidP="006B1E5A">
      <w:pPr>
        <w:spacing w:after="0" w:line="240" w:lineRule="auto"/>
      </w:pPr>
      <w:r w:rsidRPr="00BA0948">
        <w:separator/>
      </w:r>
    </w:p>
  </w:endnote>
  <w:endnote w:type="continuationSeparator" w:id="0">
    <w:p w14:paraId="4D368E4F" w14:textId="77777777" w:rsidR="00322B2C" w:rsidRPr="00BA0948" w:rsidRDefault="00322B2C" w:rsidP="006B1E5A">
      <w:pPr>
        <w:spacing w:after="0" w:line="240" w:lineRule="auto"/>
      </w:pPr>
      <w:r w:rsidRPr="00BA094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117832"/>
      <w:docPartObj>
        <w:docPartGallery w:val="Page Numbers (Bottom of Page)"/>
        <w:docPartUnique/>
      </w:docPartObj>
    </w:sdtPr>
    <w:sdtEndPr/>
    <w:sdtContent>
      <w:p w14:paraId="7A360C9E" w14:textId="287CABDE" w:rsidR="006B1E5A" w:rsidRPr="00BA0948" w:rsidRDefault="006B1E5A">
        <w:pPr>
          <w:pStyle w:val="Footer"/>
          <w:jc w:val="center"/>
        </w:pPr>
        <w:r w:rsidRPr="00BA0948">
          <w:fldChar w:fldCharType="begin"/>
        </w:r>
        <w:r w:rsidRPr="00BA0948">
          <w:instrText xml:space="preserve"> PAGE   \* MERGEFORMAT </w:instrText>
        </w:r>
        <w:r w:rsidRPr="00BA0948">
          <w:fldChar w:fldCharType="separate"/>
        </w:r>
        <w:r w:rsidRPr="00BA0948">
          <w:t>2</w:t>
        </w:r>
        <w:r w:rsidRPr="00BA0948">
          <w:fldChar w:fldCharType="end"/>
        </w:r>
      </w:p>
    </w:sdtContent>
  </w:sdt>
  <w:p w14:paraId="381A1288" w14:textId="77777777" w:rsidR="006B1E5A" w:rsidRPr="00BA0948" w:rsidRDefault="006B1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C957A" w14:textId="77777777" w:rsidR="00322B2C" w:rsidRPr="00BA0948" w:rsidRDefault="00322B2C" w:rsidP="006B1E5A">
      <w:pPr>
        <w:spacing w:after="0" w:line="240" w:lineRule="auto"/>
      </w:pPr>
      <w:r w:rsidRPr="00BA0948">
        <w:separator/>
      </w:r>
    </w:p>
  </w:footnote>
  <w:footnote w:type="continuationSeparator" w:id="0">
    <w:p w14:paraId="30D4FDD9" w14:textId="77777777" w:rsidR="00322B2C" w:rsidRPr="00BA0948" w:rsidRDefault="00322B2C" w:rsidP="006B1E5A">
      <w:pPr>
        <w:spacing w:after="0" w:line="240" w:lineRule="auto"/>
      </w:pPr>
      <w:r w:rsidRPr="00BA094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A54C1"/>
    <w:multiLevelType w:val="multilevel"/>
    <w:tmpl w:val="6C6CE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32A3A"/>
    <w:multiLevelType w:val="multilevel"/>
    <w:tmpl w:val="513A7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F0F7B"/>
    <w:multiLevelType w:val="hybridMultilevel"/>
    <w:tmpl w:val="B678A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706D2"/>
    <w:multiLevelType w:val="multilevel"/>
    <w:tmpl w:val="A7CA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6F509B"/>
    <w:multiLevelType w:val="multilevel"/>
    <w:tmpl w:val="35B61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0927D9"/>
    <w:multiLevelType w:val="multilevel"/>
    <w:tmpl w:val="B4CA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D022C2"/>
    <w:multiLevelType w:val="multilevel"/>
    <w:tmpl w:val="3CFAB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5F6F1B"/>
    <w:multiLevelType w:val="multilevel"/>
    <w:tmpl w:val="3D101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366F2D"/>
    <w:multiLevelType w:val="multilevel"/>
    <w:tmpl w:val="9EF47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134B45"/>
    <w:multiLevelType w:val="multilevel"/>
    <w:tmpl w:val="DBFE2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384858">
    <w:abstractNumId w:val="9"/>
  </w:num>
  <w:num w:numId="2" w16cid:durableId="1001471531">
    <w:abstractNumId w:val="5"/>
  </w:num>
  <w:num w:numId="3" w16cid:durableId="1778598548">
    <w:abstractNumId w:val="1"/>
  </w:num>
  <w:num w:numId="4" w16cid:durableId="47145855">
    <w:abstractNumId w:val="11"/>
  </w:num>
  <w:num w:numId="5" w16cid:durableId="335616181">
    <w:abstractNumId w:val="6"/>
  </w:num>
  <w:num w:numId="6" w16cid:durableId="135731926">
    <w:abstractNumId w:val="0"/>
  </w:num>
  <w:num w:numId="7" w16cid:durableId="1017462445">
    <w:abstractNumId w:val="3"/>
  </w:num>
  <w:num w:numId="8" w16cid:durableId="664627356">
    <w:abstractNumId w:val="8"/>
  </w:num>
  <w:num w:numId="9" w16cid:durableId="600525357">
    <w:abstractNumId w:val="10"/>
  </w:num>
  <w:num w:numId="10" w16cid:durableId="1794056259">
    <w:abstractNumId w:val="2"/>
  </w:num>
  <w:num w:numId="11" w16cid:durableId="1418744922">
    <w:abstractNumId w:val="7"/>
  </w:num>
  <w:num w:numId="12" w16cid:durableId="902371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22"/>
    <w:rsid w:val="0000486B"/>
    <w:rsid w:val="00006782"/>
    <w:rsid w:val="00013874"/>
    <w:rsid w:val="0004743F"/>
    <w:rsid w:val="00074C38"/>
    <w:rsid w:val="00085A24"/>
    <w:rsid w:val="00086A5D"/>
    <w:rsid w:val="000A5F64"/>
    <w:rsid w:val="000C69C7"/>
    <w:rsid w:val="000E0AF7"/>
    <w:rsid w:val="000E1176"/>
    <w:rsid w:val="000E157C"/>
    <w:rsid w:val="0010166D"/>
    <w:rsid w:val="00110646"/>
    <w:rsid w:val="001162CB"/>
    <w:rsid w:val="00142983"/>
    <w:rsid w:val="0014315F"/>
    <w:rsid w:val="00152524"/>
    <w:rsid w:val="0015387E"/>
    <w:rsid w:val="00163D22"/>
    <w:rsid w:val="001874F2"/>
    <w:rsid w:val="00197804"/>
    <w:rsid w:val="001B0DCB"/>
    <w:rsid w:val="001E2063"/>
    <w:rsid w:val="001F696C"/>
    <w:rsid w:val="00210F6C"/>
    <w:rsid w:val="00222FF0"/>
    <w:rsid w:val="00231D68"/>
    <w:rsid w:val="00273F06"/>
    <w:rsid w:val="002A58D0"/>
    <w:rsid w:val="002B5E3C"/>
    <w:rsid w:val="002D1817"/>
    <w:rsid w:val="00322B2C"/>
    <w:rsid w:val="00324121"/>
    <w:rsid w:val="00326096"/>
    <w:rsid w:val="003417B7"/>
    <w:rsid w:val="00351AD6"/>
    <w:rsid w:val="0035407C"/>
    <w:rsid w:val="003878F0"/>
    <w:rsid w:val="003B3397"/>
    <w:rsid w:val="003E16C5"/>
    <w:rsid w:val="003F7C67"/>
    <w:rsid w:val="00431506"/>
    <w:rsid w:val="00437ED7"/>
    <w:rsid w:val="00453A16"/>
    <w:rsid w:val="00462ECB"/>
    <w:rsid w:val="00466AE1"/>
    <w:rsid w:val="004C6D48"/>
    <w:rsid w:val="004D06E9"/>
    <w:rsid w:val="004E25ED"/>
    <w:rsid w:val="00564591"/>
    <w:rsid w:val="00570F54"/>
    <w:rsid w:val="005C457A"/>
    <w:rsid w:val="005D0940"/>
    <w:rsid w:val="005E3D35"/>
    <w:rsid w:val="005F7C00"/>
    <w:rsid w:val="006103CE"/>
    <w:rsid w:val="00627C31"/>
    <w:rsid w:val="00635900"/>
    <w:rsid w:val="00663C01"/>
    <w:rsid w:val="006B055D"/>
    <w:rsid w:val="006B1E5A"/>
    <w:rsid w:val="006D2D4C"/>
    <w:rsid w:val="006D4B0C"/>
    <w:rsid w:val="006E57D8"/>
    <w:rsid w:val="007243CD"/>
    <w:rsid w:val="007323D9"/>
    <w:rsid w:val="00732543"/>
    <w:rsid w:val="007446BC"/>
    <w:rsid w:val="00745636"/>
    <w:rsid w:val="0075482A"/>
    <w:rsid w:val="0076366F"/>
    <w:rsid w:val="00763E55"/>
    <w:rsid w:val="00780ABC"/>
    <w:rsid w:val="00783834"/>
    <w:rsid w:val="007877BF"/>
    <w:rsid w:val="007952E3"/>
    <w:rsid w:val="007D03C0"/>
    <w:rsid w:val="007D57C2"/>
    <w:rsid w:val="007E68D8"/>
    <w:rsid w:val="007F70BC"/>
    <w:rsid w:val="007F7723"/>
    <w:rsid w:val="00811163"/>
    <w:rsid w:val="00821180"/>
    <w:rsid w:val="0085112B"/>
    <w:rsid w:val="00853D1F"/>
    <w:rsid w:val="008558B5"/>
    <w:rsid w:val="008A1DAB"/>
    <w:rsid w:val="008D4739"/>
    <w:rsid w:val="008F6B0E"/>
    <w:rsid w:val="008F7F07"/>
    <w:rsid w:val="009015AC"/>
    <w:rsid w:val="00924EC6"/>
    <w:rsid w:val="0092503F"/>
    <w:rsid w:val="0093469B"/>
    <w:rsid w:val="00934CA5"/>
    <w:rsid w:val="009433DB"/>
    <w:rsid w:val="00964F06"/>
    <w:rsid w:val="009B50ED"/>
    <w:rsid w:val="009F03DD"/>
    <w:rsid w:val="009F0649"/>
    <w:rsid w:val="00A10DCA"/>
    <w:rsid w:val="00A35F0B"/>
    <w:rsid w:val="00A37EA8"/>
    <w:rsid w:val="00A607E9"/>
    <w:rsid w:val="00A64F26"/>
    <w:rsid w:val="00A814AF"/>
    <w:rsid w:val="00A928EC"/>
    <w:rsid w:val="00A945FC"/>
    <w:rsid w:val="00AB4575"/>
    <w:rsid w:val="00AC4BB8"/>
    <w:rsid w:val="00AD32B2"/>
    <w:rsid w:val="00AD3861"/>
    <w:rsid w:val="00AE3827"/>
    <w:rsid w:val="00B05FA7"/>
    <w:rsid w:val="00B071F3"/>
    <w:rsid w:val="00B307C1"/>
    <w:rsid w:val="00B35DFA"/>
    <w:rsid w:val="00B412F3"/>
    <w:rsid w:val="00B71597"/>
    <w:rsid w:val="00B84F55"/>
    <w:rsid w:val="00B86462"/>
    <w:rsid w:val="00BA0948"/>
    <w:rsid w:val="00C0252C"/>
    <w:rsid w:val="00C037B6"/>
    <w:rsid w:val="00C0789A"/>
    <w:rsid w:val="00C33480"/>
    <w:rsid w:val="00C51EE2"/>
    <w:rsid w:val="00C67556"/>
    <w:rsid w:val="00C764E5"/>
    <w:rsid w:val="00CC21D7"/>
    <w:rsid w:val="00CC64E9"/>
    <w:rsid w:val="00CD4D87"/>
    <w:rsid w:val="00CF2837"/>
    <w:rsid w:val="00CF4BF9"/>
    <w:rsid w:val="00D1485B"/>
    <w:rsid w:val="00D22405"/>
    <w:rsid w:val="00D24058"/>
    <w:rsid w:val="00D62AD2"/>
    <w:rsid w:val="00D875B5"/>
    <w:rsid w:val="00DB3B1D"/>
    <w:rsid w:val="00DC215C"/>
    <w:rsid w:val="00DC2253"/>
    <w:rsid w:val="00DC225D"/>
    <w:rsid w:val="00DD35A5"/>
    <w:rsid w:val="00DD5007"/>
    <w:rsid w:val="00DF6FE2"/>
    <w:rsid w:val="00E006F4"/>
    <w:rsid w:val="00E158C3"/>
    <w:rsid w:val="00E3552C"/>
    <w:rsid w:val="00E52288"/>
    <w:rsid w:val="00E57A59"/>
    <w:rsid w:val="00E616CA"/>
    <w:rsid w:val="00E71DA6"/>
    <w:rsid w:val="00E96049"/>
    <w:rsid w:val="00E979D7"/>
    <w:rsid w:val="00EA5F80"/>
    <w:rsid w:val="00ED54F4"/>
    <w:rsid w:val="00EF36B9"/>
    <w:rsid w:val="00EF52AB"/>
    <w:rsid w:val="00EF60A7"/>
    <w:rsid w:val="00F03617"/>
    <w:rsid w:val="00F16733"/>
    <w:rsid w:val="00F2315A"/>
    <w:rsid w:val="00F47981"/>
    <w:rsid w:val="00F53C40"/>
    <w:rsid w:val="00F6289F"/>
    <w:rsid w:val="00F63A3B"/>
    <w:rsid w:val="00F75861"/>
    <w:rsid w:val="00F8084B"/>
    <w:rsid w:val="00FA4893"/>
    <w:rsid w:val="00FD47B7"/>
    <w:rsid w:val="00FD7785"/>
    <w:rsid w:val="00FE306A"/>
    <w:rsid w:val="00FE77C6"/>
    <w:rsid w:val="00FF46DC"/>
    <w:rsid w:val="00FF4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C9A0"/>
  <w15:chartTrackingRefBased/>
  <w15:docId w15:val="{EA8FA3D0-E04D-4343-89BE-A9DAC10E1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D22"/>
    <w:rPr>
      <w:rFonts w:eastAsiaTheme="majorEastAsia" w:cstheme="majorBidi"/>
      <w:color w:val="272727" w:themeColor="text1" w:themeTint="D8"/>
    </w:rPr>
  </w:style>
  <w:style w:type="paragraph" w:styleId="Title">
    <w:name w:val="Title"/>
    <w:basedOn w:val="Normal"/>
    <w:next w:val="Normal"/>
    <w:link w:val="TitleChar"/>
    <w:uiPriority w:val="10"/>
    <w:qFormat/>
    <w:rsid w:val="00163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D22"/>
    <w:pPr>
      <w:spacing w:before="160"/>
      <w:jc w:val="center"/>
    </w:pPr>
    <w:rPr>
      <w:i/>
      <w:iCs/>
      <w:color w:val="404040" w:themeColor="text1" w:themeTint="BF"/>
    </w:rPr>
  </w:style>
  <w:style w:type="character" w:customStyle="1" w:styleId="QuoteChar">
    <w:name w:val="Quote Char"/>
    <w:basedOn w:val="DefaultParagraphFont"/>
    <w:link w:val="Quote"/>
    <w:uiPriority w:val="29"/>
    <w:rsid w:val="00163D22"/>
    <w:rPr>
      <w:i/>
      <w:iCs/>
      <w:color w:val="404040" w:themeColor="text1" w:themeTint="BF"/>
    </w:rPr>
  </w:style>
  <w:style w:type="paragraph" w:styleId="ListParagraph">
    <w:name w:val="List Paragraph"/>
    <w:basedOn w:val="Normal"/>
    <w:uiPriority w:val="34"/>
    <w:qFormat/>
    <w:rsid w:val="00163D22"/>
    <w:pPr>
      <w:ind w:left="720"/>
      <w:contextualSpacing/>
    </w:pPr>
  </w:style>
  <w:style w:type="character" w:styleId="IntenseEmphasis">
    <w:name w:val="Intense Emphasis"/>
    <w:basedOn w:val="DefaultParagraphFont"/>
    <w:uiPriority w:val="21"/>
    <w:qFormat/>
    <w:rsid w:val="00163D22"/>
    <w:rPr>
      <w:i/>
      <w:iCs/>
      <w:color w:val="0F4761" w:themeColor="accent1" w:themeShade="BF"/>
    </w:rPr>
  </w:style>
  <w:style w:type="paragraph" w:styleId="IntenseQuote">
    <w:name w:val="Intense Quote"/>
    <w:basedOn w:val="Normal"/>
    <w:next w:val="Normal"/>
    <w:link w:val="IntenseQuoteChar"/>
    <w:uiPriority w:val="30"/>
    <w:qFormat/>
    <w:rsid w:val="00163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D22"/>
    <w:rPr>
      <w:i/>
      <w:iCs/>
      <w:color w:val="0F4761" w:themeColor="accent1" w:themeShade="BF"/>
    </w:rPr>
  </w:style>
  <w:style w:type="character" w:styleId="IntenseReference">
    <w:name w:val="Intense Reference"/>
    <w:basedOn w:val="DefaultParagraphFont"/>
    <w:uiPriority w:val="32"/>
    <w:qFormat/>
    <w:rsid w:val="00163D22"/>
    <w:rPr>
      <w:b/>
      <w:bCs/>
      <w:smallCaps/>
      <w:color w:val="0F4761" w:themeColor="accent1" w:themeShade="BF"/>
      <w:spacing w:val="5"/>
    </w:rPr>
  </w:style>
  <w:style w:type="character" w:styleId="Hyperlink">
    <w:name w:val="Hyperlink"/>
    <w:basedOn w:val="DefaultParagraphFont"/>
    <w:uiPriority w:val="99"/>
    <w:unhideWhenUsed/>
    <w:rsid w:val="00E57A59"/>
    <w:rPr>
      <w:color w:val="467886" w:themeColor="hyperlink"/>
      <w:u w:val="single"/>
    </w:rPr>
  </w:style>
  <w:style w:type="character" w:styleId="UnresolvedMention">
    <w:name w:val="Unresolved Mention"/>
    <w:basedOn w:val="DefaultParagraphFont"/>
    <w:uiPriority w:val="99"/>
    <w:semiHidden/>
    <w:unhideWhenUsed/>
    <w:rsid w:val="00E57A59"/>
    <w:rPr>
      <w:color w:val="605E5C"/>
      <w:shd w:val="clear" w:color="auto" w:fill="E1DFDD"/>
    </w:rPr>
  </w:style>
  <w:style w:type="paragraph" w:styleId="Header">
    <w:name w:val="header"/>
    <w:basedOn w:val="Normal"/>
    <w:link w:val="HeaderChar"/>
    <w:uiPriority w:val="99"/>
    <w:unhideWhenUsed/>
    <w:rsid w:val="006B1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E5A"/>
  </w:style>
  <w:style w:type="paragraph" w:styleId="Footer">
    <w:name w:val="footer"/>
    <w:basedOn w:val="Normal"/>
    <w:link w:val="FooterChar"/>
    <w:uiPriority w:val="99"/>
    <w:unhideWhenUsed/>
    <w:rsid w:val="006B1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8093022000043065" TargetMode="External"/><Relationship Id="rId13" Type="http://schemas.openxmlformats.org/officeDocument/2006/relationships/hyperlink" Target="https://doi.org/10.1177/017084069501600605" TargetMode="External"/><Relationship Id="rId18" Type="http://schemas.openxmlformats.org/officeDocument/2006/relationships/hyperlink" Target="https://doi.org/10.1080/135406002100000512" TargetMode="External"/><Relationship Id="rId26" Type="http://schemas.openxmlformats.org/officeDocument/2006/relationships/hyperlink" Target="https://doi.org/10.1287/orsc.11.4.404.14600" TargetMode="External"/><Relationship Id="rId3" Type="http://schemas.openxmlformats.org/officeDocument/2006/relationships/settings" Target="settings.xml"/><Relationship Id="rId21" Type="http://schemas.openxmlformats.org/officeDocument/2006/relationships/hyperlink" Target="https://doi.org/10.1177/160940690300200102" TargetMode="External"/><Relationship Id="rId34" Type="http://schemas.openxmlformats.org/officeDocument/2006/relationships/hyperlink" Target="https://doi.org/10.1080/17439884.2020.1798995" TargetMode="External"/><Relationship Id="rId7" Type="http://schemas.openxmlformats.org/officeDocument/2006/relationships/image" Target="media/image1.png"/><Relationship Id="rId12" Type="http://schemas.openxmlformats.org/officeDocument/2006/relationships/hyperlink" Target="https://doi.org/10.1007/BF00138871" TargetMode="External"/><Relationship Id="rId17" Type="http://schemas.openxmlformats.org/officeDocument/2006/relationships/hyperlink" Target="https://doi.org/10.1002/ace.302" TargetMode="External"/><Relationship Id="rId25" Type="http://schemas.openxmlformats.org/officeDocument/2006/relationships/hyperlink" Target="https://doi.org/10.1016/j.lcsi.2012.03.001" TargetMode="External"/><Relationship Id="rId33" Type="http://schemas.openxmlformats.org/officeDocument/2006/relationships/hyperlink" Target="https://doi.org/10.1177/135050840072002" TargetMode="External"/><Relationship Id="rId2" Type="http://schemas.openxmlformats.org/officeDocument/2006/relationships/styles" Target="styles.xml"/><Relationship Id="rId16" Type="http://schemas.openxmlformats.org/officeDocument/2006/relationships/hyperlink" Target="https://doi.org/10.1080/158037042000225245" TargetMode="External"/><Relationship Id="rId20" Type="http://schemas.openxmlformats.org/officeDocument/2006/relationships/hyperlink" Target="https://doi.org/10.1007/s12186-007-9001-y" TargetMode="External"/><Relationship Id="rId29" Type="http://schemas.openxmlformats.org/officeDocument/2006/relationships/hyperlink" Target="https://doi.org/10.1123/ssj.17.1.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092-008-9064-9" TargetMode="External"/><Relationship Id="rId24" Type="http://schemas.openxmlformats.org/officeDocument/2006/relationships/hyperlink" Target="https://doi.org/10.1080/03075070802049202" TargetMode="External"/><Relationship Id="rId32" Type="http://schemas.openxmlformats.org/officeDocument/2006/relationships/hyperlink" Target="https://doi.org/10.1080/0307507961233138121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3075079812331380384" TargetMode="External"/><Relationship Id="rId23" Type="http://schemas.openxmlformats.org/officeDocument/2006/relationships/hyperlink" Target="https://www.jisc.ac.uk" TargetMode="External"/><Relationship Id="rId28" Type="http://schemas.openxmlformats.org/officeDocument/2006/relationships/hyperlink" Target="https://doi.org/10.3102/0013189X027002004" TargetMode="External"/><Relationship Id="rId36" Type="http://schemas.openxmlformats.org/officeDocument/2006/relationships/fontTable" Target="fontTable.xml"/><Relationship Id="rId10" Type="http://schemas.openxmlformats.org/officeDocument/2006/relationships/hyperlink" Target="https://doi.org/10.1080/03057640902902252" TargetMode="External"/><Relationship Id="rId19" Type="http://schemas.openxmlformats.org/officeDocument/2006/relationships/hyperlink" Target="https://doi.org/10.1016/j.erss.2018.01.013" TargetMode="External"/><Relationship Id="rId31" Type="http://schemas.openxmlformats.org/officeDocument/2006/relationships/hyperlink" Target="https://doi.org/10.1111/j.1468-2273.2010.00465" TargetMode="External"/><Relationship Id="rId4" Type="http://schemas.openxmlformats.org/officeDocument/2006/relationships/webSettings" Target="webSettings.xml"/><Relationship Id="rId9" Type="http://schemas.openxmlformats.org/officeDocument/2006/relationships/hyperlink" Target="https://doi.org/10.1353/csd.0.0016" TargetMode="External"/><Relationship Id="rId14" Type="http://schemas.openxmlformats.org/officeDocument/2006/relationships/hyperlink" Target="https://doi.org/10.1108/13665620310483895" TargetMode="External"/><Relationship Id="rId22" Type="http://schemas.openxmlformats.org/officeDocument/2006/relationships/hyperlink" Target="https://doi.org/10.1177/1534484318774252" TargetMode="External"/><Relationship Id="rId27" Type="http://schemas.openxmlformats.org/officeDocument/2006/relationships/hyperlink" Target="https://doi.org/10.1002/j.2168-9830.2004.tb00809.x" TargetMode="External"/><Relationship Id="rId30" Type="http://schemas.openxmlformats.org/officeDocument/2006/relationships/hyperlink" Target="https://doi.org/10.3102/00346543072003387"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24</Pages>
  <Words>11323</Words>
  <Characters>64547</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2026-05-13T13:48:00Z</dcterms:created>
  <dcterms:modified xsi:type="dcterms:W3CDTF">2026-05-13T13:50:00Z</dcterms:modified>
</cp:coreProperties>
</file>