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Arial" w:hAnsi="Arial" w:cs="Arial"/>
          <w:sz w:val="24"/>
          <w:szCs w:val="24"/>
          <w:lang w:val="en-US" w:eastAsia="zh-CN"/>
        </w:rPr>
      </w:pPr>
      <w:r>
        <w:rPr>
          <w:rFonts w:hint="eastAsia" w:ascii="Arial" w:hAnsi="Arial" w:cs="Arial"/>
          <w:sz w:val="24"/>
          <w:szCs w:val="24"/>
          <w:lang w:val="en-US" w:eastAsia="zh-CN"/>
        </w:rPr>
        <w:t>International Business Communications</w:t>
      </w:r>
    </w:p>
    <w:p>
      <w:pPr>
        <w:rPr>
          <w:rFonts w:hint="eastAsia" w:ascii="Arial" w:hAnsi="Arial" w:cs="Arial"/>
          <w:sz w:val="24"/>
          <w:szCs w:val="24"/>
          <w:lang w:val="en-US" w:eastAsia="zh-CN"/>
        </w:rPr>
      </w:pPr>
      <w:r>
        <w:rPr>
          <w:rFonts w:hint="eastAsia" w:ascii="Arial" w:hAnsi="Arial" w:cs="Arial"/>
          <w:sz w:val="24"/>
          <w:szCs w:val="24"/>
          <w:lang w:val="en-US" w:eastAsia="zh-CN"/>
        </w:rPr>
        <w:t>2307759</w:t>
      </w:r>
    </w:p>
    <w:p>
      <w:pPr>
        <w:rPr>
          <w:rFonts w:hint="eastAsia" w:ascii="Arial" w:hAnsi="Arial" w:cs="Arial"/>
          <w:sz w:val="24"/>
          <w:szCs w:val="24"/>
          <w:lang w:val="en-US" w:eastAsia="zh-CN"/>
        </w:rPr>
      </w:pPr>
      <w:r>
        <w:rPr>
          <w:rFonts w:hint="eastAsia" w:ascii="Arial" w:hAnsi="Arial" w:cs="Arial"/>
          <w:sz w:val="24"/>
          <w:szCs w:val="24"/>
          <w:lang w:val="en-US" w:eastAsia="zh-CN"/>
        </w:rPr>
        <w:t>Tan Yingqian</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Executive summary</w:t>
      </w:r>
    </w:p>
    <w:p>
      <w:pPr>
        <w:rPr>
          <w:rFonts w:hint="eastAsia" w:ascii="Arial" w:hAnsi="Arial" w:cs="Arial"/>
          <w:sz w:val="24"/>
          <w:szCs w:val="24"/>
          <w:lang w:val="en-US" w:eastAsia="zh-CN"/>
        </w:rPr>
      </w:pPr>
      <w:r>
        <w:rPr>
          <w:rFonts w:hint="eastAsia" w:ascii="Arial" w:hAnsi="Arial" w:cs="Arial"/>
          <w:sz w:val="24"/>
          <w:szCs w:val="24"/>
          <w:lang w:val="en-US" w:eastAsia="zh-CN"/>
        </w:rPr>
        <w:t>This article describes the differences in business exchange between the UK and France from a number of perspectives: the reasons why international business exchanges are likely to fail and what can be done to avoid failure, the business structure, technology, the advantages and disadvantages of government restrictions and so on.</w:t>
      </w:r>
    </w:p>
    <w:p>
      <w:pPr>
        <w:rPr>
          <w:rFonts w:hint="eastAsia" w:ascii="Arial" w:hAnsi="Arial" w:cs="Arial"/>
          <w:sz w:val="24"/>
          <w:szCs w:val="24"/>
          <w:lang w:val="en-US" w:eastAsia="zh-CN"/>
        </w:rPr>
      </w:pPr>
    </w:p>
    <w:p>
      <w:pPr>
        <w:rPr>
          <w:rFonts w:hint="default"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sdt>
      <w:sdtPr>
        <w:rPr>
          <w:rFonts w:hint="default" w:ascii="Arial" w:hAnsi="Arial" w:eastAsia="宋体" w:cs="Arial"/>
          <w:kern w:val="2"/>
          <w:sz w:val="24"/>
          <w:szCs w:val="24"/>
          <w:lang w:val="en-US" w:eastAsia="zh-CN" w:bidi="ar-SA"/>
        </w:rPr>
        <w:id w:val="147471197"/>
        <w15:color w:val="DBDBDB"/>
        <w:docPartObj>
          <w:docPartGallery w:val="Table of Contents"/>
          <w:docPartUnique/>
        </w:docPartObj>
      </w:sdtPr>
      <w:sdtEndPr>
        <w:rPr>
          <w:rFonts w:hint="default" w:ascii="Arial" w:hAnsi="Arial" w:cs="Arial" w:eastAsiaTheme="minorEastAsia"/>
          <w:b/>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sz w:val="24"/>
              <w:szCs w:val="24"/>
            </w:rPr>
          </w:pPr>
          <w:r>
            <w:rPr>
              <w:rFonts w:hint="default" w:ascii="Arial" w:hAnsi="Arial" w:eastAsia="宋体" w:cs="Arial"/>
              <w:sz w:val="24"/>
              <w:szCs w:val="24"/>
            </w:rPr>
            <w:t>目录</w:t>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"1-2"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_Toc6858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1.0:Introduction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_Toc6858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_Toc3781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3.0:Reason for failure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_Toc3781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_Toc26520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3.1:Solutions to avoid failure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_Toc26520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_Toc8134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4.0:Business structure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_Toc8134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_Toc19579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4.1:Level of technology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_Toc19579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_Toc12046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4.2:Government restriction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_Toc12046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_Toc21486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5.0:Hall’s high and low context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_Toc21486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_Toc11121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6.0:Conclusion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_Toc11121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_Toc3765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7.0:References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_Toc3765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rPr>
              <w:rFonts w:hint="default" w:ascii="Arial" w:hAnsi="Arial" w:cs="Arial" w:eastAsiaTheme="minorEastAsia"/>
              <w:b/>
              <w:kern w:val="2"/>
              <w:sz w:val="24"/>
              <w:szCs w:val="24"/>
              <w:lang w:val="en-US" w:eastAsia="zh-CN" w:bidi="ar-SA"/>
            </w:rPr>
            <w:sectPr>
              <w:pgSz w:w="11906" w:h="16838"/>
              <w:pgMar w:top="1440" w:right="1800" w:bottom="1440" w:left="1800" w:header="851" w:footer="992" w:gutter="0"/>
              <w:cols w:space="425" w:num="1"/>
              <w:docGrid w:type="lines" w:linePitch="312" w:charSpace="0"/>
            </w:sectPr>
          </w:pPr>
          <w:r>
            <w:rPr>
              <w:rFonts w:hint="default" w:ascii="Arial" w:hAnsi="Arial" w:cs="Arial"/>
              <w:sz w:val="24"/>
              <w:szCs w:val="24"/>
              <w:lang w:val="en-US" w:eastAsia="zh-CN"/>
            </w:rPr>
            <w:fldChar w:fldCharType="end"/>
          </w:r>
        </w:p>
      </w:sdtContent>
    </w:sdt>
    <w:p>
      <w:pPr>
        <w:rPr>
          <w:rFonts w:hint="eastAsia" w:ascii="Arial" w:hAnsi="Arial" w:cs="Arial" w:eastAsiaTheme="minorEastAsia"/>
          <w:b/>
          <w:kern w:val="2"/>
          <w:sz w:val="21"/>
          <w:szCs w:val="24"/>
          <w:lang w:val="en-US" w:eastAsia="zh-CN" w:bidi="ar-SA"/>
        </w:rPr>
      </w:pPr>
    </w:p>
    <w:p>
      <w:pPr>
        <w:outlineLvl w:val="0"/>
        <w:rPr>
          <w:rFonts w:hint="eastAsia" w:ascii="Arial" w:hAnsi="Arial" w:cs="Arial"/>
          <w:b/>
          <w:bCs/>
          <w:sz w:val="24"/>
          <w:szCs w:val="24"/>
          <w:lang w:val="en-US" w:eastAsia="zh-CN"/>
        </w:rPr>
      </w:pPr>
      <w:bookmarkStart w:id="0" w:name="_Toc6858"/>
      <w:r>
        <w:rPr>
          <w:rFonts w:hint="eastAsia" w:ascii="Arial" w:hAnsi="Arial" w:cs="Arial"/>
          <w:b/>
          <w:bCs/>
          <w:sz w:val="24"/>
          <w:szCs w:val="24"/>
          <w:lang w:val="en-US" w:eastAsia="zh-CN"/>
        </w:rPr>
        <w:t>1.0:Introduction</w:t>
      </w:r>
      <w:bookmarkEnd w:id="0"/>
    </w:p>
    <w:p>
      <w:pPr>
        <w:rPr>
          <w:rFonts w:hint="eastAsia" w:ascii="Arial" w:hAnsi="Arial" w:cs="Arial"/>
          <w:sz w:val="24"/>
          <w:szCs w:val="24"/>
          <w:lang w:val="en-US" w:eastAsia="zh-CN"/>
        </w:rPr>
      </w:pPr>
      <w:r>
        <w:rPr>
          <w:rFonts w:hint="eastAsia" w:ascii="Arial" w:hAnsi="Arial" w:cs="Arial"/>
          <w:sz w:val="24"/>
          <w:szCs w:val="24"/>
          <w:lang w:val="en-US" w:eastAsia="zh-CN"/>
        </w:rPr>
        <w:t>This paper examines the cultural differences in British and French commercial interactions, causes of failure in communication, and solutions to avoid these mistakes. To begin with, the following were introduced: the form of business propagation in England, conservatism and courtesy, and the directive and expressiveness of business propagation in France. Some emphasize these cultural features, but emphasize the need for effective cultural exchange among these differences.</w:t>
      </w:r>
    </w:p>
    <w:p>
      <w:pPr>
        <w:rPr>
          <w:rFonts w:hint="default" w:ascii="Arial" w:hAnsi="Arial" w:cs="Arial"/>
          <w:sz w:val="24"/>
          <w:szCs w:val="24"/>
          <w:lang w:val="en-US" w:eastAsia="zh-CN"/>
        </w:rPr>
      </w:pPr>
      <w:r>
        <w:rPr>
          <w:rFonts w:hint="eastAsia" w:ascii="Arial" w:hAnsi="Arial" w:cs="Arial"/>
          <w:sz w:val="24"/>
          <w:szCs w:val="24"/>
          <w:lang w:val="en-US" w:eastAsia="zh-CN"/>
        </w:rPr>
        <w:t>Second, we analyze the causes of communication interruption, such as information shortage, cultural differences, and technical problems. In particular, we focus on communication problems with differences in British and French cultures such as language disorders, different communication methods, different attitudes to grades and forms (Oana,2021).</w:t>
      </w:r>
    </w:p>
    <w:p>
      <w:pPr>
        <w:rPr>
          <w:rFonts w:hint="default" w:ascii="Arial" w:hAnsi="Arial" w:cs="Arial"/>
          <w:sz w:val="24"/>
          <w:szCs w:val="24"/>
          <w:lang w:val="en-US" w:eastAsia="zh-CN"/>
        </w:rPr>
      </w:pPr>
      <w:r>
        <w:rPr>
          <w:rFonts w:hint="eastAsia" w:ascii="Arial" w:hAnsi="Arial" w:cs="Arial"/>
          <w:sz w:val="24"/>
          <w:szCs w:val="24"/>
          <w:lang w:val="en-US" w:eastAsia="zh-CN"/>
        </w:rPr>
        <w:t>In the part of processing these problems, there are proposed solutions for the promotion of open communication, language interpretation and technical use. These solutions are aimed at building an environment that facilitates understanding, evaluating and facilitating communication between English and French speaking professionals (Pikhart,2020).</w:t>
      </w:r>
    </w:p>
    <w:p>
      <w:pPr>
        <w:rPr>
          <w:rFonts w:hint="default" w:ascii="Arial" w:hAnsi="Arial" w:cs="Arial"/>
          <w:sz w:val="24"/>
          <w:szCs w:val="24"/>
          <w:lang w:val="en-US" w:eastAsia="zh-CN"/>
        </w:rPr>
      </w:pPr>
      <w:r>
        <w:rPr>
          <w:rFonts w:hint="eastAsia" w:ascii="Arial" w:hAnsi="Arial" w:cs="Arial"/>
          <w:sz w:val="24"/>
          <w:szCs w:val="24"/>
          <w:lang w:val="en-US" w:eastAsia="zh-CN"/>
        </w:rPr>
        <w:t>Finally, we discuss the effects of technological level on trade relations and the positive and negative effects of the government.</w:t>
      </w:r>
    </w:p>
    <w:p>
      <w:pPr>
        <w:rPr>
          <w:rFonts w:hint="eastAsia" w:ascii="Arial" w:hAnsi="Arial" w:cs="Arial"/>
          <w:sz w:val="24"/>
          <w:szCs w:val="24"/>
          <w:lang w:val="en-US" w:eastAsia="zh-CN"/>
        </w:rPr>
      </w:pPr>
      <w:r>
        <w:rPr>
          <w:rFonts w:hint="eastAsia" w:ascii="Arial" w:hAnsi="Arial" w:cs="Arial"/>
          <w:sz w:val="24"/>
          <w:szCs w:val="24"/>
          <w:lang w:val="en-US" w:eastAsia="zh-CN"/>
        </w:rPr>
        <w:t>Constraints on business relationships. Participants stressed that they would need to adapt to advanced technologies to understand transparent and unbiased government regulations to promote robust and sustainable trade relations.</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8"/>
          <w:szCs w:val="28"/>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b/>
          <w:bCs/>
          <w:sz w:val="24"/>
          <w:szCs w:val="24"/>
          <w:lang w:val="en-US" w:eastAsia="zh-CN"/>
        </w:rPr>
      </w:pPr>
      <w:r>
        <w:rPr>
          <w:rFonts w:hint="eastAsia" w:ascii="Arial" w:hAnsi="Arial" w:cs="Arial"/>
          <w:b/>
          <w:bCs/>
          <w:sz w:val="24"/>
          <w:szCs w:val="24"/>
          <w:lang w:val="en-US" w:eastAsia="zh-CN"/>
        </w:rPr>
        <w:t>2.0:Difference between British and French business communication</w:t>
      </w:r>
    </w:p>
    <w:p>
      <w:pPr>
        <w:rPr>
          <w:rFonts w:hint="default" w:ascii="Arial" w:hAnsi="Arial" w:cs="Arial"/>
          <w:sz w:val="24"/>
          <w:szCs w:val="24"/>
          <w:lang w:val="en-US" w:eastAsia="zh-CN"/>
        </w:rPr>
      </w:pPr>
      <w:r>
        <w:rPr>
          <w:rFonts w:hint="default" w:ascii="Arial" w:hAnsi="Arial" w:cs="Arial"/>
          <w:sz w:val="24"/>
          <w:szCs w:val="24"/>
          <w:lang w:val="en-US" w:eastAsia="zh-CN"/>
        </w:rPr>
        <w:t>Of course, British business communications reflect the importance of formal titles and titles. People tend to convey information more conservative, courteous and indirect. Meetings usually start with conversation and make fun atmosphere and discuss deeply about business. In a difficult situation you must be cool. Both the England and France are considered individualistic cultures (Hofstede, 1997). Cultures that are perceived to be more individualistic may be closer to collectivist cultures in their communication styles than collectivist cultures. Thus, as a cultural group, they would both value speaking up and would be relatively similar in their level of communicative apprehension. Therefore, given their similarities, it is not expected that the England and France will differ in their levels of communication apprehension across cultures.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Conversely, French trade usually has direct and expressive features. The opinion is open and the debate can be full of vitality and passion. The relationship between construction and development is key to successful business interaction</w:t>
      </w:r>
      <w:r>
        <w:rPr>
          <w:rFonts w:hint="eastAsia" w:ascii="Arial" w:hAnsi="Arial" w:cs="Arial"/>
          <w:sz w:val="24"/>
          <w:szCs w:val="24"/>
          <w:lang w:val="en-US" w:eastAsia="zh-CN"/>
        </w:rPr>
        <w:t xml:space="preserve"> (Yook,2015).</w:t>
      </w:r>
      <w:r>
        <w:rPr>
          <w:rFonts w:hint="default" w:ascii="Arial" w:hAnsi="Arial" w:cs="Arial"/>
          <w:sz w:val="24"/>
          <w:szCs w:val="24"/>
          <w:lang w:val="en-US" w:eastAsia="zh-CN"/>
        </w:rPr>
        <w:t xml:space="preserve"> Meeting is very important to provide opportunities to build personal relationships. Negotiations may lead to higher levels of discussion, usually expressing passion and discretion.</w:t>
      </w:r>
    </w:p>
    <w:p>
      <w:pPr>
        <w:rPr>
          <w:rFonts w:hint="default" w:ascii="Arial" w:hAnsi="Arial" w:cs="Arial"/>
          <w:sz w:val="24"/>
          <w:szCs w:val="24"/>
          <w:lang w:val="en-US" w:eastAsia="zh-CN"/>
        </w:rPr>
      </w:pPr>
      <w:r>
        <w:rPr>
          <w:rFonts w:hint="default" w:ascii="Arial" w:hAnsi="Arial" w:cs="Arial"/>
          <w:sz w:val="24"/>
          <w:szCs w:val="24"/>
          <w:lang w:val="en-US" w:eastAsia="zh-CN"/>
        </w:rPr>
        <w:t>Intercultural exchange is important at the interface of these subtle cultural differences. Note these differences</w:t>
      </w:r>
    </w:p>
    <w:p>
      <w:pPr>
        <w:rPr>
          <w:rFonts w:hint="default" w:ascii="Arial" w:hAnsi="Arial" w:cs="Arial"/>
          <w:sz w:val="24"/>
          <w:szCs w:val="24"/>
          <w:lang w:val="en-US" w:eastAsia="zh-CN"/>
        </w:rPr>
      </w:pPr>
      <w:r>
        <w:rPr>
          <w:rFonts w:hint="default" w:ascii="Arial" w:hAnsi="Arial" w:cs="Arial"/>
          <w:sz w:val="24"/>
          <w:szCs w:val="24"/>
          <w:lang w:val="en-US" w:eastAsia="zh-CN"/>
        </w:rPr>
        <w:t>People respond to the possibility of misunderstanding and adjust the appropriate communication strategies. Using a flexible and cultural sensitive method to develop positive relationships, overcome language differences and facilitate mutual understanding</w:t>
      </w:r>
      <w:r>
        <w:rPr>
          <w:rFonts w:hint="eastAsia" w:ascii="Arial" w:hAnsi="Arial" w:cs="Arial"/>
          <w:sz w:val="24"/>
          <w:szCs w:val="24"/>
          <w:lang w:val="en-US" w:eastAsia="zh-CN"/>
        </w:rPr>
        <w:t xml:space="preserve"> (Moreau,2020).</w:t>
      </w:r>
    </w:p>
    <w:p>
      <w:pPr>
        <w:rPr>
          <w:rFonts w:hint="default" w:ascii="Arial" w:hAnsi="Arial" w:cs="Arial"/>
          <w:sz w:val="24"/>
          <w:szCs w:val="24"/>
          <w:lang w:val="en-US" w:eastAsia="zh-CN"/>
        </w:rPr>
      </w:pPr>
      <w:r>
        <w:rPr>
          <w:rFonts w:hint="default" w:ascii="Arial" w:hAnsi="Arial" w:cs="Arial"/>
          <w:sz w:val="24"/>
          <w:szCs w:val="24"/>
          <w:lang w:val="en-US" w:eastAsia="zh-CN"/>
        </w:rPr>
        <w:t>Such cultural awareness is the foundation of success. Business cooperation between different teams in the UK and France. This facilitates a more comprehensive and harmonious working environment that allows people from different cultures to use their own perspective to solve the problem creatively. Finally, the ability to manage and appreciate the differences between these subtle cultures is a valuable asset that enhances the joint communication strategy and promotes international business success.</w:t>
      </w:r>
    </w:p>
    <w:p>
      <w:pPr>
        <w:rPr>
          <w:rFonts w:hint="default" w:ascii="Arial" w:hAnsi="Arial" w:cs="Arial"/>
          <w:sz w:val="24"/>
          <w:szCs w:val="24"/>
          <w:lang w:val="en-US" w:eastAsia="zh-CN"/>
        </w:rPr>
      </w:pPr>
    </w:p>
    <w:p>
      <w:pPr>
        <w:outlineLvl w:val="0"/>
        <w:rPr>
          <w:rFonts w:hint="eastAsia" w:ascii="Arial" w:hAnsi="Arial" w:cs="Arial"/>
          <w:b/>
          <w:bCs/>
          <w:sz w:val="24"/>
          <w:szCs w:val="24"/>
          <w:lang w:val="en-US" w:eastAsia="zh-CN"/>
        </w:rPr>
      </w:pPr>
      <w:bookmarkStart w:id="1" w:name="_Toc3781"/>
      <w:r>
        <w:rPr>
          <w:rFonts w:hint="eastAsia" w:ascii="Arial" w:hAnsi="Arial" w:cs="Arial"/>
          <w:b/>
          <w:bCs/>
          <w:sz w:val="24"/>
          <w:szCs w:val="24"/>
          <w:lang w:val="en-US" w:eastAsia="zh-CN"/>
        </w:rPr>
        <w:t>3.0:Reason for failure</w:t>
      </w:r>
      <w:bookmarkEnd w:id="1"/>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Failure of business communication may be caused by several factors. The common causes are inaccuracy of information propagation, lack of public understanding, decline in hearing, lack of feedback mechanisms, and cultural misunderstanding (Cyohert,2006). Also, technical problems such as abuse of communication methods may interfere with effective commercial communications. Considering these factors is important for successful communication in business environments.</w:t>
      </w: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Cultural differences, language differences, and different communication methods can interfere with French and English communication in business interaction (Mai and Hoffmann,2014). While people in two cultures interact with each other, they do not understand their specific tastes and expectations.</w:t>
      </w: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use of indirect and implicit expressions may lead to misunderstanding. Especially if the French wants to be more clear and direct to the other party. On the other hand, those who are familiar with a more conservative British style may find that open expressions in French exchange are too self-confident or too easy.</w:t>
      </w: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Both languages are widely used in business, but language disorders can cause communication errors (Aroles, Hassard, and Hyde,2023). A different interpretation of some phrases, habits, or non linguistic events can cause misunderstanding between British and French traders.</w:t>
      </w:r>
    </w:p>
    <w:p>
      <w:pPr>
        <w:rPr>
          <w:rFonts w:hint="eastAsia" w:ascii="Arial" w:hAnsi="Arial" w:cs="Arial"/>
          <w:b w:val="0"/>
          <w:bCs w:val="0"/>
          <w:sz w:val="24"/>
          <w:szCs w:val="24"/>
          <w:lang w:val="en-US" w:eastAsia="zh-CN"/>
        </w:rPr>
      </w:pPr>
    </w:p>
    <w:p>
      <w:pPr>
        <w:rPr>
          <w:rFonts w:hint="default" w:ascii="Arial" w:hAnsi="Arial" w:cs="Arial"/>
          <w:sz w:val="24"/>
          <w:szCs w:val="24"/>
          <w:lang w:val="en-US" w:eastAsia="zh-CN"/>
        </w:rPr>
      </w:pPr>
    </w:p>
    <w:p>
      <w:pPr>
        <w:outlineLvl w:val="0"/>
        <w:rPr>
          <w:rFonts w:hint="eastAsia" w:ascii="Arial" w:hAnsi="Arial" w:cs="Arial"/>
          <w:b/>
          <w:bCs/>
          <w:sz w:val="24"/>
          <w:szCs w:val="24"/>
          <w:lang w:val="en-US" w:eastAsia="zh-CN"/>
        </w:rPr>
      </w:pPr>
      <w:bookmarkStart w:id="2" w:name="_Toc26520"/>
      <w:r>
        <w:rPr>
          <w:rFonts w:hint="eastAsia" w:ascii="Arial" w:hAnsi="Arial" w:cs="Arial"/>
          <w:b/>
          <w:bCs/>
          <w:sz w:val="24"/>
          <w:szCs w:val="24"/>
          <w:lang w:val="en-US" w:eastAsia="zh-CN"/>
        </w:rPr>
        <w:t>3.1:Solutions to avoid failure</w:t>
      </w:r>
      <w:bookmarkEnd w:id="2"/>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Failure of intercultural communication between leaders and Prevention</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UK and France business environment is considering the following factors.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Solution:</w:t>
      </w:r>
    </w:p>
    <w:p>
      <w:pPr>
        <w:rPr>
          <w:rFonts w:hint="eastAsia" w:ascii="Arial" w:hAnsi="Arial" w:cs="Arial"/>
          <w:b w:val="0"/>
          <w:bCs w:val="0"/>
          <w:sz w:val="24"/>
          <w:szCs w:val="24"/>
          <w:lang w:val="en-US" w:eastAsia="zh-CN"/>
        </w:rPr>
      </w:pP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1.Promote Open Communication:</w:t>
      </w:r>
    </w:p>
    <w:p>
      <w:pPr>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Encourage you to publicly convey your thoughts and concerns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Cultural differences exist and create a welcoming environment</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Establish a periodic feedback mechanism to continuously improve communication strategies.</w:t>
      </w:r>
    </w:p>
    <w:p>
      <w:pPr>
        <w:rPr>
          <w:rFonts w:hint="eastAsia" w:ascii="Arial" w:hAnsi="Arial" w:cs="Arial"/>
          <w:b w:val="0"/>
          <w:bCs w:val="0"/>
          <w:sz w:val="24"/>
          <w:szCs w:val="24"/>
          <w:lang w:val="en-US" w:eastAsia="zh-CN"/>
        </w:rPr>
      </w:pPr>
    </w:p>
    <w:p>
      <w:pPr>
        <w:rPr>
          <w:rFonts w:hint="eastAsia" w:ascii="Arial" w:hAnsi="Arial" w:cs="Arial"/>
          <w:b w:val="0"/>
          <w:bCs w:val="0"/>
          <w:sz w:val="24"/>
          <w:szCs w:val="24"/>
          <w:lang w:val="en-US" w:eastAsia="zh-CN"/>
        </w:rPr>
      </w:pP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 Language Clarification:</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Emphasize the importance of clear language and encourage people</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Provide controversial resources and vocabulary to emphasize the possible language differences and interpretations</w:t>
      </w:r>
      <w:r>
        <w:rPr>
          <w:rFonts w:hint="eastAsia" w:ascii="Arial" w:hAnsi="Arial" w:cs="Arial"/>
          <w:b w:val="0"/>
          <w:bCs w:val="0"/>
          <w:sz w:val="24"/>
          <w:szCs w:val="24"/>
          <w:lang w:val="en-US" w:eastAsia="zh-CN"/>
        </w:rPr>
        <w:t xml:space="preserve"> (Mammadli,2020).</w:t>
      </w:r>
    </w:p>
    <w:p>
      <w:pPr>
        <w:rPr>
          <w:rFonts w:hint="default" w:ascii="Arial" w:hAnsi="Arial" w:cs="Arial"/>
          <w:b w:val="0"/>
          <w:bCs w:val="0"/>
          <w:sz w:val="24"/>
          <w:szCs w:val="24"/>
          <w:lang w:val="en-US" w:eastAsia="zh-CN"/>
        </w:rPr>
      </w:pPr>
    </w:p>
    <w:p>
      <w:pPr>
        <w:numPr>
          <w:ilvl w:val="0"/>
          <w:numId w:val="1"/>
        </w:num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Utilize of Technology</w:t>
      </w:r>
    </w:p>
    <w:p>
      <w:pPr>
        <w:numPr>
          <w:numId w:val="0"/>
        </w:numPr>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Use the technology to promote communication such as video conferencing and enhance visual cues and reduce misunderstanding (Dumbravă,2019).</w:t>
      </w: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Communicate devices are used correctly and make sure you know everyone knows.</w:t>
      </w:r>
    </w:p>
    <w:p>
      <w:pPr>
        <w:rPr>
          <w:rFonts w:hint="eastAsia" w:ascii="Arial" w:hAnsi="Arial" w:cs="Arial"/>
          <w:b w:val="0"/>
          <w:bCs w:val="0"/>
          <w:sz w:val="24"/>
          <w:szCs w:val="24"/>
          <w:lang w:val="en-US" w:eastAsia="zh-CN"/>
        </w:rPr>
      </w:pP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By implementing these solutions, businesses can create an environment that fosters understanding, appreciation, and effective communication between British and French professionals, ultimately enhancing collaboration and reducing the likelihood of communication failures.</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p>
    <w:p>
      <w:pPr>
        <w:outlineLvl w:val="0"/>
        <w:rPr>
          <w:rFonts w:hint="eastAsia" w:ascii="Arial" w:hAnsi="Arial" w:cs="Arial"/>
          <w:b/>
          <w:bCs/>
          <w:sz w:val="24"/>
          <w:szCs w:val="24"/>
          <w:lang w:val="en-US" w:eastAsia="zh-CN"/>
        </w:rPr>
      </w:pPr>
      <w:bookmarkStart w:id="3" w:name="_Toc8134"/>
      <w:r>
        <w:rPr>
          <w:rFonts w:hint="eastAsia" w:ascii="Arial" w:hAnsi="Arial" w:cs="Arial"/>
          <w:b/>
          <w:bCs/>
          <w:sz w:val="24"/>
          <w:szCs w:val="24"/>
          <w:lang w:val="en-US" w:eastAsia="zh-CN"/>
        </w:rPr>
        <w:t>4.0:Business structure</w:t>
      </w:r>
      <w:bookmarkEnd w:id="3"/>
    </w:p>
    <w:p>
      <w:pPr>
        <w:outlineLvl w:val="0"/>
        <w:rPr>
          <w:rFonts w:hint="eastAsia" w:ascii="Arial" w:hAnsi="Arial" w:cs="Arial"/>
          <w:b/>
          <w:bCs/>
          <w:sz w:val="24"/>
          <w:szCs w:val="24"/>
          <w:lang w:val="en-US" w:eastAsia="zh-CN"/>
        </w:rPr>
      </w:pPr>
      <w:bookmarkStart w:id="4" w:name="_Toc19579"/>
      <w:r>
        <w:rPr>
          <w:rFonts w:hint="eastAsia" w:ascii="Arial" w:hAnsi="Arial" w:cs="Arial"/>
          <w:b/>
          <w:bCs/>
          <w:sz w:val="24"/>
          <w:szCs w:val="24"/>
          <w:lang w:val="en-US" w:eastAsia="zh-CN"/>
        </w:rPr>
        <w:t>4.1:Level of technology</w:t>
      </w:r>
      <w:bookmarkEnd w:id="4"/>
    </w:p>
    <w:p>
      <w:pPr>
        <w:rPr>
          <w:rFonts w:hint="eastAsia" w:ascii="Arial" w:hAnsi="Arial" w:cs="Arial"/>
          <w:b/>
          <w:bCs/>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The level of technology can significantly impact business relationships on various fronts. Here are key aspects where technology plays a crucial role:</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1. Communication:</w:t>
      </w:r>
    </w:p>
    <w:p>
      <w:pPr>
        <w:rPr>
          <w:rFonts w:hint="default" w:ascii="Arial" w:hAnsi="Arial" w:cs="Arial"/>
          <w:sz w:val="24"/>
          <w:szCs w:val="24"/>
          <w:lang w:val="en-US" w:eastAsia="zh-CN"/>
        </w:rPr>
      </w:pPr>
      <w:r>
        <w:rPr>
          <w:rFonts w:hint="default" w:ascii="Arial" w:hAnsi="Arial" w:cs="Arial"/>
          <w:sz w:val="24"/>
          <w:szCs w:val="24"/>
          <w:lang w:val="en-US" w:eastAsia="zh-CN"/>
        </w:rPr>
        <w:t xml:space="preserve">   Advanced communication tools and platforms facilitate real-time communication, overcoming geographical barriers. Video conferencing, instant messaging, and collaborative software enhance communication efficiency.</w:t>
      </w:r>
      <w:r>
        <w:rPr>
          <w:rFonts w:hint="eastAsia" w:ascii="Arial" w:hAnsi="Arial" w:cs="Arial"/>
          <w:sz w:val="24"/>
          <w:szCs w:val="24"/>
          <w:lang w:val="en-US" w:eastAsia="zh-CN"/>
        </w:rPr>
        <w:t xml:space="preserve"> </w:t>
      </w:r>
      <w:r>
        <w:rPr>
          <w:rFonts w:hint="default" w:ascii="Arial" w:hAnsi="Arial" w:cs="Arial"/>
          <w:sz w:val="24"/>
          <w:szCs w:val="24"/>
          <w:lang w:val="en-US" w:eastAsia="zh-CN"/>
        </w:rPr>
        <w:t>Limited technology may result in delays, misunderstandings, and challenges in maintaining regular and effective communication, particularly in global or remote business relationships</w:t>
      </w:r>
      <w:r>
        <w:rPr>
          <w:rFonts w:hint="eastAsia" w:ascii="Arial" w:hAnsi="Arial" w:cs="Arial"/>
          <w:sz w:val="24"/>
          <w:szCs w:val="24"/>
          <w:lang w:val="en-US" w:eastAsia="zh-CN"/>
        </w:rPr>
        <w:t xml:space="preserve"> (Pikhart and Klimova,2020 ).</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2. Collaboration:</w:t>
      </w:r>
    </w:p>
    <w:p>
      <w:pPr>
        <w:rPr>
          <w:rFonts w:hint="default" w:ascii="Arial" w:hAnsi="Arial" w:cs="Arial"/>
          <w:sz w:val="24"/>
          <w:szCs w:val="24"/>
          <w:lang w:val="en-US" w:eastAsia="zh-CN"/>
        </w:rPr>
      </w:pPr>
      <w:r>
        <w:rPr>
          <w:rFonts w:hint="default" w:ascii="Arial" w:hAnsi="Arial" w:cs="Arial"/>
          <w:sz w:val="24"/>
          <w:szCs w:val="24"/>
          <w:lang w:val="en-US" w:eastAsia="zh-CN"/>
        </w:rPr>
        <w:t>Technologically advanced collaboration tools enable seamless teamwork, file sharing, and project management. Cloud-based solutions enhance accessibility and coordination among team members, fostering a collaborative environment</w:t>
      </w:r>
      <w:r>
        <w:rPr>
          <w:rFonts w:hint="eastAsia" w:ascii="Arial" w:hAnsi="Arial" w:cs="Arial"/>
          <w:sz w:val="24"/>
          <w:szCs w:val="24"/>
          <w:lang w:val="en-US" w:eastAsia="zh-CN"/>
        </w:rPr>
        <w:t>.</w:t>
      </w:r>
      <w:r>
        <w:rPr>
          <w:rFonts w:hint="default" w:ascii="Arial" w:hAnsi="Arial" w:cs="Arial"/>
          <w:sz w:val="24"/>
          <w:szCs w:val="24"/>
          <w:lang w:val="en-US" w:eastAsia="zh-CN"/>
        </w:rPr>
        <w:t xml:space="preserve"> Without advanced collaboration tools, businesses may face difficulties in coordinating efforts, leading to inefficiencies and potential setbacks in project timelines</w:t>
      </w:r>
      <w:r>
        <w:rPr>
          <w:rFonts w:hint="eastAsia" w:ascii="Arial" w:hAnsi="Arial" w:cs="Arial"/>
          <w:sz w:val="24"/>
          <w:szCs w:val="24"/>
          <w:lang w:val="en-US" w:eastAsia="zh-CN"/>
        </w:rPr>
        <w:t xml:space="preserve"> (</w:t>
      </w:r>
      <w:r>
        <w:rPr>
          <w:rFonts w:hint="eastAsia" w:ascii="Arial" w:hAnsi="Arial" w:cs="Arial"/>
          <w:b w:val="0"/>
          <w:bCs w:val="0"/>
          <w:sz w:val="24"/>
          <w:szCs w:val="24"/>
          <w:lang w:val="en-US" w:eastAsia="zh-CN"/>
        </w:rPr>
        <w:t>Koh, S.C.L. (S. C.L. and Maguire, S. ,2009)</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3</w:t>
      </w:r>
      <w:r>
        <w:rPr>
          <w:rFonts w:hint="default" w:ascii="Arial" w:hAnsi="Arial" w:cs="Arial"/>
          <w:sz w:val="24"/>
          <w:szCs w:val="24"/>
          <w:lang w:val="en-US" w:eastAsia="zh-CN"/>
        </w:rPr>
        <w:t>. Customer Relationship Management (CRM):</w:t>
      </w:r>
    </w:p>
    <w:p>
      <w:pPr>
        <w:rPr>
          <w:rFonts w:hint="default" w:ascii="Arial" w:hAnsi="Arial" w:cs="Arial"/>
          <w:sz w:val="24"/>
          <w:szCs w:val="24"/>
          <w:lang w:val="en-US" w:eastAsia="zh-CN"/>
        </w:rPr>
      </w:pPr>
      <w:r>
        <w:rPr>
          <w:rFonts w:hint="default" w:ascii="Arial" w:hAnsi="Arial" w:cs="Arial"/>
          <w:sz w:val="24"/>
          <w:szCs w:val="24"/>
          <w:lang w:val="en-US" w:eastAsia="zh-CN"/>
        </w:rPr>
        <w:t>CRM systems allow businesses to track customer interactions, personalize experiences, and streamline sales and marketing efforts. Automation tools enhance customer engagement and retention. Without CRM systems, businesses may struggle to organize customer data, leading to challenges in delivering personalized services and maintaining strong client relationships</w:t>
      </w:r>
      <w:r>
        <w:rPr>
          <w:rFonts w:hint="eastAsia" w:ascii="Arial" w:hAnsi="Arial" w:cs="Arial"/>
          <w:sz w:val="24"/>
          <w:szCs w:val="24"/>
          <w:lang w:val="en-US" w:eastAsia="zh-CN"/>
        </w:rPr>
        <w:t xml:space="preserve"> (Demet,2018).</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 summary, the level of technology has a profound impact on the dynamics of business relationships. Embracing and leveraging advanced technology can enhance communication, collaboration, data management, innovation, and security, ultimately contributing to stronger and more resilient business relationships.</w:t>
      </w:r>
    </w:p>
    <w:p>
      <w:pPr>
        <w:rPr>
          <w:rFonts w:hint="default" w:ascii="Arial" w:hAnsi="Arial" w:cs="Arial"/>
          <w:sz w:val="24"/>
          <w:szCs w:val="24"/>
          <w:lang w:val="en-US" w:eastAsia="zh-CN"/>
        </w:rPr>
      </w:pPr>
    </w:p>
    <w:p>
      <w:pPr>
        <w:rPr>
          <w:rFonts w:hint="default" w:ascii="Arial" w:hAnsi="Arial" w:cs="Arial"/>
          <w:b/>
          <w:bCs/>
          <w:sz w:val="24"/>
          <w:szCs w:val="24"/>
          <w:lang w:val="en-US" w:eastAsia="zh-CN"/>
        </w:rPr>
      </w:pPr>
    </w:p>
    <w:p>
      <w:pPr>
        <w:outlineLvl w:val="0"/>
        <w:rPr>
          <w:rFonts w:hint="eastAsia" w:ascii="Arial" w:hAnsi="Arial" w:cs="Arial"/>
          <w:b/>
          <w:bCs/>
          <w:sz w:val="24"/>
          <w:szCs w:val="24"/>
          <w:lang w:val="en-US" w:eastAsia="zh-CN"/>
        </w:rPr>
      </w:pPr>
      <w:bookmarkStart w:id="5" w:name="_Toc12046"/>
      <w:r>
        <w:rPr>
          <w:rFonts w:hint="eastAsia" w:ascii="Arial" w:hAnsi="Arial" w:cs="Arial"/>
          <w:b/>
          <w:bCs/>
          <w:sz w:val="24"/>
          <w:szCs w:val="24"/>
          <w:lang w:val="en-US" w:eastAsia="zh-CN"/>
        </w:rPr>
        <w:t>4.2:Government restriction</w:t>
      </w:r>
      <w:bookmarkEnd w:id="5"/>
    </w:p>
    <w:p>
      <w:pPr>
        <w:rPr>
          <w:rFonts w:hint="eastAsia" w:ascii="Arial" w:hAnsi="Arial" w:cs="Arial"/>
          <w:sz w:val="24"/>
          <w:szCs w:val="24"/>
          <w:lang w:val="en-US" w:eastAsia="zh-CN"/>
        </w:rPr>
      </w:pPr>
      <w:r>
        <w:rPr>
          <w:rFonts w:hint="default" w:ascii="Arial" w:hAnsi="Arial" w:cs="Arial"/>
          <w:sz w:val="24"/>
          <w:szCs w:val="24"/>
          <w:lang w:val="en-US" w:eastAsia="zh-CN"/>
        </w:rPr>
        <w:t>Government restrictions can be both bad and good in business communications. Government restrictions affect business relationships in many ways</w:t>
      </w:r>
      <w:r>
        <w:rPr>
          <w:rFonts w:hint="eastAsia" w:ascii="Arial" w:hAnsi="Arial" w:cs="Arial"/>
          <w:sz w:val="24"/>
          <w:szCs w:val="24"/>
          <w:lang w:val="en-US" w:eastAsia="zh-CN"/>
        </w:rPr>
        <w:t xml:space="preserve"> (Boddewyn,2016). </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 xml:space="preserve">Positive impact: </w:t>
      </w:r>
    </w:p>
    <w:p>
      <w:pPr>
        <w:rPr>
          <w:rFonts w:hint="default" w:ascii="Arial" w:hAnsi="Arial" w:cs="Arial"/>
          <w:sz w:val="24"/>
          <w:szCs w:val="24"/>
          <w:lang w:val="en-US" w:eastAsia="zh-CN"/>
        </w:rPr>
      </w:pPr>
      <w:r>
        <w:rPr>
          <w:rFonts w:hint="default" w:ascii="Arial" w:hAnsi="Arial" w:cs="Arial"/>
          <w:sz w:val="24"/>
          <w:szCs w:val="24"/>
          <w:lang w:val="en-US" w:eastAsia="zh-CN"/>
        </w:rPr>
        <w:t>In the intricate tapestry of the business landscape, meticulously designed government restrictions aimed at fostering fair trade practices emerge as pivotal forces shaping not just market dynamics but, more importantly, the foundations of enduring business relationships. These regulations play a multifaceted role, curbing monopolistic tendencies, shielding consumers from unethical conduct, and establishing ethical standards for business behavior. Simultaneously, they champion environmentally sustainable practices, enforce fair labor standards, mandate transparency in financial reporting, safeguard intellectual property rights, and propel corporate social responsibility. In doing so, these regulations contribute to the creation of a balanced and ethical business environment, cultivating trust, mutual respect, and sustainable collaboration among businesses and stakeholders</w:t>
      </w:r>
      <w:r>
        <w:rPr>
          <w:rFonts w:hint="eastAsia" w:ascii="Arial" w:hAnsi="Arial" w:cs="Arial"/>
          <w:sz w:val="24"/>
          <w:szCs w:val="24"/>
          <w:lang w:val="en-US" w:eastAsia="zh-CN"/>
        </w:rPr>
        <w:t xml:space="preserve"> (Pearce,2011).</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Clear and rational supervisory management is a stable and prosperous business environment that provides a structured framework to promote fairness and moral practices in complex networks. Rules are transparent and simple</w:t>
      </w:r>
      <w:r>
        <w:rPr>
          <w:rFonts w:hint="eastAsia" w:ascii="Arial" w:hAnsi="Arial" w:cs="Arial"/>
          <w:sz w:val="24"/>
          <w:szCs w:val="24"/>
          <w:lang w:val="en-US" w:eastAsia="zh-CN"/>
        </w:rPr>
        <w:t xml:space="preserve"> (Luo, Xue and Han).</w:t>
      </w:r>
    </w:p>
    <w:p>
      <w:pPr>
        <w:rPr>
          <w:rFonts w:hint="default" w:ascii="Arial" w:hAnsi="Arial" w:cs="Arial"/>
          <w:sz w:val="24"/>
          <w:szCs w:val="24"/>
          <w:lang w:val="en-US" w:eastAsia="zh-CN"/>
        </w:rPr>
      </w:pPr>
      <w:r>
        <w:rPr>
          <w:rFonts w:hint="default" w:ascii="Arial" w:hAnsi="Arial" w:cs="Arial"/>
          <w:sz w:val="24"/>
          <w:szCs w:val="24"/>
          <w:lang w:val="en-US" w:eastAsia="zh-CN"/>
        </w:rPr>
        <w:t>Of course, companies can understand the rules and expectations involved by the management agency. This clarification not only reduces uncertainty, but also creates a fair competitive environment to prevent some organizations from acquiring irrational advantages and inferiority. Good supervision management provides a delicate balance, allowing companies to develop innovation and flexible development, and at the same time avoid exploitation and harmful ways. The existence of these rules promotes the sense of responsibility throughout the industry, promotes sincerity and responsible behavior, helps to achieve a harmonious and stable business ecosystem, and participants can develop their business with confidence and achieve success.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Negative impact:</w:t>
      </w:r>
    </w:p>
    <w:p>
      <w:pPr>
        <w:rPr>
          <w:rFonts w:hint="default" w:ascii="Arial" w:hAnsi="Arial" w:cs="Arial"/>
          <w:sz w:val="24"/>
          <w:szCs w:val="24"/>
          <w:lang w:val="en-US" w:eastAsia="zh-CN"/>
        </w:rPr>
      </w:pPr>
      <w:bookmarkStart w:id="9" w:name="_GoBack"/>
      <w:bookmarkEnd w:id="9"/>
      <w:r>
        <w:rPr>
          <w:rFonts w:hint="eastAsia" w:ascii="Arial" w:hAnsi="Arial" w:cs="Arial"/>
          <w:sz w:val="24"/>
          <w:szCs w:val="24"/>
          <w:lang w:val="en-US" w:eastAsia="zh-CN"/>
        </w:rPr>
        <w:t xml:space="preserve"> </w:t>
      </w:r>
      <w:r>
        <w:rPr>
          <w:rFonts w:hint="default" w:ascii="Arial" w:hAnsi="Arial" w:cs="Arial"/>
          <w:sz w:val="24"/>
          <w:szCs w:val="24"/>
          <w:lang w:val="en-US" w:eastAsia="zh-CN"/>
        </w:rPr>
        <w:t>Excessive tariffs, assignments, or protectionist measures are serious obstacles and can be prevented</w:t>
      </w:r>
      <w:r>
        <w:rPr>
          <w:rFonts w:hint="eastAsia" w:ascii="Arial" w:hAnsi="Arial" w:cs="Arial"/>
          <w:sz w:val="24"/>
          <w:szCs w:val="24"/>
          <w:lang w:val="en-US" w:eastAsia="zh-CN"/>
        </w:rPr>
        <w:t>.</w:t>
      </w:r>
    </w:p>
    <w:p>
      <w:pPr>
        <w:rPr>
          <w:rFonts w:hint="default" w:ascii="Arial" w:hAnsi="Arial" w:cs="Arial"/>
          <w:sz w:val="24"/>
          <w:szCs w:val="24"/>
          <w:lang w:val="en-US" w:eastAsia="zh-CN"/>
        </w:rPr>
      </w:pPr>
      <w:r>
        <w:rPr>
          <w:rFonts w:hint="default" w:ascii="Arial" w:hAnsi="Arial" w:cs="Arial"/>
          <w:sz w:val="24"/>
          <w:szCs w:val="24"/>
          <w:lang w:val="en-US" w:eastAsia="zh-CN"/>
        </w:rPr>
        <w:t>International trade has shadowed the construction and maintenance capabilities of reciprocity relations among firms. Tariffs, particularly financial barriers, increased import costs and destroyed the natural balance of trade partnerships</w:t>
      </w:r>
      <w:r>
        <w:rPr>
          <w:rFonts w:hint="eastAsia" w:ascii="Arial" w:hAnsi="Arial" w:cs="Arial"/>
          <w:sz w:val="24"/>
          <w:szCs w:val="24"/>
          <w:lang w:val="en-US" w:eastAsia="zh-CN"/>
        </w:rPr>
        <w:t xml:space="preserve"> (Seretis and Tsaliki,2016).</w:t>
      </w:r>
      <w:r>
        <w:rPr>
          <w:rFonts w:hint="default" w:ascii="Arial" w:hAnsi="Arial" w:cs="Arial"/>
          <w:sz w:val="24"/>
          <w:szCs w:val="24"/>
          <w:lang w:val="en-US" w:eastAsia="zh-CN"/>
        </w:rPr>
        <w:t xml:space="preserve"> Quota limits the number of artificially sold goods and inhibits trade between organic products and services. Protectionist measures to protect the domestic industry from external competition could intentionally damage mutual cooperation and mutual ties between companies. Such interference with free flow of goods and services will not only inhibit economic growth but also limits the ability of companies to open up on the basis of fair competition and profit sharing and join mutual partnership.</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 the introduction of companies, strict and unpredictable regulation can lead to complex compliance environments, introduce multidimensional complexity, increase corporate workload, and risk the stability of relationships. These requirements are strict and unpredictable, and require strict compliance, and usually require significant adjustments during work. It is even more difficult to meet these requirements</w:t>
      </w:r>
    </w:p>
    <w:p>
      <w:pPr>
        <w:rPr>
          <w:rFonts w:hint="default" w:ascii="Arial" w:hAnsi="Arial" w:cs="Arial"/>
          <w:sz w:val="24"/>
          <w:szCs w:val="24"/>
          <w:lang w:val="en-US" w:eastAsia="zh-CN"/>
        </w:rPr>
      </w:pPr>
      <w:r>
        <w:rPr>
          <w:rFonts w:hint="default" w:ascii="Arial" w:hAnsi="Arial" w:cs="Arial"/>
          <w:sz w:val="24"/>
          <w:szCs w:val="24"/>
          <w:lang w:val="en-US" w:eastAsia="zh-CN"/>
        </w:rPr>
        <w:t>Demand may cause shortage of commercial resources and disperse people's attention to material activity. The unpredictability also caused uncertainty factors, and it became difficult for companies to predict and plan changes. Such uncertainty can lead to tensions that, especially when the partner suddenly changes by the regulatory framework, it can cause misunderstandings, delays and additional costs. In essence, strict and unpredictable rules may disrupt the business and test relationships if they try to respond to changing needs.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In general, the dynamics and impact of national regulation on trade relations are closely related to the nature of policy. If the design of rules is appropriate, transparent and fair, it can be the foundation for creating an environment that is advantageous to the construction of stable and aggressive trade relations. Carefully designed guidelines provide a structured framework for establishing trust, setting clear expectations and ensuring a fair competitive environment for all parties involved in all benefits. In this case, companies can work on trust and mutual trust and promote long-term partnership and partnerships</w:t>
      </w:r>
      <w:r>
        <w:rPr>
          <w:rFonts w:hint="eastAsia" w:ascii="Arial" w:hAnsi="Arial" w:cs="Arial"/>
          <w:sz w:val="24"/>
          <w:szCs w:val="24"/>
          <w:lang w:val="en-US" w:eastAsia="zh-CN"/>
        </w:rPr>
        <w:t xml:space="preserve"> (</w:t>
      </w:r>
      <w:r>
        <w:rPr>
          <w:rFonts w:hint="eastAsia" w:ascii="Arial" w:hAnsi="Arial" w:cs="Arial"/>
          <w:b w:val="0"/>
          <w:bCs w:val="0"/>
          <w:sz w:val="24"/>
          <w:szCs w:val="24"/>
          <w:lang w:val="en-US" w:eastAsia="zh-CN"/>
        </w:rPr>
        <w:t>Chang, H.H. et al, 2015</w:t>
      </w:r>
      <w:r>
        <w:rPr>
          <w:rFonts w:hint="eastAsia" w:ascii="Arial" w:hAnsi="Arial" w:cs="Arial"/>
          <w:sz w:val="24"/>
          <w:szCs w:val="24"/>
          <w:lang w:val="en-US" w:eastAsia="zh-CN"/>
        </w:rPr>
        <w:t xml:space="preserve">). </w:t>
      </w:r>
      <w:r>
        <w:rPr>
          <w:rFonts w:hint="default" w:ascii="Arial" w:hAnsi="Arial" w:cs="Arial"/>
          <w:sz w:val="24"/>
          <w:szCs w:val="24"/>
          <w:lang w:val="en-US" w:eastAsia="zh-CN"/>
        </w:rPr>
        <w:t>Conversely, overly restrictive or unpredictable regulatory frameworks can result in uncertainty and complexity that brings problems to companies. Lack of clarity will give pressure to cooperation, impede effective programs and misunderstand. Therefore, the influence of national regulations on trade relations depends on the rationality, transparency and fairness of existing legal frameworks.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outlineLvl w:val="0"/>
        <w:rPr>
          <w:rFonts w:hint="eastAsia" w:ascii="Arial" w:hAnsi="Arial" w:cs="Arial"/>
          <w:b/>
          <w:bCs/>
          <w:sz w:val="24"/>
          <w:szCs w:val="24"/>
          <w:lang w:val="en-US" w:eastAsia="zh-CN"/>
        </w:rPr>
      </w:pPr>
      <w:bookmarkStart w:id="6" w:name="_Toc21486"/>
      <w:r>
        <w:rPr>
          <w:rFonts w:hint="eastAsia" w:ascii="Arial" w:hAnsi="Arial" w:cs="Arial"/>
          <w:b/>
          <w:bCs/>
          <w:sz w:val="24"/>
          <w:szCs w:val="24"/>
          <w:lang w:val="en-US" w:eastAsia="zh-CN"/>
        </w:rPr>
        <w:t>5.0:Hall</w:t>
      </w:r>
      <w:r>
        <w:rPr>
          <w:rFonts w:hint="default" w:ascii="Arial" w:hAnsi="Arial" w:cs="Arial"/>
          <w:b/>
          <w:bCs/>
          <w:sz w:val="24"/>
          <w:szCs w:val="24"/>
          <w:lang w:val="en-US" w:eastAsia="zh-CN"/>
        </w:rPr>
        <w:t>’</w:t>
      </w:r>
      <w:r>
        <w:rPr>
          <w:rFonts w:hint="eastAsia" w:ascii="Arial" w:hAnsi="Arial" w:cs="Arial"/>
          <w:b/>
          <w:bCs/>
          <w:sz w:val="24"/>
          <w:szCs w:val="24"/>
          <w:lang w:val="en-US" w:eastAsia="zh-CN"/>
        </w:rPr>
        <w:t>s high and low context</w:t>
      </w:r>
      <w:bookmarkEnd w:id="6"/>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concept of the high level communication style of the hall conveys the concept of cultural differences that affect the communication of business. In high context culture, most information is implicit and depends on common comprehension, context and non language cues (</w:t>
      </w:r>
      <w:r>
        <w:rPr>
          <w:rFonts w:hint="eastAsia" w:ascii="Arial" w:hAnsi="Arial" w:cs="Arial"/>
          <w:sz w:val="24"/>
          <w:szCs w:val="24"/>
          <w:lang w:val="en-US" w:eastAsia="zh-CN"/>
        </w:rPr>
        <w:t>Nguyen, A., Heeler, R.M. and Taran,2007</w:t>
      </w:r>
      <w:r>
        <w:rPr>
          <w:rFonts w:hint="eastAsia" w:ascii="Arial" w:hAnsi="Arial" w:cs="Arial"/>
          <w:b w:val="0"/>
          <w:bCs w:val="0"/>
          <w:sz w:val="24"/>
          <w:szCs w:val="24"/>
          <w:lang w:val="en-US" w:eastAsia="zh-CN"/>
        </w:rPr>
        <w:t>). Communication is usually indirect, emphasizing relationships and trust. Business decisions may be based on personal relationships and implicit understanding, not clear communication.</w:t>
      </w: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low context culture, communication is clear and emphasizes clear direct oral expression. Background is not important for understanding. Clarification is a priority and the protocol is usually based on formal contracts and clear information (Ho, C.-L.L., Whittle, C. and Eaves, M.H.,2020). You need to logically interpret the solution. Understanding the direction of situation culture is the key to effective business communication. Like many Asian and middle east cultures, it may be a priority to build relationships and trust in high-level cultures. In many low background cultures, like western culture, clear and direct communication is generally the primary choice. Managing these differences is important for the successful intercultural business interaction.</w:t>
      </w:r>
    </w:p>
    <w:p>
      <w:pPr>
        <w:rPr>
          <w:rFonts w:hint="eastAsia"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By expanding the communication range of the hall in a high and low environment, we can understand the cultural differences that affect the interaction of business. In high background culture, communication is complex, primarily based on common experiences, history and clear cues. Important is the relationship between dealers, and there are many information hidden there. This rich style has spread widely in Asia, the Middle East and Latin American culture (Devic, Z., Curcic, N. and Radivojevic, N, 2014).</w:t>
      </w:r>
    </w:p>
    <w:p>
      <w:pPr>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On the other hand, many of the low background culture seen in western society emphasize clear and direct communication. Information is clearly transmitted through text, and little attention has been paid to common contexts and non verbal clues. In these cultures it is important to express clearly and accurately. In the business environment, these communication methods have a profound impact. In high background culture, building relationships is a core (Mason and Leek, 2012), and personal relationships can affect decision-making. Over time, trust develops through the exchange of experience and understanding. Conversely, low background culture prioritizes clarity and trade agreements often depend on clear contracts and accurate communication. Recognizing these differences is important for effective intercultural business communication. The recognition of adaptability, cultural knowledge, priorities of different relationships, or obvious differences is useful for successful interaction of global companies, regardless of whether to deal with negotiation, team management, or everyday communication (Cockburn-Wootten, C., Holmes, P. and Simpson, M, 2008)). Understanding the background of participatory cultures is important to develop positive and effective business relationships.</w:t>
      </w:r>
    </w:p>
    <w:p>
      <w:pPr>
        <w:rPr>
          <w:rFonts w:hint="eastAsia" w:ascii="Arial" w:hAnsi="Arial" w:cs="Arial"/>
          <w:sz w:val="24"/>
          <w:szCs w:val="24"/>
          <w:lang w:val="en-US" w:eastAsia="zh-CN"/>
        </w:rPr>
      </w:pPr>
    </w:p>
    <w:p>
      <w:pPr>
        <w:outlineLvl w:val="0"/>
        <w:rPr>
          <w:rFonts w:hint="eastAsia" w:ascii="Arial" w:hAnsi="Arial" w:cs="Arial"/>
          <w:b/>
          <w:bCs/>
          <w:sz w:val="24"/>
          <w:szCs w:val="24"/>
          <w:lang w:val="en-US" w:eastAsia="zh-CN"/>
        </w:rPr>
      </w:pPr>
      <w:bookmarkStart w:id="7" w:name="_Toc11121"/>
      <w:r>
        <w:rPr>
          <w:rFonts w:hint="eastAsia" w:ascii="Arial" w:hAnsi="Arial" w:cs="Arial"/>
          <w:b/>
          <w:bCs/>
          <w:sz w:val="24"/>
          <w:szCs w:val="24"/>
          <w:lang w:val="en-US" w:eastAsia="zh-CN"/>
        </w:rPr>
        <w:t>6.0:Conclusion</w:t>
      </w:r>
      <w:bookmarkEnd w:id="7"/>
    </w:p>
    <w:p>
      <w:pPr>
        <w:rPr>
          <w:rFonts w:hint="default" w:ascii="Arial" w:hAnsi="Arial" w:cs="Arial"/>
          <w:sz w:val="24"/>
          <w:szCs w:val="24"/>
          <w:lang w:val="en-US" w:eastAsia="zh-CN"/>
        </w:rPr>
      </w:pPr>
      <w:r>
        <w:rPr>
          <w:rFonts w:hint="eastAsia" w:ascii="Arial" w:hAnsi="Arial" w:cs="Arial"/>
          <w:sz w:val="24"/>
          <w:szCs w:val="24"/>
          <w:lang w:val="en-US" w:eastAsia="zh-CN"/>
        </w:rPr>
        <w:t>In this paper, we discuss cultural differences in British and French business communication and potential communication errors that can cause these differences. We understand the cultural impact of the cultural background on the corporate communication system (Dzung,2005).</w:t>
      </w:r>
    </w:p>
    <w:p>
      <w:pPr>
        <w:rPr>
          <w:rFonts w:hint="eastAsia" w:ascii="Arial" w:hAnsi="Arial" w:cs="Arial"/>
          <w:sz w:val="24"/>
          <w:szCs w:val="24"/>
          <w:lang w:val="en-US" w:eastAsia="zh-CN"/>
        </w:rPr>
      </w:pPr>
      <w:r>
        <w:rPr>
          <w:rFonts w:hint="eastAsia" w:ascii="Arial" w:hAnsi="Arial" w:cs="Arial"/>
          <w:sz w:val="24"/>
          <w:szCs w:val="24"/>
          <w:lang w:val="en-US" w:eastAsia="zh-CN"/>
        </w:rPr>
        <w:t>In studying the cause of communication errors, we found a combination of information ambiguity, cultural differences, and technical problems. In particular, the cultural differences between English and French are the potential challenges for language, communication, differences in grade and form.</w:t>
      </w:r>
    </w:p>
    <w:p>
      <w:pPr>
        <w:rPr>
          <w:rFonts w:hint="eastAsia" w:ascii="Arial" w:hAnsi="Arial" w:cs="Arial"/>
          <w:sz w:val="24"/>
          <w:szCs w:val="24"/>
          <w:lang w:val="en-US" w:eastAsia="zh-CN"/>
        </w:rPr>
      </w:pPr>
      <w:r>
        <w:rPr>
          <w:rFonts w:hint="eastAsia" w:ascii="Arial" w:hAnsi="Arial" w:cs="Arial"/>
          <w:sz w:val="24"/>
          <w:szCs w:val="24"/>
          <w:lang w:val="en-US" w:eastAsia="zh-CN"/>
        </w:rPr>
        <w:t>In order to solve these problems, we propose several solutions including the promotion of open communication, language interpretation and technical use. These solutions are aimed at building an environment that facilitates understanding, evaluating and facilitating communication between English and French speaking professionals.</w:t>
      </w:r>
    </w:p>
    <w:p>
      <w:pPr>
        <w:rPr>
          <w:rFonts w:hint="default" w:ascii="Arial" w:hAnsi="Arial" w:cs="Arial"/>
          <w:sz w:val="24"/>
          <w:szCs w:val="24"/>
          <w:lang w:val="en-US" w:eastAsia="zh-CN"/>
        </w:rPr>
      </w:pPr>
      <w:r>
        <w:rPr>
          <w:rFonts w:hint="eastAsia" w:ascii="Arial" w:hAnsi="Arial" w:cs="Arial"/>
          <w:sz w:val="24"/>
          <w:szCs w:val="24"/>
          <w:lang w:val="en-US" w:eastAsia="zh-CN"/>
        </w:rPr>
        <w:t>We also discussed restrictions on the technology level and the country's trade relationship. The advanced technology of world trade cooperation, but sound and transparent government regulation, is important to maintain a fair competitive environment (Blythe,2010).</w:t>
      </w:r>
    </w:p>
    <w:p>
      <w:pPr>
        <w:rPr>
          <w:rFonts w:hint="eastAsia" w:ascii="Arial" w:hAnsi="Arial" w:cs="Arial"/>
          <w:sz w:val="24"/>
          <w:szCs w:val="24"/>
          <w:lang w:val="en-US" w:eastAsia="zh-CN"/>
        </w:rPr>
      </w:pPr>
      <w:r>
        <w:rPr>
          <w:rFonts w:hint="eastAsia" w:ascii="Arial" w:hAnsi="Arial" w:cs="Arial"/>
          <w:sz w:val="24"/>
          <w:szCs w:val="24"/>
          <w:lang w:val="en-US" w:eastAsia="zh-CN"/>
        </w:rPr>
        <w:t>Generally speaking, the success of cross-cultural business communication depends on the flexibility of adapting to our consciousness and culture. By understanding and respecting each other's cultural characteristics, we can develop positive relations in an international business environment and promote cooperation and innovation.</w:t>
      </w:r>
    </w:p>
    <w:p>
      <w:pPr>
        <w:rPr>
          <w:rFonts w:hint="eastAsia" w:ascii="Arial" w:hAnsi="Arial" w:cs="Arial"/>
          <w:sz w:val="24"/>
          <w:szCs w:val="24"/>
          <w:lang w:val="en-US" w:eastAsia="zh-CN"/>
        </w:rPr>
      </w:pPr>
      <w:r>
        <w:rPr>
          <w:rFonts w:hint="eastAsia" w:ascii="Arial" w:hAnsi="Arial" w:cs="Arial"/>
          <w:sz w:val="24"/>
          <w:szCs w:val="24"/>
          <w:lang w:val="en-US" w:eastAsia="zh-CN"/>
        </w:rPr>
        <w:t>In the globalized business world, understanding of cultural differences is becoming more and more important. The idea and solution proposed in this paper will help us understand the challenges in different cultural backgrounds and help us create more productive and harmonious environments for cross-border business cooperation.</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outlineLvl w:val="0"/>
        <w:rPr>
          <w:rFonts w:hint="eastAsia" w:ascii="Arial" w:hAnsi="Arial" w:cs="Arial"/>
          <w:b/>
          <w:bCs/>
          <w:sz w:val="24"/>
          <w:szCs w:val="24"/>
          <w:lang w:val="en-US" w:eastAsia="zh-CN"/>
        </w:rPr>
      </w:pPr>
      <w:bookmarkStart w:id="8" w:name="_Toc3765"/>
      <w:r>
        <w:rPr>
          <w:rFonts w:hint="eastAsia" w:ascii="Arial" w:hAnsi="Arial" w:cs="Arial"/>
          <w:b/>
          <w:bCs/>
          <w:sz w:val="24"/>
          <w:szCs w:val="24"/>
          <w:lang w:val="en-US" w:eastAsia="zh-CN"/>
        </w:rPr>
        <w:t>7.0:Reference</w:t>
      </w:r>
      <w:bookmarkEnd w:id="8"/>
    </w:p>
    <w:p>
      <w:pPr>
        <w:outlineLvl w:val="0"/>
        <w:rPr>
          <w:rFonts w:hint="eastAsia" w:ascii="Arial" w:hAnsi="Arial" w:cs="Arial"/>
          <w:b w:val="0"/>
          <w:bCs w:val="0"/>
          <w:sz w:val="24"/>
          <w:szCs w:val="24"/>
          <w:lang w:val="en-US" w:eastAsia="zh-CN"/>
        </w:rPr>
      </w:pPr>
    </w:p>
    <w:p>
      <w:pPr>
        <w:outlineLvl w:val="0"/>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Aroles, J., Hassard, J. and Hyde, P. (2023) ‘The language of business and the business of language: Exploring hegemonic linguistic performativity in the UK museum sector’,</w:t>
      </w:r>
      <w:r>
        <w:rPr>
          <w:rFonts w:hint="eastAsia" w:ascii="Arial" w:hAnsi="Arial" w:cs="Arial"/>
          <w:b w:val="0"/>
          <w:bCs w:val="0"/>
          <w:i/>
          <w:iCs/>
          <w:sz w:val="24"/>
          <w:szCs w:val="24"/>
          <w:lang w:val="en-US" w:eastAsia="zh-CN"/>
        </w:rPr>
        <w:t xml:space="preserve"> Organization (London, England)</w:t>
      </w:r>
      <w:r>
        <w:rPr>
          <w:rFonts w:hint="eastAsia" w:ascii="Arial" w:hAnsi="Arial" w:cs="Arial"/>
          <w:b w:val="0"/>
          <w:bCs w:val="0"/>
          <w:sz w:val="24"/>
          <w:szCs w:val="24"/>
          <w:lang w:val="en-US" w:eastAsia="zh-CN"/>
        </w:rPr>
        <w:t>, 30(5), pp. 1024–1045.</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Blythe, J. (2010) ‘Trade fairs as communication: a new model’,</w:t>
      </w:r>
      <w:r>
        <w:rPr>
          <w:rFonts w:hint="eastAsia" w:ascii="Arial" w:hAnsi="Arial" w:cs="Arial"/>
          <w:b w:val="0"/>
          <w:bCs w:val="0"/>
          <w:i/>
          <w:iCs/>
          <w:sz w:val="24"/>
          <w:szCs w:val="24"/>
          <w:lang w:val="en-US" w:eastAsia="zh-CN"/>
        </w:rPr>
        <w:t xml:space="preserve"> The Journal of business &amp; industrial marketing</w:t>
      </w:r>
      <w:r>
        <w:rPr>
          <w:rFonts w:hint="eastAsia" w:ascii="Arial" w:hAnsi="Arial" w:cs="Arial"/>
          <w:b w:val="0"/>
          <w:bCs w:val="0"/>
          <w:sz w:val="24"/>
          <w:szCs w:val="24"/>
          <w:lang w:val="en-US" w:eastAsia="zh-CN"/>
        </w:rPr>
        <w:t xml:space="preserve">, 25(1), pp. 57–62. </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Boddewyn, J.J. (2016) ‘International business–government relations research 1945–2015: Concepts, typologies, theories and methodologies’, </w:t>
      </w:r>
      <w:r>
        <w:rPr>
          <w:rFonts w:hint="eastAsia" w:ascii="Arial" w:hAnsi="Arial" w:cs="Arial"/>
          <w:b w:val="0"/>
          <w:bCs w:val="0"/>
          <w:i/>
          <w:iCs/>
          <w:sz w:val="24"/>
          <w:szCs w:val="24"/>
          <w:lang w:val="en-US" w:eastAsia="zh-CN"/>
        </w:rPr>
        <w:t>Journal of world business : JWB</w:t>
      </w:r>
      <w:r>
        <w:rPr>
          <w:rFonts w:hint="eastAsia" w:ascii="Arial" w:hAnsi="Arial" w:cs="Arial"/>
          <w:b w:val="0"/>
          <w:bCs w:val="0"/>
          <w:sz w:val="24"/>
          <w:szCs w:val="24"/>
          <w:lang w:val="en-US" w:eastAsia="zh-CN"/>
        </w:rPr>
        <w:t xml:space="preserve">, 51(1), pp. 10–22. </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Chang, H.H. et al. (2015) ‘Building long-term partnerships by certificate implementation: a social exchange theory perspective’, </w:t>
      </w:r>
      <w:r>
        <w:rPr>
          <w:rFonts w:hint="eastAsia" w:ascii="Arial" w:hAnsi="Arial" w:cs="Arial"/>
          <w:b w:val="0"/>
          <w:bCs w:val="0"/>
          <w:i/>
          <w:iCs/>
          <w:sz w:val="24"/>
          <w:szCs w:val="24"/>
          <w:lang w:val="en-US" w:eastAsia="zh-CN"/>
        </w:rPr>
        <w:t>The Journal of business &amp; industrial marketing</w:t>
      </w:r>
      <w:r>
        <w:rPr>
          <w:rFonts w:hint="eastAsia" w:ascii="Arial" w:hAnsi="Arial" w:cs="Arial"/>
          <w:b w:val="0"/>
          <w:bCs w:val="0"/>
          <w:sz w:val="24"/>
          <w:szCs w:val="24"/>
          <w:lang w:val="en-US" w:eastAsia="zh-CN"/>
        </w:rPr>
        <w:t>, 30(7), pp. 867–879.</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Cockburn-Wootten, C., Holmes, P. and Simpson, M. (2008) ‘Teaching Teamwork in Business Communication/Management Programs’, </w:t>
      </w:r>
      <w:r>
        <w:rPr>
          <w:rFonts w:hint="eastAsia" w:ascii="Arial" w:hAnsi="Arial" w:cs="Arial"/>
          <w:b w:val="0"/>
          <w:bCs w:val="0"/>
          <w:i/>
          <w:iCs/>
          <w:sz w:val="24"/>
          <w:szCs w:val="24"/>
          <w:lang w:val="en-US" w:eastAsia="zh-CN"/>
        </w:rPr>
        <w:t>Business communication quarterly</w:t>
      </w:r>
      <w:r>
        <w:rPr>
          <w:rFonts w:hint="eastAsia" w:ascii="Arial" w:hAnsi="Arial" w:cs="Arial"/>
          <w:b w:val="0"/>
          <w:bCs w:val="0"/>
          <w:sz w:val="24"/>
          <w:szCs w:val="24"/>
          <w:lang w:val="en-US" w:eastAsia="zh-CN"/>
        </w:rPr>
        <w:t xml:space="preserve">, 71(4), pp. 417–420. </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Cyphert, D. (2006) ‘Real Clients, Real Management, Real Failure: The Risks And Rewards Of Service Learning’, </w:t>
      </w:r>
      <w:r>
        <w:rPr>
          <w:rFonts w:hint="eastAsia" w:ascii="Arial" w:hAnsi="Arial" w:cs="Arial"/>
          <w:b w:val="0"/>
          <w:bCs w:val="0"/>
          <w:i/>
          <w:iCs/>
          <w:sz w:val="24"/>
          <w:szCs w:val="24"/>
          <w:lang w:val="en-US" w:eastAsia="zh-CN"/>
        </w:rPr>
        <w:t>Business communication quarterly</w:t>
      </w:r>
      <w:r>
        <w:rPr>
          <w:rFonts w:hint="eastAsia" w:ascii="Arial" w:hAnsi="Arial" w:cs="Arial"/>
          <w:b w:val="0"/>
          <w:bCs w:val="0"/>
          <w:sz w:val="24"/>
          <w:szCs w:val="24"/>
          <w:lang w:val="en-US" w:eastAsia="zh-CN"/>
        </w:rPr>
        <w:t>, 69(2), pp. 185–189.</w:t>
      </w:r>
    </w:p>
    <w:p>
      <w:pPr>
        <w:outlineLvl w:val="0"/>
        <w:rPr>
          <w:rFonts w:hint="eastAsia" w:ascii="Arial" w:hAnsi="Arial" w:cs="Arial"/>
          <w:b/>
          <w:bCs/>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Demet, T. (2018) ‘CUSTOMER RELATIONSHIP MANAGEMENT IN BUSINESS-TO-BUSINESS MARKETING: EXAMPLE OF TOURISM SECTOR’, </w:t>
      </w:r>
      <w:r>
        <w:rPr>
          <w:rFonts w:hint="eastAsia" w:ascii="Arial" w:hAnsi="Arial" w:cs="Arial"/>
          <w:b w:val="0"/>
          <w:bCs w:val="0"/>
          <w:i/>
          <w:iCs/>
          <w:sz w:val="24"/>
          <w:szCs w:val="24"/>
          <w:lang w:val="en-US" w:eastAsia="zh-CN"/>
        </w:rPr>
        <w:t>GeoJournal of tourism and geosites</w:t>
      </w:r>
      <w:r>
        <w:rPr>
          <w:rFonts w:hint="eastAsia" w:ascii="Arial" w:hAnsi="Arial" w:cs="Arial"/>
          <w:b w:val="0"/>
          <w:bCs w:val="0"/>
          <w:sz w:val="24"/>
          <w:szCs w:val="24"/>
          <w:lang w:val="en-US" w:eastAsia="zh-CN"/>
        </w:rPr>
        <w:t xml:space="preserve">, 22(1), pp. 329–338. </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Devic, Z., Curcic, N. and Radivojevic, N. (2014) ‘Creating a Concept Marketing Communication in International Business-to-Business Market’, Ekonomika, Jo</w:t>
      </w:r>
      <w:r>
        <w:rPr>
          <w:rFonts w:hint="eastAsia" w:ascii="Arial" w:hAnsi="Arial" w:cs="Arial"/>
          <w:b w:val="0"/>
          <w:bCs w:val="0"/>
          <w:i/>
          <w:iCs/>
          <w:sz w:val="24"/>
          <w:szCs w:val="24"/>
          <w:lang w:val="en-US" w:eastAsia="zh-CN"/>
        </w:rPr>
        <w:t>urnal for Economic Theory and Practice and Social Issues. 1350th edn</w:t>
      </w:r>
      <w:r>
        <w:rPr>
          <w:rFonts w:hint="eastAsia" w:ascii="Arial" w:hAnsi="Arial" w:cs="Arial"/>
          <w:b w:val="0"/>
          <w:bCs w:val="0"/>
          <w:sz w:val="24"/>
          <w:szCs w:val="24"/>
          <w:lang w:val="en-US" w:eastAsia="zh-CN"/>
        </w:rPr>
        <w:t xml:space="preserve">, 60(3), pp. 225–235. </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Dumbravă, G. (2019) ‘THE USE OF TECHNOLOGY IN BUSINESS COMMUNICATION’, </w:t>
      </w:r>
      <w:r>
        <w:rPr>
          <w:rFonts w:hint="eastAsia" w:ascii="Arial" w:hAnsi="Arial" w:cs="Arial"/>
          <w:b w:val="0"/>
          <w:bCs w:val="0"/>
          <w:i/>
          <w:iCs/>
          <w:sz w:val="24"/>
          <w:szCs w:val="24"/>
          <w:lang w:val="en-US" w:eastAsia="zh-CN"/>
        </w:rPr>
        <w:t>Annals of the University of Petroşani</w:t>
      </w:r>
      <w:r>
        <w:rPr>
          <w:rFonts w:hint="eastAsia" w:ascii="Arial" w:hAnsi="Arial" w:cs="Arial"/>
          <w:b w:val="0"/>
          <w:bCs w:val="0"/>
          <w:sz w:val="24"/>
          <w:szCs w:val="24"/>
          <w:lang w:val="en-US" w:eastAsia="zh-CN"/>
        </w:rPr>
        <w:t>. Economics, 19(2), pp. 141–148.</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Dzung, D. et al. (2005) ‘Security for Industrial Communication Systems’, Proceedings of the IEEE, 93(6), pp. 1152–1177.</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Ho, C.-L.L., Whittle, C. and Eaves, M.H. (2020) ‘Mixed Methods Research - Nonverbal Observations of Cultural Convergence in Online and Offline Contexts: Testing Hall’s Low- Vs. High-Context Framework’, </w:t>
      </w:r>
      <w:r>
        <w:rPr>
          <w:rFonts w:hint="eastAsia" w:ascii="Arial" w:hAnsi="Arial" w:cs="Arial"/>
          <w:b w:val="0"/>
          <w:bCs w:val="0"/>
          <w:i/>
          <w:iCs/>
          <w:sz w:val="24"/>
          <w:szCs w:val="24"/>
          <w:lang w:val="en-US" w:eastAsia="zh-CN"/>
        </w:rPr>
        <w:t>Journal of intercultural communication research</w:t>
      </w:r>
      <w:r>
        <w:rPr>
          <w:rFonts w:hint="eastAsia" w:ascii="Arial" w:hAnsi="Arial" w:cs="Arial"/>
          <w:b w:val="0"/>
          <w:bCs w:val="0"/>
          <w:sz w:val="24"/>
          <w:szCs w:val="24"/>
          <w:lang w:val="en-US" w:eastAsia="zh-CN"/>
        </w:rPr>
        <w:t xml:space="preserve">, 49(4), pp. 301–312. </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Hofstede, G. (1997). Cultures and organizations. London, England: McGraw-Hill.</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Koh, S.C.L. (S. C.L. and Maguire, S. (2009) </w:t>
      </w:r>
      <w:r>
        <w:rPr>
          <w:rFonts w:hint="eastAsia" w:ascii="Arial" w:hAnsi="Arial" w:cs="Arial"/>
          <w:b w:val="0"/>
          <w:bCs w:val="0"/>
          <w:i/>
          <w:iCs/>
          <w:sz w:val="24"/>
          <w:szCs w:val="24"/>
          <w:lang w:val="en-US" w:eastAsia="zh-CN"/>
        </w:rPr>
        <w:t>Information and communication technologies management in turbulent business environments</w:t>
      </w:r>
      <w:r>
        <w:rPr>
          <w:rFonts w:hint="eastAsia" w:ascii="Arial" w:hAnsi="Arial" w:cs="Arial"/>
          <w:b w:val="0"/>
          <w:bCs w:val="0"/>
          <w:sz w:val="24"/>
          <w:szCs w:val="24"/>
          <w:lang w:val="en-US" w:eastAsia="zh-CN"/>
        </w:rPr>
        <w:t>. Hershey, Pa: IGI Global.</w:t>
      </w:r>
    </w:p>
    <w:p>
      <w:pPr>
        <w:outlineLvl w:val="0"/>
        <w:rPr>
          <w:rFonts w:hint="eastAsia" w:ascii="Arial" w:hAnsi="Arial" w:cs="Arial"/>
          <w:b/>
          <w:bCs/>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Luo, Y., Xue, Q. and Han, B. (2010) ‘How emerging market governments promote outward FDI: Experience from China’, </w:t>
      </w:r>
      <w:r>
        <w:rPr>
          <w:rFonts w:hint="eastAsia" w:ascii="Arial" w:hAnsi="Arial" w:cs="Arial"/>
          <w:b w:val="0"/>
          <w:bCs w:val="0"/>
          <w:i/>
          <w:iCs/>
          <w:sz w:val="24"/>
          <w:szCs w:val="24"/>
          <w:lang w:val="en-US" w:eastAsia="zh-CN"/>
        </w:rPr>
        <w:t>Journal of world business</w:t>
      </w:r>
      <w:r>
        <w:rPr>
          <w:rFonts w:hint="eastAsia" w:ascii="Arial" w:hAnsi="Arial" w:cs="Arial"/>
          <w:b w:val="0"/>
          <w:bCs w:val="0"/>
          <w:sz w:val="24"/>
          <w:szCs w:val="24"/>
          <w:lang w:val="en-US" w:eastAsia="zh-CN"/>
        </w:rPr>
        <w:t> : JWB, 45(1), pp. 68–79.</w:t>
      </w:r>
    </w:p>
    <w:p>
      <w:pPr>
        <w:outlineLvl w:val="0"/>
        <w:rPr>
          <w:rFonts w:hint="eastAsia" w:ascii="Arial" w:hAnsi="Arial" w:cs="Arial"/>
          <w:b/>
          <w:bCs/>
          <w:sz w:val="24"/>
          <w:szCs w:val="24"/>
          <w:lang w:val="en-US" w:eastAsia="zh-CN"/>
        </w:rPr>
      </w:pPr>
    </w:p>
    <w:p>
      <w:pPr>
        <w:outlineLvl w:val="0"/>
        <w:rPr>
          <w:rFonts w:hint="eastAsia" w:ascii="Arial" w:hAnsi="Arial" w:cs="Arial"/>
          <w:b/>
          <w:bCs/>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Mai, R. and Hoffmann, S. (2014) ‘Accents in Business Communication: An integrative model and propositions for future research’,</w:t>
      </w:r>
      <w:r>
        <w:rPr>
          <w:rFonts w:hint="eastAsia" w:ascii="Arial" w:hAnsi="Arial" w:cs="Arial"/>
          <w:b w:val="0"/>
          <w:bCs w:val="0"/>
          <w:i/>
          <w:iCs/>
          <w:sz w:val="24"/>
          <w:szCs w:val="24"/>
          <w:lang w:val="en-US" w:eastAsia="zh-CN"/>
        </w:rPr>
        <w:t xml:space="preserve"> Journal of consumer psychology</w:t>
      </w:r>
      <w:r>
        <w:rPr>
          <w:rFonts w:hint="eastAsia" w:ascii="Arial" w:hAnsi="Arial" w:cs="Arial"/>
          <w:b w:val="0"/>
          <w:bCs w:val="0"/>
          <w:sz w:val="24"/>
          <w:szCs w:val="24"/>
          <w:lang w:val="en-US" w:eastAsia="zh-CN"/>
        </w:rPr>
        <w:t>, 24(1), pp. 137–158.</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Mammadli Nadir (2022) ‘Communication, interaction, and business communication’, </w:t>
      </w:r>
      <w:r>
        <w:rPr>
          <w:rFonts w:hint="eastAsia" w:ascii="Arial" w:hAnsi="Arial" w:cs="Arial"/>
          <w:b w:val="0"/>
          <w:bCs w:val="0"/>
          <w:i/>
          <w:iCs/>
          <w:sz w:val="24"/>
          <w:szCs w:val="24"/>
          <w:lang w:val="en-US" w:eastAsia="zh-CN"/>
        </w:rPr>
        <w:t>The journal of language and linguistic studies</w:t>
      </w:r>
      <w:r>
        <w:rPr>
          <w:rFonts w:hint="eastAsia" w:ascii="Arial" w:hAnsi="Arial" w:cs="Arial"/>
          <w:b w:val="0"/>
          <w:bCs w:val="0"/>
          <w:sz w:val="24"/>
          <w:szCs w:val="24"/>
          <w:lang w:val="en-US" w:eastAsia="zh-CN"/>
        </w:rPr>
        <w:t>, 18(2), pp. 827–835.</w:t>
      </w: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p>
    <w:p>
      <w:pPr>
        <w:outlineLvl w:val="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Mason, K. and Leek, S. (2012) ‘Communication practices in a business relationship: Creating, relating and adapting communication artifacts through time’, </w:t>
      </w:r>
      <w:r>
        <w:rPr>
          <w:rFonts w:hint="eastAsia" w:ascii="Arial" w:hAnsi="Arial" w:cs="Arial"/>
          <w:b w:val="0"/>
          <w:bCs w:val="0"/>
          <w:i/>
          <w:iCs/>
          <w:sz w:val="24"/>
          <w:szCs w:val="24"/>
          <w:lang w:val="en-US" w:eastAsia="zh-CN"/>
        </w:rPr>
        <w:t>Industrial marketing management</w:t>
      </w:r>
      <w:r>
        <w:rPr>
          <w:rFonts w:hint="eastAsia" w:ascii="Arial" w:hAnsi="Arial" w:cs="Arial"/>
          <w:b w:val="0"/>
          <w:bCs w:val="0"/>
          <w:sz w:val="24"/>
          <w:szCs w:val="24"/>
          <w:lang w:val="en-US" w:eastAsia="zh-CN"/>
        </w:rPr>
        <w:t>, 41(2), pp. 319–332.</w:t>
      </w:r>
    </w:p>
    <w:p>
      <w:pPr>
        <w:outlineLvl w:val="0"/>
        <w:rPr>
          <w:rFonts w:hint="eastAsia" w:ascii="Arial" w:hAnsi="Arial" w:cs="Arial"/>
          <w:b w:val="0"/>
          <w:bCs w:val="0"/>
          <w:sz w:val="24"/>
          <w:szCs w:val="24"/>
          <w:lang w:val="en-US" w:eastAsia="zh-CN"/>
        </w:rPr>
      </w:pPr>
    </w:p>
    <w:p>
      <w:pPr>
        <w:outlineLvl w:val="0"/>
        <w:rPr>
          <w:rFonts w:hint="eastAsia" w:ascii="Arial" w:hAnsi="Arial" w:cs="Arial"/>
          <w:b/>
          <w:bCs/>
          <w:sz w:val="24"/>
          <w:szCs w:val="24"/>
          <w:lang w:val="en-US" w:eastAsia="zh-CN"/>
        </w:rPr>
      </w:pPr>
    </w:p>
    <w:p>
      <w:pPr>
        <w:outlineLvl w:val="0"/>
        <w:rPr>
          <w:rFonts w:hint="eastAsia" w:ascii="Arial" w:hAnsi="Arial" w:cs="Arial"/>
          <w:sz w:val="24"/>
          <w:szCs w:val="24"/>
          <w:lang w:val="en-US" w:eastAsia="zh-CN"/>
        </w:rPr>
      </w:pPr>
      <w:r>
        <w:rPr>
          <w:rFonts w:hint="eastAsia" w:ascii="Arial" w:hAnsi="Arial" w:cs="Arial"/>
          <w:sz w:val="24"/>
          <w:szCs w:val="24"/>
          <w:lang w:val="en-US" w:eastAsia="zh-CN"/>
        </w:rPr>
        <w:t xml:space="preserve">Moreau, C. (2020) ‘Teams That Innovate: The Language of Difference-Driven Inquiry at the Workplace’, </w:t>
      </w:r>
      <w:r>
        <w:rPr>
          <w:rFonts w:hint="eastAsia" w:ascii="Arial" w:hAnsi="Arial" w:cs="Arial"/>
          <w:i/>
          <w:iCs/>
          <w:sz w:val="24"/>
          <w:szCs w:val="24"/>
          <w:lang w:val="en-US" w:eastAsia="zh-CN"/>
        </w:rPr>
        <w:t>Business and professional communication quarterly</w:t>
      </w:r>
      <w:r>
        <w:rPr>
          <w:rFonts w:hint="eastAsia" w:ascii="Arial" w:hAnsi="Arial" w:cs="Arial"/>
          <w:sz w:val="24"/>
          <w:szCs w:val="24"/>
          <w:lang w:val="en-US" w:eastAsia="zh-CN"/>
        </w:rPr>
        <w:t>, 83(4), pp. 385–408.</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 xml:space="preserve">Nguyen, A., Heeler, R.M. and Taran, Z. (2007) ‘High-low context cultures and price-ending practices’, </w:t>
      </w:r>
      <w:r>
        <w:rPr>
          <w:rFonts w:hint="eastAsia" w:ascii="Arial" w:hAnsi="Arial" w:cs="Arial"/>
          <w:i/>
          <w:iCs/>
          <w:sz w:val="24"/>
          <w:szCs w:val="24"/>
          <w:lang w:val="en-US" w:eastAsia="zh-CN"/>
        </w:rPr>
        <w:t>The journal of product &amp; brand management</w:t>
      </w:r>
      <w:r>
        <w:rPr>
          <w:rFonts w:hint="eastAsia" w:ascii="Arial" w:hAnsi="Arial" w:cs="Arial"/>
          <w:sz w:val="24"/>
          <w:szCs w:val="24"/>
          <w:lang w:val="en-US" w:eastAsia="zh-CN"/>
        </w:rPr>
        <w:t>, 16(3), pp. 206–214</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 xml:space="preserve">Oana COSMAN. (2021). CULTURAL DIFFERENCES IN BUSINESS COMMUNICATION. </w:t>
      </w:r>
      <w:r>
        <w:rPr>
          <w:rFonts w:hint="eastAsia" w:ascii="Arial" w:hAnsi="Arial" w:cs="Arial"/>
          <w:i/>
          <w:iCs/>
          <w:sz w:val="24"/>
          <w:szCs w:val="24"/>
          <w:lang w:val="en-US" w:eastAsia="zh-CN"/>
        </w:rPr>
        <w:t>USV Annals of Economics and Public Administration</w:t>
      </w:r>
      <w:r>
        <w:rPr>
          <w:rFonts w:hint="eastAsia" w:ascii="Arial" w:hAnsi="Arial" w:cs="Arial"/>
          <w:sz w:val="24"/>
          <w:szCs w:val="24"/>
          <w:lang w:val="en-US" w:eastAsia="zh-CN"/>
        </w:rPr>
        <w:t>, 21(33), 78–87.</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 xml:space="preserve">Pearce, J.L. et al. (2011) ‘Managers’ Context: How Government Capability Affects Managers’, </w:t>
      </w:r>
      <w:r>
        <w:rPr>
          <w:rFonts w:hint="eastAsia" w:ascii="Arial" w:hAnsi="Arial" w:cs="Arial"/>
          <w:i/>
          <w:iCs/>
          <w:sz w:val="24"/>
          <w:szCs w:val="24"/>
          <w:lang w:val="en-US" w:eastAsia="zh-CN"/>
        </w:rPr>
        <w:t>British journal of management</w:t>
      </w:r>
      <w:r>
        <w:rPr>
          <w:rFonts w:hint="eastAsia" w:ascii="Arial" w:hAnsi="Arial" w:cs="Arial"/>
          <w:sz w:val="24"/>
          <w:szCs w:val="24"/>
          <w:lang w:val="en-US" w:eastAsia="zh-CN"/>
        </w:rPr>
        <w:t>, 22(3), pp. 500–516.</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Pikhart, M. and Klimova, B. (2020) ‘Information and Communication Technology-Enhanced Business and Managerial Communication in SMEs in the Czech Republic’,</w:t>
      </w:r>
      <w:r>
        <w:rPr>
          <w:rFonts w:hint="eastAsia" w:ascii="Arial" w:hAnsi="Arial" w:cs="Arial"/>
          <w:i/>
          <w:iCs/>
          <w:sz w:val="24"/>
          <w:szCs w:val="24"/>
          <w:lang w:val="en-US" w:eastAsia="zh-CN"/>
        </w:rPr>
        <w:t xml:space="preserve"> Information (Basel),</w:t>
      </w:r>
      <w:r>
        <w:rPr>
          <w:rFonts w:hint="eastAsia" w:ascii="Arial" w:hAnsi="Arial" w:cs="Arial"/>
          <w:sz w:val="24"/>
          <w:szCs w:val="24"/>
          <w:lang w:val="en-US" w:eastAsia="zh-CN"/>
        </w:rPr>
        <w:t xml:space="preserve"> 11(6), pp. 336-. </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Pikhart, M. (2020) ‘The use of technology in the learning environment for business communication: applied linguistics of business communication from the positive psychology perspective’, Procedia computer science, 176, pp. 1479–1486.</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 xml:space="preserve">Seretis, S.A. and Tsaliki, P.V. (2016) ‘Absolute Advantage and International Trade’, The Review of radical political economics, 48(3), pp. 438–451. </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 xml:space="preserve">‘International Journal of Business Communication Special Issue: Leadership Communication’ (2016) International journal of business communication (Thousand Oaks, Calif.), 53(1), pp. 3–4. </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Yook, E.L. (2015) ‘An exploratory cross-cultural analysis of communication apprehension between French and American managerial and non-managerial employees’,</w:t>
      </w:r>
      <w:r>
        <w:rPr>
          <w:rFonts w:hint="eastAsia" w:ascii="Arial" w:hAnsi="Arial" w:cs="Arial"/>
          <w:i/>
          <w:iCs/>
          <w:sz w:val="24"/>
          <w:szCs w:val="24"/>
          <w:lang w:val="en-US" w:eastAsia="zh-CN"/>
        </w:rPr>
        <w:t xml:space="preserve"> Global business and management research</w:t>
      </w:r>
      <w:r>
        <w:rPr>
          <w:rFonts w:hint="eastAsia" w:ascii="Arial" w:hAnsi="Arial" w:cs="Arial"/>
          <w:sz w:val="24"/>
          <w:szCs w:val="24"/>
          <w:lang w:val="en-US" w:eastAsia="zh-CN"/>
        </w:rPr>
        <w:t>, 7(4), pp. 1-.</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41F7B4"/>
    <w:multiLevelType w:val="singleLevel"/>
    <w:tmpl w:val="A541F7B4"/>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ViM2Q3MzcyOTU5Y2NmYzdlOGI2ZDVlODU4MmY2YWIifQ=="/>
  </w:docVars>
  <w:rsids>
    <w:rsidRoot w:val="03DA123B"/>
    <w:rsid w:val="00E61464"/>
    <w:rsid w:val="039B18CC"/>
    <w:rsid w:val="03DA123B"/>
    <w:rsid w:val="06CB0518"/>
    <w:rsid w:val="07F615C4"/>
    <w:rsid w:val="080D049C"/>
    <w:rsid w:val="0834033F"/>
    <w:rsid w:val="08905CD1"/>
    <w:rsid w:val="09762F69"/>
    <w:rsid w:val="0E9E6512"/>
    <w:rsid w:val="0EE83C31"/>
    <w:rsid w:val="0FB56209"/>
    <w:rsid w:val="11BB11D7"/>
    <w:rsid w:val="124D097B"/>
    <w:rsid w:val="14BD4EC8"/>
    <w:rsid w:val="14EA425F"/>
    <w:rsid w:val="15AC7766"/>
    <w:rsid w:val="1840063A"/>
    <w:rsid w:val="1BF70B1B"/>
    <w:rsid w:val="1C111FEC"/>
    <w:rsid w:val="1CE974F2"/>
    <w:rsid w:val="1E450758"/>
    <w:rsid w:val="1E9D0594"/>
    <w:rsid w:val="2110743E"/>
    <w:rsid w:val="216D40E2"/>
    <w:rsid w:val="21893052"/>
    <w:rsid w:val="24134E54"/>
    <w:rsid w:val="26147C58"/>
    <w:rsid w:val="269F0C21"/>
    <w:rsid w:val="27CD2832"/>
    <w:rsid w:val="2E255EB0"/>
    <w:rsid w:val="311F752F"/>
    <w:rsid w:val="32C4150C"/>
    <w:rsid w:val="33937F82"/>
    <w:rsid w:val="34744455"/>
    <w:rsid w:val="3538296D"/>
    <w:rsid w:val="37D55FFE"/>
    <w:rsid w:val="3894435E"/>
    <w:rsid w:val="3BD11425"/>
    <w:rsid w:val="3C591B47"/>
    <w:rsid w:val="3C7324DC"/>
    <w:rsid w:val="3CE55188"/>
    <w:rsid w:val="3E75078E"/>
    <w:rsid w:val="3F97382C"/>
    <w:rsid w:val="43346900"/>
    <w:rsid w:val="43E4630F"/>
    <w:rsid w:val="47224D0F"/>
    <w:rsid w:val="47C66632"/>
    <w:rsid w:val="4B931C37"/>
    <w:rsid w:val="4E81536F"/>
    <w:rsid w:val="4F4A531F"/>
    <w:rsid w:val="506568B4"/>
    <w:rsid w:val="52483D98"/>
    <w:rsid w:val="529C0587"/>
    <w:rsid w:val="562468CA"/>
    <w:rsid w:val="563F375A"/>
    <w:rsid w:val="577459A2"/>
    <w:rsid w:val="5BF64864"/>
    <w:rsid w:val="5DB22A0D"/>
    <w:rsid w:val="60CE2C4B"/>
    <w:rsid w:val="62892EE2"/>
    <w:rsid w:val="62F16A36"/>
    <w:rsid w:val="63676048"/>
    <w:rsid w:val="64485E79"/>
    <w:rsid w:val="6597515A"/>
    <w:rsid w:val="66E96507"/>
    <w:rsid w:val="67AD2558"/>
    <w:rsid w:val="6905258B"/>
    <w:rsid w:val="69392234"/>
    <w:rsid w:val="6F2968A7"/>
    <w:rsid w:val="75A66EA3"/>
    <w:rsid w:val="78244E23"/>
    <w:rsid w:val="79E74ACE"/>
    <w:rsid w:val="7B052C0D"/>
    <w:rsid w:val="7DDB0EDD"/>
    <w:rsid w:val="7E68083E"/>
    <w:rsid w:val="7F7009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toc 1"/>
    <w:basedOn w:val="1"/>
    <w:next w:val="1"/>
    <w:uiPriority w:val="0"/>
  </w:style>
  <w:style w:type="paragraph" w:customStyle="1" w:styleId="5">
    <w:name w:val="WPSOffice手动目录 1"/>
    <w:uiPriority w:val="0"/>
    <w:pPr>
      <w:ind w:leftChars="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2024-01-04T13:25:00Z</dcterms:created>
  <dc:creator>WPS_1573968166</dc:creator>
  <cp:lastModifiedBy>WPS_1573968166</cp:lastModifiedBy>
  <dcterms:modified xsi:type="dcterms:W3CDTF">2024-01-07T16:05:37Z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530115CE9EFF495897D508A861D44670_11</vt:lpwstr>
  </property>
</Properties>
</file>