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A4946" w14:textId="77777777" w:rsidR="004E0B64" w:rsidRPr="00683C72" w:rsidRDefault="004E0B64" w:rsidP="004E0B64">
      <w:pPr>
        <w:jc w:val="center"/>
        <w:rPr>
          <w:b/>
          <w:sz w:val="72"/>
        </w:rPr>
      </w:pPr>
    </w:p>
    <w:p w14:paraId="4B69D9CC" w14:textId="3DD458B7" w:rsidR="004E0B64" w:rsidRPr="00683C72" w:rsidRDefault="004E0B64" w:rsidP="004E0B64">
      <w:pPr>
        <w:jc w:val="center"/>
        <w:rPr>
          <w:b/>
          <w:sz w:val="72"/>
        </w:rPr>
      </w:pPr>
    </w:p>
    <w:p w14:paraId="165C2765" w14:textId="77777777" w:rsidR="00683C72" w:rsidRPr="00683C72" w:rsidRDefault="00683C72" w:rsidP="004E0B64">
      <w:pPr>
        <w:jc w:val="center"/>
        <w:rPr>
          <w:b/>
          <w:sz w:val="72"/>
        </w:rPr>
      </w:pPr>
    </w:p>
    <w:p w14:paraId="52D6ECF8" w14:textId="77777777" w:rsidR="004E0B64" w:rsidRPr="00683C72" w:rsidRDefault="00F67E77" w:rsidP="004E0B64">
      <w:pPr>
        <w:spacing w:line="360" w:lineRule="auto"/>
        <w:jc w:val="center"/>
        <w:rPr>
          <w:b/>
          <w:sz w:val="72"/>
        </w:rPr>
      </w:pPr>
      <w:r w:rsidRPr="00683C72">
        <w:rPr>
          <w:b/>
          <w:sz w:val="72"/>
        </w:rPr>
        <w:t>EMPLOYEE ENGAGEMENT PROGRAM</w:t>
      </w:r>
    </w:p>
    <w:p w14:paraId="37133F9B" w14:textId="77777777" w:rsidR="004E0B64" w:rsidRPr="00683C72" w:rsidRDefault="004E0B64" w:rsidP="004E0B64">
      <w:pPr>
        <w:spacing w:line="360" w:lineRule="auto"/>
        <w:jc w:val="center"/>
        <w:rPr>
          <w:b/>
          <w:sz w:val="72"/>
        </w:rPr>
      </w:pPr>
    </w:p>
    <w:p w14:paraId="787BE47D" w14:textId="77777777" w:rsidR="004E0B64" w:rsidRPr="00683C72" w:rsidRDefault="004E0B64" w:rsidP="004E0B64">
      <w:pPr>
        <w:spacing w:line="360" w:lineRule="auto"/>
        <w:jc w:val="center"/>
        <w:rPr>
          <w:b/>
          <w:sz w:val="72"/>
        </w:rPr>
      </w:pPr>
    </w:p>
    <w:p w14:paraId="43F97EAE" w14:textId="77777777" w:rsidR="004E0B64" w:rsidRPr="00683C72" w:rsidRDefault="004E0B64" w:rsidP="004E0B64">
      <w:pPr>
        <w:spacing w:line="360" w:lineRule="auto"/>
        <w:jc w:val="center"/>
        <w:rPr>
          <w:b/>
          <w:sz w:val="72"/>
        </w:rPr>
      </w:pPr>
    </w:p>
    <w:p w14:paraId="557DA902" w14:textId="77777777" w:rsidR="004E0B64" w:rsidRPr="00683C72" w:rsidRDefault="004E0B64" w:rsidP="004E0B64">
      <w:pPr>
        <w:spacing w:line="360" w:lineRule="auto"/>
        <w:jc w:val="center"/>
        <w:rPr>
          <w:b/>
          <w:sz w:val="72"/>
        </w:rPr>
      </w:pPr>
    </w:p>
    <w:p w14:paraId="618E4DBB" w14:textId="77777777" w:rsidR="004E0B64" w:rsidRPr="00683C72" w:rsidRDefault="004E0B64" w:rsidP="004E0B64">
      <w:pPr>
        <w:spacing w:line="360" w:lineRule="auto"/>
        <w:rPr>
          <w:b/>
          <w:sz w:val="72"/>
        </w:rPr>
      </w:pPr>
    </w:p>
    <w:p w14:paraId="2B48E7AF" w14:textId="77777777" w:rsidR="004E0B64" w:rsidRPr="00683C72" w:rsidRDefault="00F67E77" w:rsidP="004E0B64">
      <w:pPr>
        <w:spacing w:line="360" w:lineRule="auto"/>
        <w:jc w:val="center"/>
        <w:rPr>
          <w:b/>
          <w:sz w:val="32"/>
        </w:rPr>
      </w:pPr>
      <w:r w:rsidRPr="00683C72">
        <w:rPr>
          <w:b/>
          <w:sz w:val="32"/>
        </w:rPr>
        <w:t>Name:</w:t>
      </w:r>
    </w:p>
    <w:p w14:paraId="713DBCE2" w14:textId="6C873E93" w:rsidR="004E0B64" w:rsidRPr="00683C72" w:rsidRDefault="00F67E77" w:rsidP="004E0B64">
      <w:pPr>
        <w:spacing w:line="360" w:lineRule="auto"/>
        <w:jc w:val="center"/>
        <w:rPr>
          <w:b/>
        </w:rPr>
      </w:pPr>
      <w:r w:rsidRPr="00683C72">
        <w:rPr>
          <w:b/>
          <w:sz w:val="32"/>
        </w:rPr>
        <w:t>ID:</w:t>
      </w:r>
      <w:r w:rsidRPr="00683C72">
        <w:rPr>
          <w:b/>
        </w:rPr>
        <w:br w:type="page"/>
      </w:r>
    </w:p>
    <w:p w14:paraId="62E1550D" w14:textId="77777777" w:rsidR="004E0B64" w:rsidRPr="00683C72" w:rsidRDefault="00F67E77">
      <w:pPr>
        <w:rPr>
          <w:b/>
        </w:rPr>
      </w:pPr>
      <w:r w:rsidRPr="00683C72">
        <w:rPr>
          <w:b/>
        </w:rPr>
        <w:lastRenderedPageBreak/>
        <w:t>Executive summary</w:t>
      </w:r>
    </w:p>
    <w:p w14:paraId="42E54CD8" w14:textId="1000B2D1" w:rsidR="004E0B64" w:rsidRPr="00683C72" w:rsidRDefault="00F67E77" w:rsidP="004E0B64">
      <w:pPr>
        <w:spacing w:line="360" w:lineRule="auto"/>
        <w:jc w:val="both"/>
        <w:rPr>
          <w:b/>
          <w:color w:val="000000" w:themeColor="text1"/>
          <w:sz w:val="28"/>
          <w:szCs w:val="40"/>
        </w:rPr>
      </w:pPr>
      <w:r w:rsidRPr="00683C72">
        <w:t>The report has discussed the concepts of employee engagement, the outcomes of applying proper strategic measures for the company as well as the drivers for proper employee engagement. The employer's participation in worker issues has a significant effect on job satisfaction; staff will become more fruitful and committed to the brand, and companies will attempt to maintain staff satisfied with their achievement and ownership of the business. The attitudes and behaviours that define a company structure are exemplified by the way work is accomplished here sometimes. Employee engagement causes and degrees are driven by the prevalent leadership and organizational practices within the organization, and both involvement and culture are impacted by the predominant managerial skills practices within the business.</w:t>
      </w:r>
      <w:r w:rsidRPr="00683C72">
        <w:br w:type="page"/>
      </w:r>
    </w:p>
    <w:sdt>
      <w:sdtPr>
        <w:rPr>
          <w:rFonts w:ascii="Arial" w:eastAsia="Arial" w:hAnsi="Arial" w:cs="Arial"/>
          <w:b w:val="0"/>
          <w:bCs w:val="0"/>
          <w:color w:val="auto"/>
          <w:sz w:val="22"/>
          <w:szCs w:val="22"/>
          <w:lang w:val="en-GB" w:eastAsia="en-GB"/>
        </w:rPr>
        <w:id w:val="1514718882"/>
        <w:docPartObj>
          <w:docPartGallery w:val="Table of Contents"/>
          <w:docPartUnique/>
        </w:docPartObj>
      </w:sdtPr>
      <w:sdtEndPr>
        <w:rPr>
          <w:noProof/>
        </w:rPr>
      </w:sdtEndPr>
      <w:sdtContent>
        <w:p w14:paraId="2CAD5042" w14:textId="5A4BE886" w:rsidR="004E0B64" w:rsidRPr="00683C72" w:rsidRDefault="00F67E77" w:rsidP="004E0B64">
          <w:pPr>
            <w:pStyle w:val="TOCHeading"/>
            <w:spacing w:line="360" w:lineRule="auto"/>
            <w:jc w:val="center"/>
            <w:rPr>
              <w:rFonts w:ascii="Arial" w:hAnsi="Arial" w:cs="Arial"/>
              <w:color w:val="000000" w:themeColor="text1"/>
              <w:sz w:val="22"/>
              <w:szCs w:val="22"/>
              <w:lang w:val="en-GB"/>
            </w:rPr>
          </w:pPr>
          <w:r w:rsidRPr="00683C72">
            <w:rPr>
              <w:rFonts w:ascii="Arial" w:hAnsi="Arial" w:cs="Arial"/>
              <w:color w:val="000000" w:themeColor="text1"/>
              <w:sz w:val="22"/>
              <w:szCs w:val="22"/>
              <w:lang w:val="en-GB"/>
            </w:rPr>
            <w:t>Table of Contents</w:t>
          </w:r>
        </w:p>
        <w:p w14:paraId="78A3C687" w14:textId="1A67FD9C" w:rsidR="004E0B64" w:rsidRPr="00683C72" w:rsidRDefault="00F67E77" w:rsidP="004E0B64">
          <w:pPr>
            <w:pStyle w:val="TOC1"/>
            <w:tabs>
              <w:tab w:val="right" w:leader="dot" w:pos="9350"/>
            </w:tabs>
            <w:spacing w:line="360" w:lineRule="auto"/>
            <w:jc w:val="center"/>
            <w:rPr>
              <w:noProof/>
              <w:color w:val="000000" w:themeColor="text1"/>
            </w:rPr>
          </w:pPr>
          <w:r w:rsidRPr="00683C72">
            <w:rPr>
              <w:color w:val="000000" w:themeColor="text1"/>
            </w:rPr>
            <w:fldChar w:fldCharType="begin"/>
          </w:r>
          <w:r w:rsidRPr="00683C72">
            <w:rPr>
              <w:color w:val="000000" w:themeColor="text1"/>
            </w:rPr>
            <w:instrText xml:space="preserve"> TOC \o "1-3" \h \z \u </w:instrText>
          </w:r>
          <w:r w:rsidRPr="00683C72">
            <w:rPr>
              <w:color w:val="000000" w:themeColor="text1"/>
            </w:rPr>
            <w:fldChar w:fldCharType="separate"/>
          </w:r>
          <w:hyperlink w:anchor="_Toc99126959" w:history="1">
            <w:r w:rsidRPr="00683C72">
              <w:rPr>
                <w:rStyle w:val="Hyperlink"/>
                <w:noProof/>
                <w:color w:val="000000" w:themeColor="text1"/>
              </w:rPr>
              <w:t>Introduction</w:t>
            </w:r>
            <w:r w:rsidRPr="00683C72">
              <w:rPr>
                <w:noProof/>
                <w:webHidden/>
                <w:color w:val="000000" w:themeColor="text1"/>
              </w:rPr>
              <w:tab/>
            </w:r>
            <w:r w:rsidRPr="00683C72">
              <w:rPr>
                <w:noProof/>
                <w:webHidden/>
                <w:color w:val="000000" w:themeColor="text1"/>
              </w:rPr>
              <w:fldChar w:fldCharType="begin"/>
            </w:r>
            <w:r w:rsidRPr="00683C72">
              <w:rPr>
                <w:noProof/>
                <w:webHidden/>
                <w:color w:val="000000" w:themeColor="text1"/>
              </w:rPr>
              <w:instrText xml:space="preserve"> PAGEREF _Toc99126959 \h </w:instrText>
            </w:r>
            <w:r w:rsidRPr="00683C72">
              <w:rPr>
                <w:noProof/>
                <w:webHidden/>
                <w:color w:val="000000" w:themeColor="text1"/>
              </w:rPr>
            </w:r>
            <w:r w:rsidRPr="00683C72">
              <w:rPr>
                <w:noProof/>
                <w:webHidden/>
                <w:color w:val="000000" w:themeColor="text1"/>
              </w:rPr>
              <w:fldChar w:fldCharType="separate"/>
            </w:r>
            <w:r w:rsidR="00F4235C">
              <w:rPr>
                <w:noProof/>
                <w:webHidden/>
                <w:color w:val="000000" w:themeColor="text1"/>
              </w:rPr>
              <w:t>3</w:t>
            </w:r>
            <w:r w:rsidRPr="00683C72">
              <w:rPr>
                <w:noProof/>
                <w:webHidden/>
                <w:color w:val="000000" w:themeColor="text1"/>
              </w:rPr>
              <w:fldChar w:fldCharType="end"/>
            </w:r>
          </w:hyperlink>
        </w:p>
        <w:p w14:paraId="3E0423DA" w14:textId="6C7A9ED6" w:rsidR="004E0B64" w:rsidRPr="00683C72" w:rsidRDefault="00415925" w:rsidP="004E0B64">
          <w:pPr>
            <w:pStyle w:val="TOC1"/>
            <w:tabs>
              <w:tab w:val="right" w:leader="dot" w:pos="9350"/>
            </w:tabs>
            <w:spacing w:line="360" w:lineRule="auto"/>
            <w:jc w:val="center"/>
            <w:rPr>
              <w:noProof/>
              <w:color w:val="000000" w:themeColor="text1"/>
            </w:rPr>
          </w:pPr>
          <w:hyperlink w:anchor="_Toc99126960" w:history="1">
            <w:r w:rsidR="00F67E77" w:rsidRPr="00683C72">
              <w:rPr>
                <w:rStyle w:val="Hyperlink"/>
                <w:noProof/>
                <w:color w:val="000000" w:themeColor="text1"/>
              </w:rPr>
              <w:t>The concept of employee engagement</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_Toc99126960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3</w:t>
            </w:r>
            <w:r w:rsidR="00F67E77" w:rsidRPr="00683C72">
              <w:rPr>
                <w:noProof/>
                <w:webHidden/>
                <w:color w:val="000000" w:themeColor="text1"/>
              </w:rPr>
              <w:fldChar w:fldCharType="end"/>
            </w:r>
          </w:hyperlink>
        </w:p>
        <w:p w14:paraId="3FE030F2" w14:textId="4D6DC476" w:rsidR="004E0B64" w:rsidRPr="00683C72" w:rsidRDefault="00415925" w:rsidP="004E0B64">
          <w:pPr>
            <w:pStyle w:val="TOC1"/>
            <w:tabs>
              <w:tab w:val="right" w:leader="dot" w:pos="9350"/>
            </w:tabs>
            <w:spacing w:line="360" w:lineRule="auto"/>
            <w:jc w:val="center"/>
            <w:rPr>
              <w:noProof/>
              <w:color w:val="000000" w:themeColor="text1"/>
            </w:rPr>
          </w:pPr>
          <w:hyperlink w:anchor="_Toc99126961" w:history="1">
            <w:r w:rsidR="00F67E77" w:rsidRPr="00683C72">
              <w:rPr>
                <w:rStyle w:val="Hyperlink"/>
                <w:noProof/>
                <w:color w:val="000000" w:themeColor="text1"/>
              </w:rPr>
              <w:t>Drivers of employee engagement</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_Toc99126961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4</w:t>
            </w:r>
            <w:r w:rsidR="00F67E77" w:rsidRPr="00683C72">
              <w:rPr>
                <w:noProof/>
                <w:webHidden/>
                <w:color w:val="000000" w:themeColor="text1"/>
              </w:rPr>
              <w:fldChar w:fldCharType="end"/>
            </w:r>
          </w:hyperlink>
        </w:p>
        <w:p w14:paraId="16C28A16" w14:textId="3F4A1DD4" w:rsidR="004E0B64" w:rsidRPr="00683C72" w:rsidRDefault="00415925" w:rsidP="004E0B64">
          <w:pPr>
            <w:pStyle w:val="TOC1"/>
            <w:tabs>
              <w:tab w:val="right" w:leader="dot" w:pos="9350"/>
            </w:tabs>
            <w:spacing w:line="360" w:lineRule="auto"/>
            <w:jc w:val="center"/>
            <w:rPr>
              <w:noProof/>
              <w:color w:val="000000" w:themeColor="text1"/>
            </w:rPr>
          </w:pPr>
          <w:hyperlink w:anchor="_Toc99126962" w:history="1">
            <w:r w:rsidR="00F67E77" w:rsidRPr="00683C72">
              <w:rPr>
                <w:rStyle w:val="Hyperlink"/>
                <w:noProof/>
                <w:color w:val="000000" w:themeColor="text1"/>
              </w:rPr>
              <w:t>Diagnostic tools to measure employee engagement</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_Toc99126962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4</w:t>
            </w:r>
            <w:r w:rsidR="00F67E77" w:rsidRPr="00683C72">
              <w:rPr>
                <w:noProof/>
                <w:webHidden/>
                <w:color w:val="000000" w:themeColor="text1"/>
              </w:rPr>
              <w:fldChar w:fldCharType="end"/>
            </w:r>
          </w:hyperlink>
        </w:p>
        <w:p w14:paraId="40381D1F" w14:textId="64100EFD" w:rsidR="004E0B64" w:rsidRPr="00683C72" w:rsidRDefault="00415925" w:rsidP="004E0B64">
          <w:pPr>
            <w:pStyle w:val="TOC1"/>
            <w:tabs>
              <w:tab w:val="right" w:leader="dot" w:pos="9350"/>
            </w:tabs>
            <w:spacing w:line="360" w:lineRule="auto"/>
            <w:jc w:val="center"/>
            <w:rPr>
              <w:noProof/>
              <w:color w:val="000000" w:themeColor="text1"/>
            </w:rPr>
          </w:pPr>
          <w:hyperlink w:anchor="_Toc99126963" w:history="1">
            <w:r w:rsidR="00F67E77" w:rsidRPr="00683C72">
              <w:rPr>
                <w:rStyle w:val="Hyperlink"/>
                <w:noProof/>
                <w:color w:val="000000" w:themeColor="text1"/>
              </w:rPr>
              <w:t>An employee value proposition</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_Toc99126963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5</w:t>
            </w:r>
            <w:r w:rsidR="00F67E77" w:rsidRPr="00683C72">
              <w:rPr>
                <w:noProof/>
                <w:webHidden/>
                <w:color w:val="000000" w:themeColor="text1"/>
              </w:rPr>
              <w:fldChar w:fldCharType="end"/>
            </w:r>
          </w:hyperlink>
        </w:p>
        <w:p w14:paraId="43C211C4" w14:textId="07D46075" w:rsidR="004E0B64" w:rsidRPr="00683C72" w:rsidRDefault="00415925" w:rsidP="004E0B64">
          <w:pPr>
            <w:pStyle w:val="TOC1"/>
            <w:tabs>
              <w:tab w:val="right" w:leader="dot" w:pos="9350"/>
            </w:tabs>
            <w:spacing w:line="360" w:lineRule="auto"/>
            <w:jc w:val="center"/>
            <w:rPr>
              <w:noProof/>
              <w:color w:val="000000" w:themeColor="text1"/>
            </w:rPr>
          </w:pPr>
          <w:hyperlink w:anchor="_Toc99126964" w:history="1">
            <w:r w:rsidR="00F67E77" w:rsidRPr="00683C72">
              <w:rPr>
                <w:rStyle w:val="Hyperlink"/>
                <w:noProof/>
                <w:color w:val="000000" w:themeColor="text1"/>
              </w:rPr>
              <w:t>Strategies to raise levels of engagement</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_Toc99126964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6</w:t>
            </w:r>
            <w:r w:rsidR="00F67E77" w:rsidRPr="00683C72">
              <w:rPr>
                <w:noProof/>
                <w:webHidden/>
                <w:color w:val="000000" w:themeColor="text1"/>
              </w:rPr>
              <w:fldChar w:fldCharType="end"/>
            </w:r>
          </w:hyperlink>
        </w:p>
        <w:p w14:paraId="07306E70" w14:textId="77EF2207" w:rsidR="004E0B64" w:rsidRPr="00683C72" w:rsidRDefault="00415925" w:rsidP="004E0B64">
          <w:pPr>
            <w:pStyle w:val="TOC1"/>
            <w:tabs>
              <w:tab w:val="right" w:leader="dot" w:pos="9350"/>
            </w:tabs>
            <w:spacing w:line="360" w:lineRule="auto"/>
            <w:jc w:val="center"/>
            <w:rPr>
              <w:noProof/>
              <w:color w:val="000000" w:themeColor="text1"/>
            </w:rPr>
          </w:pPr>
          <w:hyperlink w:anchor="_Toc99126965" w:history="1">
            <w:r w:rsidR="00F67E77" w:rsidRPr="00683C72">
              <w:rPr>
                <w:rStyle w:val="Hyperlink"/>
                <w:noProof/>
                <w:color w:val="000000" w:themeColor="text1"/>
              </w:rPr>
              <w:t>Conclusion</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_Toc99126965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7</w:t>
            </w:r>
            <w:r w:rsidR="00F67E77" w:rsidRPr="00683C72">
              <w:rPr>
                <w:noProof/>
                <w:webHidden/>
                <w:color w:val="000000" w:themeColor="text1"/>
              </w:rPr>
              <w:fldChar w:fldCharType="end"/>
            </w:r>
          </w:hyperlink>
        </w:p>
        <w:p w14:paraId="6809772E" w14:textId="21AA58C9" w:rsidR="004E0B64" w:rsidRPr="00683C72" w:rsidRDefault="00415925" w:rsidP="004E0B64">
          <w:pPr>
            <w:pStyle w:val="TOC1"/>
            <w:tabs>
              <w:tab w:val="right" w:leader="dot" w:pos="9350"/>
            </w:tabs>
            <w:spacing w:line="360" w:lineRule="auto"/>
            <w:jc w:val="center"/>
            <w:rPr>
              <w:noProof/>
              <w:color w:val="000000" w:themeColor="text1"/>
            </w:rPr>
          </w:pPr>
          <w:hyperlink w:anchor="_Toc99126966" w:history="1">
            <w:r w:rsidR="00F67E77" w:rsidRPr="00683C72">
              <w:rPr>
                <w:rStyle w:val="Hyperlink"/>
                <w:noProof/>
                <w:color w:val="000000" w:themeColor="text1"/>
              </w:rPr>
              <w:t>Reference List</w:t>
            </w:r>
            <w:r w:rsidR="00F67E77" w:rsidRPr="00683C72">
              <w:rPr>
                <w:noProof/>
                <w:webHidden/>
                <w:color w:val="000000" w:themeColor="text1"/>
              </w:rPr>
              <w:tab/>
            </w:r>
            <w:r w:rsidR="00F67E77" w:rsidRPr="00683C72">
              <w:rPr>
                <w:noProof/>
                <w:webHidden/>
                <w:color w:val="000000" w:themeColor="text1"/>
              </w:rPr>
              <w:fldChar w:fldCharType="begin"/>
            </w:r>
            <w:r w:rsidR="00F67E77" w:rsidRPr="00683C72">
              <w:rPr>
                <w:noProof/>
                <w:webHidden/>
                <w:color w:val="000000" w:themeColor="text1"/>
              </w:rPr>
              <w:instrText xml:space="preserve"> PAGEREF _Toc99126966 \h </w:instrText>
            </w:r>
            <w:r w:rsidR="00F67E77" w:rsidRPr="00683C72">
              <w:rPr>
                <w:noProof/>
                <w:webHidden/>
                <w:color w:val="000000" w:themeColor="text1"/>
              </w:rPr>
            </w:r>
            <w:r w:rsidR="00F67E77" w:rsidRPr="00683C72">
              <w:rPr>
                <w:noProof/>
                <w:webHidden/>
                <w:color w:val="000000" w:themeColor="text1"/>
              </w:rPr>
              <w:fldChar w:fldCharType="separate"/>
            </w:r>
            <w:r w:rsidR="00F4235C">
              <w:rPr>
                <w:noProof/>
                <w:webHidden/>
                <w:color w:val="000000" w:themeColor="text1"/>
              </w:rPr>
              <w:t>8</w:t>
            </w:r>
            <w:r w:rsidR="00F67E77" w:rsidRPr="00683C72">
              <w:rPr>
                <w:noProof/>
                <w:webHidden/>
                <w:color w:val="000000" w:themeColor="text1"/>
              </w:rPr>
              <w:fldChar w:fldCharType="end"/>
            </w:r>
          </w:hyperlink>
        </w:p>
        <w:p w14:paraId="0FECCB59" w14:textId="4E2E1E44" w:rsidR="004E0B64" w:rsidRPr="00683C72" w:rsidRDefault="00F67E77" w:rsidP="004E0B64">
          <w:pPr>
            <w:spacing w:line="360" w:lineRule="auto"/>
            <w:jc w:val="center"/>
          </w:pPr>
          <w:r w:rsidRPr="00683C72">
            <w:rPr>
              <w:b/>
              <w:bCs/>
              <w:noProof/>
              <w:color w:val="000000" w:themeColor="text1"/>
            </w:rPr>
            <w:fldChar w:fldCharType="end"/>
          </w:r>
        </w:p>
      </w:sdtContent>
    </w:sdt>
    <w:p w14:paraId="31FB0364" w14:textId="77777777" w:rsidR="004E0B64" w:rsidRPr="00683C72" w:rsidRDefault="00F67E77">
      <w:pPr>
        <w:rPr>
          <w:b/>
          <w:color w:val="000000" w:themeColor="text1"/>
          <w:sz w:val="28"/>
          <w:szCs w:val="40"/>
        </w:rPr>
      </w:pPr>
      <w:r w:rsidRPr="00683C72">
        <w:br w:type="page"/>
      </w:r>
    </w:p>
    <w:p w14:paraId="00000002" w14:textId="71C1C6F8" w:rsidR="001B24D2" w:rsidRPr="00683C72" w:rsidRDefault="00F67E77" w:rsidP="004E0B64">
      <w:pPr>
        <w:pStyle w:val="Heading1"/>
      </w:pPr>
      <w:bookmarkStart w:id="0" w:name="_Toc99126959"/>
      <w:r w:rsidRPr="00683C72">
        <w:lastRenderedPageBreak/>
        <w:t>Introduction</w:t>
      </w:r>
      <w:bookmarkEnd w:id="0"/>
    </w:p>
    <w:p w14:paraId="00000003" w14:textId="77777777" w:rsidR="001B24D2" w:rsidRPr="00683C72" w:rsidRDefault="00F67E77">
      <w:pPr>
        <w:spacing w:line="360" w:lineRule="auto"/>
        <w:jc w:val="both"/>
      </w:pPr>
      <w:r w:rsidRPr="00683C72">
        <w:t xml:space="preserve">Employee engagement is critical to the success of any firm. Employee engagement is defined as employees' participation in decision-making, corporate goals and objectives, including, most significantly, better performers. As a result, many of these notions of work engagement in organizational business remain critical, as many researchers have found employee participation to be critical for organizational success (Ahmed et al., 2020). The report is going to discuss the concepts of employee engagement, the outcomes of applying proper strategic measures for the company as well as the drivers for proper employee engagement. </w:t>
      </w:r>
    </w:p>
    <w:p w14:paraId="00000004" w14:textId="77777777" w:rsidR="001B24D2" w:rsidRPr="00683C72" w:rsidRDefault="00F67E77" w:rsidP="004E0B64">
      <w:pPr>
        <w:pStyle w:val="Heading1"/>
      </w:pPr>
      <w:bookmarkStart w:id="1" w:name="_Toc99126960"/>
      <w:r w:rsidRPr="00683C72">
        <w:t>The concept of employee engagement</w:t>
      </w:r>
      <w:bookmarkEnd w:id="1"/>
    </w:p>
    <w:p w14:paraId="00000005" w14:textId="77777777" w:rsidR="001B24D2" w:rsidRPr="00683C72" w:rsidRDefault="00F67E77">
      <w:pPr>
        <w:spacing w:line="360" w:lineRule="auto"/>
        <w:jc w:val="both"/>
      </w:pPr>
      <w:r w:rsidRPr="00683C72">
        <w:t>Employees who feel like they belong to their firm work more, stay longer and motivate others to do the same (Ahmed et al., 2020). Employee involvement affects practically every aspect of the organisation, including revenue, sales, customer experience, employee turnover, and so on. According to a study, 92 per cent of business executives believe that engaged employees work harder, improving the success of their organisations and enterprises. Participative management in the firm's aims is critical because the firm's social consequences on society are dependent on it (Gupta, 2015). To generate a job atmosphere, workers' relationships are also crucial. Employee empowerment in judgment is particularly important because of its concerns regarding employee wellbeing and organizational influences on workers' interaction, which might improve job satisfaction levels with organizational commitments. Work engagement may also be expressed through the importance of workplace happiness, which is significant because if the worker is satisfied with their job safety, he or she is more loyal and creative to the organization.</w:t>
      </w:r>
    </w:p>
    <w:p w14:paraId="00000006" w14:textId="77777777" w:rsidR="001B24D2" w:rsidRPr="00683C72" w:rsidRDefault="00F67E77">
      <w:pPr>
        <w:spacing w:line="360" w:lineRule="auto"/>
        <w:jc w:val="both"/>
      </w:pPr>
      <w:r w:rsidRPr="00683C72">
        <w:t>The employer's participation in worker issues has a significant effect on job satisfaction; staff will become more fruitful and committed to the brand, and companies will attempt to maintain staff satisfied with their achievement and ownership of the business, which will positively influence the firm's outcome, as workplace emotions about just the organization are important. Since other firms invest a lot of money to build a motivated workforce as well as a great workplace environment, any business's participation in the individual's affairs will make them a leader who can manage and operate with successful employee interactions (Gupta, 2015). As a firm with a varied workforce, hence a need to comprehend employee behaviours. As a result, the organization must respect workers' strengths and expertise rather than their colours and languages.</w:t>
      </w:r>
    </w:p>
    <w:p w14:paraId="00000008" w14:textId="77777777" w:rsidR="001B24D2" w:rsidRPr="00683C72" w:rsidRDefault="001B24D2">
      <w:pPr>
        <w:spacing w:line="360" w:lineRule="auto"/>
        <w:jc w:val="both"/>
      </w:pPr>
    </w:p>
    <w:p w14:paraId="00000009" w14:textId="77777777" w:rsidR="001B24D2" w:rsidRPr="00683C72" w:rsidRDefault="00F67E77" w:rsidP="004E0B64">
      <w:pPr>
        <w:pStyle w:val="Heading1"/>
      </w:pPr>
      <w:bookmarkStart w:id="2" w:name="_Toc99126961"/>
      <w:r w:rsidRPr="00683C72">
        <w:lastRenderedPageBreak/>
        <w:t>Drivers of employee engagement</w:t>
      </w:r>
      <w:bookmarkEnd w:id="2"/>
    </w:p>
    <w:p w14:paraId="0000000A" w14:textId="77777777" w:rsidR="001B24D2" w:rsidRPr="00683C72" w:rsidRDefault="00F67E77">
      <w:pPr>
        <w:spacing w:line="360" w:lineRule="auto"/>
        <w:jc w:val="both"/>
      </w:pPr>
      <w:r w:rsidRPr="00683C72">
        <w:t>It's essential to comprehend what inspires employees that motivates individuals to be committed to their profession to enhance employee satisfaction. However, there have been no uniform factors that influence work engagement. Several of the classic drivers of employee engagement have stayed the same as technologies as well as other innovative programs have changed the way employees work (Kang and Sung, 2017). However, a scientific approach to managing people and job involvement necessitates a more practical approach to all these factors. The attitudes and behaviours that define a company structure are exemplified by the way work is accomplished here sometimes. Employee engagement causes and degrees are driven by the prevalent leadership and organizational practices within the organization, and both involvement and culture are impacted by the predominant managerial skills practices within the business.</w:t>
      </w:r>
    </w:p>
    <w:p w14:paraId="0000000B" w14:textId="77777777" w:rsidR="001B24D2" w:rsidRPr="00683C72" w:rsidRDefault="00F67E77">
      <w:pPr>
        <w:spacing w:line="360" w:lineRule="auto"/>
        <w:jc w:val="both"/>
      </w:pPr>
      <w:r w:rsidRPr="00683C72">
        <w:t xml:space="preserve">If users ask executives in two separate businesses what motivates their staff to engage, they can get two very different answers. To be involved, a foundation employee, for instance, may require work that is meaningful yet linked to common goals. An unskilled worker, on the other side, may score higher on workplace health and safety and support from colleagues (Kang and Sung, 2017). Employee retention drivers were affected by the sector they work in and the </w:t>
      </w:r>
      <w:proofErr w:type="spellStart"/>
      <w:r w:rsidRPr="00683C72">
        <w:t>coworkers</w:t>
      </w:r>
      <w:proofErr w:type="spellEnd"/>
      <w:r w:rsidRPr="00683C72">
        <w:t xml:space="preserve"> they work with, just like the corporate culture. Important work is an incentive within itself for certain employees. Work significance is unique to each worker and hard to pin down, yet it is an important aspect of motivating the employees about doing their finest work. Employees that are genuinely driven by their jobs believe they are contributing to the betterment or achieving broader objectives.</w:t>
      </w:r>
    </w:p>
    <w:p w14:paraId="0000000C" w14:textId="77777777" w:rsidR="001B24D2" w:rsidRPr="00683C72" w:rsidRDefault="00F67E77">
      <w:pPr>
        <w:spacing w:line="360" w:lineRule="auto"/>
        <w:jc w:val="both"/>
        <w:rPr>
          <w:b/>
        </w:rPr>
      </w:pPr>
      <w:r w:rsidRPr="00683C72">
        <w:t>Growth with changes within their work responsibilities may drive other workers. Providing a worker more flexibility in their job or focusing attention on various alternatives which are more connected with their passions can help them stay motivated. Individuals in the early phases of their professions may place a premium on good salaries and excellent executives who can assist them pursue their goals. People with strong experience may value excellent relationships with team members or flexible schedules which fit their calendars more (Kang and Sung, 2017). Connections, workplace culture, and independence will be much more important to people who have completed in different organizations or sectors than comparable colleagues.</w:t>
      </w:r>
    </w:p>
    <w:p w14:paraId="0000000D" w14:textId="77777777" w:rsidR="001B24D2" w:rsidRPr="00683C72" w:rsidRDefault="00F67E77" w:rsidP="004E0B64">
      <w:pPr>
        <w:pStyle w:val="Heading1"/>
      </w:pPr>
      <w:bookmarkStart w:id="3" w:name="_Toc99126962"/>
      <w:r w:rsidRPr="00683C72">
        <w:t>Diagnostic tools to measure employee engagement</w:t>
      </w:r>
      <w:bookmarkEnd w:id="3"/>
    </w:p>
    <w:p w14:paraId="0000000E" w14:textId="77777777" w:rsidR="001B24D2" w:rsidRPr="00683C72" w:rsidRDefault="00F67E77">
      <w:pPr>
        <w:spacing w:line="360" w:lineRule="auto"/>
        <w:jc w:val="both"/>
      </w:pPr>
      <w:r w:rsidRPr="00683C72">
        <w:t xml:space="preserve">Employee engagement seems to be a major topic in business circles all around the world. Employee engagement increasingly took centre stage inside the post-pandemic period, where </w:t>
      </w:r>
      <w:r w:rsidRPr="00683C72">
        <w:lastRenderedPageBreak/>
        <w:t xml:space="preserve">people are still operating online either from home. Interested workers are more willing to work harder as well as stay with such an organization for a longer period. Recognizing and rewarding motivated employees is an effective way to learn more about them. Workplace motivation is well known to be influenced by incentives and recognition (Kumar, 2021). The inverse is also true: knowing the number of employees who receive awards and recognition helps management and HR professionals determine work engagement inside their firms. If companies want to evaluate employee engagement fast and effectively, they should conduct surveys first. This not only helps with engagement evaluation but also in motivating employees and soliciting their feedback. A motivated workforce requires good two-way communication. Regularly, HR experts should send short, simple, and meaningful surveys to workers inquiring about their positions. It will help HR experts, supervisors, and the organisation determine how involved their employees are as well as comprehend the company's culture (Kumar, 2021). If the organisation is too large, it may be difficult to arrange a one-on-one meeting among the employees. In this circumstance, focus group talks could be organised. Individuals belonging to the same or different teams are tracked for this purpose. Individuals in management or HR should have a list of 5 to 8 subjects ready to question employees, such as if they consider their job is meaningful and whether they have all the resources they need to fulfil their jobs. HR practitioners and owners should communicate with their employees one-on-one. Because one-on-one meetings with management or HR are held in the real world, employees are allowed to express themselves verbally. It should be done regularly, at least once or twice a week. Workers leave for several reasons, but as a supervisor or HR professional, you need to know why they're leaving (Kumar, 2021). Employees frequently cite a lack of engagement or enthusiasm for their work as a reason for leaving the organisation. Departure and follow-up interviews inform management and HR professionals about the areas where they should concentrate their efforts to increase employee engagement. </w:t>
      </w:r>
    </w:p>
    <w:p w14:paraId="0000000F" w14:textId="77777777" w:rsidR="001B24D2" w:rsidRPr="00683C72" w:rsidRDefault="00F67E77" w:rsidP="004E0B64">
      <w:pPr>
        <w:pStyle w:val="Heading1"/>
      </w:pPr>
      <w:bookmarkStart w:id="4" w:name="_Toc99126963"/>
      <w:r w:rsidRPr="00683C72">
        <w:t>An employee value proposition</w:t>
      </w:r>
      <w:bookmarkEnd w:id="4"/>
    </w:p>
    <w:p w14:paraId="00000010" w14:textId="77777777" w:rsidR="001B24D2" w:rsidRPr="00683C72" w:rsidRDefault="00F67E77">
      <w:pPr>
        <w:spacing w:line="360" w:lineRule="auto"/>
        <w:jc w:val="both"/>
      </w:pPr>
      <w:r w:rsidRPr="00683C72">
        <w:t xml:space="preserve">Positive management assessments are linked to the right amount of advice. Even supervisors who provide much too much information to their immediate supervisor are rated higher by the group than those who provide insufficient information. Employees thrive on criticism, which has a huge impact on engagement levels. Begin by having each employee meet with their supervisor for confirmation, and then encourage management to conduct periodic performance assessments within the department as part of an ongoing effort to increase employee </w:t>
      </w:r>
      <w:r w:rsidRPr="00683C72">
        <w:lastRenderedPageBreak/>
        <w:t>engagement (</w:t>
      </w:r>
      <w:proofErr w:type="spellStart"/>
      <w:r w:rsidRPr="00683C72">
        <w:t>Mone</w:t>
      </w:r>
      <w:proofErr w:type="spellEnd"/>
      <w:r w:rsidRPr="00683C72">
        <w:t xml:space="preserve"> and London, 2018). When people have a purpose to work toward and a cause to be enthused, their productivity rises. The fundamental values, vision, and mission of their company create the foundation of its culture, which has a significant impact on employee engagement (</w:t>
      </w:r>
      <w:proofErr w:type="spellStart"/>
      <w:r w:rsidRPr="00683C72">
        <w:t>Mone</w:t>
      </w:r>
      <w:proofErr w:type="spellEnd"/>
      <w:r w:rsidRPr="00683C72">
        <w:t xml:space="preserve"> and London, 2018). Begin by putting together a quick overview of the company's core principles, and then instilling these value systems in each employee. Workers will understand the importance of the organization's core values if they benefit the company, and what is expected of each individual if this is accomplished. Hold everyone accountable and serve as a role model for the group. Failure to do so may foster a distrustful company culture, which may lead to job disengagement. </w:t>
      </w:r>
    </w:p>
    <w:p w14:paraId="00000012" w14:textId="1CEF281C" w:rsidR="001B24D2" w:rsidRPr="00683C72" w:rsidRDefault="00F67E77" w:rsidP="004E0B64">
      <w:pPr>
        <w:pStyle w:val="Heading1"/>
      </w:pPr>
      <w:bookmarkStart w:id="5" w:name="_Toc99126964"/>
      <w:r w:rsidRPr="00683C72">
        <w:t>Strategies to raise levels of engagement</w:t>
      </w:r>
      <w:bookmarkEnd w:id="5"/>
    </w:p>
    <w:p w14:paraId="00000013" w14:textId="77777777" w:rsidR="001B24D2" w:rsidRPr="00683C72" w:rsidRDefault="00F67E77">
      <w:pPr>
        <w:spacing w:line="360" w:lineRule="auto"/>
        <w:jc w:val="both"/>
      </w:pPr>
      <w:r w:rsidRPr="00683C72">
        <w:t xml:space="preserve">These variables are fluid and subject to change and evolve, hence why tracking work engagement is critical for keeping on top of the employees' demands. In the first several months on the job, they will never alienate a worker faster. Users can show new workers that they also have a position in the characteristics of an organization by delivering successful onboarding. This mostly prepares individuals for achievement in their new position, but it also communicates their importance to the company's objectives. Enhancing employee engagement necessitates acquisition from all members of the management team, as well as an effective engaged workforce, necessitates meticulous preparation. Do not let business stop; a strongly engaged staff will maximize profits, efficiency, and employee retention (Nur, </w:t>
      </w:r>
      <w:proofErr w:type="spellStart"/>
      <w:r w:rsidRPr="00683C72">
        <w:t>Achmad</w:t>
      </w:r>
      <w:proofErr w:type="spellEnd"/>
      <w:r w:rsidRPr="00683C72">
        <w:t xml:space="preserve"> and </w:t>
      </w:r>
      <w:proofErr w:type="spellStart"/>
      <w:r w:rsidRPr="00683C72">
        <w:t>Wahdiyat</w:t>
      </w:r>
      <w:proofErr w:type="spellEnd"/>
      <w:r w:rsidRPr="00683C72">
        <w:t>, 2021).</w:t>
      </w:r>
    </w:p>
    <w:p w14:paraId="00000014" w14:textId="0D14C78E" w:rsidR="001B24D2" w:rsidRPr="00683C72" w:rsidRDefault="00F67E77">
      <w:pPr>
        <w:spacing w:line="360" w:lineRule="auto"/>
        <w:jc w:val="both"/>
      </w:pPr>
      <w:r w:rsidRPr="00683C72">
        <w:rPr>
          <w:color w:val="000000"/>
        </w:rPr>
        <w:t xml:space="preserve">However, there seem to be several low-lift worker involvement and empowerment that can be implemented right now to see real outcomes. Workforce engagement is frequently misinterpreted as a euphemism for work satisfaction. Despite the indication that the two ideas were linked, work engagement is far more complex because it is affected by a range of elements such as geography, environment, and personal differences. Employees who believe their professions are producing results are 20 per cent more likely to stay in the same position for a year. Workers will be more motivated and employers will be able to retain top talent if they are given a clear path to success (Nur, </w:t>
      </w:r>
      <w:proofErr w:type="spellStart"/>
      <w:r w:rsidRPr="00683C72">
        <w:rPr>
          <w:color w:val="000000"/>
        </w:rPr>
        <w:t>Achmad</w:t>
      </w:r>
      <w:proofErr w:type="spellEnd"/>
      <w:r w:rsidRPr="00683C72">
        <w:rPr>
          <w:color w:val="000000"/>
        </w:rPr>
        <w:t xml:space="preserve"> and </w:t>
      </w:r>
      <w:proofErr w:type="spellStart"/>
      <w:r w:rsidRPr="00683C72">
        <w:rPr>
          <w:color w:val="000000"/>
        </w:rPr>
        <w:t>Wahdiyat</w:t>
      </w:r>
      <w:proofErr w:type="spellEnd"/>
      <w:r w:rsidRPr="00683C72">
        <w:rPr>
          <w:color w:val="000000"/>
        </w:rPr>
        <w:t xml:space="preserve">, 2021). Not just anyone, but organisations that invest in their employees' personal development, whether financially or otherwise, demonstrate that they value them beyond their work. The awareness that their abilities are valued by the company motivates employees. Furthermore, regardless of the type </w:t>
      </w:r>
      <w:r w:rsidRPr="00683C72">
        <w:rPr>
          <w:color w:val="000000"/>
        </w:rPr>
        <w:lastRenderedPageBreak/>
        <w:t>of business they serve, the marketplace is constantly changing, and professional learning is required to be current and accurate (Osborne and Hammoud, 2017).</w:t>
      </w:r>
    </w:p>
    <w:p w14:paraId="00000015" w14:textId="77777777" w:rsidR="001B24D2" w:rsidRPr="00683C72" w:rsidRDefault="00F67E77">
      <w:pPr>
        <w:spacing w:line="360" w:lineRule="auto"/>
        <w:jc w:val="both"/>
      </w:pPr>
      <w:r w:rsidRPr="00683C72">
        <w:t>The main motivator for workers to look for a new employee is "professional progression chances." Employees are more productive as well as involved in the company if they have the opportunity to expand their level of expertise, learn from their colleagues, and participate in formal training programmes. This may even deter employees from looking for employment somewhere (Osborne and Hammoud, 2017). Excessive tasks, the procedures and waste the company money. Workers, on the other hand, find it aggravating. Employees turn on cruise management in the context of the additional steps, which effectively means they aren't engaged with their tasks. Employee engagement is virtually always boosted by flexible work hours and virtual office alternatives (</w:t>
      </w:r>
      <w:proofErr w:type="spellStart"/>
      <w:r w:rsidRPr="00683C72">
        <w:t>Risley</w:t>
      </w:r>
      <w:proofErr w:type="spellEnd"/>
      <w:r w:rsidRPr="00683C72">
        <w:t>, 2020). This level of adaptability satisfies workers' desire for a work-life balance. Workers expect their employers to help them balance work and personal obligations, according to 87 per cent of respondents. It's predicted that a company's level of involvement is accounted for by 14 per cent of how they evaluate their bosses. Give business leadership and intermediate executives the tools that really ought to interact with others and inspire their subordinates, in addition to maintaining that leadership is engaged. To better prepare executives for particular duties, offer training programmes and career development workshops (</w:t>
      </w:r>
      <w:proofErr w:type="spellStart"/>
      <w:r w:rsidRPr="00683C72">
        <w:t>Risley</w:t>
      </w:r>
      <w:proofErr w:type="spellEnd"/>
      <w:r w:rsidRPr="00683C72">
        <w:t>, 2020). Management should function as either a mentor for its reporting, providing motivation, suggestions for improvement, and development routes in conjunction to achieve the intended outcomes.</w:t>
      </w:r>
    </w:p>
    <w:p w14:paraId="00000016" w14:textId="77777777" w:rsidR="001B24D2" w:rsidRPr="00683C72" w:rsidRDefault="001B24D2">
      <w:pPr>
        <w:rPr>
          <w:b/>
        </w:rPr>
      </w:pPr>
    </w:p>
    <w:p w14:paraId="00000017" w14:textId="77777777" w:rsidR="001B24D2" w:rsidRPr="00683C72" w:rsidRDefault="00F67E77" w:rsidP="004E0B64">
      <w:pPr>
        <w:pStyle w:val="Heading1"/>
      </w:pPr>
      <w:bookmarkStart w:id="6" w:name="_Toc99126965"/>
      <w:r w:rsidRPr="00683C72">
        <w:t>Conclusion</w:t>
      </w:r>
      <w:bookmarkEnd w:id="6"/>
    </w:p>
    <w:p w14:paraId="0000001C" w14:textId="1DE275F8" w:rsidR="001B24D2" w:rsidRPr="00683C72" w:rsidRDefault="00F67E77">
      <w:pPr>
        <w:spacing w:line="360" w:lineRule="auto"/>
        <w:jc w:val="both"/>
      </w:pPr>
      <w:r w:rsidRPr="00683C72">
        <w:t xml:space="preserve">It can be concluded that employee involvement is important to a company's success. Employee engagement is described as employees' involvement in decision-making, business goals and objectives, and, most importantly, improved performance. As a result, many of these concepts of job engagement in organizational business remain important, as numerous </w:t>
      </w:r>
      <w:proofErr w:type="spellStart"/>
      <w:r w:rsidRPr="00683C72">
        <w:t>researches</w:t>
      </w:r>
      <w:proofErr w:type="spellEnd"/>
      <w:r w:rsidRPr="00683C72">
        <w:t xml:space="preserve"> have discovered that employee participation is vital for organizational success. The principles of employee engagement, the effects of implementing the right strategic measures for the organization, and the reasons for effective employee engagement will be discussed in this study.</w:t>
      </w:r>
    </w:p>
    <w:p w14:paraId="0000001D" w14:textId="77777777" w:rsidR="001B24D2" w:rsidRPr="00683C72" w:rsidRDefault="00F67E77">
      <w:pPr>
        <w:spacing w:line="360" w:lineRule="auto"/>
        <w:jc w:val="both"/>
        <w:rPr>
          <w:b/>
        </w:rPr>
      </w:pPr>
      <w:r w:rsidRPr="00683C72">
        <w:br w:type="page"/>
      </w:r>
    </w:p>
    <w:p w14:paraId="0000001E" w14:textId="77777777" w:rsidR="001B24D2" w:rsidRPr="00683C72" w:rsidRDefault="00F67E77" w:rsidP="004E0B64">
      <w:pPr>
        <w:pStyle w:val="Heading1"/>
      </w:pPr>
      <w:bookmarkStart w:id="7" w:name="_Toc99126966"/>
      <w:r w:rsidRPr="00683C72">
        <w:lastRenderedPageBreak/>
        <w:t>Reference List</w:t>
      </w:r>
      <w:bookmarkEnd w:id="7"/>
    </w:p>
    <w:p w14:paraId="0000001F" w14:textId="77777777" w:rsidR="001B24D2" w:rsidRPr="00683C72" w:rsidRDefault="00F67E77">
      <w:pPr>
        <w:spacing w:after="240" w:line="360" w:lineRule="auto"/>
        <w:jc w:val="both"/>
      </w:pPr>
      <w:r w:rsidRPr="00683C72">
        <w:t xml:space="preserve">Ahmed, T., Khan, M.S., </w:t>
      </w:r>
      <w:proofErr w:type="spellStart"/>
      <w:r w:rsidRPr="00683C72">
        <w:t>Thitivesa</w:t>
      </w:r>
      <w:proofErr w:type="spellEnd"/>
      <w:r w:rsidRPr="00683C72">
        <w:t xml:space="preserve">, D., </w:t>
      </w:r>
      <w:proofErr w:type="spellStart"/>
      <w:r w:rsidRPr="00683C72">
        <w:t>Siraphatthada</w:t>
      </w:r>
      <w:proofErr w:type="spellEnd"/>
      <w:r w:rsidRPr="00683C72">
        <w:t xml:space="preserve">, Y. and </w:t>
      </w:r>
      <w:proofErr w:type="spellStart"/>
      <w:r w:rsidRPr="00683C72">
        <w:t>Phumdara</w:t>
      </w:r>
      <w:proofErr w:type="spellEnd"/>
      <w:r w:rsidRPr="00683C72">
        <w:t xml:space="preserve">, T. (2020). Impact of </w:t>
      </w:r>
      <w:proofErr w:type="gramStart"/>
      <w:r w:rsidRPr="00683C72">
        <w:t>employees</w:t>
      </w:r>
      <w:proofErr w:type="gramEnd"/>
      <w:r w:rsidRPr="00683C72">
        <w:t xml:space="preserve"> engagement and knowledge sharing on organizational performance: Study of HR challenges in COVID-19 pandemic. </w:t>
      </w:r>
      <w:r w:rsidRPr="00683C72">
        <w:rPr>
          <w:i/>
        </w:rPr>
        <w:t>Human Systems Management</w:t>
      </w:r>
      <w:r w:rsidRPr="00683C72">
        <w:t xml:space="preserve">, [online] 39(4), </w:t>
      </w:r>
      <w:proofErr w:type="spellStart"/>
      <w:r w:rsidRPr="00683C72">
        <w:t>pp.589</w:t>
      </w:r>
      <w:proofErr w:type="spellEnd"/>
      <w:r w:rsidRPr="00683C72">
        <w:t>–601. Available at: https://content.iospress.com/articles/human-systems-management/hsm201052 [Accessed 25 Mar. 2022].</w:t>
      </w:r>
    </w:p>
    <w:p w14:paraId="00000020" w14:textId="77777777" w:rsidR="001B24D2" w:rsidRPr="00683C72" w:rsidRDefault="00F67E77">
      <w:pPr>
        <w:spacing w:after="240" w:line="360" w:lineRule="auto"/>
        <w:jc w:val="both"/>
      </w:pPr>
      <w:r w:rsidRPr="00683C72">
        <w:t xml:space="preserve">Gupta, M. (2015). Corporate Social Responsibility, Employee–Company Identification, and Organizational Commitment: Mediation by Employee Engagement. </w:t>
      </w:r>
      <w:r w:rsidRPr="00683C72">
        <w:rPr>
          <w:i/>
        </w:rPr>
        <w:t>Current Psychology</w:t>
      </w:r>
      <w:r w:rsidRPr="00683C72">
        <w:t xml:space="preserve">, 36(1), </w:t>
      </w:r>
      <w:proofErr w:type="spellStart"/>
      <w:r w:rsidRPr="00683C72">
        <w:t>pp.101</w:t>
      </w:r>
      <w:proofErr w:type="spellEnd"/>
      <w:r w:rsidRPr="00683C72">
        <w:t>–109.</w:t>
      </w:r>
    </w:p>
    <w:p w14:paraId="00000021" w14:textId="77777777" w:rsidR="001B24D2" w:rsidRPr="00683C72" w:rsidRDefault="00F67E77">
      <w:pPr>
        <w:spacing w:after="240" w:line="360" w:lineRule="auto"/>
        <w:jc w:val="both"/>
      </w:pPr>
      <w:r w:rsidRPr="00683C72">
        <w:t xml:space="preserve">Kang, M. and Sung, M. (2017). How symmetrical employee communication leads to employee engagement and positive employee communication behaviours. </w:t>
      </w:r>
      <w:r w:rsidRPr="00683C72">
        <w:rPr>
          <w:i/>
        </w:rPr>
        <w:t>Journal of Communication Management</w:t>
      </w:r>
      <w:r w:rsidRPr="00683C72">
        <w:t xml:space="preserve">, 21(1), </w:t>
      </w:r>
      <w:proofErr w:type="spellStart"/>
      <w:r w:rsidRPr="00683C72">
        <w:t>pp.82</w:t>
      </w:r>
      <w:proofErr w:type="spellEnd"/>
      <w:r w:rsidRPr="00683C72">
        <w:t>–102.</w:t>
      </w:r>
    </w:p>
    <w:p w14:paraId="00000022" w14:textId="77777777" w:rsidR="001B24D2" w:rsidRPr="00683C72" w:rsidRDefault="00F67E77">
      <w:pPr>
        <w:spacing w:after="240" w:line="360" w:lineRule="auto"/>
        <w:jc w:val="both"/>
      </w:pPr>
      <w:r w:rsidRPr="00683C72">
        <w:t xml:space="preserve">Kumar, P. (2021). V-5 Model of Employee Engagement During COVID-19 and Post Lockdown. </w:t>
      </w:r>
      <w:r w:rsidRPr="00683C72">
        <w:rPr>
          <w:i/>
        </w:rPr>
        <w:t>Vision: The Journal of Business Perspective</w:t>
      </w:r>
      <w:r w:rsidRPr="00683C72">
        <w:t xml:space="preserve">, 25(3), </w:t>
      </w:r>
      <w:proofErr w:type="spellStart"/>
      <w:r w:rsidRPr="00683C72">
        <w:t>p.097226292098087</w:t>
      </w:r>
      <w:proofErr w:type="spellEnd"/>
      <w:r w:rsidRPr="00683C72">
        <w:t>.</w:t>
      </w:r>
    </w:p>
    <w:p w14:paraId="00000023" w14:textId="77777777" w:rsidR="001B24D2" w:rsidRPr="00683C72" w:rsidRDefault="00F67E77">
      <w:pPr>
        <w:spacing w:after="240" w:line="360" w:lineRule="auto"/>
        <w:jc w:val="both"/>
      </w:pPr>
      <w:proofErr w:type="spellStart"/>
      <w:r w:rsidRPr="00683C72">
        <w:t>Mone</w:t>
      </w:r>
      <w:proofErr w:type="spellEnd"/>
      <w:r w:rsidRPr="00683C72">
        <w:t xml:space="preserve">, E.M. and London, M. (2018). </w:t>
      </w:r>
      <w:r w:rsidRPr="00683C72">
        <w:rPr>
          <w:i/>
        </w:rPr>
        <w:t>Employee Engagement Through Effective Performance Management</w:t>
      </w:r>
      <w:r w:rsidRPr="00683C72">
        <w:t>. [online] Second Edition. | New York: Routledge, 2018. | Revised edition: Routledge. Available at: https://www.taylorfrancis.com/books/9781317235293 [Accessed 25 Mar. 2022].</w:t>
      </w:r>
    </w:p>
    <w:p w14:paraId="00000024" w14:textId="77777777" w:rsidR="001B24D2" w:rsidRPr="00683C72" w:rsidRDefault="00F67E77">
      <w:pPr>
        <w:spacing w:after="240" w:line="360" w:lineRule="auto"/>
        <w:jc w:val="both"/>
      </w:pPr>
      <w:r w:rsidRPr="00683C72">
        <w:t xml:space="preserve">Nur, N., </w:t>
      </w:r>
      <w:proofErr w:type="spellStart"/>
      <w:r w:rsidRPr="00683C72">
        <w:t>Achmad</w:t>
      </w:r>
      <w:proofErr w:type="spellEnd"/>
      <w:r w:rsidRPr="00683C72">
        <w:t xml:space="preserve">, F. and </w:t>
      </w:r>
      <w:proofErr w:type="spellStart"/>
      <w:r w:rsidRPr="00683C72">
        <w:t>Wahdiyat</w:t>
      </w:r>
      <w:proofErr w:type="spellEnd"/>
      <w:r w:rsidRPr="00683C72">
        <w:t xml:space="preserve">, S. (2021). Conceptualizing the Role of Work Engagement: A Case Study of the Hotel Sector in Surabaya during the COVID-19. </w:t>
      </w:r>
      <w:proofErr w:type="spellStart"/>
      <w:r w:rsidRPr="00683C72">
        <w:rPr>
          <w:i/>
        </w:rPr>
        <w:t>Mochamad</w:t>
      </w:r>
      <w:proofErr w:type="spellEnd"/>
      <w:r w:rsidRPr="00683C72">
        <w:rPr>
          <w:i/>
        </w:rPr>
        <w:t xml:space="preserve"> SOELTON / Journal of Asian Finance</w:t>
      </w:r>
      <w:r w:rsidRPr="00683C72">
        <w:t xml:space="preserve">, [online] 8(5), </w:t>
      </w:r>
      <w:proofErr w:type="spellStart"/>
      <w:r w:rsidRPr="00683C72">
        <w:t>pp.485</w:t>
      </w:r>
      <w:proofErr w:type="spellEnd"/>
      <w:r w:rsidRPr="00683C72">
        <w:t>-0494. Available at: https://www.koreascience.or.kr/article/JAKO202112748675054.pdf [Accessed 25 Mar. 2022].</w:t>
      </w:r>
    </w:p>
    <w:p w14:paraId="00000025" w14:textId="77777777" w:rsidR="001B24D2" w:rsidRPr="00683C72" w:rsidRDefault="00F67E77">
      <w:pPr>
        <w:spacing w:after="240" w:line="360" w:lineRule="auto"/>
        <w:jc w:val="both"/>
      </w:pPr>
      <w:r w:rsidRPr="00683C72">
        <w:t xml:space="preserve">Osborne, S. and Hammoud, M. (2017). Effective Employee Engagement in the Workplace. </w:t>
      </w:r>
      <w:r w:rsidRPr="00683C72">
        <w:rPr>
          <w:i/>
        </w:rPr>
        <w:t>International Journal of Applied Management and Technology</w:t>
      </w:r>
      <w:r w:rsidRPr="00683C72">
        <w:t>, [online] 16(1). Available at: https://scholarworks.waldenu.edu/ijamt/vol16/iss1/4/ [Accessed 25 Mar. 2022].</w:t>
      </w:r>
    </w:p>
    <w:p w14:paraId="00000027" w14:textId="13D45CA0" w:rsidR="001B24D2" w:rsidRPr="00683C72" w:rsidRDefault="00F67E77" w:rsidP="004E0B64">
      <w:pPr>
        <w:spacing w:after="240" w:line="360" w:lineRule="auto"/>
        <w:jc w:val="both"/>
      </w:pPr>
      <w:proofErr w:type="spellStart"/>
      <w:r w:rsidRPr="00683C72">
        <w:t>Risley</w:t>
      </w:r>
      <w:proofErr w:type="spellEnd"/>
      <w:r w:rsidRPr="00683C72">
        <w:t xml:space="preserve">, C. (2020). Maintaining Performance and Employee Engagement during the COVID-19 Pandemic. </w:t>
      </w:r>
      <w:r w:rsidRPr="00683C72">
        <w:rPr>
          <w:i/>
        </w:rPr>
        <w:t>Journal of Library Administration</w:t>
      </w:r>
      <w:r w:rsidRPr="00683C72">
        <w:t xml:space="preserve">, [online] 60(6), </w:t>
      </w:r>
      <w:proofErr w:type="spellStart"/>
      <w:r w:rsidRPr="00683C72">
        <w:t>pp.653</w:t>
      </w:r>
      <w:proofErr w:type="spellEnd"/>
      <w:r w:rsidRPr="00683C72">
        <w:t>–659. Available at: https://www.tandfonline.com/doi/full/10.1080/01930826.2020.1773716 [Accessed 25 Mar. 2022].</w:t>
      </w:r>
    </w:p>
    <w:sectPr w:rsidR="001B24D2" w:rsidRPr="00683C72" w:rsidSect="004E0B64">
      <w:headerReference w:type="default" r:id="rId7"/>
      <w:footerReference w:type="default" r:id="rId8"/>
      <w:headerReference w:type="firs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94FF7" w14:textId="77777777" w:rsidR="00415925" w:rsidRDefault="00415925">
      <w:pPr>
        <w:spacing w:line="240" w:lineRule="auto"/>
      </w:pPr>
      <w:r>
        <w:separator/>
      </w:r>
    </w:p>
  </w:endnote>
  <w:endnote w:type="continuationSeparator" w:id="0">
    <w:p w14:paraId="764A9F4D" w14:textId="77777777" w:rsidR="00415925" w:rsidRDefault="004159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649049"/>
      <w:docPartObj>
        <w:docPartGallery w:val="Page Numbers (Bottom of Page)"/>
        <w:docPartUnique/>
      </w:docPartObj>
    </w:sdtPr>
    <w:sdtEndPr/>
    <w:sdtContent>
      <w:sdt>
        <w:sdtPr>
          <w:id w:val="1418292751"/>
          <w:docPartObj>
            <w:docPartGallery w:val="Page Numbers (Top of Page)"/>
            <w:docPartUnique/>
          </w:docPartObj>
        </w:sdtPr>
        <w:sdtEndPr/>
        <w:sdtContent>
          <w:p w14:paraId="11864837" w14:textId="2CBFDC09" w:rsidR="004E0B64" w:rsidRDefault="00F67E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20219ED5" w14:textId="77777777" w:rsidR="004E0B64" w:rsidRDefault="004E0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FB397" w14:textId="77777777" w:rsidR="00415925" w:rsidRDefault="00415925">
      <w:pPr>
        <w:spacing w:line="240" w:lineRule="auto"/>
      </w:pPr>
      <w:r>
        <w:separator/>
      </w:r>
    </w:p>
  </w:footnote>
  <w:footnote w:type="continuationSeparator" w:id="0">
    <w:p w14:paraId="7A6E9C92" w14:textId="77777777" w:rsidR="00415925" w:rsidRDefault="004159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CAE5B" w14:textId="4B4A52B7" w:rsidR="004E0B64" w:rsidRPr="003D1835" w:rsidRDefault="003D1835" w:rsidP="003D1835">
    <w:pPr>
      <w:pStyle w:val="Header"/>
    </w:pPr>
    <w:r w:rsidRPr="003D1835">
      <w:t xml:space="preserve">Assignment 2 - Managing People- Name - </w:t>
    </w:r>
    <w:proofErr w:type="spellStart"/>
    <w:r w:rsidRPr="003D1835">
      <w:t>Iliya</w:t>
    </w:r>
    <w:proofErr w:type="spellEnd"/>
    <w:r w:rsidRPr="003D1835">
      <w:t xml:space="preserve"> - Surname - </w:t>
    </w:r>
    <w:proofErr w:type="spellStart"/>
    <w:r w:rsidRPr="003D1835">
      <w:t>Radichev</w:t>
    </w:r>
    <w:proofErr w:type="spellEnd"/>
    <w:r w:rsidRPr="003D1835">
      <w:t xml:space="preserve">- Student </w:t>
    </w:r>
    <w:proofErr w:type="gramStart"/>
    <w:r w:rsidRPr="003D1835">
      <w:t>number :</w:t>
    </w:r>
    <w:proofErr w:type="gramEnd"/>
    <w:r w:rsidRPr="003D1835">
      <w:t xml:space="preserve"> 2023563 - Module Code : LCBB5004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ACFDA" w14:textId="7264208C" w:rsidR="00F70705" w:rsidRDefault="00F70705">
    <w:pPr>
      <w:pStyle w:val="Header"/>
    </w:pPr>
    <w:r w:rsidRPr="00F70705">
      <w:t xml:space="preserve">Assignment 2 - Managing People- Name - </w:t>
    </w:r>
    <w:proofErr w:type="spellStart"/>
    <w:r w:rsidRPr="00F70705">
      <w:t>Iliya</w:t>
    </w:r>
    <w:proofErr w:type="spellEnd"/>
    <w:r w:rsidRPr="00F70705">
      <w:t xml:space="preserve"> - Surname - </w:t>
    </w:r>
    <w:proofErr w:type="spellStart"/>
    <w:r w:rsidRPr="00F70705">
      <w:t>Radichev</w:t>
    </w:r>
    <w:proofErr w:type="spellEnd"/>
    <w:r w:rsidRPr="00F70705">
      <w:t xml:space="preserve">- Student </w:t>
    </w:r>
    <w:proofErr w:type="gramStart"/>
    <w:r w:rsidRPr="00F70705">
      <w:t>number :</w:t>
    </w:r>
    <w:proofErr w:type="gramEnd"/>
    <w:r w:rsidRPr="00F70705">
      <w:t xml:space="preserve"> 2023563 - Module Code : LCBB5004</w:t>
    </w:r>
  </w:p>
  <w:p w14:paraId="213FEB2F" w14:textId="77777777" w:rsidR="00F70705" w:rsidRDefault="00F707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4D2"/>
    <w:rsid w:val="001B24D2"/>
    <w:rsid w:val="003D1835"/>
    <w:rsid w:val="00415925"/>
    <w:rsid w:val="004E0B64"/>
    <w:rsid w:val="004E7234"/>
    <w:rsid w:val="00683C72"/>
    <w:rsid w:val="00AC3770"/>
    <w:rsid w:val="00D767E0"/>
    <w:rsid w:val="00F4235C"/>
    <w:rsid w:val="00F67E77"/>
    <w:rsid w:val="00F70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83AFB"/>
  <w15:docId w15:val="{3ECB9A9F-E833-46FB-8300-08A607919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4E0B64"/>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E0B64"/>
    <w:pPr>
      <w:tabs>
        <w:tab w:val="center" w:pos="4680"/>
        <w:tab w:val="right" w:pos="9360"/>
      </w:tabs>
      <w:spacing w:line="240" w:lineRule="auto"/>
    </w:pPr>
  </w:style>
  <w:style w:type="character" w:customStyle="1" w:styleId="HeaderChar">
    <w:name w:val="Header Char"/>
    <w:basedOn w:val="DefaultParagraphFont"/>
    <w:link w:val="Header"/>
    <w:uiPriority w:val="99"/>
    <w:rsid w:val="004E0B64"/>
  </w:style>
  <w:style w:type="paragraph" w:styleId="Footer">
    <w:name w:val="footer"/>
    <w:basedOn w:val="Normal"/>
    <w:link w:val="FooterChar"/>
    <w:uiPriority w:val="99"/>
    <w:unhideWhenUsed/>
    <w:rsid w:val="004E0B64"/>
    <w:pPr>
      <w:tabs>
        <w:tab w:val="center" w:pos="4680"/>
        <w:tab w:val="right" w:pos="9360"/>
      </w:tabs>
      <w:spacing w:line="240" w:lineRule="auto"/>
    </w:pPr>
  </w:style>
  <w:style w:type="character" w:customStyle="1" w:styleId="FooterChar">
    <w:name w:val="Footer Char"/>
    <w:basedOn w:val="DefaultParagraphFont"/>
    <w:link w:val="Footer"/>
    <w:uiPriority w:val="99"/>
    <w:rsid w:val="004E0B64"/>
  </w:style>
  <w:style w:type="paragraph" w:styleId="TOCHeading">
    <w:name w:val="TOC Heading"/>
    <w:basedOn w:val="Heading1"/>
    <w:next w:val="Normal"/>
    <w:uiPriority w:val="39"/>
    <w:semiHidden/>
    <w:unhideWhenUsed/>
    <w:qFormat/>
    <w:rsid w:val="004E0B64"/>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E0B64"/>
    <w:pPr>
      <w:spacing w:after="100"/>
    </w:pPr>
  </w:style>
  <w:style w:type="character" w:styleId="Hyperlink">
    <w:name w:val="Hyperlink"/>
    <w:basedOn w:val="DefaultParagraphFont"/>
    <w:uiPriority w:val="99"/>
    <w:unhideWhenUsed/>
    <w:rsid w:val="004E0B64"/>
    <w:rPr>
      <w:color w:val="0000FF" w:themeColor="hyperlink"/>
      <w:u w:val="single"/>
    </w:rPr>
  </w:style>
  <w:style w:type="paragraph" w:styleId="BalloonText">
    <w:name w:val="Balloon Text"/>
    <w:basedOn w:val="Normal"/>
    <w:link w:val="BalloonTextChar"/>
    <w:uiPriority w:val="99"/>
    <w:semiHidden/>
    <w:unhideWhenUsed/>
    <w:rsid w:val="004E0B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B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84AE63-6339-42F5-863C-94E32B694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2538</Words>
  <Characters>14473</Characters>
  <DocSecurity>0</DocSecurity>
  <Lines>120</Lines>
  <Paragraphs>33</Paragraphs>
  <ScaleCrop>false</ScaleCrop>
  <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2022-03-25T13:17:00Z</dcterms:created>
  <dcterms:modified xsi:type="dcterms:W3CDTF">2022-03-26T16:22:00Z</dcterms:modified>
</cp:coreProperties>
</file>