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B46AA0" w:rsidRDefault="00E82BAE">
      <w:pPr>
        <w:rPr>
          <w:u w:val="single"/>
        </w:rPr>
      </w:pPr>
      <w:r>
        <w:rPr>
          <w:u w:val="single"/>
        </w:rPr>
        <w:t xml:space="preserve">Give a detailed account of Alexander’s encounter with </w:t>
      </w:r>
      <w:proofErr w:type="spellStart"/>
      <w:r>
        <w:rPr>
          <w:u w:val="single"/>
        </w:rPr>
        <w:t>Talestris</w:t>
      </w:r>
      <w:proofErr w:type="spellEnd"/>
      <w:r>
        <w:rPr>
          <w:u w:val="single"/>
        </w:rPr>
        <w:t xml:space="preserve"> in the sources and include analysis of reasons for the differences. Focus upon Walter of </w:t>
      </w:r>
      <w:proofErr w:type="spellStart"/>
      <w:r>
        <w:rPr>
          <w:u w:val="single"/>
        </w:rPr>
        <w:t>Châtillon</w:t>
      </w:r>
      <w:proofErr w:type="spellEnd"/>
      <w:r>
        <w:rPr>
          <w:u w:val="single"/>
        </w:rPr>
        <w:t xml:space="preserve">, </w:t>
      </w:r>
      <w:proofErr w:type="spellStart"/>
      <w:r>
        <w:rPr>
          <w:u w:val="single"/>
        </w:rPr>
        <w:t>Alexandreis</w:t>
      </w:r>
      <w:proofErr w:type="spellEnd"/>
      <w:r>
        <w:rPr>
          <w:u w:val="single"/>
        </w:rPr>
        <w:t xml:space="preserve"> 8.1-48; Quintus </w:t>
      </w:r>
      <w:proofErr w:type="spellStart"/>
      <w:r>
        <w:rPr>
          <w:u w:val="single"/>
        </w:rPr>
        <w:t>Curtius</w:t>
      </w:r>
      <w:proofErr w:type="spellEnd"/>
      <w:r>
        <w:rPr>
          <w:u w:val="single"/>
        </w:rPr>
        <w:t xml:space="preserve"> Rufus 6.5.24-32; Historia de </w:t>
      </w:r>
      <w:proofErr w:type="spellStart"/>
      <w:r>
        <w:rPr>
          <w:u w:val="single"/>
        </w:rPr>
        <w:t>preliis</w:t>
      </w:r>
      <w:proofErr w:type="spellEnd"/>
      <w:r>
        <w:rPr>
          <w:u w:val="single"/>
        </w:rPr>
        <w:t xml:space="preserve"> pp77-9.</w:t>
      </w:r>
    </w:p>
    <w:p w14:paraId="00000002" w14:textId="77777777" w:rsidR="00B46AA0" w:rsidRDefault="00B46AA0">
      <w:pPr>
        <w:rPr>
          <w:u w:val="single"/>
        </w:rPr>
      </w:pPr>
    </w:p>
    <w:p w14:paraId="00000003" w14:textId="53088BBF" w:rsidR="00B46AA0" w:rsidRDefault="00E82BAE">
      <w:r>
        <w:t xml:space="preserve">This essay is going to explore how </w:t>
      </w:r>
      <w:proofErr w:type="spellStart"/>
      <w:r>
        <w:t>Thalestris</w:t>
      </w:r>
      <w:proofErr w:type="spellEnd"/>
      <w:r>
        <w:t xml:space="preserve"> is used by different authors when writing about the life of Alexander the Great. </w:t>
      </w:r>
      <w:proofErr w:type="spellStart"/>
      <w:r>
        <w:t>Thalestris</w:t>
      </w:r>
      <w:proofErr w:type="spellEnd"/>
      <w:r>
        <w:t xml:space="preserve"> was believed to be an Amazonian Queen who met with Alexander. Most of the ancient sources that write about Alexander do include the encounter with </w:t>
      </w:r>
      <w:proofErr w:type="spellStart"/>
      <w:r>
        <w:t>Thalestris</w:t>
      </w:r>
      <w:proofErr w:type="spellEnd"/>
      <w:r>
        <w:t>.</w:t>
      </w:r>
      <w:r>
        <w:rPr>
          <w:vertAlign w:val="superscript"/>
        </w:rPr>
        <w:footnoteReference w:id="1"/>
      </w:r>
      <w:r>
        <w:t xml:space="preserve"> Modern scholarship usually does not believe that Alexander met any Amazons because</w:t>
      </w:r>
      <w:r w:rsidR="00C62720">
        <w:t>,</w:t>
      </w:r>
      <w:r>
        <w:t xml:space="preserve"> in the modern day</w:t>
      </w:r>
      <w:r w:rsidR="00C62720">
        <w:t>,</w:t>
      </w:r>
      <w:r>
        <w:t xml:space="preserve"> the Amazons are seen as a myth “we are not really tempted to believe that Alexander got chummy with any Amazons”.</w:t>
      </w:r>
      <w:r>
        <w:rPr>
          <w:vertAlign w:val="superscript"/>
        </w:rPr>
        <w:footnoteReference w:id="2"/>
      </w:r>
      <w:r>
        <w:t xml:space="preserve"> </w:t>
      </w:r>
    </w:p>
    <w:p w14:paraId="00000004" w14:textId="77777777" w:rsidR="00B46AA0" w:rsidRDefault="00B46AA0"/>
    <w:p w14:paraId="00000005" w14:textId="3A22DD79" w:rsidR="00B46AA0" w:rsidRDefault="00E82BAE">
      <w:r>
        <w:t>Even some ancient sources doubted whether Alexander met any Amazons which can be seen in both Strabo and Plutarch.</w:t>
      </w:r>
      <w:r>
        <w:rPr>
          <w:vertAlign w:val="superscript"/>
        </w:rPr>
        <w:footnoteReference w:id="3"/>
      </w:r>
      <w:r>
        <w:t xml:space="preserve"> The ancient authors believe</w:t>
      </w:r>
      <w:r w:rsidR="00C62720">
        <w:t>d</w:t>
      </w:r>
      <w:r>
        <w:t xml:space="preserve"> in the </w:t>
      </w:r>
      <w:proofErr w:type="gramStart"/>
      <w:r>
        <w:t>Amazons</w:t>
      </w:r>
      <w:proofErr w:type="gramEnd"/>
      <w:r>
        <w:t xml:space="preserve"> but they thought that by the time that Alexander was alive</w:t>
      </w:r>
      <w:r w:rsidR="00C62720">
        <w:t>,</w:t>
      </w:r>
      <w:r>
        <w:t xml:space="preserve"> the Amazons were dead. This can be s</w:t>
      </w:r>
      <w:r w:rsidR="00C62720">
        <w:t>een</w:t>
      </w:r>
      <w:r>
        <w:t xml:space="preserve"> when </w:t>
      </w:r>
      <w:proofErr w:type="spellStart"/>
      <w:r>
        <w:t>Arrian</w:t>
      </w:r>
      <w:proofErr w:type="spellEnd"/>
      <w:r>
        <w:t xml:space="preserve"> comments that if the Amazons </w:t>
      </w:r>
      <w:r w:rsidR="00C62720">
        <w:t>had been</w:t>
      </w:r>
      <w:r>
        <w:t xml:space="preserve"> still around when Alexander </w:t>
      </w:r>
      <w:r w:rsidR="00C62720">
        <w:t>was</w:t>
      </w:r>
      <w:r>
        <w:t xml:space="preserve"> still</w:t>
      </w:r>
      <w:r w:rsidR="00C62720">
        <w:t>,</w:t>
      </w:r>
      <w:r>
        <w:t xml:space="preserve"> alive then the Amazons would have appeared in Xenophon.</w:t>
      </w:r>
      <w:r>
        <w:rPr>
          <w:vertAlign w:val="superscript"/>
        </w:rPr>
        <w:footnoteReference w:id="4"/>
      </w:r>
      <w:r>
        <w:t xml:space="preserve"> Plutarch notes how there </w:t>
      </w:r>
      <w:r w:rsidR="00C62720">
        <w:t>m</w:t>
      </w:r>
      <w:r>
        <w:t xml:space="preserve">ay have been doubts about the credibility of Alexander meeting </w:t>
      </w:r>
      <w:proofErr w:type="spellStart"/>
      <w:r>
        <w:t>Thalestrius</w:t>
      </w:r>
      <w:proofErr w:type="spellEnd"/>
      <w:r>
        <w:t xml:space="preserve"> in his</w:t>
      </w:r>
      <w:r w:rsidR="0018509D">
        <w:t xml:space="preserve"> </w:t>
      </w:r>
      <w:r w:rsidRPr="008B59A4">
        <w:rPr>
          <w:i/>
          <w:iCs/>
        </w:rPr>
        <w:t>life of Alexander</w:t>
      </w:r>
      <w:r>
        <w:t xml:space="preserve"> when Plutarch has Lysimachus ask “and where was I at this time?”.</w:t>
      </w:r>
      <w:r>
        <w:rPr>
          <w:vertAlign w:val="superscript"/>
        </w:rPr>
        <w:footnoteReference w:id="5"/>
      </w:r>
      <w:r>
        <w:t xml:space="preserve"> The ancient authors such as Plutarch and </w:t>
      </w:r>
      <w:proofErr w:type="spellStart"/>
      <w:r>
        <w:t>Arrian</w:t>
      </w:r>
      <w:proofErr w:type="spellEnd"/>
      <w:r>
        <w:t xml:space="preserve"> comment on how they thought the story of </w:t>
      </w:r>
      <w:proofErr w:type="spellStart"/>
      <w:r>
        <w:t>Thalestrius</w:t>
      </w:r>
      <w:proofErr w:type="spellEnd"/>
      <w:r>
        <w:t xml:space="preserve"> was not true but if </w:t>
      </w:r>
      <w:r w:rsidR="00C62720">
        <w:t>that was the case,</w:t>
      </w:r>
      <w:r>
        <w:t xml:space="preserve"> why did they choose </w:t>
      </w:r>
      <w:r w:rsidR="00C62720">
        <w:t>to</w:t>
      </w:r>
      <w:r>
        <w:t xml:space="preserve"> include the story within their accounts of Alexander's life? </w:t>
      </w:r>
      <w:r w:rsidR="00EA7D83">
        <w:t>Furthermore</w:t>
      </w:r>
      <w:r w:rsidR="00C62720">
        <w:t>,</w:t>
      </w:r>
      <w:r>
        <w:t xml:space="preserve"> these writers did believe in the </w:t>
      </w:r>
      <w:proofErr w:type="gramStart"/>
      <w:r>
        <w:t>Amazons</w:t>
      </w:r>
      <w:proofErr w:type="gramEnd"/>
      <w:r>
        <w:t xml:space="preserve"> but they thought that the legendary Amazonian women had died before Alexander was alive. </w:t>
      </w:r>
    </w:p>
    <w:p w14:paraId="00000006" w14:textId="77777777" w:rsidR="00B46AA0" w:rsidRDefault="00B46AA0"/>
    <w:p w14:paraId="00000007" w14:textId="520F309C" w:rsidR="00B46AA0" w:rsidRDefault="00E82BAE">
      <w:r>
        <w:t xml:space="preserve">I am mainly going to be focusing on the accounts of </w:t>
      </w:r>
      <w:proofErr w:type="spellStart"/>
      <w:r>
        <w:t>Thalestris</w:t>
      </w:r>
      <w:proofErr w:type="spellEnd"/>
      <w:r>
        <w:t xml:space="preserve"> from Walter of </w:t>
      </w:r>
      <w:proofErr w:type="spellStart"/>
      <w:r>
        <w:t>Chatilon</w:t>
      </w:r>
      <w:proofErr w:type="spellEnd"/>
      <w:r>
        <w:t xml:space="preserve">, Quintus </w:t>
      </w:r>
      <w:proofErr w:type="spellStart"/>
      <w:r>
        <w:t>Curtius</w:t>
      </w:r>
      <w:proofErr w:type="spellEnd"/>
      <w:r>
        <w:t xml:space="preserve"> Rufus and the </w:t>
      </w:r>
      <w:r>
        <w:rPr>
          <w:i/>
        </w:rPr>
        <w:t xml:space="preserve">Historia de </w:t>
      </w:r>
      <w:proofErr w:type="spellStart"/>
      <w:r>
        <w:rPr>
          <w:i/>
        </w:rPr>
        <w:t>Prelis</w:t>
      </w:r>
      <w:proofErr w:type="spellEnd"/>
      <w:r>
        <w:t xml:space="preserve">. In the </w:t>
      </w:r>
      <w:r>
        <w:rPr>
          <w:i/>
        </w:rPr>
        <w:t xml:space="preserve">Historia De </w:t>
      </w:r>
      <w:proofErr w:type="spellStart"/>
      <w:r>
        <w:rPr>
          <w:i/>
        </w:rPr>
        <w:t>Prelis</w:t>
      </w:r>
      <w:proofErr w:type="spellEnd"/>
      <w:r w:rsidR="00EA7D83">
        <w:rPr>
          <w:i/>
        </w:rPr>
        <w:t>,</w:t>
      </w:r>
      <w:r>
        <w:rPr>
          <w:i/>
        </w:rPr>
        <w:t xml:space="preserve"> </w:t>
      </w:r>
      <w:r>
        <w:t xml:space="preserve">Alexander and </w:t>
      </w:r>
      <w:proofErr w:type="spellStart"/>
      <w:r>
        <w:t>Thalestrius</w:t>
      </w:r>
      <w:proofErr w:type="spellEnd"/>
      <w:r>
        <w:t xml:space="preserve"> exchange a series of letters. In these letters</w:t>
      </w:r>
      <w:r w:rsidR="00EA7D83">
        <w:t>,</w:t>
      </w:r>
      <w:r>
        <w:t xml:space="preserve"> Alexander threatens to attack </w:t>
      </w:r>
      <w:proofErr w:type="spellStart"/>
      <w:r>
        <w:t>Thalestris</w:t>
      </w:r>
      <w:proofErr w:type="spellEnd"/>
      <w:r>
        <w:t xml:space="preserve"> and her kingdom unless they pay him tribute and then </w:t>
      </w:r>
      <w:proofErr w:type="spellStart"/>
      <w:r>
        <w:t>Thalestris</w:t>
      </w:r>
      <w:proofErr w:type="spellEnd"/>
      <w:r>
        <w:t xml:space="preserve"> threatens to attack Alexander’s army. Peace</w:t>
      </w:r>
      <w:r w:rsidR="00EA7D83">
        <w:t>,</w:t>
      </w:r>
      <w:r>
        <w:t xml:space="preserve"> however</w:t>
      </w:r>
      <w:r w:rsidR="00EA7D83">
        <w:t>,</w:t>
      </w:r>
      <w:r>
        <w:t xml:space="preserve"> is eventually agreed between Alexander and the Amazons. In both </w:t>
      </w:r>
      <w:r>
        <w:rPr>
          <w:i/>
        </w:rPr>
        <w:t xml:space="preserve">The </w:t>
      </w:r>
      <w:proofErr w:type="spellStart"/>
      <w:r>
        <w:rPr>
          <w:i/>
        </w:rPr>
        <w:t>Alexandries</w:t>
      </w:r>
      <w:proofErr w:type="spellEnd"/>
      <w:r>
        <w:t xml:space="preserve"> by Walter of </w:t>
      </w:r>
      <w:proofErr w:type="spellStart"/>
      <w:r>
        <w:t>Chatilon</w:t>
      </w:r>
      <w:proofErr w:type="spellEnd"/>
      <w:r>
        <w:t xml:space="preserve"> and the </w:t>
      </w:r>
      <w:r>
        <w:rPr>
          <w:i/>
        </w:rPr>
        <w:t>History of Alexander</w:t>
      </w:r>
      <w:r>
        <w:t xml:space="preserve"> by Quintus </w:t>
      </w:r>
      <w:proofErr w:type="spellStart"/>
      <w:r>
        <w:t>Curtius</w:t>
      </w:r>
      <w:proofErr w:type="spellEnd"/>
      <w:r>
        <w:t xml:space="preserve"> Rufus</w:t>
      </w:r>
      <w:r w:rsidR="00EA7D83">
        <w:t>,</w:t>
      </w:r>
      <w:r>
        <w:t xml:space="preserve"> the same </w:t>
      </w:r>
      <w:r w:rsidR="00EA7D83">
        <w:t>events</w:t>
      </w:r>
      <w:r>
        <w:t xml:space="preserve"> happen in their accounts of the meeting between </w:t>
      </w:r>
      <w:proofErr w:type="spellStart"/>
      <w:r>
        <w:t>Thalestris</w:t>
      </w:r>
      <w:proofErr w:type="spellEnd"/>
      <w:r>
        <w:t xml:space="preserve"> and Alexander. </w:t>
      </w:r>
      <w:proofErr w:type="spellStart"/>
      <w:r>
        <w:t>Thalestris</w:t>
      </w:r>
      <w:proofErr w:type="spellEnd"/>
      <w:r>
        <w:t xml:space="preserve"> approaches Alexander and asks if she can sleep with him so that she can conceive a child from a great king.</w:t>
      </w:r>
    </w:p>
    <w:p w14:paraId="00000008" w14:textId="77777777" w:rsidR="00B46AA0" w:rsidRDefault="00B46AA0"/>
    <w:p w14:paraId="00000009" w14:textId="38D214E8" w:rsidR="00B46AA0" w:rsidRDefault="00E82BAE">
      <w:r>
        <w:t xml:space="preserve">In the </w:t>
      </w:r>
      <w:r>
        <w:rPr>
          <w:i/>
        </w:rPr>
        <w:t xml:space="preserve">Historia de </w:t>
      </w:r>
      <w:proofErr w:type="spellStart"/>
      <w:r>
        <w:rPr>
          <w:i/>
        </w:rPr>
        <w:t>Prelis</w:t>
      </w:r>
      <w:proofErr w:type="spellEnd"/>
      <w:r w:rsidR="00EA7D83">
        <w:t xml:space="preserve">, </w:t>
      </w:r>
      <w:r>
        <w:t xml:space="preserve">both Alexander and </w:t>
      </w:r>
      <w:proofErr w:type="spellStart"/>
      <w:r>
        <w:t>Thalestris</w:t>
      </w:r>
      <w:proofErr w:type="spellEnd"/>
      <w:r>
        <w:t xml:space="preserve"> could be </w:t>
      </w:r>
      <w:r w:rsidR="00EA7D83">
        <w:t>considered</w:t>
      </w:r>
      <w:r>
        <w:t xml:space="preserve"> as being threatening towards each other. This can be seen through the way that Alexander writes that the Amazons pay him tribute unless “wish me to come against you and inflict some harm upon you”.</w:t>
      </w:r>
      <w:r>
        <w:rPr>
          <w:vertAlign w:val="superscript"/>
        </w:rPr>
        <w:footnoteReference w:id="6"/>
      </w:r>
      <w:r>
        <w:t xml:space="preserve"> This is mirrored in </w:t>
      </w:r>
      <w:proofErr w:type="spellStart"/>
      <w:r>
        <w:t>Thalestris</w:t>
      </w:r>
      <w:proofErr w:type="spellEnd"/>
      <w:r>
        <w:t xml:space="preserve">’ reply when she writes “And so we are bound to fight bravely </w:t>
      </w:r>
      <w:r>
        <w:lastRenderedPageBreak/>
        <w:t xml:space="preserve">against you to display our </w:t>
      </w:r>
      <w:proofErr w:type="spellStart"/>
      <w:r>
        <w:t>valour</w:t>
      </w:r>
      <w:proofErr w:type="spellEnd"/>
      <w:r>
        <w:t xml:space="preserve"> at your expense”</w:t>
      </w:r>
      <w:r>
        <w:rPr>
          <w:vertAlign w:val="superscript"/>
        </w:rPr>
        <w:footnoteReference w:id="7"/>
      </w:r>
      <w:r w:rsidR="00EA7D83">
        <w:t>. S</w:t>
      </w:r>
      <w:r>
        <w:t xml:space="preserve">he also points out that if Alexander </w:t>
      </w:r>
      <w:r w:rsidR="00EA7D83">
        <w:t xml:space="preserve">was to </w:t>
      </w:r>
      <w:r>
        <w:t>win against the Amazons “you will gain no glory, because you will have conquered women”.</w:t>
      </w:r>
      <w:r>
        <w:rPr>
          <w:vertAlign w:val="superscript"/>
        </w:rPr>
        <w:footnoteReference w:id="8"/>
      </w:r>
      <w:r>
        <w:t xml:space="preserve"> Eventually</w:t>
      </w:r>
      <w:r w:rsidR="003233F7">
        <w:t>,</w:t>
      </w:r>
      <w:r>
        <w:t xml:space="preserve"> the Amazons pay Alexander tribute and they do not go to war against each other “Then with peace established, Alexander began to move on”.</w:t>
      </w:r>
      <w:r>
        <w:rPr>
          <w:vertAlign w:val="superscript"/>
        </w:rPr>
        <w:footnoteReference w:id="9"/>
      </w:r>
      <w:r>
        <w:t xml:space="preserve"> </w:t>
      </w:r>
    </w:p>
    <w:p w14:paraId="0000000A" w14:textId="77777777" w:rsidR="00B46AA0" w:rsidRDefault="00B46AA0"/>
    <w:p w14:paraId="0000000B" w14:textId="4D99657B" w:rsidR="00B46AA0" w:rsidRDefault="00E82BAE">
      <w:r>
        <w:t xml:space="preserve">The account of the meeting between </w:t>
      </w:r>
      <w:proofErr w:type="spellStart"/>
      <w:r>
        <w:t>Thalestris</w:t>
      </w:r>
      <w:proofErr w:type="spellEnd"/>
      <w:r>
        <w:t xml:space="preserve"> and Alexander in the </w:t>
      </w:r>
      <w:r>
        <w:rPr>
          <w:i/>
        </w:rPr>
        <w:t xml:space="preserve">Historia de </w:t>
      </w:r>
      <w:proofErr w:type="spellStart"/>
      <w:r>
        <w:rPr>
          <w:i/>
        </w:rPr>
        <w:t>Prelis</w:t>
      </w:r>
      <w:proofErr w:type="spellEnd"/>
      <w:r>
        <w:t xml:space="preserve"> is also different from the other two accounts because it is told in the epistolary form and Alexander and </w:t>
      </w:r>
      <w:proofErr w:type="spellStart"/>
      <w:r>
        <w:t>Thalestris</w:t>
      </w:r>
      <w:proofErr w:type="spellEnd"/>
      <w:r>
        <w:t xml:space="preserve"> do</w:t>
      </w:r>
      <w:r w:rsidR="003233F7">
        <w:t xml:space="preserve"> not</w:t>
      </w:r>
      <w:r>
        <w:t xml:space="preserve"> meet till the end of the account once peace is established.</w:t>
      </w:r>
    </w:p>
    <w:p w14:paraId="0000000C" w14:textId="77777777" w:rsidR="00B46AA0" w:rsidRDefault="00B46AA0"/>
    <w:p w14:paraId="0000000D" w14:textId="17BF4BD6" w:rsidR="00B46AA0" w:rsidRDefault="00E82BAE">
      <w:r>
        <w:t xml:space="preserve">The meeting between Alexander and </w:t>
      </w:r>
      <w:proofErr w:type="spellStart"/>
      <w:r>
        <w:t>Thalestris</w:t>
      </w:r>
      <w:proofErr w:type="spellEnd"/>
      <w:r>
        <w:t xml:space="preserve"> is described very similarly in the </w:t>
      </w:r>
      <w:proofErr w:type="spellStart"/>
      <w:r>
        <w:rPr>
          <w:i/>
        </w:rPr>
        <w:t>Alexandries</w:t>
      </w:r>
      <w:proofErr w:type="spellEnd"/>
      <w:r>
        <w:t xml:space="preserve"> and </w:t>
      </w:r>
      <w:r>
        <w:rPr>
          <w:i/>
        </w:rPr>
        <w:t>The History of Alexander</w:t>
      </w:r>
      <w:r>
        <w:t xml:space="preserve"> to the point where some scholarship suggests that </w:t>
      </w:r>
      <w:proofErr w:type="spellStart"/>
      <w:r>
        <w:t>Chailton</w:t>
      </w:r>
      <w:proofErr w:type="spellEnd"/>
      <w:r>
        <w:t xml:space="preserve"> may have read Quintus </w:t>
      </w:r>
      <w:proofErr w:type="spellStart"/>
      <w:r>
        <w:t>Curtius</w:t>
      </w:r>
      <w:proofErr w:type="spellEnd"/>
      <w:r>
        <w:t xml:space="preserve"> Rufus and based his account of Alexander's life o</w:t>
      </w:r>
      <w:r w:rsidR="003233F7">
        <w:t>n</w:t>
      </w:r>
      <w:r>
        <w:t xml:space="preserve"> Rufus’.</w:t>
      </w:r>
      <w:r>
        <w:rPr>
          <w:vertAlign w:val="superscript"/>
        </w:rPr>
        <w:footnoteReference w:id="10"/>
      </w:r>
      <w:r>
        <w:t xml:space="preserve"> </w:t>
      </w:r>
      <w:proofErr w:type="spellStart"/>
      <w:r>
        <w:t>Munding</w:t>
      </w:r>
      <w:proofErr w:type="spellEnd"/>
      <w:r w:rsidR="003233F7">
        <w:t xml:space="preserve"> describes in her</w:t>
      </w:r>
      <w:r>
        <w:t xml:space="preserve"> article </w:t>
      </w:r>
      <w:r>
        <w:rPr>
          <w:i/>
        </w:rPr>
        <w:t>Alexander and the Amazon Queen</w:t>
      </w:r>
      <w:r>
        <w:t xml:space="preserve"> how Quintus </w:t>
      </w:r>
      <w:proofErr w:type="spellStart"/>
      <w:r>
        <w:t>Curtius</w:t>
      </w:r>
      <w:proofErr w:type="spellEnd"/>
      <w:r>
        <w:t xml:space="preserve"> Rufus’ account of </w:t>
      </w:r>
      <w:proofErr w:type="spellStart"/>
      <w:r>
        <w:t>Thalestris</w:t>
      </w:r>
      <w:proofErr w:type="spellEnd"/>
      <w:r>
        <w:t xml:space="preserve"> is similar to that of </w:t>
      </w:r>
      <w:proofErr w:type="spellStart"/>
      <w:r>
        <w:t>Diodorus</w:t>
      </w:r>
      <w:proofErr w:type="spellEnd"/>
      <w:r>
        <w:t xml:space="preserve"> and Justin. They all give the same date</w:t>
      </w:r>
      <w:r w:rsidR="003233F7">
        <w:t>,</w:t>
      </w:r>
      <w:r>
        <w:t xml:space="preserve"> the queen has the same name, </w:t>
      </w:r>
      <w:r w:rsidR="003233F7">
        <w:t xml:space="preserve">events </w:t>
      </w:r>
      <w:r>
        <w:t xml:space="preserve">take place in the same location and all include 300 armed women and </w:t>
      </w:r>
      <w:proofErr w:type="spellStart"/>
      <w:r>
        <w:t>Thalestris</w:t>
      </w:r>
      <w:proofErr w:type="spellEnd"/>
      <w:r>
        <w:t xml:space="preserve"> staying with Alexander for 13 days.</w:t>
      </w:r>
      <w:r>
        <w:rPr>
          <w:vertAlign w:val="superscript"/>
        </w:rPr>
        <w:footnoteReference w:id="11"/>
      </w:r>
      <w:r>
        <w:t xml:space="preserve"> </w:t>
      </w:r>
      <w:proofErr w:type="spellStart"/>
      <w:r>
        <w:t>Munding</w:t>
      </w:r>
      <w:proofErr w:type="spellEnd"/>
      <w:r>
        <w:t xml:space="preserve"> suggests </w:t>
      </w:r>
      <w:r w:rsidR="003233F7">
        <w:t>that</w:t>
      </w:r>
      <w:r>
        <w:t xml:space="preserve"> all these authors may have used a similar source</w:t>
      </w:r>
      <w:r w:rsidR="003233F7">
        <w:t>,</w:t>
      </w:r>
      <w:r>
        <w:t xml:space="preserve"> possibly </w:t>
      </w:r>
      <w:proofErr w:type="spellStart"/>
      <w:r>
        <w:t>Cleitarchus</w:t>
      </w:r>
      <w:proofErr w:type="spellEnd"/>
      <w:r>
        <w:t>.</w:t>
      </w:r>
      <w:r>
        <w:rPr>
          <w:vertAlign w:val="superscript"/>
        </w:rPr>
        <w:footnoteReference w:id="12"/>
      </w:r>
    </w:p>
    <w:p w14:paraId="0000000E" w14:textId="77777777" w:rsidR="00B46AA0" w:rsidRDefault="00B46AA0"/>
    <w:p w14:paraId="0000000F" w14:textId="463AB12D" w:rsidR="00B46AA0" w:rsidRDefault="00E82BAE">
      <w:pPr>
        <w:rPr>
          <w:highlight w:val="white"/>
        </w:rPr>
      </w:pPr>
      <w:r>
        <w:t xml:space="preserve">In both the </w:t>
      </w:r>
      <w:proofErr w:type="spellStart"/>
      <w:r>
        <w:rPr>
          <w:i/>
        </w:rPr>
        <w:t>Alexandreis</w:t>
      </w:r>
      <w:proofErr w:type="spellEnd"/>
      <w:r>
        <w:t xml:space="preserve"> and Rufus</w:t>
      </w:r>
      <w:r w:rsidR="00E26EE9">
        <w:t xml:space="preserve">, </w:t>
      </w:r>
      <w:r>
        <w:t xml:space="preserve">Alexander offers </w:t>
      </w:r>
      <w:proofErr w:type="spellStart"/>
      <w:r>
        <w:t>Thalestris</w:t>
      </w:r>
      <w:proofErr w:type="spellEnd"/>
      <w:r>
        <w:t xml:space="preserve"> to join his army </w:t>
      </w:r>
      <w:r w:rsidR="00E26EE9" w:rsidRPr="00E26EE9">
        <w:t xml:space="preserve">if she wishes </w:t>
      </w:r>
      <w:r w:rsidR="00E26EE9">
        <w:t>b</w:t>
      </w:r>
      <w:r>
        <w:t>ut in both accounts</w:t>
      </w:r>
      <w:r w:rsidR="00E26EE9">
        <w:t>,</w:t>
      </w:r>
      <w:r>
        <w:t xml:space="preserve"> she gives the same reason, </w:t>
      </w:r>
      <w:r w:rsidR="00E26EE9">
        <w:t xml:space="preserve">namely </w:t>
      </w:r>
      <w:r>
        <w:t>that she has to return to her people as she has left them without a ruler “</w:t>
      </w:r>
      <w:r>
        <w:rPr>
          <w:highlight w:val="white"/>
        </w:rPr>
        <w:t>giving as an excuse that she had left her realm without a guard”</w:t>
      </w:r>
      <w:r>
        <w:rPr>
          <w:highlight w:val="white"/>
          <w:vertAlign w:val="superscript"/>
        </w:rPr>
        <w:footnoteReference w:id="13"/>
      </w:r>
      <w:r>
        <w:rPr>
          <w:highlight w:val="white"/>
        </w:rPr>
        <w:t>, “she pleaded her realm now lacked a guardian”.</w:t>
      </w:r>
      <w:r>
        <w:rPr>
          <w:highlight w:val="white"/>
          <w:vertAlign w:val="superscript"/>
        </w:rPr>
        <w:footnoteReference w:id="14"/>
      </w:r>
      <w:r>
        <w:rPr>
          <w:highlight w:val="white"/>
        </w:rPr>
        <w:t xml:space="preserve"> This shows that in the two sources Alexander could be seen as being impressed with </w:t>
      </w:r>
      <w:proofErr w:type="spellStart"/>
      <w:r>
        <w:rPr>
          <w:highlight w:val="white"/>
        </w:rPr>
        <w:t>Thaletris</w:t>
      </w:r>
      <w:proofErr w:type="spellEnd"/>
      <w:r>
        <w:rPr>
          <w:highlight w:val="white"/>
        </w:rPr>
        <w:t xml:space="preserve">’ military prowess which is why she was asked </w:t>
      </w:r>
      <w:r w:rsidR="00E26EE9">
        <w:rPr>
          <w:highlight w:val="white"/>
        </w:rPr>
        <w:t>whether</w:t>
      </w:r>
      <w:r>
        <w:rPr>
          <w:highlight w:val="white"/>
        </w:rPr>
        <w:t xml:space="preserve"> she would like to join Alexander's army. </w:t>
      </w:r>
    </w:p>
    <w:p w14:paraId="00000010" w14:textId="77777777" w:rsidR="00B46AA0" w:rsidRDefault="00B46AA0">
      <w:pPr>
        <w:rPr>
          <w:highlight w:val="white"/>
        </w:rPr>
      </w:pPr>
    </w:p>
    <w:p w14:paraId="00000011" w14:textId="5F64EC8D" w:rsidR="00B46AA0" w:rsidRDefault="00E82BAE">
      <w:pPr>
        <w:rPr>
          <w:highlight w:val="white"/>
        </w:rPr>
      </w:pPr>
      <w:r>
        <w:rPr>
          <w:highlight w:val="white"/>
        </w:rPr>
        <w:t>In the Greek world</w:t>
      </w:r>
      <w:r w:rsidR="00E26EE9">
        <w:rPr>
          <w:highlight w:val="white"/>
        </w:rPr>
        <w:t>,</w:t>
      </w:r>
      <w:r>
        <w:rPr>
          <w:highlight w:val="white"/>
        </w:rPr>
        <w:t xml:space="preserve"> the Amazons were seen as being ‘other’ and could symbolize foreigners or barbarians.</w:t>
      </w:r>
      <w:r>
        <w:rPr>
          <w:highlight w:val="white"/>
          <w:vertAlign w:val="superscript"/>
        </w:rPr>
        <w:footnoteReference w:id="15"/>
      </w:r>
      <w:r>
        <w:rPr>
          <w:highlight w:val="white"/>
        </w:rPr>
        <w:t xml:space="preserve"> This could explain why an “ethnographical description”</w:t>
      </w:r>
      <w:r>
        <w:rPr>
          <w:highlight w:val="white"/>
          <w:vertAlign w:val="superscript"/>
        </w:rPr>
        <w:footnoteReference w:id="16"/>
      </w:r>
      <w:r>
        <w:rPr>
          <w:highlight w:val="white"/>
        </w:rPr>
        <w:t xml:space="preserve"> is given of the women in the texts. “The clothing of the Amazons does not wholly cover the body, for the left side is nude as far as the breast and the other parts of the body are veiled”,</w:t>
      </w:r>
      <w:r>
        <w:rPr>
          <w:highlight w:val="white"/>
          <w:vertAlign w:val="superscript"/>
        </w:rPr>
        <w:footnoteReference w:id="17"/>
      </w:r>
      <w:r>
        <w:rPr>
          <w:highlight w:val="white"/>
        </w:rPr>
        <w:t xml:space="preserve"> “The dress of the Amazons does not obscure their bodies wholly”.</w:t>
      </w:r>
      <w:r>
        <w:rPr>
          <w:highlight w:val="white"/>
          <w:vertAlign w:val="superscript"/>
        </w:rPr>
        <w:footnoteReference w:id="18"/>
      </w:r>
      <w:r>
        <w:rPr>
          <w:highlight w:val="white"/>
        </w:rPr>
        <w:t xml:space="preserve"> T</w:t>
      </w:r>
      <w:r w:rsidR="00E26EE9" w:rsidRPr="00E26EE9">
        <w:t>herefore</w:t>
      </w:r>
      <w:r w:rsidR="00E26EE9">
        <w:t>,</w:t>
      </w:r>
      <w:r w:rsidR="00E26EE9" w:rsidRPr="00E26EE9">
        <w:rPr>
          <w:highlight w:val="white"/>
        </w:rPr>
        <w:t xml:space="preserve"> </w:t>
      </w:r>
      <w:r w:rsidR="00E26EE9">
        <w:rPr>
          <w:highlight w:val="white"/>
        </w:rPr>
        <w:t>t</w:t>
      </w:r>
      <w:r>
        <w:rPr>
          <w:highlight w:val="white"/>
        </w:rPr>
        <w:t xml:space="preserve">he Amazons </w:t>
      </w:r>
      <w:r w:rsidR="00E26EE9">
        <w:rPr>
          <w:highlight w:val="white"/>
        </w:rPr>
        <w:t xml:space="preserve">are </w:t>
      </w:r>
      <w:r>
        <w:rPr>
          <w:highlight w:val="white"/>
        </w:rPr>
        <w:t xml:space="preserve">in these two sources </w:t>
      </w:r>
      <w:r>
        <w:rPr>
          <w:highlight w:val="white"/>
        </w:rPr>
        <w:lastRenderedPageBreak/>
        <w:t>described in a way that makes them different normal women</w:t>
      </w:r>
      <w:r w:rsidR="00E26EE9">
        <w:rPr>
          <w:highlight w:val="white"/>
        </w:rPr>
        <w:t>,</w:t>
      </w:r>
      <w:r>
        <w:rPr>
          <w:highlight w:val="white"/>
        </w:rPr>
        <w:t xml:space="preserve"> </w:t>
      </w:r>
      <w:proofErr w:type="spellStart"/>
      <w:r>
        <w:rPr>
          <w:highlight w:val="white"/>
        </w:rPr>
        <w:t>Chailton</w:t>
      </w:r>
      <w:proofErr w:type="spellEnd"/>
      <w:r>
        <w:rPr>
          <w:highlight w:val="white"/>
        </w:rPr>
        <w:t xml:space="preserve"> even refers to </w:t>
      </w:r>
      <w:proofErr w:type="spellStart"/>
      <w:r>
        <w:rPr>
          <w:highlight w:val="white"/>
        </w:rPr>
        <w:t>Thalestris</w:t>
      </w:r>
      <w:proofErr w:type="spellEnd"/>
      <w:r>
        <w:rPr>
          <w:highlight w:val="white"/>
        </w:rPr>
        <w:t xml:space="preserve"> as a “simple savage”.</w:t>
      </w:r>
      <w:r>
        <w:rPr>
          <w:highlight w:val="white"/>
          <w:vertAlign w:val="superscript"/>
        </w:rPr>
        <w:footnoteReference w:id="19"/>
      </w:r>
    </w:p>
    <w:p w14:paraId="00000012" w14:textId="77777777" w:rsidR="00B46AA0" w:rsidRDefault="00B46AA0">
      <w:pPr>
        <w:rPr>
          <w:highlight w:val="white"/>
        </w:rPr>
      </w:pPr>
    </w:p>
    <w:p w14:paraId="00000013" w14:textId="3DD3C23A" w:rsidR="00B46AA0" w:rsidRDefault="00E82BAE">
      <w:pPr>
        <w:rPr>
          <w:highlight w:val="white"/>
        </w:rPr>
      </w:pPr>
      <w:r>
        <w:rPr>
          <w:highlight w:val="white"/>
        </w:rPr>
        <w:t xml:space="preserve">The final similarity </w:t>
      </w:r>
      <w:r w:rsidR="00E26EE9">
        <w:rPr>
          <w:highlight w:val="white"/>
        </w:rPr>
        <w:t xml:space="preserve">which </w:t>
      </w:r>
      <w:r>
        <w:rPr>
          <w:highlight w:val="white"/>
        </w:rPr>
        <w:t xml:space="preserve">this essay is going to explore is </w:t>
      </w:r>
      <w:proofErr w:type="spellStart"/>
      <w:r>
        <w:rPr>
          <w:highlight w:val="white"/>
        </w:rPr>
        <w:t>Thalestris</w:t>
      </w:r>
      <w:proofErr w:type="spellEnd"/>
      <w:r>
        <w:rPr>
          <w:highlight w:val="white"/>
        </w:rPr>
        <w:t xml:space="preserve">’ initial reaction to the size of Alexander in </w:t>
      </w:r>
      <w:proofErr w:type="spellStart"/>
      <w:r>
        <w:rPr>
          <w:highlight w:val="white"/>
        </w:rPr>
        <w:t>Chailton</w:t>
      </w:r>
      <w:proofErr w:type="spellEnd"/>
      <w:r>
        <w:rPr>
          <w:highlight w:val="white"/>
        </w:rPr>
        <w:t xml:space="preserve"> and Rufus.</w:t>
      </w:r>
      <w:r>
        <w:rPr>
          <w:highlight w:val="white"/>
          <w:vertAlign w:val="superscript"/>
        </w:rPr>
        <w:footnoteReference w:id="20"/>
      </w:r>
      <w:r>
        <w:rPr>
          <w:highlight w:val="white"/>
        </w:rPr>
        <w:t xml:space="preserve"> “</w:t>
      </w:r>
      <w:proofErr w:type="spellStart"/>
      <w:r>
        <w:rPr>
          <w:highlight w:val="white"/>
        </w:rPr>
        <w:t>Talestris</w:t>
      </w:r>
      <w:proofErr w:type="spellEnd"/>
      <w:r>
        <w:rPr>
          <w:highlight w:val="white"/>
        </w:rPr>
        <w:t xml:space="preserve"> marveled that his meagre body ill fit his fame”</w:t>
      </w:r>
      <w:r>
        <w:rPr>
          <w:highlight w:val="white"/>
          <w:vertAlign w:val="superscript"/>
        </w:rPr>
        <w:footnoteReference w:id="21"/>
      </w:r>
      <w:r>
        <w:rPr>
          <w:highlight w:val="white"/>
        </w:rPr>
        <w:t xml:space="preserve"> “carefully surveying his person which did not by any means correspond to the fame of his exploits' '.</w:t>
      </w:r>
      <w:r>
        <w:rPr>
          <w:highlight w:val="white"/>
          <w:vertAlign w:val="superscript"/>
        </w:rPr>
        <w:footnoteReference w:id="22"/>
      </w:r>
      <w:r>
        <w:rPr>
          <w:highlight w:val="white"/>
        </w:rPr>
        <w:t xml:space="preserve"> </w:t>
      </w:r>
      <w:proofErr w:type="spellStart"/>
      <w:r>
        <w:rPr>
          <w:highlight w:val="white"/>
        </w:rPr>
        <w:t>Baynham</w:t>
      </w:r>
      <w:proofErr w:type="spellEnd"/>
      <w:r>
        <w:rPr>
          <w:highlight w:val="white"/>
        </w:rPr>
        <w:t xml:space="preserve"> comments in her article </w:t>
      </w:r>
      <w:r>
        <w:rPr>
          <w:i/>
          <w:highlight w:val="white"/>
        </w:rPr>
        <w:t xml:space="preserve">Alexander and the Amazons </w:t>
      </w:r>
      <w:r>
        <w:rPr>
          <w:highlight w:val="white"/>
        </w:rPr>
        <w:t xml:space="preserve">that </w:t>
      </w:r>
      <w:proofErr w:type="spellStart"/>
      <w:r>
        <w:rPr>
          <w:highlight w:val="white"/>
        </w:rPr>
        <w:t>Thalestris</w:t>
      </w:r>
      <w:proofErr w:type="spellEnd"/>
      <w:r>
        <w:rPr>
          <w:highlight w:val="white"/>
        </w:rPr>
        <w:t xml:space="preserve"> may have been skeptical of what </w:t>
      </w:r>
      <w:r w:rsidR="0018509D">
        <w:rPr>
          <w:highlight w:val="white"/>
        </w:rPr>
        <w:t>s</w:t>
      </w:r>
      <w:r>
        <w:rPr>
          <w:highlight w:val="white"/>
        </w:rPr>
        <w:t>he saw because “sources suggest that Alexander was a short man”</w:t>
      </w:r>
      <w:r>
        <w:rPr>
          <w:highlight w:val="white"/>
          <w:vertAlign w:val="superscript"/>
        </w:rPr>
        <w:footnoteReference w:id="23"/>
      </w:r>
      <w:r>
        <w:rPr>
          <w:highlight w:val="white"/>
        </w:rPr>
        <w:t xml:space="preserve"> and that his physical appearance “did not match the fame of his achievements”.</w:t>
      </w:r>
      <w:r>
        <w:rPr>
          <w:highlight w:val="white"/>
          <w:vertAlign w:val="superscript"/>
        </w:rPr>
        <w:footnoteReference w:id="24"/>
      </w:r>
      <w:r>
        <w:rPr>
          <w:highlight w:val="white"/>
        </w:rPr>
        <w:t xml:space="preserve"> </w:t>
      </w:r>
      <w:proofErr w:type="spellStart"/>
      <w:r>
        <w:rPr>
          <w:highlight w:val="white"/>
        </w:rPr>
        <w:t>Baynham</w:t>
      </w:r>
      <w:proofErr w:type="spellEnd"/>
      <w:r>
        <w:rPr>
          <w:highlight w:val="white"/>
        </w:rPr>
        <w:t xml:space="preserve"> notes how this was a detail which was added by Quintus </w:t>
      </w:r>
      <w:proofErr w:type="spellStart"/>
      <w:r>
        <w:rPr>
          <w:highlight w:val="white"/>
        </w:rPr>
        <w:t>Curtius</w:t>
      </w:r>
      <w:proofErr w:type="spellEnd"/>
      <w:r>
        <w:rPr>
          <w:highlight w:val="white"/>
        </w:rPr>
        <w:t xml:space="preserve"> Rufus which to me suggests that as this also appears in </w:t>
      </w:r>
      <w:proofErr w:type="spellStart"/>
      <w:r>
        <w:rPr>
          <w:highlight w:val="white"/>
        </w:rPr>
        <w:t>Chailton</w:t>
      </w:r>
      <w:proofErr w:type="spellEnd"/>
      <w:r>
        <w:rPr>
          <w:highlight w:val="white"/>
        </w:rPr>
        <w:t xml:space="preserve"> and the accounts are so similar </w:t>
      </w:r>
      <w:r w:rsidR="00E26EE9">
        <w:rPr>
          <w:highlight w:val="white"/>
        </w:rPr>
        <w:t xml:space="preserve">indicating </w:t>
      </w:r>
      <w:r>
        <w:rPr>
          <w:highlight w:val="white"/>
        </w:rPr>
        <w:t xml:space="preserve">that </w:t>
      </w:r>
      <w:proofErr w:type="spellStart"/>
      <w:r>
        <w:rPr>
          <w:highlight w:val="white"/>
        </w:rPr>
        <w:t>Chailton</w:t>
      </w:r>
      <w:proofErr w:type="spellEnd"/>
      <w:r>
        <w:rPr>
          <w:highlight w:val="white"/>
        </w:rPr>
        <w:t xml:space="preserve"> heavily based his </w:t>
      </w:r>
      <w:proofErr w:type="spellStart"/>
      <w:r>
        <w:rPr>
          <w:i/>
          <w:highlight w:val="white"/>
        </w:rPr>
        <w:t>Alexandreis</w:t>
      </w:r>
      <w:proofErr w:type="spellEnd"/>
      <w:r>
        <w:rPr>
          <w:highlight w:val="white"/>
        </w:rPr>
        <w:t xml:space="preserve"> on Rufus.</w:t>
      </w:r>
    </w:p>
    <w:p w14:paraId="00000014" w14:textId="77777777" w:rsidR="00B46AA0" w:rsidRDefault="00B46AA0">
      <w:pPr>
        <w:rPr>
          <w:highlight w:val="white"/>
        </w:rPr>
      </w:pPr>
    </w:p>
    <w:p w14:paraId="00000015" w14:textId="4321BA25" w:rsidR="00B46AA0" w:rsidRDefault="00E82BAE">
      <w:pPr>
        <w:rPr>
          <w:highlight w:val="white"/>
        </w:rPr>
      </w:pPr>
      <w:r>
        <w:rPr>
          <w:highlight w:val="white"/>
        </w:rPr>
        <w:t>To conclude</w:t>
      </w:r>
      <w:r w:rsidR="00E26EE9">
        <w:rPr>
          <w:highlight w:val="white"/>
        </w:rPr>
        <w:t>,</w:t>
      </w:r>
      <w:r>
        <w:rPr>
          <w:highlight w:val="white"/>
        </w:rPr>
        <w:t xml:space="preserve"> I think the reason why the three accounts are so different from one another is that </w:t>
      </w:r>
      <w:proofErr w:type="spellStart"/>
      <w:r>
        <w:rPr>
          <w:highlight w:val="white"/>
        </w:rPr>
        <w:t>Chailton’s</w:t>
      </w:r>
      <w:proofErr w:type="spellEnd"/>
      <w:r>
        <w:rPr>
          <w:highlight w:val="white"/>
        </w:rPr>
        <w:t xml:space="preserve"> account of Alexander and </w:t>
      </w:r>
      <w:proofErr w:type="spellStart"/>
      <w:r>
        <w:rPr>
          <w:highlight w:val="white"/>
        </w:rPr>
        <w:t>Thalestris</w:t>
      </w:r>
      <w:proofErr w:type="spellEnd"/>
      <w:r>
        <w:rPr>
          <w:highlight w:val="white"/>
        </w:rPr>
        <w:t xml:space="preserve"> was heavily based o</w:t>
      </w:r>
      <w:r w:rsidR="00FF6DBC">
        <w:rPr>
          <w:highlight w:val="white"/>
        </w:rPr>
        <w:t>n</w:t>
      </w:r>
      <w:r>
        <w:rPr>
          <w:highlight w:val="white"/>
        </w:rPr>
        <w:t xml:space="preserve"> Rufus’ which is why the account in the </w:t>
      </w:r>
      <w:r>
        <w:rPr>
          <w:i/>
          <w:highlight w:val="white"/>
        </w:rPr>
        <w:t xml:space="preserve">Historia De </w:t>
      </w:r>
      <w:proofErr w:type="spellStart"/>
      <w:r>
        <w:rPr>
          <w:i/>
          <w:highlight w:val="white"/>
        </w:rPr>
        <w:t>Prelis</w:t>
      </w:r>
      <w:proofErr w:type="spellEnd"/>
      <w:r>
        <w:rPr>
          <w:i/>
          <w:highlight w:val="white"/>
        </w:rPr>
        <w:t xml:space="preserve"> </w:t>
      </w:r>
      <w:r>
        <w:rPr>
          <w:highlight w:val="white"/>
        </w:rPr>
        <w:t>could be seen as more threatening</w:t>
      </w:r>
      <w:r w:rsidR="00E26EE9">
        <w:rPr>
          <w:highlight w:val="white"/>
        </w:rPr>
        <w:t>.</w:t>
      </w:r>
      <w:r>
        <w:rPr>
          <w:highlight w:val="white"/>
        </w:rPr>
        <w:t xml:space="preserve"> </w:t>
      </w:r>
      <w:r w:rsidR="00E26EE9">
        <w:rPr>
          <w:highlight w:val="white"/>
        </w:rPr>
        <w:t>In addition, d</w:t>
      </w:r>
      <w:r>
        <w:rPr>
          <w:highlight w:val="white"/>
        </w:rPr>
        <w:t xml:space="preserve">ifferent events happen in the text when compared to the </w:t>
      </w:r>
      <w:proofErr w:type="spellStart"/>
      <w:r>
        <w:rPr>
          <w:i/>
          <w:highlight w:val="white"/>
        </w:rPr>
        <w:t>Alexandreis</w:t>
      </w:r>
      <w:proofErr w:type="spellEnd"/>
      <w:r>
        <w:rPr>
          <w:highlight w:val="white"/>
        </w:rPr>
        <w:t xml:space="preserve"> and the </w:t>
      </w:r>
      <w:r>
        <w:rPr>
          <w:i/>
          <w:highlight w:val="white"/>
        </w:rPr>
        <w:t>History of Alexander</w:t>
      </w:r>
      <w:r>
        <w:rPr>
          <w:highlight w:val="white"/>
        </w:rPr>
        <w:t>.</w:t>
      </w:r>
      <w:r>
        <w:br w:type="page"/>
      </w:r>
    </w:p>
    <w:p w14:paraId="00000016" w14:textId="77777777" w:rsidR="00B46AA0" w:rsidRDefault="00E82BAE">
      <w:pPr>
        <w:rPr>
          <w:highlight w:val="white"/>
        </w:rPr>
      </w:pPr>
      <w:r>
        <w:rPr>
          <w:highlight w:val="white"/>
          <w:u w:val="single"/>
        </w:rPr>
        <w:lastRenderedPageBreak/>
        <w:t xml:space="preserve">Bibliography </w:t>
      </w:r>
      <w:r>
        <w:rPr>
          <w:i/>
          <w:highlight w:val="white"/>
          <w:u w:val="single"/>
        </w:rPr>
        <w:t xml:space="preserve"> </w:t>
      </w:r>
    </w:p>
    <w:p w14:paraId="00000017" w14:textId="77777777" w:rsidR="00B46AA0" w:rsidRDefault="00B46AA0">
      <w:pPr>
        <w:rPr>
          <w:highlight w:val="white"/>
        </w:rPr>
      </w:pPr>
    </w:p>
    <w:p w14:paraId="00000018" w14:textId="77777777" w:rsidR="00B46AA0" w:rsidRDefault="00E82BAE">
      <w:pPr>
        <w:rPr>
          <w:highlight w:val="white"/>
        </w:rPr>
      </w:pPr>
      <w:r>
        <w:rPr>
          <w:highlight w:val="white"/>
        </w:rPr>
        <w:t xml:space="preserve">The History of Alexander, Quintus </w:t>
      </w:r>
      <w:proofErr w:type="spellStart"/>
      <w:r>
        <w:rPr>
          <w:highlight w:val="white"/>
        </w:rPr>
        <w:t>Curtius</w:t>
      </w:r>
      <w:proofErr w:type="spellEnd"/>
      <w:r>
        <w:rPr>
          <w:highlight w:val="white"/>
        </w:rPr>
        <w:t xml:space="preserve"> Rufus, Loeb trans</w:t>
      </w:r>
    </w:p>
    <w:p w14:paraId="00000019" w14:textId="77777777" w:rsidR="00B46AA0" w:rsidRDefault="00E82BAE">
      <w:pPr>
        <w:rPr>
          <w:highlight w:val="white"/>
        </w:rPr>
      </w:pPr>
      <w:r>
        <w:rPr>
          <w:highlight w:val="white"/>
        </w:rPr>
        <w:t xml:space="preserve">Historia de </w:t>
      </w:r>
      <w:proofErr w:type="spellStart"/>
      <w:r>
        <w:rPr>
          <w:highlight w:val="white"/>
        </w:rPr>
        <w:t>Prelis</w:t>
      </w:r>
      <w:proofErr w:type="spellEnd"/>
      <w:r>
        <w:rPr>
          <w:highlight w:val="white"/>
        </w:rPr>
        <w:t>, The History of Alexander’s Battles</w:t>
      </w:r>
    </w:p>
    <w:p w14:paraId="0000001A" w14:textId="77777777" w:rsidR="00B46AA0" w:rsidRDefault="00E82BAE">
      <w:pPr>
        <w:rPr>
          <w:highlight w:val="white"/>
        </w:rPr>
      </w:pPr>
      <w:r>
        <w:rPr>
          <w:highlight w:val="white"/>
        </w:rPr>
        <w:t xml:space="preserve">The </w:t>
      </w:r>
      <w:proofErr w:type="spellStart"/>
      <w:r>
        <w:rPr>
          <w:highlight w:val="white"/>
        </w:rPr>
        <w:t>Alexandreis</w:t>
      </w:r>
      <w:proofErr w:type="spellEnd"/>
      <w:r>
        <w:rPr>
          <w:highlight w:val="white"/>
        </w:rPr>
        <w:t xml:space="preserve"> of Walter of </w:t>
      </w:r>
      <w:proofErr w:type="spellStart"/>
      <w:r>
        <w:rPr>
          <w:highlight w:val="white"/>
        </w:rPr>
        <w:t>Chailton</w:t>
      </w:r>
      <w:proofErr w:type="spellEnd"/>
      <w:r>
        <w:rPr>
          <w:highlight w:val="white"/>
        </w:rPr>
        <w:t xml:space="preserve">: A Twelfth Century Epic, David </w:t>
      </w:r>
      <w:proofErr w:type="spellStart"/>
      <w:r>
        <w:rPr>
          <w:highlight w:val="white"/>
        </w:rPr>
        <w:t>Towensend</w:t>
      </w:r>
      <w:proofErr w:type="spellEnd"/>
      <w:r>
        <w:rPr>
          <w:highlight w:val="white"/>
        </w:rPr>
        <w:t xml:space="preserve"> trans., 1996, University of Pennsylvania Press</w:t>
      </w:r>
    </w:p>
    <w:p w14:paraId="0000001B" w14:textId="77777777" w:rsidR="00B46AA0" w:rsidRDefault="00B46AA0">
      <w:pPr>
        <w:rPr>
          <w:highlight w:val="white"/>
        </w:rPr>
      </w:pPr>
    </w:p>
    <w:p w14:paraId="0000001C" w14:textId="77777777" w:rsidR="00B46AA0" w:rsidRDefault="00B46AA0">
      <w:pPr>
        <w:rPr>
          <w:highlight w:val="white"/>
        </w:rPr>
      </w:pPr>
    </w:p>
    <w:p w14:paraId="0000001D" w14:textId="77777777" w:rsidR="00B46AA0" w:rsidRDefault="00E82BAE">
      <w:pPr>
        <w:rPr>
          <w:highlight w:val="white"/>
        </w:rPr>
      </w:pPr>
      <w:proofErr w:type="spellStart"/>
      <w:r>
        <w:rPr>
          <w:highlight w:val="white"/>
        </w:rPr>
        <w:t>Baynham</w:t>
      </w:r>
      <w:proofErr w:type="spellEnd"/>
      <w:r>
        <w:rPr>
          <w:highlight w:val="white"/>
        </w:rPr>
        <w:t xml:space="preserve">, Elizabeth. </w:t>
      </w:r>
      <w:r>
        <w:rPr>
          <w:i/>
          <w:highlight w:val="white"/>
        </w:rPr>
        <w:t>Alexander and the Amazons.</w:t>
      </w:r>
      <w:r>
        <w:rPr>
          <w:highlight w:val="white"/>
        </w:rPr>
        <w:t xml:space="preserve"> The Classical Quarterly Vol.51 No.1 (2001): 115-126</w:t>
      </w:r>
    </w:p>
    <w:p w14:paraId="0000001E" w14:textId="77777777" w:rsidR="00B46AA0" w:rsidRPr="00C62720" w:rsidRDefault="00E82BAE">
      <w:pPr>
        <w:rPr>
          <w:highlight w:val="white"/>
          <w:lang w:val="de-DE"/>
        </w:rPr>
      </w:pPr>
      <w:r w:rsidRPr="00C62720">
        <w:rPr>
          <w:highlight w:val="white"/>
          <w:lang w:val="de-DE"/>
        </w:rPr>
        <w:t xml:space="preserve">Duamas, Michele. </w:t>
      </w:r>
      <w:r w:rsidRPr="00C62720">
        <w:rPr>
          <w:i/>
          <w:highlight w:val="white"/>
          <w:lang w:val="de-DE"/>
        </w:rPr>
        <w:t>Alexandre et la Reine des Amazones</w:t>
      </w:r>
      <w:r w:rsidRPr="00C62720">
        <w:rPr>
          <w:highlight w:val="white"/>
          <w:lang w:val="de-DE"/>
        </w:rPr>
        <w:t>. Revue des Etudes Anciennes (1992): 347-354</w:t>
      </w:r>
    </w:p>
    <w:p w14:paraId="0000001F" w14:textId="77777777" w:rsidR="00B46AA0" w:rsidRDefault="00E82BAE">
      <w:pPr>
        <w:rPr>
          <w:highlight w:val="white"/>
        </w:rPr>
      </w:pPr>
      <w:r w:rsidRPr="00C62720">
        <w:rPr>
          <w:highlight w:val="white"/>
          <w:lang w:val="de-DE"/>
        </w:rPr>
        <w:t xml:space="preserve">Munding, Marta. </w:t>
      </w:r>
      <w:r>
        <w:rPr>
          <w:i/>
          <w:highlight w:val="white"/>
        </w:rPr>
        <w:t>Alexander and The Amazon Queen</w:t>
      </w:r>
      <w:r>
        <w:rPr>
          <w:highlight w:val="white"/>
        </w:rPr>
        <w:t xml:space="preserve">. Graeco-Latina </w:t>
      </w:r>
      <w:proofErr w:type="spellStart"/>
      <w:r>
        <w:rPr>
          <w:highlight w:val="white"/>
        </w:rPr>
        <w:t>Brunesia</w:t>
      </w:r>
      <w:proofErr w:type="spellEnd"/>
      <w:r>
        <w:rPr>
          <w:highlight w:val="white"/>
        </w:rPr>
        <w:t xml:space="preserve"> 16 (2011): 125-42</w:t>
      </w:r>
    </w:p>
    <w:p w14:paraId="00000020" w14:textId="77777777" w:rsidR="00B46AA0" w:rsidRDefault="00E82BAE">
      <w:pPr>
        <w:rPr>
          <w:highlight w:val="white"/>
        </w:rPr>
      </w:pPr>
      <w:r>
        <w:rPr>
          <w:highlight w:val="white"/>
        </w:rPr>
        <w:t xml:space="preserve">Townsend, David. </w:t>
      </w:r>
      <w:r>
        <w:rPr>
          <w:i/>
          <w:highlight w:val="white"/>
        </w:rPr>
        <w:t>Sex and The Single Amazon in Twelfth-Century Latin Epic</w:t>
      </w:r>
      <w:r>
        <w:rPr>
          <w:highlight w:val="white"/>
        </w:rPr>
        <w:t xml:space="preserve">. University of Toronto Quarterly Vol.64 No.2 (1995): 255-73  </w:t>
      </w:r>
    </w:p>
    <w:p w14:paraId="00000021" w14:textId="77777777" w:rsidR="00B46AA0" w:rsidRDefault="00B46AA0">
      <w:pPr>
        <w:rPr>
          <w:highlight w:val="white"/>
        </w:rPr>
      </w:pPr>
      <w:bookmarkStart w:id="0" w:name="_GoBack"/>
      <w:bookmarkEnd w:id="0"/>
    </w:p>
    <w:sectPr w:rsidR="00B46AA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EC305" w14:textId="77777777" w:rsidR="00D507B7" w:rsidRDefault="00D507B7">
      <w:pPr>
        <w:spacing w:line="240" w:lineRule="auto"/>
      </w:pPr>
      <w:r>
        <w:separator/>
      </w:r>
    </w:p>
  </w:endnote>
  <w:endnote w:type="continuationSeparator" w:id="0">
    <w:p w14:paraId="5F1BEDED" w14:textId="77777777" w:rsidR="00D507B7" w:rsidRDefault="00D507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4F27C" w14:textId="77777777" w:rsidR="00D507B7" w:rsidRDefault="00D507B7">
      <w:pPr>
        <w:spacing w:line="240" w:lineRule="auto"/>
      </w:pPr>
      <w:r>
        <w:separator/>
      </w:r>
    </w:p>
  </w:footnote>
  <w:footnote w:type="continuationSeparator" w:id="0">
    <w:p w14:paraId="467BAAD9" w14:textId="77777777" w:rsidR="00D507B7" w:rsidRDefault="00D507B7">
      <w:pPr>
        <w:spacing w:line="240" w:lineRule="auto"/>
      </w:pPr>
      <w:r>
        <w:continuationSeparator/>
      </w:r>
    </w:p>
  </w:footnote>
  <w:footnote w:id="1">
    <w:p w14:paraId="00000022"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Munding</w:t>
      </w:r>
      <w:proofErr w:type="spellEnd"/>
      <w:r>
        <w:rPr>
          <w:sz w:val="20"/>
          <w:szCs w:val="20"/>
        </w:rPr>
        <w:t>, 2011, 125</w:t>
      </w:r>
    </w:p>
  </w:footnote>
  <w:footnote w:id="2">
    <w:p w14:paraId="00000023"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Baynham</w:t>
      </w:r>
      <w:proofErr w:type="spellEnd"/>
      <w:r>
        <w:rPr>
          <w:sz w:val="20"/>
          <w:szCs w:val="20"/>
        </w:rPr>
        <w:t>, 2001, 115</w:t>
      </w:r>
    </w:p>
  </w:footnote>
  <w:footnote w:id="3">
    <w:p w14:paraId="00000024"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Munding</w:t>
      </w:r>
      <w:proofErr w:type="spellEnd"/>
      <w:r>
        <w:rPr>
          <w:sz w:val="20"/>
          <w:szCs w:val="20"/>
        </w:rPr>
        <w:t>, 2011, 128-9</w:t>
      </w:r>
    </w:p>
  </w:footnote>
  <w:footnote w:id="4">
    <w:p w14:paraId="00000025"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Munding</w:t>
      </w:r>
      <w:proofErr w:type="spellEnd"/>
      <w:r>
        <w:rPr>
          <w:sz w:val="20"/>
          <w:szCs w:val="20"/>
        </w:rPr>
        <w:t>, 2011, 133</w:t>
      </w:r>
    </w:p>
  </w:footnote>
  <w:footnote w:id="5">
    <w:p w14:paraId="00000026"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Plut</w:t>
      </w:r>
      <w:proofErr w:type="spellEnd"/>
      <w:r>
        <w:rPr>
          <w:sz w:val="20"/>
          <w:szCs w:val="20"/>
        </w:rPr>
        <w:t>. Alex. 46.2</w:t>
      </w:r>
    </w:p>
  </w:footnote>
  <w:footnote w:id="6">
    <w:p w14:paraId="00000027" w14:textId="77777777" w:rsidR="00B46AA0" w:rsidRDefault="00E82BAE">
      <w:pPr>
        <w:spacing w:line="240" w:lineRule="auto"/>
        <w:rPr>
          <w:sz w:val="20"/>
          <w:szCs w:val="20"/>
        </w:rPr>
      </w:pPr>
      <w:r>
        <w:rPr>
          <w:vertAlign w:val="superscript"/>
        </w:rPr>
        <w:footnoteRef/>
      </w:r>
      <w:r>
        <w:rPr>
          <w:sz w:val="20"/>
          <w:szCs w:val="20"/>
        </w:rPr>
        <w:t xml:space="preserve"> Historia de </w:t>
      </w:r>
      <w:proofErr w:type="spellStart"/>
      <w:r>
        <w:rPr>
          <w:sz w:val="20"/>
          <w:szCs w:val="20"/>
        </w:rPr>
        <w:t>Prelis</w:t>
      </w:r>
      <w:proofErr w:type="spellEnd"/>
      <w:r>
        <w:rPr>
          <w:sz w:val="20"/>
          <w:szCs w:val="20"/>
        </w:rPr>
        <w:t>, 3.82</w:t>
      </w:r>
    </w:p>
  </w:footnote>
  <w:footnote w:id="7">
    <w:p w14:paraId="00000028" w14:textId="77777777" w:rsidR="00B46AA0" w:rsidRDefault="00E82BAE">
      <w:pPr>
        <w:spacing w:line="240" w:lineRule="auto"/>
        <w:rPr>
          <w:sz w:val="20"/>
          <w:szCs w:val="20"/>
        </w:rPr>
      </w:pPr>
      <w:r>
        <w:rPr>
          <w:vertAlign w:val="superscript"/>
        </w:rPr>
        <w:footnoteRef/>
      </w:r>
      <w:r>
        <w:rPr>
          <w:sz w:val="20"/>
          <w:szCs w:val="20"/>
        </w:rPr>
        <w:t xml:space="preserve"> Historia de </w:t>
      </w:r>
      <w:proofErr w:type="spellStart"/>
      <w:r>
        <w:rPr>
          <w:sz w:val="20"/>
          <w:szCs w:val="20"/>
        </w:rPr>
        <w:t>Prelis</w:t>
      </w:r>
      <w:proofErr w:type="spellEnd"/>
      <w:r>
        <w:rPr>
          <w:sz w:val="20"/>
          <w:szCs w:val="20"/>
        </w:rPr>
        <w:t>, 3.83</w:t>
      </w:r>
    </w:p>
  </w:footnote>
  <w:footnote w:id="8">
    <w:p w14:paraId="00000029" w14:textId="77777777" w:rsidR="00B46AA0" w:rsidRDefault="00E82BAE">
      <w:pPr>
        <w:spacing w:line="240" w:lineRule="auto"/>
        <w:rPr>
          <w:sz w:val="20"/>
          <w:szCs w:val="20"/>
        </w:rPr>
      </w:pPr>
      <w:r>
        <w:rPr>
          <w:vertAlign w:val="superscript"/>
        </w:rPr>
        <w:footnoteRef/>
      </w:r>
      <w:r>
        <w:rPr>
          <w:sz w:val="20"/>
          <w:szCs w:val="20"/>
        </w:rPr>
        <w:t xml:space="preserve"> Historia de </w:t>
      </w:r>
      <w:proofErr w:type="spellStart"/>
      <w:r>
        <w:rPr>
          <w:sz w:val="20"/>
          <w:szCs w:val="20"/>
        </w:rPr>
        <w:t>Prelis</w:t>
      </w:r>
      <w:proofErr w:type="spellEnd"/>
      <w:r>
        <w:rPr>
          <w:sz w:val="20"/>
          <w:szCs w:val="20"/>
        </w:rPr>
        <w:t>, 3.83</w:t>
      </w:r>
    </w:p>
  </w:footnote>
  <w:footnote w:id="9">
    <w:p w14:paraId="0000002A" w14:textId="77777777" w:rsidR="00B46AA0" w:rsidRDefault="00E82BAE">
      <w:pPr>
        <w:spacing w:line="240" w:lineRule="auto"/>
        <w:rPr>
          <w:sz w:val="20"/>
          <w:szCs w:val="20"/>
        </w:rPr>
      </w:pPr>
      <w:r>
        <w:rPr>
          <w:vertAlign w:val="superscript"/>
        </w:rPr>
        <w:footnoteRef/>
      </w:r>
      <w:r>
        <w:rPr>
          <w:sz w:val="20"/>
          <w:szCs w:val="20"/>
        </w:rPr>
        <w:t xml:space="preserve"> Historia de </w:t>
      </w:r>
      <w:proofErr w:type="spellStart"/>
      <w:r>
        <w:rPr>
          <w:sz w:val="20"/>
          <w:szCs w:val="20"/>
        </w:rPr>
        <w:t>Prelis</w:t>
      </w:r>
      <w:proofErr w:type="spellEnd"/>
      <w:r>
        <w:rPr>
          <w:sz w:val="20"/>
          <w:szCs w:val="20"/>
        </w:rPr>
        <w:t>, 3.84</w:t>
      </w:r>
    </w:p>
  </w:footnote>
  <w:footnote w:id="10">
    <w:p w14:paraId="0000002B"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Towensend</w:t>
      </w:r>
      <w:proofErr w:type="spellEnd"/>
      <w:r>
        <w:rPr>
          <w:sz w:val="20"/>
          <w:szCs w:val="20"/>
        </w:rPr>
        <w:t>, 1995, 260</w:t>
      </w:r>
    </w:p>
  </w:footnote>
  <w:footnote w:id="11">
    <w:p w14:paraId="0000002C"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Munding</w:t>
      </w:r>
      <w:proofErr w:type="spellEnd"/>
      <w:r>
        <w:rPr>
          <w:sz w:val="20"/>
          <w:szCs w:val="20"/>
        </w:rPr>
        <w:t>, 2011, 126</w:t>
      </w:r>
    </w:p>
  </w:footnote>
  <w:footnote w:id="12">
    <w:p w14:paraId="0000002D"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Munding</w:t>
      </w:r>
      <w:proofErr w:type="spellEnd"/>
      <w:r>
        <w:rPr>
          <w:sz w:val="20"/>
          <w:szCs w:val="20"/>
        </w:rPr>
        <w:t>, 2011, 126</w:t>
      </w:r>
    </w:p>
  </w:footnote>
  <w:footnote w:id="13">
    <w:p w14:paraId="0000002E" w14:textId="77777777" w:rsidR="00B46AA0" w:rsidRDefault="00E82BAE">
      <w:pPr>
        <w:spacing w:line="240" w:lineRule="auto"/>
        <w:rPr>
          <w:sz w:val="20"/>
          <w:szCs w:val="20"/>
        </w:rPr>
      </w:pPr>
      <w:r>
        <w:rPr>
          <w:vertAlign w:val="superscript"/>
        </w:rPr>
        <w:footnoteRef/>
      </w:r>
      <w:r>
        <w:rPr>
          <w:sz w:val="20"/>
          <w:szCs w:val="20"/>
        </w:rPr>
        <w:t xml:space="preserve"> Quintus </w:t>
      </w:r>
      <w:proofErr w:type="spellStart"/>
      <w:r>
        <w:rPr>
          <w:sz w:val="20"/>
          <w:szCs w:val="20"/>
        </w:rPr>
        <w:t>Curtius</w:t>
      </w:r>
      <w:proofErr w:type="spellEnd"/>
      <w:r>
        <w:rPr>
          <w:sz w:val="20"/>
          <w:szCs w:val="20"/>
        </w:rPr>
        <w:t xml:space="preserve"> Rufus, History of Alexander, 6.31-2</w:t>
      </w:r>
    </w:p>
  </w:footnote>
  <w:footnote w:id="14">
    <w:p w14:paraId="0000002F" w14:textId="77777777" w:rsidR="00B46AA0" w:rsidRDefault="00E82BAE">
      <w:pPr>
        <w:spacing w:line="240" w:lineRule="auto"/>
        <w:rPr>
          <w:sz w:val="20"/>
          <w:szCs w:val="20"/>
        </w:rPr>
      </w:pPr>
      <w:r>
        <w:rPr>
          <w:vertAlign w:val="superscript"/>
        </w:rPr>
        <w:footnoteRef/>
      </w:r>
      <w:r>
        <w:rPr>
          <w:sz w:val="20"/>
          <w:szCs w:val="20"/>
        </w:rPr>
        <w:t xml:space="preserve"> Walter of </w:t>
      </w:r>
      <w:proofErr w:type="spellStart"/>
      <w:r>
        <w:rPr>
          <w:sz w:val="20"/>
          <w:szCs w:val="20"/>
        </w:rPr>
        <w:t>Chailton</w:t>
      </w:r>
      <w:proofErr w:type="spellEnd"/>
      <w:r>
        <w:rPr>
          <w:sz w:val="20"/>
          <w:szCs w:val="20"/>
        </w:rPr>
        <w:t xml:space="preserve">, The </w:t>
      </w:r>
      <w:proofErr w:type="spellStart"/>
      <w:r>
        <w:rPr>
          <w:sz w:val="20"/>
          <w:szCs w:val="20"/>
        </w:rPr>
        <w:t>Alexandreis</w:t>
      </w:r>
      <w:proofErr w:type="spellEnd"/>
      <w:r>
        <w:rPr>
          <w:sz w:val="20"/>
          <w:szCs w:val="20"/>
        </w:rPr>
        <w:t>, 8.53-4</w:t>
      </w:r>
    </w:p>
  </w:footnote>
  <w:footnote w:id="15">
    <w:p w14:paraId="00000030"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Munding</w:t>
      </w:r>
      <w:proofErr w:type="spellEnd"/>
      <w:r>
        <w:rPr>
          <w:sz w:val="20"/>
          <w:szCs w:val="20"/>
        </w:rPr>
        <w:t xml:space="preserve">, 2011, 135. </w:t>
      </w:r>
      <w:proofErr w:type="spellStart"/>
      <w:r>
        <w:rPr>
          <w:sz w:val="20"/>
          <w:szCs w:val="20"/>
        </w:rPr>
        <w:t>Baynham</w:t>
      </w:r>
      <w:proofErr w:type="spellEnd"/>
      <w:r>
        <w:rPr>
          <w:sz w:val="20"/>
          <w:szCs w:val="20"/>
        </w:rPr>
        <w:t>, 2001, 116</w:t>
      </w:r>
    </w:p>
  </w:footnote>
  <w:footnote w:id="16">
    <w:p w14:paraId="00000031" w14:textId="77777777" w:rsidR="00B46AA0" w:rsidRDefault="00E82BAE">
      <w:pPr>
        <w:spacing w:line="240" w:lineRule="auto"/>
        <w:rPr>
          <w:sz w:val="20"/>
          <w:szCs w:val="20"/>
        </w:rPr>
      </w:pPr>
      <w:r>
        <w:rPr>
          <w:vertAlign w:val="superscript"/>
        </w:rPr>
        <w:footnoteRef/>
      </w:r>
      <w:r>
        <w:rPr>
          <w:sz w:val="20"/>
          <w:szCs w:val="20"/>
        </w:rPr>
        <w:t xml:space="preserve"> Townsend, 1995, 260-1</w:t>
      </w:r>
    </w:p>
  </w:footnote>
  <w:footnote w:id="17">
    <w:p w14:paraId="00000032" w14:textId="77777777" w:rsidR="00B46AA0" w:rsidRDefault="00E82BAE">
      <w:pPr>
        <w:spacing w:line="240" w:lineRule="auto"/>
        <w:rPr>
          <w:sz w:val="20"/>
          <w:szCs w:val="20"/>
        </w:rPr>
      </w:pPr>
      <w:r>
        <w:rPr>
          <w:vertAlign w:val="superscript"/>
        </w:rPr>
        <w:footnoteRef/>
      </w:r>
      <w:r>
        <w:rPr>
          <w:sz w:val="20"/>
          <w:szCs w:val="20"/>
        </w:rPr>
        <w:t xml:space="preserve"> Quintus </w:t>
      </w:r>
      <w:proofErr w:type="spellStart"/>
      <w:r>
        <w:rPr>
          <w:sz w:val="20"/>
          <w:szCs w:val="20"/>
        </w:rPr>
        <w:t>Curtius</w:t>
      </w:r>
      <w:proofErr w:type="spellEnd"/>
      <w:r>
        <w:rPr>
          <w:sz w:val="20"/>
          <w:szCs w:val="20"/>
        </w:rPr>
        <w:t xml:space="preserve"> Rufus, History of Alexander, 6.27</w:t>
      </w:r>
    </w:p>
  </w:footnote>
  <w:footnote w:id="18">
    <w:p w14:paraId="00000033" w14:textId="77777777" w:rsidR="00B46AA0" w:rsidRDefault="00E82BAE">
      <w:pPr>
        <w:spacing w:line="240" w:lineRule="auto"/>
        <w:rPr>
          <w:sz w:val="20"/>
          <w:szCs w:val="20"/>
        </w:rPr>
      </w:pPr>
      <w:r>
        <w:rPr>
          <w:vertAlign w:val="superscript"/>
        </w:rPr>
        <w:footnoteRef/>
      </w:r>
      <w:r>
        <w:rPr>
          <w:sz w:val="20"/>
          <w:szCs w:val="20"/>
        </w:rPr>
        <w:t xml:space="preserve"> Walter of </w:t>
      </w:r>
      <w:proofErr w:type="spellStart"/>
      <w:r>
        <w:rPr>
          <w:sz w:val="20"/>
          <w:szCs w:val="20"/>
        </w:rPr>
        <w:t>Chailton</w:t>
      </w:r>
      <w:proofErr w:type="spellEnd"/>
      <w:r>
        <w:rPr>
          <w:sz w:val="20"/>
          <w:szCs w:val="20"/>
        </w:rPr>
        <w:t xml:space="preserve">, The </w:t>
      </w:r>
      <w:proofErr w:type="spellStart"/>
      <w:r>
        <w:rPr>
          <w:sz w:val="20"/>
          <w:szCs w:val="20"/>
        </w:rPr>
        <w:t>Alexandreis</w:t>
      </w:r>
      <w:proofErr w:type="spellEnd"/>
      <w:r>
        <w:rPr>
          <w:sz w:val="20"/>
          <w:szCs w:val="20"/>
        </w:rPr>
        <w:t>, 8.18-9</w:t>
      </w:r>
    </w:p>
    <w:p w14:paraId="00000034" w14:textId="77777777" w:rsidR="00B46AA0" w:rsidRDefault="00B46AA0">
      <w:pPr>
        <w:spacing w:line="240" w:lineRule="auto"/>
        <w:rPr>
          <w:sz w:val="20"/>
          <w:szCs w:val="20"/>
        </w:rPr>
      </w:pPr>
    </w:p>
  </w:footnote>
  <w:footnote w:id="19">
    <w:p w14:paraId="00000035" w14:textId="77777777" w:rsidR="00B46AA0" w:rsidRDefault="00E82BAE">
      <w:pPr>
        <w:spacing w:line="240" w:lineRule="auto"/>
        <w:rPr>
          <w:sz w:val="20"/>
          <w:szCs w:val="20"/>
        </w:rPr>
      </w:pPr>
      <w:r>
        <w:rPr>
          <w:vertAlign w:val="superscript"/>
        </w:rPr>
        <w:footnoteRef/>
      </w:r>
      <w:r>
        <w:rPr>
          <w:sz w:val="20"/>
          <w:szCs w:val="20"/>
        </w:rPr>
        <w:t xml:space="preserve">  Walter of </w:t>
      </w:r>
      <w:proofErr w:type="spellStart"/>
      <w:r>
        <w:rPr>
          <w:sz w:val="20"/>
          <w:szCs w:val="20"/>
        </w:rPr>
        <w:t>Chailton</w:t>
      </w:r>
      <w:proofErr w:type="spellEnd"/>
      <w:r>
        <w:rPr>
          <w:sz w:val="20"/>
          <w:szCs w:val="20"/>
        </w:rPr>
        <w:t xml:space="preserve">, The </w:t>
      </w:r>
      <w:proofErr w:type="spellStart"/>
      <w:r>
        <w:rPr>
          <w:sz w:val="20"/>
          <w:szCs w:val="20"/>
        </w:rPr>
        <w:t>Alexandreis</w:t>
      </w:r>
      <w:proofErr w:type="spellEnd"/>
      <w:r>
        <w:rPr>
          <w:sz w:val="20"/>
          <w:szCs w:val="20"/>
        </w:rPr>
        <w:t>, 8.32</w:t>
      </w:r>
    </w:p>
  </w:footnote>
  <w:footnote w:id="20">
    <w:p w14:paraId="00000038" w14:textId="77777777" w:rsidR="00B46AA0" w:rsidRDefault="00E82BAE">
      <w:pPr>
        <w:spacing w:line="240" w:lineRule="auto"/>
        <w:rPr>
          <w:sz w:val="20"/>
          <w:szCs w:val="20"/>
        </w:rPr>
      </w:pPr>
      <w:r>
        <w:rPr>
          <w:vertAlign w:val="superscript"/>
        </w:rPr>
        <w:footnoteRef/>
      </w:r>
      <w:r>
        <w:rPr>
          <w:sz w:val="20"/>
          <w:szCs w:val="20"/>
        </w:rPr>
        <w:t xml:space="preserve"> Dumas, 1992, 350</w:t>
      </w:r>
    </w:p>
  </w:footnote>
  <w:footnote w:id="21">
    <w:p w14:paraId="00000037" w14:textId="77777777" w:rsidR="00B46AA0" w:rsidRDefault="00E82BAE">
      <w:pPr>
        <w:spacing w:line="240" w:lineRule="auto"/>
        <w:rPr>
          <w:sz w:val="20"/>
          <w:szCs w:val="20"/>
        </w:rPr>
      </w:pPr>
      <w:r>
        <w:rPr>
          <w:vertAlign w:val="superscript"/>
        </w:rPr>
        <w:footnoteRef/>
      </w:r>
      <w:r>
        <w:rPr>
          <w:sz w:val="20"/>
          <w:szCs w:val="20"/>
        </w:rPr>
        <w:t xml:space="preserve"> Walter of </w:t>
      </w:r>
      <w:proofErr w:type="spellStart"/>
      <w:r>
        <w:rPr>
          <w:sz w:val="20"/>
          <w:szCs w:val="20"/>
        </w:rPr>
        <w:t>Chailton</w:t>
      </w:r>
      <w:proofErr w:type="spellEnd"/>
      <w:r>
        <w:rPr>
          <w:sz w:val="20"/>
          <w:szCs w:val="20"/>
        </w:rPr>
        <w:t xml:space="preserve">, The </w:t>
      </w:r>
      <w:proofErr w:type="spellStart"/>
      <w:r>
        <w:rPr>
          <w:sz w:val="20"/>
          <w:szCs w:val="20"/>
        </w:rPr>
        <w:t>Alexandreis</w:t>
      </w:r>
      <w:proofErr w:type="spellEnd"/>
      <w:r>
        <w:rPr>
          <w:sz w:val="20"/>
          <w:szCs w:val="20"/>
        </w:rPr>
        <w:t>, 8.29-30</w:t>
      </w:r>
    </w:p>
  </w:footnote>
  <w:footnote w:id="22">
    <w:p w14:paraId="00000036" w14:textId="77777777" w:rsidR="00B46AA0" w:rsidRDefault="00E82BAE">
      <w:pPr>
        <w:spacing w:line="240" w:lineRule="auto"/>
        <w:rPr>
          <w:sz w:val="20"/>
          <w:szCs w:val="20"/>
        </w:rPr>
      </w:pPr>
      <w:r>
        <w:rPr>
          <w:vertAlign w:val="superscript"/>
        </w:rPr>
        <w:footnoteRef/>
      </w:r>
      <w:r>
        <w:rPr>
          <w:sz w:val="20"/>
          <w:szCs w:val="20"/>
        </w:rPr>
        <w:t xml:space="preserve">  Quintus </w:t>
      </w:r>
      <w:proofErr w:type="spellStart"/>
      <w:r>
        <w:rPr>
          <w:sz w:val="20"/>
          <w:szCs w:val="20"/>
        </w:rPr>
        <w:t>Curtius</w:t>
      </w:r>
      <w:proofErr w:type="spellEnd"/>
      <w:r>
        <w:rPr>
          <w:sz w:val="20"/>
          <w:szCs w:val="20"/>
        </w:rPr>
        <w:t xml:space="preserve"> Rufus, History of Alexander, 6.29</w:t>
      </w:r>
    </w:p>
  </w:footnote>
  <w:footnote w:id="23">
    <w:p w14:paraId="00000039"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Baynham</w:t>
      </w:r>
      <w:proofErr w:type="spellEnd"/>
      <w:r>
        <w:rPr>
          <w:sz w:val="20"/>
          <w:szCs w:val="20"/>
        </w:rPr>
        <w:t>, 2001, 117</w:t>
      </w:r>
    </w:p>
  </w:footnote>
  <w:footnote w:id="24">
    <w:p w14:paraId="0000003A" w14:textId="77777777" w:rsidR="00B46AA0" w:rsidRDefault="00E82BAE">
      <w:pPr>
        <w:spacing w:line="240" w:lineRule="auto"/>
        <w:rPr>
          <w:sz w:val="20"/>
          <w:szCs w:val="20"/>
        </w:rPr>
      </w:pPr>
      <w:r>
        <w:rPr>
          <w:vertAlign w:val="superscript"/>
        </w:rPr>
        <w:footnoteRef/>
      </w:r>
      <w:r>
        <w:rPr>
          <w:sz w:val="20"/>
          <w:szCs w:val="20"/>
        </w:rPr>
        <w:t xml:space="preserve"> </w:t>
      </w:r>
      <w:proofErr w:type="spellStart"/>
      <w:r>
        <w:rPr>
          <w:sz w:val="20"/>
          <w:szCs w:val="20"/>
        </w:rPr>
        <w:t>Baynham</w:t>
      </w:r>
      <w:proofErr w:type="spellEnd"/>
      <w:r>
        <w:rPr>
          <w:sz w:val="20"/>
          <w:szCs w:val="20"/>
        </w:rPr>
        <w:t>, 2001, 117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xMLA0M7AwMTc3tzRQ0lEKTi0uzszPAykwrAUA0ysqeiwAAAA="/>
  </w:docVars>
  <w:rsids>
    <w:rsidRoot w:val="00B46AA0"/>
    <w:rsid w:val="0018509D"/>
    <w:rsid w:val="003233F7"/>
    <w:rsid w:val="008B59A4"/>
    <w:rsid w:val="00B46AA0"/>
    <w:rsid w:val="00BC7158"/>
    <w:rsid w:val="00C62720"/>
    <w:rsid w:val="00D205F6"/>
    <w:rsid w:val="00D507B7"/>
    <w:rsid w:val="00E26EE9"/>
    <w:rsid w:val="00E82BAE"/>
    <w:rsid w:val="00EA7D83"/>
    <w:rsid w:val="00FF6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A57AF"/>
  <w15:docId w15:val="{90CE915A-8EC5-4F99-ADCC-39F6EC11B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C62720"/>
    <w:rPr>
      <w:sz w:val="16"/>
      <w:szCs w:val="16"/>
    </w:rPr>
  </w:style>
  <w:style w:type="paragraph" w:styleId="CommentText">
    <w:name w:val="annotation text"/>
    <w:basedOn w:val="Normal"/>
    <w:link w:val="CommentTextChar"/>
    <w:uiPriority w:val="99"/>
    <w:semiHidden/>
    <w:unhideWhenUsed/>
    <w:rsid w:val="00C62720"/>
    <w:pPr>
      <w:spacing w:line="240" w:lineRule="auto"/>
    </w:pPr>
    <w:rPr>
      <w:sz w:val="20"/>
      <w:szCs w:val="20"/>
    </w:rPr>
  </w:style>
  <w:style w:type="character" w:customStyle="1" w:styleId="CommentTextChar">
    <w:name w:val="Comment Text Char"/>
    <w:basedOn w:val="DefaultParagraphFont"/>
    <w:link w:val="CommentText"/>
    <w:uiPriority w:val="99"/>
    <w:semiHidden/>
    <w:rsid w:val="00C62720"/>
    <w:rPr>
      <w:sz w:val="20"/>
      <w:szCs w:val="20"/>
    </w:rPr>
  </w:style>
  <w:style w:type="paragraph" w:styleId="CommentSubject">
    <w:name w:val="annotation subject"/>
    <w:basedOn w:val="CommentText"/>
    <w:next w:val="CommentText"/>
    <w:link w:val="CommentSubjectChar"/>
    <w:uiPriority w:val="99"/>
    <w:semiHidden/>
    <w:unhideWhenUsed/>
    <w:rsid w:val="00C62720"/>
    <w:rPr>
      <w:b/>
      <w:bCs/>
    </w:rPr>
  </w:style>
  <w:style w:type="character" w:customStyle="1" w:styleId="CommentSubjectChar">
    <w:name w:val="Comment Subject Char"/>
    <w:basedOn w:val="CommentTextChar"/>
    <w:link w:val="CommentSubject"/>
    <w:uiPriority w:val="99"/>
    <w:semiHidden/>
    <w:rsid w:val="00C62720"/>
    <w:rPr>
      <w:b/>
      <w:bCs/>
      <w:sz w:val="20"/>
      <w:szCs w:val="20"/>
    </w:rPr>
  </w:style>
  <w:style w:type="paragraph" w:styleId="BalloonText">
    <w:name w:val="Balloon Text"/>
    <w:basedOn w:val="Normal"/>
    <w:link w:val="BalloonTextChar"/>
    <w:uiPriority w:val="99"/>
    <w:semiHidden/>
    <w:unhideWhenUsed/>
    <w:rsid w:val="00C627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7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1064</Words>
  <Characters>6067</Characters>
  <Application>Microsoft Office Word</Application>
  <DocSecurity>0</DocSecurity>
  <Lines>50</Lines>
  <Paragraphs>14</Paragraphs>
  <ScaleCrop>false</ScaleCrop>
  <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dc:creator>
  <cp:lastModifiedBy>Sofia Corsi</cp:lastModifiedBy>
  <cp:revision>2</cp:revision>
  <cp:lastPrinted>2020-01-13T16:14:00Z</cp:lastPrinted>
  <dcterms:created xsi:type="dcterms:W3CDTF">2020-01-13T16:15:00Z</dcterms:created>
  <dcterms:modified xsi:type="dcterms:W3CDTF">2020-01-13T16:15:00Z</dcterms:modified>
</cp:coreProperties>
</file>