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586214678"/>
        <w:docPartObj>
          <w:docPartGallery w:val="Cover Pages"/>
          <w:docPartUnique/>
        </w:docPartObj>
      </w:sdtPr>
      <w:sdtEndPr>
        <w:rPr>
          <w:color w:val="auto"/>
        </w:rPr>
      </w:sdtEndPr>
      <w:sdtContent>
        <w:p w14:paraId="41313157" w14:textId="74EA047A" w:rsidR="00B64C0C" w:rsidRDefault="00B64C0C">
          <w:pPr>
            <w:pStyle w:val="NoSpacing"/>
            <w:spacing w:before="1540" w:after="240"/>
            <w:jc w:val="center"/>
            <w:rPr>
              <w:color w:val="156082" w:themeColor="accent1"/>
            </w:rPr>
          </w:pPr>
          <w:r>
            <w:rPr>
              <w:noProof/>
              <w:color w:val="156082" w:themeColor="accent1"/>
            </w:rPr>
            <w:drawing>
              <wp:inline distT="0" distB="0" distL="0" distR="0" wp14:anchorId="199E17B1" wp14:editId="60FF9A3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F59779F4D3594C56A3378169603590EB"/>
            </w:placeholder>
            <w:dataBinding w:prefixMappings="xmlns:ns0='http://purl.org/dc/elements/1.1/' xmlns:ns1='http://schemas.openxmlformats.org/package/2006/metadata/core-properties' " w:xpath="/ns1:coreProperties[1]/ns0:title[1]" w:storeItemID="{6C3C8BC8-F283-45AE-878A-BAB7291924A1}"/>
            <w:text/>
          </w:sdtPr>
          <w:sdtContent>
            <w:p w14:paraId="173E9C71" w14:textId="1737A528" w:rsidR="00B64C0C" w:rsidRDefault="00622D6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622D6B">
                <w:rPr>
                  <w:rFonts w:asciiTheme="majorHAnsi" w:eastAsiaTheme="majorEastAsia" w:hAnsiTheme="majorHAnsi" w:cstheme="majorBidi"/>
                  <w:caps/>
                  <w:color w:val="156082" w:themeColor="accent1"/>
                  <w:sz w:val="72"/>
                  <w:szCs w:val="72"/>
                </w:rPr>
                <w:t>Research Methods for Business</w:t>
              </w:r>
            </w:p>
          </w:sdtContent>
        </w:sdt>
        <w:sdt>
          <w:sdtPr>
            <w:rPr>
              <w:color w:val="156082" w:themeColor="accent1"/>
              <w:sz w:val="28"/>
              <w:szCs w:val="28"/>
            </w:rPr>
            <w:alias w:val="Subtitle"/>
            <w:tag w:val=""/>
            <w:id w:val="328029620"/>
            <w:placeholder>
              <w:docPart w:val="2B284D6ECBD3443BB4C3566FBE6AE2BD"/>
            </w:placeholder>
            <w:dataBinding w:prefixMappings="xmlns:ns0='http://purl.org/dc/elements/1.1/' xmlns:ns1='http://schemas.openxmlformats.org/package/2006/metadata/core-properties' " w:xpath="/ns1:coreProperties[1]/ns0:subject[1]" w:storeItemID="{6C3C8BC8-F283-45AE-878A-BAB7291924A1}"/>
            <w:text/>
          </w:sdtPr>
          <w:sdtContent>
            <w:p w14:paraId="5804599D" w14:textId="6ACECF40" w:rsidR="00B64C0C" w:rsidRDefault="00622D6B">
              <w:pPr>
                <w:pStyle w:val="NoSpacing"/>
                <w:jc w:val="center"/>
                <w:rPr>
                  <w:color w:val="156082" w:themeColor="accent1"/>
                  <w:sz w:val="28"/>
                  <w:szCs w:val="28"/>
                </w:rPr>
              </w:pPr>
              <w:r>
                <w:rPr>
                  <w:color w:val="156082" w:themeColor="accent1"/>
                  <w:sz w:val="28"/>
                  <w:szCs w:val="28"/>
                </w:rPr>
                <w:t>Lamar Walters 2310732</w:t>
              </w:r>
            </w:p>
          </w:sdtContent>
        </w:sdt>
        <w:p w14:paraId="39EECF93" w14:textId="77777777" w:rsidR="00B64C0C" w:rsidRDefault="00B64C0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8CD3E86" wp14:editId="04E47A2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ED1567C" w14:textId="346BEC54" w:rsidR="00B64C0C" w:rsidRDefault="00622D6B">
                                    <w:pPr>
                                      <w:pStyle w:val="NoSpacing"/>
                                      <w:spacing w:after="40"/>
                                      <w:jc w:val="center"/>
                                      <w:rPr>
                                        <w:caps/>
                                        <w:color w:val="156082" w:themeColor="accent1"/>
                                        <w:sz w:val="28"/>
                                        <w:szCs w:val="28"/>
                                      </w:rPr>
                                    </w:pPr>
                                    <w:r w:rsidRPr="00622D6B">
                                      <w:rPr>
                                        <w:caps/>
                                        <w:color w:val="156082" w:themeColor="accent1"/>
                                        <w:sz w:val="28"/>
                                        <w:szCs w:val="28"/>
                                      </w:rPr>
                                      <w:t>LCLM6004</w:t>
                                    </w:r>
                                  </w:p>
                                </w:sdtContent>
                              </w:sdt>
                              <w:p w14:paraId="2FEF8C85" w14:textId="426D4359" w:rsidR="00B64C0C"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22D6B" w:rsidRPr="00622D6B">
                                      <w:rPr>
                                        <w:caps/>
                                        <w:color w:val="156082" w:themeColor="accent1"/>
                                      </w:rPr>
                                      <w:t>BA (Hons) Leadership and Management Skills for the Workplace</w:t>
                                    </w:r>
                                  </w:sdtContent>
                                </w:sdt>
                              </w:p>
                              <w:p w14:paraId="13EE8A02" w14:textId="75DAF13A" w:rsidR="00B64C0C"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22D6B" w:rsidRPr="00622D6B">
                                      <w:rPr>
                                        <w:color w:val="156082" w:themeColor="accent1"/>
                                      </w:rPr>
                                      <w:t>Dr Olu Adegbite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CD3E8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ED1567C" w14:textId="346BEC54" w:rsidR="00B64C0C" w:rsidRDefault="00622D6B">
                              <w:pPr>
                                <w:pStyle w:val="NoSpacing"/>
                                <w:spacing w:after="40"/>
                                <w:jc w:val="center"/>
                                <w:rPr>
                                  <w:caps/>
                                  <w:color w:val="156082" w:themeColor="accent1"/>
                                  <w:sz w:val="28"/>
                                  <w:szCs w:val="28"/>
                                </w:rPr>
                              </w:pPr>
                              <w:r w:rsidRPr="00622D6B">
                                <w:rPr>
                                  <w:caps/>
                                  <w:color w:val="156082" w:themeColor="accent1"/>
                                  <w:sz w:val="28"/>
                                  <w:szCs w:val="28"/>
                                </w:rPr>
                                <w:t>LCLM6004</w:t>
                              </w:r>
                            </w:p>
                          </w:sdtContent>
                        </w:sdt>
                        <w:p w14:paraId="2FEF8C85" w14:textId="426D4359" w:rsidR="00B64C0C"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22D6B" w:rsidRPr="00622D6B">
                                <w:rPr>
                                  <w:caps/>
                                  <w:color w:val="156082" w:themeColor="accent1"/>
                                </w:rPr>
                                <w:t>BA (Hons) Leadership and Management Skills for the Workplace</w:t>
                              </w:r>
                            </w:sdtContent>
                          </w:sdt>
                        </w:p>
                        <w:p w14:paraId="13EE8A02" w14:textId="75DAF13A" w:rsidR="00B64C0C"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22D6B" w:rsidRPr="00622D6B">
                                <w:rPr>
                                  <w:color w:val="156082" w:themeColor="accent1"/>
                                </w:rPr>
                                <w:t>Dr Olu Adegbite</w:t>
                              </w:r>
                            </w:sdtContent>
                          </w:sdt>
                        </w:p>
                      </w:txbxContent>
                    </v:textbox>
                    <w10:wrap anchorx="margin" anchory="page"/>
                  </v:shape>
                </w:pict>
              </mc:Fallback>
            </mc:AlternateContent>
          </w:r>
          <w:r>
            <w:rPr>
              <w:noProof/>
              <w:color w:val="156082" w:themeColor="accent1"/>
            </w:rPr>
            <w:drawing>
              <wp:inline distT="0" distB="0" distL="0" distR="0" wp14:anchorId="4C2E7A4A" wp14:editId="2E16401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6BDB84" w14:textId="775A453F" w:rsidR="00B64C0C" w:rsidRDefault="00B64C0C">
          <w:r>
            <w:br w:type="page"/>
          </w:r>
        </w:p>
      </w:sdtContent>
    </w:sdt>
    <w:p w14:paraId="7D4D41C2" w14:textId="7F63D00D" w:rsidR="00B64C0C" w:rsidRDefault="00B64C0C" w:rsidP="00B64C0C">
      <w:r>
        <w:lastRenderedPageBreak/>
        <w:t xml:space="preserve">CONTENTS </w:t>
      </w:r>
    </w:p>
    <w:p w14:paraId="17E0B42D" w14:textId="37B0EF74" w:rsidR="00B64C0C" w:rsidRPr="00874219" w:rsidRDefault="0038424F" w:rsidP="00B64C0C">
      <w:pPr>
        <w:rPr>
          <w:sz w:val="32"/>
          <w:szCs w:val="32"/>
        </w:rPr>
      </w:pPr>
      <w:r w:rsidRPr="00874219">
        <w:rPr>
          <w:sz w:val="32"/>
          <w:szCs w:val="32"/>
        </w:rPr>
        <w:t xml:space="preserve">● </w:t>
      </w:r>
      <w:r w:rsidR="00556542" w:rsidRPr="00874219">
        <w:rPr>
          <w:sz w:val="32"/>
          <w:szCs w:val="32"/>
        </w:rPr>
        <w:t>Balancing Profitability and Sustainability</w:t>
      </w:r>
      <w:r w:rsidR="00AF19B8" w:rsidRPr="00874219">
        <w:rPr>
          <w:sz w:val="32"/>
          <w:szCs w:val="32"/>
        </w:rPr>
        <w:t xml:space="preserve"> </w:t>
      </w:r>
      <w:r w:rsidR="00874219" w:rsidRPr="00874219">
        <w:rPr>
          <w:sz w:val="32"/>
          <w:szCs w:val="32"/>
        </w:rPr>
        <w:t xml:space="preserve">Page </w:t>
      </w:r>
      <w:r w:rsidR="00AF19B8" w:rsidRPr="00874219">
        <w:rPr>
          <w:sz w:val="32"/>
          <w:szCs w:val="32"/>
        </w:rPr>
        <w:t>2</w:t>
      </w:r>
    </w:p>
    <w:p w14:paraId="226CF033" w14:textId="3390DE7C" w:rsidR="00B64C0C" w:rsidRPr="00874219" w:rsidRDefault="0038424F" w:rsidP="00B64C0C">
      <w:pPr>
        <w:rPr>
          <w:sz w:val="32"/>
          <w:szCs w:val="32"/>
        </w:rPr>
      </w:pPr>
      <w:r w:rsidRPr="00874219">
        <w:rPr>
          <w:sz w:val="32"/>
          <w:szCs w:val="32"/>
        </w:rPr>
        <w:t xml:space="preserve">● </w:t>
      </w:r>
      <w:r w:rsidR="00B64C0C" w:rsidRPr="00874219">
        <w:rPr>
          <w:sz w:val="32"/>
          <w:szCs w:val="32"/>
        </w:rPr>
        <w:t>Research Aim, Objectives and Questions</w:t>
      </w:r>
      <w:r w:rsidR="00874219" w:rsidRPr="00874219">
        <w:rPr>
          <w:sz w:val="32"/>
          <w:szCs w:val="32"/>
        </w:rPr>
        <w:t xml:space="preserve"> </w:t>
      </w:r>
      <w:r w:rsidR="00874219" w:rsidRPr="00874219">
        <w:rPr>
          <w:sz w:val="32"/>
          <w:szCs w:val="32"/>
        </w:rPr>
        <w:t>Page</w:t>
      </w:r>
      <w:r w:rsidR="00B64C0C" w:rsidRPr="00874219">
        <w:rPr>
          <w:sz w:val="32"/>
          <w:szCs w:val="32"/>
        </w:rPr>
        <w:t xml:space="preserve"> </w:t>
      </w:r>
      <w:r w:rsidR="00AF19B8" w:rsidRPr="00874219">
        <w:rPr>
          <w:sz w:val="32"/>
          <w:szCs w:val="32"/>
        </w:rPr>
        <w:t>2</w:t>
      </w:r>
    </w:p>
    <w:p w14:paraId="32763EA0" w14:textId="42862469" w:rsidR="00B64C0C" w:rsidRPr="00874219" w:rsidRDefault="006C4F4A" w:rsidP="00B64C0C">
      <w:pPr>
        <w:rPr>
          <w:sz w:val="32"/>
          <w:szCs w:val="32"/>
        </w:rPr>
      </w:pPr>
      <w:r w:rsidRPr="00874219">
        <w:rPr>
          <w:sz w:val="32"/>
          <w:szCs w:val="32"/>
        </w:rPr>
        <w:t>●</w:t>
      </w:r>
      <w:r w:rsidR="00874219" w:rsidRPr="00874219">
        <w:rPr>
          <w:sz w:val="32"/>
          <w:szCs w:val="32"/>
        </w:rPr>
        <w:t xml:space="preserve"> </w:t>
      </w:r>
      <w:r w:rsidR="00B64C0C" w:rsidRPr="00874219">
        <w:rPr>
          <w:sz w:val="32"/>
          <w:szCs w:val="32"/>
        </w:rPr>
        <w:t xml:space="preserve">Critical Literature Review </w:t>
      </w:r>
      <w:r w:rsidR="00874219" w:rsidRPr="00874219">
        <w:rPr>
          <w:sz w:val="32"/>
          <w:szCs w:val="32"/>
        </w:rPr>
        <w:t xml:space="preserve">Page </w:t>
      </w:r>
      <w:r w:rsidR="00AF19B8" w:rsidRPr="00874219">
        <w:rPr>
          <w:sz w:val="32"/>
          <w:szCs w:val="32"/>
        </w:rPr>
        <w:t>3</w:t>
      </w:r>
    </w:p>
    <w:p w14:paraId="39FC0603" w14:textId="1FC5A245" w:rsidR="0038424F" w:rsidRPr="0038424F" w:rsidRDefault="00AF19B8" w:rsidP="00B64C0C">
      <w:r>
        <w:t xml:space="preserve">3.1 </w:t>
      </w:r>
      <w:r w:rsidR="0038424F" w:rsidRPr="0038424F">
        <w:t xml:space="preserve">Energy Transition and the Strategic Dilemma in Oil and Gas Firms </w:t>
      </w:r>
      <w:r w:rsidR="00874219">
        <w:t>…………</w:t>
      </w:r>
      <w:r w:rsidR="00874219">
        <w:t xml:space="preserve"> </w:t>
      </w:r>
      <w:r w:rsidR="00874219" w:rsidRPr="00874219">
        <w:t>Page</w:t>
      </w:r>
      <w:r w:rsidR="00874219">
        <w:rPr>
          <w:sz w:val="28"/>
          <w:szCs w:val="28"/>
        </w:rPr>
        <w:t xml:space="preserve"> </w:t>
      </w:r>
      <w:r w:rsidR="00874219">
        <w:t>3</w:t>
      </w:r>
    </w:p>
    <w:p w14:paraId="525073F2" w14:textId="27FF781E" w:rsidR="0038424F" w:rsidRPr="0038424F" w:rsidRDefault="00874219" w:rsidP="00B64C0C">
      <w:r>
        <w:t>3.</w:t>
      </w:r>
      <w:r>
        <w:t>2</w:t>
      </w:r>
      <w:r>
        <w:t xml:space="preserve"> </w:t>
      </w:r>
      <w:r w:rsidR="0038424F" w:rsidRPr="0038424F">
        <w:t xml:space="preserve">Stakeholder Theory and Competing Pressures </w:t>
      </w:r>
      <w:r>
        <w:t>……………………………</w:t>
      </w:r>
      <w:r>
        <w:t>……</w:t>
      </w:r>
      <w:r>
        <w:t xml:space="preserve">… </w:t>
      </w:r>
      <w:r w:rsidRPr="00874219">
        <w:t>Page</w:t>
      </w:r>
      <w:r>
        <w:rPr>
          <w:sz w:val="28"/>
          <w:szCs w:val="28"/>
        </w:rPr>
        <w:t xml:space="preserve"> </w:t>
      </w:r>
      <w:r w:rsidR="0038424F" w:rsidRPr="0038424F">
        <w:t>4</w:t>
      </w:r>
    </w:p>
    <w:p w14:paraId="44B25D51" w14:textId="630BDB47" w:rsidR="0038424F" w:rsidRPr="0038424F" w:rsidRDefault="00874219" w:rsidP="00B64C0C">
      <w:r>
        <w:t xml:space="preserve">3.1 </w:t>
      </w:r>
      <w:r w:rsidR="0038424F" w:rsidRPr="0038424F">
        <w:t xml:space="preserve">Institutional Theory and Legitimacy </w:t>
      </w:r>
      <w:r>
        <w:t>…………</w:t>
      </w:r>
      <w:r>
        <w:t>……………………</w:t>
      </w:r>
      <w:r>
        <w:t>………………</w:t>
      </w:r>
      <w:proofErr w:type="gramStart"/>
      <w:r>
        <w:t>…</w:t>
      </w:r>
      <w:r>
        <w:t>..</w:t>
      </w:r>
      <w:proofErr w:type="gramEnd"/>
      <w:r>
        <w:t xml:space="preserve"> </w:t>
      </w:r>
      <w:r w:rsidRPr="00874219">
        <w:t>Page</w:t>
      </w:r>
      <w:r>
        <w:rPr>
          <w:sz w:val="28"/>
          <w:szCs w:val="28"/>
        </w:rPr>
        <w:t xml:space="preserve"> </w:t>
      </w:r>
      <w:r>
        <w:t>4</w:t>
      </w:r>
    </w:p>
    <w:p w14:paraId="114A67C6" w14:textId="612F2BF0" w:rsidR="0038424F" w:rsidRPr="0038424F" w:rsidRDefault="00874219" w:rsidP="00B64C0C">
      <w:r>
        <w:t xml:space="preserve">3.1 </w:t>
      </w:r>
      <w:r w:rsidR="0038424F" w:rsidRPr="00DE79E7">
        <w:t>Strategic Ambidexterity and Organisational Tension</w:t>
      </w:r>
      <w:r w:rsidR="0038424F" w:rsidRPr="0038424F">
        <w:t xml:space="preserve"> </w:t>
      </w:r>
      <w:r>
        <w:t>………………</w:t>
      </w:r>
      <w:r>
        <w:t>….</w:t>
      </w:r>
      <w:r>
        <w:t xml:space="preserve">………… </w:t>
      </w:r>
      <w:r w:rsidRPr="00874219">
        <w:t>Page</w:t>
      </w:r>
      <w:r>
        <w:rPr>
          <w:sz w:val="28"/>
          <w:szCs w:val="28"/>
        </w:rPr>
        <w:t xml:space="preserve"> </w:t>
      </w:r>
      <w:r>
        <w:t>5</w:t>
      </w:r>
    </w:p>
    <w:p w14:paraId="01D498C1" w14:textId="039CF875" w:rsidR="0038424F" w:rsidRPr="0038424F" w:rsidRDefault="00874219" w:rsidP="00B64C0C">
      <w:r>
        <w:t xml:space="preserve">3.1 </w:t>
      </w:r>
      <w:r w:rsidR="0038424F" w:rsidRPr="0038424F">
        <w:t xml:space="preserve">Corporate Sustainability and Financial Performance </w:t>
      </w:r>
      <w:r>
        <w:t>………………………</w:t>
      </w:r>
      <w:r>
        <w:t>…</w:t>
      </w:r>
      <w:r>
        <w:t xml:space="preserve">… </w:t>
      </w:r>
      <w:r w:rsidRPr="00874219">
        <w:t>Page</w:t>
      </w:r>
      <w:r>
        <w:rPr>
          <w:sz w:val="28"/>
          <w:szCs w:val="28"/>
        </w:rPr>
        <w:t xml:space="preserve"> </w:t>
      </w:r>
      <w:r>
        <w:t>5</w:t>
      </w:r>
    </w:p>
    <w:p w14:paraId="7EF262AA" w14:textId="6A02C53C" w:rsidR="0038424F" w:rsidRPr="0038424F" w:rsidRDefault="00874219" w:rsidP="0038424F">
      <w:pPr>
        <w:tabs>
          <w:tab w:val="left" w:pos="6061"/>
        </w:tabs>
      </w:pPr>
      <w:r>
        <w:t xml:space="preserve">3.1 </w:t>
      </w:r>
      <w:r w:rsidR="0038424F" w:rsidRPr="007E4D54">
        <w:t>Identified Research Gap</w:t>
      </w:r>
      <w:r w:rsidR="0038424F" w:rsidRPr="0038424F">
        <w:t xml:space="preserve"> </w:t>
      </w:r>
      <w:r>
        <w:t xml:space="preserve">……………………………………………………………….… </w:t>
      </w:r>
      <w:r w:rsidRPr="00874219">
        <w:t>Page</w:t>
      </w:r>
      <w:r>
        <w:rPr>
          <w:sz w:val="28"/>
          <w:szCs w:val="28"/>
        </w:rPr>
        <w:t xml:space="preserve"> </w:t>
      </w:r>
      <w:r w:rsidR="0038424F" w:rsidRPr="0038424F">
        <w:t>6</w:t>
      </w:r>
    </w:p>
    <w:p w14:paraId="5C461079" w14:textId="0A55BB04" w:rsidR="0038424F" w:rsidRPr="00874219" w:rsidRDefault="006C4F4A" w:rsidP="0038424F">
      <w:pPr>
        <w:rPr>
          <w:sz w:val="32"/>
          <w:szCs w:val="32"/>
        </w:rPr>
      </w:pPr>
      <w:r w:rsidRPr="00874219">
        <w:rPr>
          <w:sz w:val="32"/>
          <w:szCs w:val="32"/>
        </w:rPr>
        <w:t>●</w:t>
      </w:r>
      <w:r w:rsidR="00874219">
        <w:rPr>
          <w:sz w:val="32"/>
          <w:szCs w:val="32"/>
        </w:rPr>
        <w:t xml:space="preserve"> </w:t>
      </w:r>
      <w:r w:rsidR="0038424F" w:rsidRPr="00874219">
        <w:rPr>
          <w:sz w:val="32"/>
          <w:szCs w:val="32"/>
        </w:rPr>
        <w:t xml:space="preserve">Research Methodology and Design </w:t>
      </w:r>
      <w:r w:rsidR="00874219" w:rsidRPr="00874219">
        <w:rPr>
          <w:sz w:val="32"/>
          <w:szCs w:val="32"/>
        </w:rPr>
        <w:t xml:space="preserve">Page </w:t>
      </w:r>
      <w:r w:rsidR="00874219" w:rsidRPr="00874219">
        <w:rPr>
          <w:sz w:val="32"/>
          <w:szCs w:val="32"/>
        </w:rPr>
        <w:t>6</w:t>
      </w:r>
    </w:p>
    <w:p w14:paraId="06F2D59E" w14:textId="10E68123" w:rsidR="0038424F" w:rsidRDefault="0038424F" w:rsidP="0038424F">
      <w:r w:rsidRPr="0038424F">
        <w:t>Research Approach</w:t>
      </w:r>
      <w:r w:rsidRPr="006C4F4A">
        <w:t xml:space="preserve"> </w:t>
      </w:r>
      <w:r w:rsidR="00874219">
        <w:t>……………</w:t>
      </w:r>
      <w:r w:rsidR="009B4F27">
        <w:t>……………………………</w:t>
      </w:r>
      <w:r w:rsidR="009B4F27">
        <w:t>....</w:t>
      </w:r>
      <w:r w:rsidR="00874219">
        <w:t>………</w:t>
      </w:r>
      <w:r w:rsidR="009B4F27">
        <w:t>…………………</w:t>
      </w:r>
      <w:r w:rsidR="00874219">
        <w:t>…</w:t>
      </w:r>
      <w:r w:rsidR="009B4F27">
        <w:t>.</w:t>
      </w:r>
      <w:r w:rsidR="00874219">
        <w:t>…</w:t>
      </w:r>
      <w:r w:rsidR="00874219">
        <w:t xml:space="preserve"> Page 6</w:t>
      </w:r>
    </w:p>
    <w:p w14:paraId="16FF9D4B" w14:textId="75F4D99A" w:rsidR="001E0AE4" w:rsidRDefault="001E0AE4" w:rsidP="001E0AE4">
      <w:pPr>
        <w:tabs>
          <w:tab w:val="left" w:pos="6061"/>
        </w:tabs>
      </w:pPr>
      <w:r w:rsidRPr="001E0AE4">
        <w:t>Data Collection</w:t>
      </w:r>
      <w:r w:rsidR="00874219">
        <w:t>…</w:t>
      </w:r>
      <w:r w:rsidR="009B4F27">
        <w:t>…………………………………………………………………………</w:t>
      </w:r>
      <w:r w:rsidR="00874219">
        <w:t>……… Page</w:t>
      </w:r>
      <w:r w:rsidR="00874219">
        <w:t xml:space="preserve"> 6</w:t>
      </w:r>
    </w:p>
    <w:p w14:paraId="565358EF" w14:textId="122CEFBD" w:rsidR="001E0AE4" w:rsidRDefault="001E0AE4" w:rsidP="001E0AE4">
      <w:pPr>
        <w:tabs>
          <w:tab w:val="left" w:pos="6061"/>
        </w:tabs>
      </w:pPr>
      <w:r>
        <w:t xml:space="preserve">Sampling Strategy </w:t>
      </w:r>
      <w:r w:rsidR="00874219">
        <w:t>………………………</w:t>
      </w:r>
      <w:r w:rsidR="009B4F27">
        <w:t>…</w:t>
      </w:r>
      <w:r w:rsidR="009B4F27">
        <w:t>.</w:t>
      </w:r>
      <w:r w:rsidR="009B4F27">
        <w:t>………………………………</w:t>
      </w:r>
      <w:r w:rsidR="009B4F27">
        <w:t>.</w:t>
      </w:r>
      <w:r w:rsidR="009B4F27">
        <w:t>……………</w:t>
      </w:r>
      <w:r w:rsidR="00874219">
        <w:t>……… Page</w:t>
      </w:r>
      <w:r w:rsidR="009B4F27">
        <w:t xml:space="preserve"> 7</w:t>
      </w:r>
    </w:p>
    <w:p w14:paraId="428A6CCC" w14:textId="4AD2C06D" w:rsidR="001E0AE4" w:rsidRPr="001E0AE4" w:rsidRDefault="001E0AE4" w:rsidP="001E0AE4">
      <w:pPr>
        <w:tabs>
          <w:tab w:val="left" w:pos="6061"/>
        </w:tabs>
      </w:pPr>
      <w:r w:rsidRPr="001E0AE4">
        <w:t>Ethical Considerations</w:t>
      </w:r>
      <w:r w:rsidR="00874219">
        <w:t>…………………</w:t>
      </w:r>
      <w:r w:rsidR="009B4F27">
        <w:t>…………………………………</w:t>
      </w:r>
      <w:r w:rsidR="009B4F27">
        <w:t>.</w:t>
      </w:r>
      <w:r w:rsidR="009B4F27">
        <w:t>………</w:t>
      </w:r>
      <w:r w:rsidR="00874219">
        <w:t>…………… Page</w:t>
      </w:r>
      <w:r w:rsidR="009B4F27">
        <w:t xml:space="preserve"> 7</w:t>
      </w:r>
    </w:p>
    <w:p w14:paraId="3999A4C8" w14:textId="443CD173" w:rsidR="001E0AE4" w:rsidRPr="009B4F27" w:rsidRDefault="009B4F27" w:rsidP="001E0AE4">
      <w:pPr>
        <w:tabs>
          <w:tab w:val="left" w:pos="6061"/>
        </w:tabs>
        <w:rPr>
          <w:sz w:val="32"/>
          <w:szCs w:val="32"/>
        </w:rPr>
      </w:pPr>
      <w:r w:rsidRPr="00874219">
        <w:rPr>
          <w:sz w:val="32"/>
          <w:szCs w:val="32"/>
        </w:rPr>
        <w:t>●</w:t>
      </w:r>
      <w:r>
        <w:rPr>
          <w:sz w:val="32"/>
          <w:szCs w:val="32"/>
        </w:rPr>
        <w:t xml:space="preserve"> </w:t>
      </w:r>
      <w:r w:rsidRPr="009B4F27">
        <w:rPr>
          <w:sz w:val="32"/>
          <w:szCs w:val="32"/>
        </w:rPr>
        <w:t>Business Relevance and Practical Implications</w:t>
      </w:r>
      <w:r>
        <w:rPr>
          <w:sz w:val="32"/>
          <w:szCs w:val="32"/>
        </w:rPr>
        <w:t xml:space="preserve"> </w:t>
      </w:r>
      <w:r w:rsidRPr="00874219">
        <w:rPr>
          <w:sz w:val="32"/>
          <w:szCs w:val="32"/>
        </w:rPr>
        <w:t>Page</w:t>
      </w:r>
      <w:r>
        <w:rPr>
          <w:sz w:val="32"/>
          <w:szCs w:val="32"/>
        </w:rPr>
        <w:t xml:space="preserve"> 7</w:t>
      </w:r>
    </w:p>
    <w:p w14:paraId="6D4B05D1" w14:textId="198D2534" w:rsidR="009B4F27" w:rsidRDefault="009B4F27" w:rsidP="009B4F27">
      <w:pPr>
        <w:tabs>
          <w:tab w:val="left" w:pos="6061"/>
        </w:tabs>
      </w:pPr>
      <w:r>
        <w:rPr>
          <w:rStyle w:val="NoSpacingChar"/>
        </w:rPr>
        <w:t xml:space="preserve">5.1 </w:t>
      </w:r>
      <w:r w:rsidRPr="005D3E55">
        <w:rPr>
          <w:rStyle w:val="NoSpacingChar"/>
        </w:rPr>
        <w:t xml:space="preserve">Use for the </w:t>
      </w:r>
      <w:r>
        <w:rPr>
          <w:rStyle w:val="NoSpacingChar"/>
        </w:rPr>
        <w:t xml:space="preserve">organization </w:t>
      </w:r>
      <w:r w:rsidRPr="009B4F27">
        <w:rPr>
          <w:rStyle w:val="NoSpacingChar"/>
        </w:rPr>
        <w:t>Page 7</w:t>
      </w:r>
    </w:p>
    <w:p w14:paraId="30D3966D" w14:textId="2F07CC52" w:rsidR="009B4F27" w:rsidRDefault="009B4F27" w:rsidP="009B4F27">
      <w:pPr>
        <w:tabs>
          <w:tab w:val="left" w:pos="6061"/>
        </w:tabs>
      </w:pPr>
      <w:r>
        <w:t xml:space="preserve">5.2 </w:t>
      </w:r>
      <w:r w:rsidRPr="005D3E55">
        <w:rPr>
          <w:rStyle w:val="NoSpacingChar"/>
        </w:rPr>
        <w:t>Recommendations</w:t>
      </w:r>
      <w:r>
        <w:rPr>
          <w:rStyle w:val="NoSpacingChar"/>
        </w:rPr>
        <w:t xml:space="preserve"> </w:t>
      </w:r>
      <w:r w:rsidRPr="009B4F27">
        <w:rPr>
          <w:rStyle w:val="NoSpacingChar"/>
        </w:rPr>
        <w:t>Page 7</w:t>
      </w:r>
    </w:p>
    <w:p w14:paraId="65EB4025" w14:textId="7D27ED6B" w:rsidR="009B4F27" w:rsidRDefault="009B4F27" w:rsidP="009B4F27">
      <w:pPr>
        <w:tabs>
          <w:tab w:val="left" w:pos="6061"/>
        </w:tabs>
        <w:rPr>
          <w:rStyle w:val="NoSpacingChar"/>
        </w:rPr>
      </w:pPr>
      <w:r w:rsidRPr="009B4F27">
        <w:t xml:space="preserve">5.3 </w:t>
      </w:r>
      <w:r w:rsidRPr="009B4F27">
        <w:rPr>
          <w:rStyle w:val="NoSpacingChar"/>
        </w:rPr>
        <w:t>Contribution to Academic and Professional Understanding</w:t>
      </w:r>
      <w:r>
        <w:rPr>
          <w:rStyle w:val="NoSpacingChar"/>
        </w:rPr>
        <w:t xml:space="preserve"> Page 8</w:t>
      </w:r>
    </w:p>
    <w:p w14:paraId="15A3662B" w14:textId="64A2C349" w:rsidR="008970ED" w:rsidRPr="0083255D" w:rsidRDefault="0083255D" w:rsidP="009B4F27">
      <w:pPr>
        <w:tabs>
          <w:tab w:val="left" w:pos="6061"/>
        </w:tabs>
        <w:rPr>
          <w:rStyle w:val="NoSpacingChar"/>
          <w:sz w:val="32"/>
          <w:szCs w:val="32"/>
        </w:rPr>
      </w:pPr>
      <w:r w:rsidRPr="00874219">
        <w:rPr>
          <w:sz w:val="32"/>
          <w:szCs w:val="32"/>
        </w:rPr>
        <w:t>●</w:t>
      </w:r>
      <w:r>
        <w:rPr>
          <w:sz w:val="32"/>
          <w:szCs w:val="32"/>
        </w:rPr>
        <w:t xml:space="preserve"> </w:t>
      </w:r>
      <w:r w:rsidRPr="0083255D">
        <w:rPr>
          <w:rStyle w:val="NoSpacingChar"/>
          <w:sz w:val="32"/>
          <w:szCs w:val="32"/>
        </w:rPr>
        <w:t>References</w:t>
      </w:r>
      <w:r w:rsidR="008970ED" w:rsidRPr="0083255D">
        <w:rPr>
          <w:rStyle w:val="NoSpacingChar"/>
          <w:sz w:val="32"/>
          <w:szCs w:val="32"/>
        </w:rPr>
        <w:t xml:space="preserve"> </w:t>
      </w:r>
      <w:r w:rsidRPr="0083255D">
        <w:rPr>
          <w:rStyle w:val="NoSpacingChar"/>
          <w:sz w:val="32"/>
          <w:szCs w:val="32"/>
        </w:rPr>
        <w:t>Page 9</w:t>
      </w:r>
    </w:p>
    <w:p w14:paraId="69199F42" w14:textId="77777777" w:rsidR="001E0AE4" w:rsidRPr="0038424F" w:rsidRDefault="001E0AE4" w:rsidP="0038424F">
      <w:pPr>
        <w:rPr>
          <w:sz w:val="28"/>
          <w:szCs w:val="28"/>
        </w:rPr>
      </w:pPr>
    </w:p>
    <w:p w14:paraId="0E3EE6D9" w14:textId="77777777" w:rsidR="00B64C0C" w:rsidRDefault="00B64C0C">
      <w:r>
        <w:br w:type="page"/>
      </w:r>
    </w:p>
    <w:p w14:paraId="2489BCAB" w14:textId="660EB352" w:rsidR="00556542" w:rsidRDefault="00556542" w:rsidP="00556542">
      <w:pPr>
        <w:pStyle w:val="Heading1"/>
      </w:pPr>
      <w:r w:rsidRPr="00556542">
        <w:lastRenderedPageBreak/>
        <w:t>Balancing Profitability and Sustainability</w:t>
      </w:r>
    </w:p>
    <w:p w14:paraId="5B68A896" w14:textId="4010A80E" w:rsidR="000D0C9E" w:rsidRPr="00EC4635" w:rsidRDefault="006C4A83">
      <w:r w:rsidRPr="006C4A83">
        <w:t>The global energy sector is undergoing profound change as policymakers, consumers, investors, and civil society demand accelerated decarbonisation and net-zero emissions</w:t>
      </w:r>
      <w:r w:rsidR="00790BC5">
        <w:t xml:space="preserve"> </w:t>
      </w:r>
      <w:sdt>
        <w:sdtPr>
          <w:id w:val="1837489092"/>
          <w:citation/>
        </w:sdtPr>
        <w:sdtContent>
          <w:r w:rsidR="00295426">
            <w:fldChar w:fldCharType="begin"/>
          </w:r>
          <w:r w:rsidR="00295426">
            <w:instrText xml:space="preserve"> CITATION Yet24 \l 2057 </w:instrText>
          </w:r>
          <w:r w:rsidR="00295426">
            <w:fldChar w:fldCharType="separate"/>
          </w:r>
          <w:r w:rsidR="00966746">
            <w:rPr>
              <w:noProof/>
            </w:rPr>
            <w:t>(Adebayo, Esiri, Ikevuje, &amp; Kwakye, 2024)</w:t>
          </w:r>
          <w:r w:rsidR="00295426">
            <w:fldChar w:fldCharType="end"/>
          </w:r>
        </w:sdtContent>
      </w:sdt>
      <w:r w:rsidR="00790BC5">
        <w:t>.</w:t>
      </w:r>
      <w:r>
        <w:t xml:space="preserve"> </w:t>
      </w:r>
      <w:r w:rsidRPr="006C4A83">
        <w:t xml:space="preserve"> For over a century, international oil companies (IOCs) such as Shell have operated primarily within a </w:t>
      </w:r>
      <w:r w:rsidRPr="00EC4635">
        <w:t>fossil fuel-based business model. Under mounting regulatory and societal pressure, Shell has publicly committed to becoming a net-zero emissions energy business by 2050</w:t>
      </w:r>
      <w:r w:rsidR="00295426" w:rsidRPr="00EC4635">
        <w:t xml:space="preserve"> </w:t>
      </w:r>
      <w:sdt>
        <w:sdtPr>
          <w:id w:val="912130619"/>
          <w:citation/>
        </w:sdtPr>
        <w:sdtContent>
          <w:r w:rsidR="00EC4635" w:rsidRPr="00EC4635">
            <w:fldChar w:fldCharType="begin"/>
          </w:r>
          <w:r w:rsidR="00EC4635" w:rsidRPr="00EC4635">
            <w:instrText xml:space="preserve"> CITATION She26 \l 2057 </w:instrText>
          </w:r>
          <w:r w:rsidR="00EC4635" w:rsidRPr="00EC4635">
            <w:fldChar w:fldCharType="separate"/>
          </w:r>
          <w:r w:rsidR="00966746">
            <w:rPr>
              <w:noProof/>
            </w:rPr>
            <w:t>(Shell, 2026)</w:t>
          </w:r>
          <w:r w:rsidR="00EC4635" w:rsidRPr="00EC4635">
            <w:fldChar w:fldCharType="end"/>
          </w:r>
        </w:sdtContent>
      </w:sdt>
      <w:r w:rsidRPr="00EC4635">
        <w:t>.</w:t>
      </w:r>
    </w:p>
    <w:p w14:paraId="792C3652" w14:textId="3493CBD5" w:rsidR="00EC4635" w:rsidRDefault="00EC4635">
      <w:r w:rsidRPr="00EC4635">
        <w:t>However, this strategy coexists with continued investment in oil and liquefied natural gas (LNG) production, creating a strategic tension between short-term profitability and long-term sustainability commitments. Critics argue that Shell’s net-zero commitments outpace substantive investments in clean energy, leading to accusations of greenwashing and potential misalignment between corporate rhetoric and action</w:t>
      </w:r>
      <w:r>
        <w:t xml:space="preserve"> </w:t>
      </w:r>
      <w:sdt>
        <w:sdtPr>
          <w:id w:val="1533846309"/>
          <w:citation/>
        </w:sdtPr>
        <w:sdtContent>
          <w:r>
            <w:fldChar w:fldCharType="begin"/>
          </w:r>
          <w:r>
            <w:instrText xml:space="preserve"> CITATION Pau24 \l 2057 </w:instrText>
          </w:r>
          <w:r>
            <w:fldChar w:fldCharType="separate"/>
          </w:r>
          <w:r w:rsidR="00966746">
            <w:rPr>
              <w:noProof/>
            </w:rPr>
            <w:t>(Berrêdo, Santos, Abdo, Macedo, &amp; Losekann, 2024)</w:t>
          </w:r>
          <w:r>
            <w:fldChar w:fldCharType="end"/>
          </w:r>
        </w:sdtContent>
      </w:sdt>
      <w:r w:rsidRPr="00EC4635">
        <w:t>.</w:t>
      </w:r>
      <w:r w:rsidR="00BF1360">
        <w:t xml:space="preserve"> </w:t>
      </w:r>
      <w:r w:rsidR="00BF1360" w:rsidRPr="00BF1360">
        <w:t>Moreover, shareholder resolutions in 2025 questioned whether the firm’s LNG strategy contradicts its stated climate targets</w:t>
      </w:r>
      <w:r w:rsidR="00BF1360">
        <w:t xml:space="preserve"> </w:t>
      </w:r>
      <w:sdt>
        <w:sdtPr>
          <w:id w:val="-1813714639"/>
          <w:citation/>
        </w:sdtPr>
        <w:sdtContent>
          <w:r w:rsidR="00BF1360">
            <w:fldChar w:fldCharType="begin"/>
          </w:r>
          <w:r w:rsidR="00BF1360">
            <w:instrText xml:space="preserve"> CITATION Vir25 \l 2057 </w:instrText>
          </w:r>
          <w:r w:rsidR="00BF1360">
            <w:fldChar w:fldCharType="separate"/>
          </w:r>
          <w:r w:rsidR="00966746">
            <w:rPr>
              <w:noProof/>
            </w:rPr>
            <w:t>(Furness, 2025)</w:t>
          </w:r>
          <w:r w:rsidR="00BF1360">
            <w:fldChar w:fldCharType="end"/>
          </w:r>
        </w:sdtContent>
      </w:sdt>
      <w:r w:rsidR="00BF1360" w:rsidRPr="00BF1360">
        <w:t>.</w:t>
      </w:r>
    </w:p>
    <w:p w14:paraId="2D957EB3" w14:textId="14A63197" w:rsidR="00106602" w:rsidRDefault="00F04E94">
      <w:r w:rsidRPr="00F04E94">
        <w:t>This problem</w:t>
      </w:r>
      <w:r w:rsidR="009B3FF8">
        <w:t xml:space="preserve"> of the business’s long term </w:t>
      </w:r>
      <w:r w:rsidR="00406ECA">
        <w:t>carbon goals</w:t>
      </w:r>
      <w:r w:rsidR="00726CA9">
        <w:t xml:space="preserve"> and its</w:t>
      </w:r>
      <w:r w:rsidR="00406ECA">
        <w:t xml:space="preserve"> </w:t>
      </w:r>
      <w:r w:rsidR="00726CA9">
        <w:t>short term profit goals</w:t>
      </w:r>
      <w:r w:rsidRPr="00F04E94">
        <w:t xml:space="preserve"> is significant because it touches on core elements of strategic management, organisational change, stakeholder governance, and corporate reputation. If Shell fails to align its strategic positioning with credible decarbonisation pathways, it risks long-term competitive disadvantage, legal challenges, reputational damage, and loss of investor confidence. Such misalignment directly impacts corporate strategy and financial performance, given the energy industry’s central role in global carbon emissions and the impending regulatory tightening around climate disclosure and sustainability performance</w:t>
      </w:r>
      <w:r>
        <w:t xml:space="preserve"> </w:t>
      </w:r>
      <w:sdt>
        <w:sdtPr>
          <w:id w:val="3715742"/>
          <w:citation/>
        </w:sdtPr>
        <w:sdtContent>
          <w:r>
            <w:fldChar w:fldCharType="begin"/>
          </w:r>
          <w:r>
            <w:instrText xml:space="preserve"> CITATION Dan25 \l 2057 </w:instrText>
          </w:r>
          <w:r>
            <w:fldChar w:fldCharType="separate"/>
          </w:r>
          <w:r w:rsidR="00966746">
            <w:rPr>
              <w:noProof/>
            </w:rPr>
            <w:t>(Dongo &amp; Relvas, 2025)</w:t>
          </w:r>
          <w:r>
            <w:fldChar w:fldCharType="end"/>
          </w:r>
        </w:sdtContent>
      </w:sdt>
      <w:r w:rsidRPr="00F04E94">
        <w:t>.</w:t>
      </w:r>
    </w:p>
    <w:p w14:paraId="4C8D3535" w14:textId="77777777" w:rsidR="00106602" w:rsidRPr="00106602" w:rsidRDefault="00106602" w:rsidP="00667D86">
      <w:pPr>
        <w:pStyle w:val="Heading1"/>
      </w:pPr>
      <w:r w:rsidRPr="00106602">
        <w:t>Research Aim, Objectives and Questions</w:t>
      </w:r>
    </w:p>
    <w:p w14:paraId="603F1455" w14:textId="77777777" w:rsidR="00106602" w:rsidRPr="00106602" w:rsidRDefault="00106602" w:rsidP="00106602">
      <w:r w:rsidRPr="00106602">
        <w:rPr>
          <w:u w:val="single"/>
        </w:rPr>
        <w:t>Research Aim</w:t>
      </w:r>
    </w:p>
    <w:p w14:paraId="6EFBF82A" w14:textId="77777777" w:rsidR="00106602" w:rsidRPr="00106602" w:rsidRDefault="00106602" w:rsidP="00106602">
      <w:r w:rsidRPr="00106602">
        <w:t>To critically examine how Shell balances short-term profitability and long-term sustainability within its energy transition strategy.</w:t>
      </w:r>
    </w:p>
    <w:p w14:paraId="536C43B1" w14:textId="77777777" w:rsidR="00106602" w:rsidRPr="00106602" w:rsidRDefault="00106602" w:rsidP="00106602">
      <w:pPr>
        <w:rPr>
          <w:u w:val="single"/>
        </w:rPr>
      </w:pPr>
      <w:r w:rsidRPr="00106602">
        <w:rPr>
          <w:u w:val="single"/>
        </w:rPr>
        <w:t>Research Objectives</w:t>
      </w:r>
    </w:p>
    <w:p w14:paraId="7B6DAE72" w14:textId="500D8F7C" w:rsidR="00106602" w:rsidRPr="00106602" w:rsidRDefault="00106602" w:rsidP="00106602">
      <w:pPr>
        <w:numPr>
          <w:ilvl w:val="0"/>
          <w:numId w:val="1"/>
        </w:numPr>
      </w:pPr>
      <w:r w:rsidRPr="00106602">
        <w:t>To analyse Shell’s publicly stated energy transition and climate strategy.</w:t>
      </w:r>
    </w:p>
    <w:p w14:paraId="39CA40C1" w14:textId="6B4321F4" w:rsidR="00106602" w:rsidRPr="00106602" w:rsidRDefault="00106602" w:rsidP="00106602">
      <w:pPr>
        <w:numPr>
          <w:ilvl w:val="0"/>
          <w:numId w:val="1"/>
        </w:numPr>
      </w:pPr>
      <w:r w:rsidRPr="00106602">
        <w:t>To evaluate the alignment between Shell’s capital allocation and its long-term decarbonisation commitments.</w:t>
      </w:r>
    </w:p>
    <w:p w14:paraId="1F22F0FA" w14:textId="4DDC435F" w:rsidR="00106602" w:rsidRPr="00106602" w:rsidRDefault="00106602" w:rsidP="00106602">
      <w:pPr>
        <w:numPr>
          <w:ilvl w:val="0"/>
          <w:numId w:val="1"/>
        </w:numPr>
      </w:pPr>
      <w:r w:rsidRPr="00106602">
        <w:t>To explore stakeholder pressures influencing strategic decision-making at Shell.</w:t>
      </w:r>
    </w:p>
    <w:p w14:paraId="3D954714" w14:textId="77777777" w:rsidR="008A3FAB" w:rsidRPr="008A3FAB" w:rsidRDefault="00106602" w:rsidP="00B90312">
      <w:pPr>
        <w:numPr>
          <w:ilvl w:val="0"/>
          <w:numId w:val="1"/>
        </w:numPr>
      </w:pPr>
      <w:r w:rsidRPr="00106602">
        <w:t>To assess organisational challenges Shell is encountering in implementing its energy transition strategy.</w:t>
      </w:r>
    </w:p>
    <w:p w14:paraId="3BC18C11" w14:textId="71008FB0" w:rsidR="00106602" w:rsidRPr="00106602" w:rsidRDefault="00106602" w:rsidP="008A3FAB">
      <w:pPr>
        <w:ind w:left="360"/>
        <w:rPr>
          <w:u w:val="single"/>
        </w:rPr>
      </w:pPr>
      <w:r w:rsidRPr="00106602">
        <w:rPr>
          <w:u w:val="single"/>
        </w:rPr>
        <w:lastRenderedPageBreak/>
        <w:t>Research Questions</w:t>
      </w:r>
    </w:p>
    <w:p w14:paraId="0B274098" w14:textId="77777777" w:rsidR="00106602" w:rsidRPr="00106602" w:rsidRDefault="00106602" w:rsidP="00106602">
      <w:pPr>
        <w:numPr>
          <w:ilvl w:val="0"/>
          <w:numId w:val="2"/>
        </w:numPr>
      </w:pPr>
      <w:r w:rsidRPr="00106602">
        <w:t>How effectively does Shell align its capital allocation with its net-zero commitments?</w:t>
      </w:r>
    </w:p>
    <w:p w14:paraId="7BE5C794" w14:textId="77777777" w:rsidR="00106602" w:rsidRPr="00106602" w:rsidRDefault="00106602" w:rsidP="00106602">
      <w:pPr>
        <w:numPr>
          <w:ilvl w:val="0"/>
          <w:numId w:val="2"/>
        </w:numPr>
      </w:pPr>
      <w:r w:rsidRPr="00106602">
        <w:t>What role do internal and external stakeholder pressures play in shaping Shell’s strategic decisions?</w:t>
      </w:r>
    </w:p>
    <w:p w14:paraId="39267A18" w14:textId="77777777" w:rsidR="00106602" w:rsidRPr="00106602" w:rsidRDefault="00106602" w:rsidP="00106602">
      <w:pPr>
        <w:numPr>
          <w:ilvl w:val="0"/>
          <w:numId w:val="2"/>
        </w:numPr>
      </w:pPr>
      <w:r w:rsidRPr="00106602">
        <w:t>What organisational barriers hinder Shell’s implementation of energy transition initiatives?</w:t>
      </w:r>
    </w:p>
    <w:p w14:paraId="1426B1FB" w14:textId="77777777" w:rsidR="00106602" w:rsidRPr="00106602" w:rsidRDefault="00106602" w:rsidP="00106602">
      <w:pPr>
        <w:numPr>
          <w:ilvl w:val="0"/>
          <w:numId w:val="2"/>
        </w:numPr>
      </w:pPr>
      <w:r w:rsidRPr="00106602">
        <w:t>How does the strategic tension between profitability and sustainability influence Shell’s long-term competitiveness?</w:t>
      </w:r>
    </w:p>
    <w:p w14:paraId="49396496" w14:textId="3511F823" w:rsidR="008A3FAB" w:rsidRDefault="008A3FAB"/>
    <w:p w14:paraId="4D66375C" w14:textId="25F30B99" w:rsidR="00AC1BFE" w:rsidRDefault="008A3FAB" w:rsidP="00AF19B8">
      <w:pPr>
        <w:pStyle w:val="Heading1"/>
      </w:pPr>
      <w:r w:rsidRPr="008A3FAB">
        <w:t>Critical Literature Review</w:t>
      </w:r>
    </w:p>
    <w:p w14:paraId="6D900835" w14:textId="3CE80BE6" w:rsidR="00B177E6" w:rsidRPr="00B177E6" w:rsidRDefault="00B177E6">
      <w:pPr>
        <w:rPr>
          <w:u w:val="single"/>
        </w:rPr>
      </w:pPr>
      <w:r w:rsidRPr="00B177E6">
        <w:rPr>
          <w:u w:val="single"/>
        </w:rPr>
        <w:t>Energy Transition and the Strategic Dilemma in Oil and Gas Firms</w:t>
      </w:r>
    </w:p>
    <w:p w14:paraId="6CAB7A84" w14:textId="1F52B4FD" w:rsidR="008A3FAB" w:rsidRDefault="00F24445">
      <w:r w:rsidRPr="00F24445">
        <w:t>The global transition toward low-carbon energy systems presents what many scholars describe as an existential strategic dilemma for international oil companies (IOCs). Research in Energy Research &amp; Social Science and Business Strategy and the Environment suggests that traditional oil and gas firms face structural lock-in due to sunk costs, technological path dependency, and organisational capabilities built around hydrocarbon extraction</w:t>
      </w:r>
      <w:r w:rsidR="000F123D">
        <w:t xml:space="preserve"> </w:t>
      </w:r>
      <w:sdt>
        <w:sdtPr>
          <w:id w:val="-764695665"/>
          <w:citation/>
        </w:sdtPr>
        <w:sdtContent>
          <w:r w:rsidR="001F5CA4">
            <w:fldChar w:fldCharType="begin"/>
          </w:r>
          <w:r w:rsidR="001F5CA4">
            <w:instrText xml:space="preserve"> CITATION Kri23 \l 2057 </w:instrText>
          </w:r>
          <w:r w:rsidR="001F5CA4">
            <w:fldChar w:fldCharType="separate"/>
          </w:r>
          <w:r w:rsidR="00966746">
            <w:rPr>
              <w:noProof/>
            </w:rPr>
            <w:t>(Halttunen, Slade, &amp; Staffell, 2023)</w:t>
          </w:r>
          <w:r w:rsidR="001F5CA4">
            <w:fldChar w:fldCharType="end"/>
          </w:r>
        </w:sdtContent>
      </w:sdt>
      <w:sdt>
        <w:sdtPr>
          <w:id w:val="-461417051"/>
          <w:citation/>
        </w:sdtPr>
        <w:sdtContent>
          <w:r w:rsidR="00E07FC2">
            <w:fldChar w:fldCharType="begin"/>
          </w:r>
          <w:r w:rsidR="00E07FC2">
            <w:instrText xml:space="preserve"> CITATION Dan25 \l 2057 </w:instrText>
          </w:r>
          <w:r w:rsidR="00E07FC2">
            <w:fldChar w:fldCharType="separate"/>
          </w:r>
          <w:r w:rsidR="00966746">
            <w:rPr>
              <w:noProof/>
            </w:rPr>
            <w:t xml:space="preserve"> (Dongo &amp; Relvas, 2025)</w:t>
          </w:r>
          <w:r w:rsidR="00E07FC2">
            <w:fldChar w:fldCharType="end"/>
          </w:r>
        </w:sdtContent>
      </w:sdt>
      <w:r w:rsidR="004F357D">
        <w:t>.</w:t>
      </w:r>
    </w:p>
    <w:p w14:paraId="0C8ECD51" w14:textId="0CB0B77C" w:rsidR="004F357D" w:rsidRDefault="004F357D">
      <w:r w:rsidRPr="004F357D">
        <w:t xml:space="preserve">While many IOCs, including Shell, have adopted net-zero pledges, the literature questions whether these commitments represent substantive transformation or incremental diversification. </w:t>
      </w:r>
      <w:r w:rsidR="0083255D" w:rsidRPr="002A25C4">
        <w:rPr>
          <w:noProof/>
        </w:rPr>
        <w:t xml:space="preserve">Halttunen, et al., </w:t>
      </w:r>
      <w:r w:rsidR="0083255D" w:rsidRPr="002A25C4">
        <w:rPr>
          <w:noProof/>
        </w:rPr>
        <w:t>(</w:t>
      </w:r>
      <w:r w:rsidR="0083255D" w:rsidRPr="002A25C4">
        <w:rPr>
          <w:noProof/>
        </w:rPr>
        <w:t>2023)</w:t>
      </w:r>
      <w:r w:rsidR="000122E3">
        <w:t xml:space="preserve"> </w:t>
      </w:r>
      <w:r w:rsidRPr="004F357D">
        <w:t>argue that oil majors tend to pursue “portfolio balancing” rather than systemic transition, maintaining fossil fuel investments while selectively expanding renewable operations. This strategy reflects risk hedging rather than full business model reinvention.</w:t>
      </w:r>
    </w:p>
    <w:p w14:paraId="22BBFAE6" w14:textId="0B8F5A01" w:rsidR="000122E3" w:rsidRPr="000122E3" w:rsidRDefault="000122E3" w:rsidP="000122E3">
      <w:r w:rsidRPr="000122E3">
        <w:t>However, critics argue that such balancing may delay necessary transformation and expose firms to transition risk, including stranded assets and regulatory penalties</w:t>
      </w:r>
      <w:r>
        <w:t xml:space="preserve"> </w:t>
      </w:r>
      <w:sdt>
        <w:sdtPr>
          <w:id w:val="167068359"/>
          <w:citation/>
        </w:sdtPr>
        <w:sdtContent>
          <w:r>
            <w:fldChar w:fldCharType="begin"/>
          </w:r>
          <w:r>
            <w:instrText xml:space="preserve"> CITATION Dim25 \l 2057 </w:instrText>
          </w:r>
          <w:r>
            <w:fldChar w:fldCharType="separate"/>
          </w:r>
          <w:r w:rsidR="00966746">
            <w:rPr>
              <w:noProof/>
            </w:rPr>
            <w:t>(Dimitriou, Sartzetaki, Karagkouni, &amp; Efstratiou, 2025)</w:t>
          </w:r>
          <w:r>
            <w:fldChar w:fldCharType="end"/>
          </w:r>
        </w:sdtContent>
      </w:sdt>
      <w:r>
        <w:t xml:space="preserve">. </w:t>
      </w:r>
      <w:r w:rsidRPr="000122E3">
        <w:t>The central tension therefore lies between exploitation of existing fossil-fuel assets and exploration of renewable capabilities, a dilemma consistent with the theory of strategic ambidexterity</w:t>
      </w:r>
      <w:r>
        <w:t xml:space="preserve"> </w:t>
      </w:r>
      <w:sdt>
        <w:sdtPr>
          <w:id w:val="664052790"/>
          <w:citation/>
        </w:sdtPr>
        <w:sdtContent>
          <w:r>
            <w:fldChar w:fldCharType="begin"/>
          </w:r>
          <w:r w:rsidR="0083255D">
            <w:instrText xml:space="preserve">CITATION CHA13 \l 2057 </w:instrText>
          </w:r>
          <w:r>
            <w:fldChar w:fldCharType="separate"/>
          </w:r>
          <w:r w:rsidR="00966746">
            <w:rPr>
              <w:noProof/>
            </w:rPr>
            <w:t>(Tushman &amp; III, 2013)</w:t>
          </w:r>
          <w:r>
            <w:fldChar w:fldCharType="end"/>
          </w:r>
        </w:sdtContent>
      </w:sdt>
      <w:r w:rsidRPr="000122E3">
        <w:t>.</w:t>
      </w:r>
    </w:p>
    <w:p w14:paraId="20951FB9" w14:textId="77777777" w:rsidR="000122E3" w:rsidRDefault="000122E3" w:rsidP="000122E3">
      <w:r w:rsidRPr="000122E3">
        <w:t>This literature highlights a key ambiguity: whether IOCs are strategically repositioning themselves as integrated energy companies or merely adapting incrementally while preserving core fossil-fuel profitability.</w:t>
      </w:r>
    </w:p>
    <w:p w14:paraId="35D55E37" w14:textId="77777777" w:rsidR="00874219" w:rsidRPr="000122E3" w:rsidRDefault="00874219" w:rsidP="000122E3"/>
    <w:p w14:paraId="0AEC68D2" w14:textId="2D9AA0DB" w:rsidR="000122E3" w:rsidRDefault="00B177E6">
      <w:pPr>
        <w:rPr>
          <w:u w:val="single"/>
        </w:rPr>
      </w:pPr>
      <w:r w:rsidRPr="00B177E6">
        <w:rPr>
          <w:u w:val="single"/>
        </w:rPr>
        <w:lastRenderedPageBreak/>
        <w:t>Stakeholder Theory and Competing Pressures</w:t>
      </w:r>
    </w:p>
    <w:p w14:paraId="060B644D" w14:textId="7100552B" w:rsidR="00833C46" w:rsidRPr="00833C46" w:rsidRDefault="0083255D" w:rsidP="00833C46">
      <w:r w:rsidRPr="0010620D">
        <w:rPr>
          <w:noProof/>
        </w:rPr>
        <w:t xml:space="preserve">Freeman, et al., </w:t>
      </w:r>
      <w:r w:rsidRPr="002A25C4">
        <w:rPr>
          <w:noProof/>
        </w:rPr>
        <w:t>(</w:t>
      </w:r>
      <w:r w:rsidRPr="0010620D">
        <w:rPr>
          <w:noProof/>
        </w:rPr>
        <w:t>1984)</w:t>
      </w:r>
      <w:r w:rsidR="00833C46" w:rsidRPr="00833C46">
        <w:t xml:space="preserve"> stakeholder theory posits that firms must balance the interests of multiple stakeholder groups rather than prioritising shareholders exclusively. In the context of climate transition, Shell faces intense and conflicting stakeholder demands:</w:t>
      </w:r>
    </w:p>
    <w:p w14:paraId="7E139E55" w14:textId="77777777" w:rsidR="00833C46" w:rsidRPr="00833C46" w:rsidRDefault="00833C46" w:rsidP="00833C46">
      <w:pPr>
        <w:numPr>
          <w:ilvl w:val="0"/>
          <w:numId w:val="3"/>
        </w:numPr>
      </w:pPr>
      <w:r w:rsidRPr="00833C46">
        <w:t>Institutional investors seeking stable returns</w:t>
      </w:r>
    </w:p>
    <w:p w14:paraId="51AE2434" w14:textId="77777777" w:rsidR="00833C46" w:rsidRPr="00833C46" w:rsidRDefault="00833C46" w:rsidP="00833C46">
      <w:pPr>
        <w:numPr>
          <w:ilvl w:val="0"/>
          <w:numId w:val="3"/>
        </w:numPr>
      </w:pPr>
      <w:r w:rsidRPr="00833C46">
        <w:t>Activist shareholders demanding accelerated decarbonisation</w:t>
      </w:r>
    </w:p>
    <w:p w14:paraId="20AFCC83" w14:textId="77777777" w:rsidR="00833C46" w:rsidRPr="00833C46" w:rsidRDefault="00833C46" w:rsidP="00833C46">
      <w:pPr>
        <w:numPr>
          <w:ilvl w:val="0"/>
          <w:numId w:val="3"/>
        </w:numPr>
      </w:pPr>
      <w:r w:rsidRPr="00833C46">
        <w:t>Governments imposing climate regulations</w:t>
      </w:r>
    </w:p>
    <w:p w14:paraId="13458D77" w14:textId="77777777" w:rsidR="00833C46" w:rsidRPr="00833C46" w:rsidRDefault="00833C46" w:rsidP="00833C46">
      <w:pPr>
        <w:numPr>
          <w:ilvl w:val="0"/>
          <w:numId w:val="3"/>
        </w:numPr>
      </w:pPr>
      <w:r w:rsidRPr="00833C46">
        <w:t>Civil society groups advocating fossil fuel phase-out</w:t>
      </w:r>
    </w:p>
    <w:p w14:paraId="14BA467A" w14:textId="38587357" w:rsidR="00B177E6" w:rsidRDefault="00833C46">
      <w:r w:rsidRPr="00833C46">
        <w:t>Research suggests that firms often respond differently to various stakeholder groups depending on power, legitimacy, and urgency. In capital-intensive sectors like oil and gas, investors typically retain dominant influence due to financial dependency structures.</w:t>
      </w:r>
    </w:p>
    <w:p w14:paraId="7EB660DC" w14:textId="7181106D" w:rsidR="0010620D" w:rsidRPr="0010620D" w:rsidRDefault="0083255D" w:rsidP="0010620D">
      <w:r w:rsidRPr="00DB12D5">
        <w:rPr>
          <w:noProof/>
        </w:rPr>
        <w:t xml:space="preserve">Berger-Schmitz, et al., </w:t>
      </w:r>
      <w:r w:rsidRPr="002A25C4">
        <w:rPr>
          <w:noProof/>
        </w:rPr>
        <w:t>(</w:t>
      </w:r>
      <w:r w:rsidRPr="00DB12D5">
        <w:rPr>
          <w:noProof/>
        </w:rPr>
        <w:t>2023)</w:t>
      </w:r>
      <w:r w:rsidR="0010620D" w:rsidRPr="0010620D">
        <w:t xml:space="preserve"> finds that firms adopt net-zero strategies partly in response to reputational and institutional pressures, but the depth of implementation varies significantly. Some organisations pursue symbolic compliance to maintain legitimacy, while others integrate sustainability more deeply into governance structures.</w:t>
      </w:r>
    </w:p>
    <w:p w14:paraId="35AEE22A" w14:textId="77777777" w:rsidR="0010620D" w:rsidRPr="0010620D" w:rsidRDefault="0010620D" w:rsidP="0010620D">
      <w:r w:rsidRPr="0010620D">
        <w:t>This creates an analytical question relevant to Shell:</w:t>
      </w:r>
      <w:r w:rsidRPr="0010620D">
        <w:br/>
        <w:t>Is its energy transition strategy shaped primarily by long-term strategic repositioning, or by legitimacy-seeking behaviour under stakeholder pressure?</w:t>
      </w:r>
    </w:p>
    <w:p w14:paraId="1127440C" w14:textId="77777777" w:rsidR="0010620D" w:rsidRPr="0010620D" w:rsidRDefault="0010620D" w:rsidP="0010620D">
      <w:r w:rsidRPr="0010620D">
        <w:t>The literature suggests that stakeholder responsiveness does not automatically translate into structural transformation. This inconsistency forms an important foundation for this research.</w:t>
      </w:r>
    </w:p>
    <w:p w14:paraId="1FF2E739" w14:textId="34FA486A" w:rsidR="0010620D" w:rsidRDefault="00746DFF">
      <w:pPr>
        <w:rPr>
          <w:u w:val="single"/>
        </w:rPr>
      </w:pPr>
      <w:r w:rsidRPr="00746DFF">
        <w:rPr>
          <w:u w:val="single"/>
        </w:rPr>
        <w:t>Institutional Theory and Legitimacy</w:t>
      </w:r>
    </w:p>
    <w:p w14:paraId="18547B1F" w14:textId="684E8083" w:rsidR="00735ACD" w:rsidRPr="00735ACD" w:rsidRDefault="00735ACD" w:rsidP="00735ACD">
      <w:r w:rsidRPr="00735ACD">
        <w:t xml:space="preserve">Institutional theory provides further explanatory power. </w:t>
      </w:r>
      <w:r w:rsidR="0083255D" w:rsidRPr="00162CCA">
        <w:rPr>
          <w:noProof/>
        </w:rPr>
        <w:t xml:space="preserve">DiMaggio &amp; Powell, </w:t>
      </w:r>
      <w:r w:rsidR="0083255D" w:rsidRPr="002A25C4">
        <w:rPr>
          <w:noProof/>
        </w:rPr>
        <w:t>(</w:t>
      </w:r>
      <w:r w:rsidR="0083255D" w:rsidRPr="00162CCA">
        <w:rPr>
          <w:noProof/>
        </w:rPr>
        <w:t>1983)</w:t>
      </w:r>
      <w:r w:rsidR="00162CCA">
        <w:t xml:space="preserve"> </w:t>
      </w:r>
      <w:r w:rsidRPr="00735ACD">
        <w:t>argue that organisations become increasingly similar due to coercive, mimetic, and normative pressures. In the climate governance context:</w:t>
      </w:r>
    </w:p>
    <w:p w14:paraId="7C0405A3" w14:textId="77777777" w:rsidR="00735ACD" w:rsidRPr="00735ACD" w:rsidRDefault="00735ACD" w:rsidP="00735ACD">
      <w:pPr>
        <w:numPr>
          <w:ilvl w:val="0"/>
          <w:numId w:val="4"/>
        </w:numPr>
      </w:pPr>
      <w:r w:rsidRPr="00735ACD">
        <w:t>Coercive pressures arise from regulation and litigation.</w:t>
      </w:r>
    </w:p>
    <w:p w14:paraId="415932F4" w14:textId="77777777" w:rsidR="00735ACD" w:rsidRPr="00735ACD" w:rsidRDefault="00735ACD" w:rsidP="00735ACD">
      <w:pPr>
        <w:numPr>
          <w:ilvl w:val="0"/>
          <w:numId w:val="4"/>
        </w:numPr>
      </w:pPr>
      <w:r w:rsidRPr="00735ACD">
        <w:t>Normative pressures stem from ESG expectations and sustainability norms.</w:t>
      </w:r>
    </w:p>
    <w:p w14:paraId="1604947C" w14:textId="77777777" w:rsidR="00735ACD" w:rsidRPr="00735ACD" w:rsidRDefault="00735ACD" w:rsidP="00735ACD">
      <w:pPr>
        <w:numPr>
          <w:ilvl w:val="0"/>
          <w:numId w:val="4"/>
        </w:numPr>
      </w:pPr>
      <w:r w:rsidRPr="00735ACD">
        <w:t>Mimetic pressures encourage imitation of competitors adopting net-zero commitments.</w:t>
      </w:r>
    </w:p>
    <w:p w14:paraId="48C1045B" w14:textId="2134AF70" w:rsidR="00735ACD" w:rsidRPr="00735ACD" w:rsidRDefault="00735ACD" w:rsidP="00735ACD">
      <w:r w:rsidRPr="00735ACD">
        <w:t xml:space="preserve">Oil companies have increasingly aligned their language with climate norms, but research indicates a potential decoupling between discourse and practice. </w:t>
      </w:r>
      <w:r w:rsidR="0083255D" w:rsidRPr="00162CCA">
        <w:rPr>
          <w:noProof/>
        </w:rPr>
        <w:t xml:space="preserve">Si, et al., </w:t>
      </w:r>
      <w:r w:rsidR="0083255D" w:rsidRPr="002A25C4">
        <w:rPr>
          <w:noProof/>
        </w:rPr>
        <w:t>(</w:t>
      </w:r>
      <w:r w:rsidR="0083255D" w:rsidRPr="00162CCA">
        <w:rPr>
          <w:noProof/>
        </w:rPr>
        <w:t>2023)</w:t>
      </w:r>
      <w:r w:rsidR="00162CCA">
        <w:t xml:space="preserve"> </w:t>
      </w:r>
      <w:r w:rsidRPr="00735ACD">
        <w:t xml:space="preserve">demonstrates that climate communications by fossil fuel companies often </w:t>
      </w:r>
      <w:r w:rsidRPr="00735ACD">
        <w:lastRenderedPageBreak/>
        <w:t>emphasise future technological solutions while maintaining present fossil fuel investments.</w:t>
      </w:r>
    </w:p>
    <w:p w14:paraId="2FD0F073" w14:textId="56424315" w:rsidR="00735ACD" w:rsidRPr="00735ACD" w:rsidRDefault="00735ACD" w:rsidP="00735ACD">
      <w:r w:rsidRPr="00735ACD">
        <w:t xml:space="preserve">This phenomenon, frequently described as </w:t>
      </w:r>
      <w:r w:rsidRPr="00735ACD">
        <w:rPr>
          <w:i/>
          <w:iCs/>
        </w:rPr>
        <w:t>greenwashing</w:t>
      </w:r>
      <w:r w:rsidRPr="00735ACD">
        <w:t>, refers to discrepancies between sustainability rhetoric and operational realities. However, scholars caution against oversimplification.</w:t>
      </w:r>
      <w:r w:rsidR="009C7A15">
        <w:t xml:space="preserve"> </w:t>
      </w:r>
      <w:r w:rsidR="0083255D" w:rsidRPr="00DE79E7">
        <w:rPr>
          <w:noProof/>
        </w:rPr>
        <w:t xml:space="preserve">Vieira, et al., </w:t>
      </w:r>
      <w:r w:rsidR="0083255D" w:rsidRPr="002A25C4">
        <w:rPr>
          <w:noProof/>
        </w:rPr>
        <w:t>(</w:t>
      </w:r>
      <w:r w:rsidR="0083255D" w:rsidRPr="00DE79E7">
        <w:rPr>
          <w:noProof/>
        </w:rPr>
        <w:t>2023)</w:t>
      </w:r>
      <w:r w:rsidRPr="00735ACD">
        <w:t xml:space="preserve"> argues that large energy firms face genuine technological and infrastructural constraints that complicate rapid transformation.</w:t>
      </w:r>
    </w:p>
    <w:p w14:paraId="7DA53A00" w14:textId="77777777" w:rsidR="00735ACD" w:rsidRPr="00735ACD" w:rsidRDefault="00735ACD" w:rsidP="00735ACD">
      <w:r w:rsidRPr="00735ACD">
        <w:t>Therefore, the literature reveals a tension between two interpretations:</w:t>
      </w:r>
    </w:p>
    <w:p w14:paraId="46AF041E" w14:textId="77777777" w:rsidR="00735ACD" w:rsidRPr="00735ACD" w:rsidRDefault="00735ACD" w:rsidP="00735ACD">
      <w:pPr>
        <w:numPr>
          <w:ilvl w:val="0"/>
          <w:numId w:val="5"/>
        </w:numPr>
      </w:pPr>
      <w:r w:rsidRPr="00735ACD">
        <w:t>Climate commitments as symbolic legitimacy management</w:t>
      </w:r>
    </w:p>
    <w:p w14:paraId="433DBEF3" w14:textId="77777777" w:rsidR="00735ACD" w:rsidRPr="00735ACD" w:rsidRDefault="00735ACD" w:rsidP="00735ACD">
      <w:pPr>
        <w:numPr>
          <w:ilvl w:val="0"/>
          <w:numId w:val="5"/>
        </w:numPr>
      </w:pPr>
      <w:r w:rsidRPr="00735ACD">
        <w:t>Climate commitments as constrained but genuine strategic evolution</w:t>
      </w:r>
    </w:p>
    <w:p w14:paraId="32D35821" w14:textId="77777777" w:rsidR="00735ACD" w:rsidRDefault="00735ACD" w:rsidP="00735ACD">
      <w:r w:rsidRPr="00735ACD">
        <w:t>This study seeks to assess which interpretation better explains Shell’s strategic alignment.</w:t>
      </w:r>
    </w:p>
    <w:p w14:paraId="19673C32" w14:textId="77777777" w:rsidR="00DE79E7" w:rsidRPr="00735ACD" w:rsidRDefault="00DE79E7" w:rsidP="00735ACD"/>
    <w:p w14:paraId="6952E76E" w14:textId="77777777" w:rsidR="00DE79E7" w:rsidRPr="00DE79E7" w:rsidRDefault="00DE79E7" w:rsidP="00DE79E7">
      <w:pPr>
        <w:rPr>
          <w:u w:val="single"/>
        </w:rPr>
      </w:pPr>
      <w:r w:rsidRPr="00DE79E7">
        <w:rPr>
          <w:u w:val="single"/>
        </w:rPr>
        <w:t>Strategic Ambidexterity and Organisational Tension</w:t>
      </w:r>
    </w:p>
    <w:p w14:paraId="2C8567FD" w14:textId="379256DA" w:rsidR="00DE79E7" w:rsidRPr="00DE79E7" w:rsidRDefault="00DE79E7" w:rsidP="00DE79E7">
      <w:r w:rsidRPr="00DE79E7">
        <w:t xml:space="preserve">The concept of strategic ambidexterity </w:t>
      </w:r>
      <w:sdt>
        <w:sdtPr>
          <w:id w:val="-508601999"/>
          <w:citation/>
        </w:sdtPr>
        <w:sdtContent>
          <w:r w:rsidR="00A60305">
            <w:fldChar w:fldCharType="begin"/>
          </w:r>
          <w:r w:rsidR="00A60305">
            <w:instrText xml:space="preserve"> CITATION Ant14 \l 2057 </w:instrText>
          </w:r>
          <w:r w:rsidR="00A60305">
            <w:fldChar w:fldCharType="separate"/>
          </w:r>
          <w:r w:rsidR="00966746">
            <w:rPr>
              <w:noProof/>
            </w:rPr>
            <w:t>(Nieto-Rodriguez, 2014)</w:t>
          </w:r>
          <w:r w:rsidR="00A60305">
            <w:fldChar w:fldCharType="end"/>
          </w:r>
        </w:sdtContent>
      </w:sdt>
      <w:r w:rsidRPr="00DE79E7">
        <w:t xml:space="preserve"> is particularly relevant. Ambidextrous organisations must simultaneously exploit existing competencies while exploring new capabilities. For Shell, this involves:</w:t>
      </w:r>
    </w:p>
    <w:p w14:paraId="14F32683" w14:textId="77777777" w:rsidR="00DE79E7" w:rsidRPr="00DE79E7" w:rsidRDefault="00DE79E7" w:rsidP="00DE79E7">
      <w:pPr>
        <w:numPr>
          <w:ilvl w:val="0"/>
          <w:numId w:val="6"/>
        </w:numPr>
      </w:pPr>
      <w:r w:rsidRPr="00DE79E7">
        <w:t>Exploiting profitable oil and gas operations</w:t>
      </w:r>
    </w:p>
    <w:p w14:paraId="4F191BA6" w14:textId="77777777" w:rsidR="00DE79E7" w:rsidRPr="00DE79E7" w:rsidRDefault="00DE79E7" w:rsidP="00DE79E7">
      <w:pPr>
        <w:numPr>
          <w:ilvl w:val="0"/>
          <w:numId w:val="6"/>
        </w:numPr>
      </w:pPr>
      <w:r w:rsidRPr="00DE79E7">
        <w:t>Exploring renewable energy investments</w:t>
      </w:r>
    </w:p>
    <w:p w14:paraId="114681A7" w14:textId="77777777" w:rsidR="00DE79E7" w:rsidRPr="00DE79E7" w:rsidRDefault="00DE79E7" w:rsidP="00DE79E7">
      <w:pPr>
        <w:numPr>
          <w:ilvl w:val="0"/>
          <w:numId w:val="6"/>
        </w:numPr>
      </w:pPr>
      <w:r w:rsidRPr="00DE79E7">
        <w:t>Managing resource allocation conflicts</w:t>
      </w:r>
    </w:p>
    <w:p w14:paraId="58E8AF0B" w14:textId="6DE79556" w:rsidR="00DE79E7" w:rsidRPr="00DE79E7" w:rsidRDefault="00DE79E7" w:rsidP="00DE79E7">
      <w:r w:rsidRPr="00DE79E7">
        <w:t xml:space="preserve">However, research </w:t>
      </w:r>
      <w:r w:rsidR="009F74CF">
        <w:t xml:space="preserve">by multiple sources such as </w:t>
      </w:r>
      <w:sdt>
        <w:sdtPr>
          <w:id w:val="963161412"/>
          <w:citation/>
        </w:sdtPr>
        <w:sdtContent>
          <w:r w:rsidR="009F74CF">
            <w:fldChar w:fldCharType="begin"/>
          </w:r>
          <w:r w:rsidR="009F74CF">
            <w:instrText xml:space="preserve"> CITATION Kas19 \l 2057 </w:instrText>
          </w:r>
          <w:r w:rsidR="009F74CF">
            <w:fldChar w:fldCharType="separate"/>
          </w:r>
          <w:r w:rsidR="00966746">
            <w:rPr>
              <w:noProof/>
            </w:rPr>
            <w:t>(Kassotaki, 2019)</w:t>
          </w:r>
          <w:r w:rsidR="009F74CF">
            <w:fldChar w:fldCharType="end"/>
          </w:r>
        </w:sdtContent>
      </w:sdt>
      <w:r w:rsidR="009F74CF">
        <w:t xml:space="preserve"> and </w:t>
      </w:r>
      <w:sdt>
        <w:sdtPr>
          <w:id w:val="1438871911"/>
          <w:citation/>
        </w:sdtPr>
        <w:sdtContent>
          <w:r w:rsidR="002502E0">
            <w:fldChar w:fldCharType="begin"/>
          </w:r>
          <w:r w:rsidR="002502E0">
            <w:instrText xml:space="preserve"> CITATION Seb09 \l 2057 </w:instrText>
          </w:r>
          <w:r w:rsidR="002502E0">
            <w:fldChar w:fldCharType="separate"/>
          </w:r>
          <w:r w:rsidR="00966746">
            <w:rPr>
              <w:noProof/>
            </w:rPr>
            <w:t>(Raisch, Birkinshaw, Probst, &amp; Tushman, 2009)</w:t>
          </w:r>
          <w:r w:rsidR="002502E0">
            <w:fldChar w:fldCharType="end"/>
          </w:r>
        </w:sdtContent>
      </w:sdt>
      <w:r w:rsidR="009F74CF">
        <w:t xml:space="preserve"> </w:t>
      </w:r>
      <w:r w:rsidRPr="00DE79E7">
        <w:t>shows that ambidexterity is difficult to sustain in highly capital-intensive industries. Existing structures, performance metrics, and incentive systems often prioritise short-term financial returns over long-term exploration</w:t>
      </w:r>
      <w:r>
        <w:t>.</w:t>
      </w:r>
    </w:p>
    <w:p w14:paraId="71902EDB" w14:textId="77777777" w:rsidR="00DE79E7" w:rsidRPr="00DE79E7" w:rsidRDefault="00DE79E7" w:rsidP="00DE79E7">
      <w:r w:rsidRPr="00DE79E7">
        <w:t>Organisational change literature further highlights cultural resistance within legacy divisions. Fossil fuel divisions may resist capital reallocation to renewables, particularly where performance evaluation systems reward traditional output metrics.</w:t>
      </w:r>
    </w:p>
    <w:p w14:paraId="43627D0C" w14:textId="77777777" w:rsidR="00DE79E7" w:rsidRPr="00DE79E7" w:rsidRDefault="00DE79E7" w:rsidP="00DE79E7">
      <w:pPr>
        <w:rPr>
          <w:u w:val="single"/>
        </w:rPr>
      </w:pPr>
      <w:r w:rsidRPr="00DE79E7">
        <w:t>Therefore, while ambidexterity offers a theoretical solution, the literature suggests practical limitations in execution.</w:t>
      </w:r>
    </w:p>
    <w:p w14:paraId="0DCE0F99" w14:textId="6E690B23" w:rsidR="00746DFF" w:rsidRDefault="00A60305">
      <w:pPr>
        <w:rPr>
          <w:u w:val="single"/>
        </w:rPr>
      </w:pPr>
      <w:r w:rsidRPr="00A60305">
        <w:rPr>
          <w:u w:val="single"/>
        </w:rPr>
        <w:t>Corporate Sustainability and Financial Performance</w:t>
      </w:r>
    </w:p>
    <w:p w14:paraId="2E8D4EC8" w14:textId="6D6339CB" w:rsidR="00A60305" w:rsidRPr="00A60305" w:rsidRDefault="00A60305" w:rsidP="00A60305">
      <w:pPr>
        <w:tabs>
          <w:tab w:val="left" w:pos="6061"/>
        </w:tabs>
      </w:pPr>
      <w:r w:rsidRPr="00A60305">
        <w:t xml:space="preserve">A significant debate in the literature concerns the relationship between performance and financial outcomes. Some scholars argue that sustainability investments enhance </w:t>
      </w:r>
      <w:r w:rsidRPr="00A60305">
        <w:lastRenderedPageBreak/>
        <w:t>long-term firm value by reducing regulatory risk and improving stakeholder trust</w:t>
      </w:r>
      <w:r w:rsidR="00031B07">
        <w:t xml:space="preserve"> </w:t>
      </w:r>
      <w:sdt>
        <w:sdtPr>
          <w:id w:val="1760719247"/>
          <w:citation/>
        </w:sdtPr>
        <w:sdtContent>
          <w:r w:rsidR="00031B07">
            <w:fldChar w:fldCharType="begin"/>
          </w:r>
          <w:r w:rsidR="00031B07">
            <w:instrText xml:space="preserve"> CITATION Rob14 \l 2057 </w:instrText>
          </w:r>
          <w:r w:rsidR="00031B07">
            <w:fldChar w:fldCharType="separate"/>
          </w:r>
          <w:r w:rsidR="00966746">
            <w:rPr>
              <w:noProof/>
            </w:rPr>
            <w:t>(Eccles, Ioannou, &amp; Serafeim, 2014)</w:t>
          </w:r>
          <w:r w:rsidR="00031B07">
            <w:fldChar w:fldCharType="end"/>
          </w:r>
        </w:sdtContent>
      </w:sdt>
      <w:r w:rsidRPr="00A60305">
        <w:t>. Others contend that sustainability initiatives can reduce short-term profitability due to high capital expenditure and uncertain returns.</w:t>
      </w:r>
    </w:p>
    <w:p w14:paraId="7E142A37" w14:textId="3F6DEA2E" w:rsidR="00A60305" w:rsidRPr="00A60305" w:rsidRDefault="00A60305" w:rsidP="00A60305">
      <w:pPr>
        <w:tabs>
          <w:tab w:val="left" w:pos="6061"/>
        </w:tabs>
      </w:pPr>
      <w:r w:rsidRPr="00A60305">
        <w:t xml:space="preserve">In oil and gas sectors, the evidence is mixed. </w:t>
      </w:r>
      <w:r w:rsidR="007E4D54">
        <w:t xml:space="preserve">Some of the evidence </w:t>
      </w:r>
      <w:r w:rsidRPr="00A60305">
        <w:t>find</w:t>
      </w:r>
      <w:r w:rsidR="007E4D54">
        <w:t>s</w:t>
      </w:r>
      <w:r w:rsidRPr="00A60305">
        <w:t xml:space="preserve"> that diversification into renewables may reduce exposure to carbon risk but does not necessarily compensate for declining fossil fuel margins</w:t>
      </w:r>
      <w:r w:rsidR="00970D95">
        <w:t xml:space="preserve"> </w:t>
      </w:r>
      <w:sdt>
        <w:sdtPr>
          <w:id w:val="-511678645"/>
          <w:citation/>
        </w:sdtPr>
        <w:sdtContent>
          <w:r w:rsidR="00970D95">
            <w:fldChar w:fldCharType="begin"/>
          </w:r>
          <w:r w:rsidR="00970D95">
            <w:instrText xml:space="preserve"> CITATION Mat19 \l 2057 </w:instrText>
          </w:r>
          <w:r w:rsidR="00970D95">
            <w:fldChar w:fldCharType="separate"/>
          </w:r>
          <w:r w:rsidR="00966746">
            <w:rPr>
              <w:noProof/>
            </w:rPr>
            <w:t>(Pickl, 2019)</w:t>
          </w:r>
          <w:r w:rsidR="00970D95">
            <w:fldChar w:fldCharType="end"/>
          </w:r>
        </w:sdtContent>
      </w:sdt>
      <w:r w:rsidRPr="00A60305">
        <w:t>. Meanwhile, investor reactions to strategic shifts often depend on market conditions and geopolitical dynamics.</w:t>
      </w:r>
    </w:p>
    <w:p w14:paraId="66A47ED5" w14:textId="77777777" w:rsidR="00A60305" w:rsidRPr="00A60305" w:rsidRDefault="00A60305" w:rsidP="00A60305">
      <w:pPr>
        <w:tabs>
          <w:tab w:val="left" w:pos="6061"/>
        </w:tabs>
      </w:pPr>
      <w:r w:rsidRPr="00A60305">
        <w:t>This suggests that Shell’s strategic dilemma is not merely ethical but deeply financial and operational. The balancing act between shareholder value maximisation and sustainability commitments remains structurally embedded in its governance framework.</w:t>
      </w:r>
    </w:p>
    <w:p w14:paraId="3D695F50" w14:textId="77777777" w:rsidR="007E4D54" w:rsidRPr="007E4D54" w:rsidRDefault="007E4D54" w:rsidP="007E4D54">
      <w:pPr>
        <w:tabs>
          <w:tab w:val="left" w:pos="6061"/>
        </w:tabs>
        <w:rPr>
          <w:u w:val="single"/>
        </w:rPr>
      </w:pPr>
      <w:r w:rsidRPr="007E4D54">
        <w:rPr>
          <w:u w:val="single"/>
        </w:rPr>
        <w:t>Identified Research Gap</w:t>
      </w:r>
    </w:p>
    <w:p w14:paraId="5966506E" w14:textId="3B51AA13" w:rsidR="00242633" w:rsidRDefault="007E4D54" w:rsidP="00242633">
      <w:pPr>
        <w:tabs>
          <w:tab w:val="left" w:pos="6061"/>
        </w:tabs>
      </w:pPr>
      <w:r w:rsidRPr="007E4D54">
        <w:t>The reviewed literature provides strong theoretical explanations for energy transition challenges, stakeholder pressures, and ambidexterity. However, three key gaps emerge</w:t>
      </w:r>
    </w:p>
    <w:p w14:paraId="76CFBB5E" w14:textId="12F3FAE9" w:rsidR="00242633" w:rsidRDefault="00242633" w:rsidP="00242633">
      <w:pPr>
        <w:tabs>
          <w:tab w:val="left" w:pos="6061"/>
        </w:tabs>
      </w:pPr>
      <w:r w:rsidRPr="00242633">
        <w:t>The first identified gap is that much of the existing literature examines energy transition strategies across the oil and gas industry rather than focusing on the internal strategic alignment</w:t>
      </w:r>
      <w:r>
        <w:t>.</w:t>
      </w:r>
    </w:p>
    <w:p w14:paraId="15DEB0D2" w14:textId="6C3C8037" w:rsidR="00242633" w:rsidRDefault="00242633" w:rsidP="00242633">
      <w:pPr>
        <w:tabs>
          <w:tab w:val="left" w:pos="6061"/>
        </w:tabs>
      </w:pPr>
      <w:r w:rsidRPr="00242633">
        <w:t>The second identified gap is the limited integration between stakeholder theory and organisational change theory in research on energy transition.</w:t>
      </w:r>
    </w:p>
    <w:p w14:paraId="1D81C843" w14:textId="5F43B5F1" w:rsidR="00242633" w:rsidRDefault="00242633" w:rsidP="00874219">
      <w:pPr>
        <w:tabs>
          <w:tab w:val="left" w:pos="6061"/>
        </w:tabs>
      </w:pPr>
      <w:r w:rsidRPr="00242633">
        <w:t>The third identified gap concerns the limited analysis of whether capital allocation decisions align with corporate sustainability commitments.</w:t>
      </w:r>
    </w:p>
    <w:p w14:paraId="0E66F29D" w14:textId="7A4E00CE" w:rsidR="0038424F" w:rsidRDefault="007E4D54" w:rsidP="00874219">
      <w:pPr>
        <w:tabs>
          <w:tab w:val="left" w:pos="6061"/>
        </w:tabs>
      </w:pPr>
      <w:r w:rsidRPr="007E4D54">
        <w:t>This research addresses these gaps by conducting a focused case study on Shell, integrating stakeholder theory, institutional theory, and strategic ambidexterity to evaluate the alignment between stated commitments and strategic implementation.</w:t>
      </w:r>
    </w:p>
    <w:p w14:paraId="7CFA77BE" w14:textId="78600CAA" w:rsidR="00A60305" w:rsidRDefault="0038424F" w:rsidP="00667D86">
      <w:pPr>
        <w:pStyle w:val="Heading1"/>
      </w:pPr>
      <w:r w:rsidRPr="0038424F">
        <w:t>Research Methodology and Research Design</w:t>
      </w:r>
    </w:p>
    <w:p w14:paraId="41947C53" w14:textId="7243B8B0" w:rsidR="0038424F" w:rsidRPr="00874219" w:rsidRDefault="0038424F" w:rsidP="00D353F0">
      <w:pPr>
        <w:pStyle w:val="NoSpacing"/>
        <w:rPr>
          <w:u w:val="single"/>
        </w:rPr>
      </w:pPr>
      <w:r w:rsidRPr="00874219">
        <w:rPr>
          <w:u w:val="single"/>
        </w:rPr>
        <w:t>Research Approach</w:t>
      </w:r>
    </w:p>
    <w:p w14:paraId="74E74F5A" w14:textId="2B6CFE03" w:rsidR="006C4F4A" w:rsidRDefault="006C4F4A" w:rsidP="00A60305">
      <w:pPr>
        <w:tabs>
          <w:tab w:val="left" w:pos="6061"/>
        </w:tabs>
      </w:pPr>
      <w:r w:rsidRPr="006C4F4A">
        <w:t>This research adopts a qualitative case study approach focusing on Shell’s documented strategy, investor communications, sustainability reports, and external stakeholder feedback. Qualitative inquiry is justified because the study seeks to understand complex, context-dependent organisational phenomena that cannot be readily quantified, such as strategic decisions, stakeholder influence, and cultural barriers.</w:t>
      </w:r>
    </w:p>
    <w:p w14:paraId="75789EE7" w14:textId="74CCD3D8" w:rsidR="006C4F4A" w:rsidRPr="00874219" w:rsidRDefault="006C4F4A" w:rsidP="00D353F0">
      <w:pPr>
        <w:pStyle w:val="NoSpacing"/>
        <w:rPr>
          <w:u w:val="single"/>
        </w:rPr>
      </w:pPr>
      <w:r w:rsidRPr="00874219">
        <w:rPr>
          <w:u w:val="single"/>
        </w:rPr>
        <w:t>Data Collection</w:t>
      </w:r>
    </w:p>
    <w:p w14:paraId="0AD489B9" w14:textId="77777777" w:rsidR="006C4F4A" w:rsidRPr="006C4F4A" w:rsidRDefault="006C4F4A" w:rsidP="006C4F4A">
      <w:pPr>
        <w:tabs>
          <w:tab w:val="left" w:pos="6061"/>
        </w:tabs>
      </w:pPr>
      <w:r w:rsidRPr="006C4F4A">
        <w:t>Secondary Data Sources</w:t>
      </w:r>
    </w:p>
    <w:p w14:paraId="16B433C9" w14:textId="0E53E8CB" w:rsidR="006C4F4A" w:rsidRPr="006C4F4A" w:rsidRDefault="006C4F4A" w:rsidP="006C4F4A">
      <w:pPr>
        <w:numPr>
          <w:ilvl w:val="0"/>
          <w:numId w:val="8"/>
        </w:numPr>
        <w:tabs>
          <w:tab w:val="left" w:pos="6061"/>
        </w:tabs>
      </w:pPr>
      <w:r w:rsidRPr="006C4F4A">
        <w:t xml:space="preserve">Shell’s annual reports and sustainability disclosures (2019–2025) </w:t>
      </w:r>
      <w:sdt>
        <w:sdtPr>
          <w:id w:val="521982998"/>
          <w:citation/>
        </w:sdtPr>
        <w:sdtContent>
          <w:r>
            <w:fldChar w:fldCharType="begin"/>
          </w:r>
          <w:r>
            <w:instrText xml:space="preserve"> CITATION She261 \l 2057 </w:instrText>
          </w:r>
          <w:r>
            <w:fldChar w:fldCharType="separate"/>
          </w:r>
          <w:r w:rsidR="00966746">
            <w:rPr>
              <w:noProof/>
            </w:rPr>
            <w:t>(Shell, 2026)</w:t>
          </w:r>
          <w:r>
            <w:fldChar w:fldCharType="end"/>
          </w:r>
        </w:sdtContent>
      </w:sdt>
    </w:p>
    <w:p w14:paraId="1A3354A1" w14:textId="77777777" w:rsidR="006C4F4A" w:rsidRPr="006C4F4A" w:rsidRDefault="006C4F4A" w:rsidP="006C4F4A">
      <w:pPr>
        <w:numPr>
          <w:ilvl w:val="0"/>
          <w:numId w:val="8"/>
        </w:numPr>
        <w:tabs>
          <w:tab w:val="left" w:pos="6061"/>
        </w:tabs>
      </w:pPr>
      <w:r w:rsidRPr="006C4F4A">
        <w:lastRenderedPageBreak/>
        <w:t xml:space="preserve">Industry and regulatory reports on energy transition. </w:t>
      </w:r>
    </w:p>
    <w:p w14:paraId="3E425737" w14:textId="77777777" w:rsidR="006C4F4A" w:rsidRPr="006C4F4A" w:rsidRDefault="006C4F4A" w:rsidP="006C4F4A">
      <w:pPr>
        <w:numPr>
          <w:ilvl w:val="0"/>
          <w:numId w:val="8"/>
        </w:numPr>
        <w:tabs>
          <w:tab w:val="left" w:pos="6061"/>
        </w:tabs>
      </w:pPr>
      <w:r w:rsidRPr="006C4F4A">
        <w:t xml:space="preserve">Academic journal articles identified through Google Scholar. </w:t>
      </w:r>
    </w:p>
    <w:p w14:paraId="1218B1B3" w14:textId="77777777" w:rsidR="006C4F4A" w:rsidRPr="006C4F4A" w:rsidRDefault="006C4F4A" w:rsidP="006C4F4A">
      <w:pPr>
        <w:numPr>
          <w:ilvl w:val="0"/>
          <w:numId w:val="8"/>
        </w:numPr>
        <w:tabs>
          <w:tab w:val="left" w:pos="6061"/>
        </w:tabs>
      </w:pPr>
      <w:r w:rsidRPr="006C4F4A">
        <w:t>Reputable media coverage of strategic shifts and shareholder resolutions.</w:t>
      </w:r>
    </w:p>
    <w:p w14:paraId="0FD59509" w14:textId="77777777" w:rsidR="001E0AE4" w:rsidRPr="009B4F27" w:rsidRDefault="001E0AE4" w:rsidP="00D353F0">
      <w:pPr>
        <w:pStyle w:val="NoSpacing"/>
        <w:rPr>
          <w:u w:val="single"/>
        </w:rPr>
      </w:pPr>
      <w:r w:rsidRPr="009B4F27">
        <w:rPr>
          <w:u w:val="single"/>
        </w:rPr>
        <w:t>Sampling Strategy</w:t>
      </w:r>
    </w:p>
    <w:p w14:paraId="267B0FB6" w14:textId="4C885806" w:rsidR="006C4F4A" w:rsidRDefault="001E0AE4" w:rsidP="001E0AE4">
      <w:pPr>
        <w:tabs>
          <w:tab w:val="left" w:pos="6061"/>
        </w:tabs>
      </w:pPr>
      <w:r>
        <w:t>Purposive sampling will be employed to select documents and publications directly relevant to Shell’s energy transition strategy, prioritising recent (last five years) and peer-reviewed academic research.</w:t>
      </w:r>
    </w:p>
    <w:p w14:paraId="531471C7" w14:textId="77777777" w:rsidR="001E0AE4" w:rsidRPr="009B4F27" w:rsidRDefault="001E0AE4" w:rsidP="00D353F0">
      <w:pPr>
        <w:pStyle w:val="NoSpacing"/>
        <w:rPr>
          <w:u w:val="single"/>
        </w:rPr>
      </w:pPr>
      <w:r w:rsidRPr="009B4F27">
        <w:rPr>
          <w:u w:val="single"/>
        </w:rPr>
        <w:t>Ethical Considerations</w:t>
      </w:r>
    </w:p>
    <w:p w14:paraId="525DC186" w14:textId="77777777" w:rsidR="001E0AE4" w:rsidRPr="001E0AE4" w:rsidRDefault="001E0AE4" w:rsidP="001E0AE4">
      <w:pPr>
        <w:tabs>
          <w:tab w:val="left" w:pos="6061"/>
        </w:tabs>
      </w:pPr>
      <w:r w:rsidRPr="001E0AE4">
        <w:t>As the study relies primarily on publicly available documents and secondary data, ethical risks are minimal. Interview data, if collected, will observe anonymity and informed consent.</w:t>
      </w:r>
    </w:p>
    <w:p w14:paraId="227E9185" w14:textId="77777777" w:rsidR="00667D86" w:rsidRDefault="00667D86" w:rsidP="00667D86">
      <w:pPr>
        <w:tabs>
          <w:tab w:val="left" w:pos="6061"/>
        </w:tabs>
      </w:pPr>
    </w:p>
    <w:p w14:paraId="30835989" w14:textId="2CA71FE0" w:rsidR="00667D86" w:rsidRDefault="00667D86" w:rsidP="00667D86">
      <w:pPr>
        <w:pStyle w:val="Heading1"/>
      </w:pPr>
      <w:r>
        <w:t>Business Relevance and Practical Implications</w:t>
      </w:r>
    </w:p>
    <w:p w14:paraId="24CD0283" w14:textId="130FA093" w:rsidR="00667D86" w:rsidRDefault="00667D86" w:rsidP="00667D86">
      <w:pPr>
        <w:tabs>
          <w:tab w:val="left" w:pos="6061"/>
        </w:tabs>
      </w:pPr>
      <w:r>
        <w:t xml:space="preserve">5.1 </w:t>
      </w:r>
      <w:r w:rsidR="005D3E55" w:rsidRPr="009B4F27">
        <w:rPr>
          <w:rStyle w:val="NoSpacingChar"/>
          <w:u w:val="single"/>
        </w:rPr>
        <w:t xml:space="preserve">Use for the </w:t>
      </w:r>
      <w:proofErr w:type="spellStart"/>
      <w:r w:rsidR="005D3E55" w:rsidRPr="009B4F27">
        <w:rPr>
          <w:rStyle w:val="NoSpacingChar"/>
          <w:u w:val="single"/>
        </w:rPr>
        <w:t>organisation</w:t>
      </w:r>
      <w:proofErr w:type="spellEnd"/>
    </w:p>
    <w:p w14:paraId="70A015C1" w14:textId="546E0977" w:rsidR="00667D86" w:rsidRDefault="005D3E55" w:rsidP="00667D86">
      <w:pPr>
        <w:tabs>
          <w:tab w:val="left" w:pos="6061"/>
        </w:tabs>
      </w:pPr>
      <w:r w:rsidRPr="005D3E55">
        <w:t>The findings of this research could provide valuable insights for strategic decision-making at Shell plc and similar organisations operating in carbon-intensive industries. As global energy markets increasingly shift toward low-carbon systems, companies must balance financial performance with sustainability commitments. Understanding how Shell manages this tension can help identify whether its current strategy effectively aligns long-term environmental objectives with short-term profitability requirements. This insight may support managers in evaluating whether existing investment decisions and corporate policies are consistent with the organisation’s stated climate goals.</w:t>
      </w:r>
    </w:p>
    <w:p w14:paraId="5044A1B9" w14:textId="59A31436" w:rsidR="00667D86" w:rsidRDefault="00667D86" w:rsidP="00667D86">
      <w:pPr>
        <w:tabs>
          <w:tab w:val="left" w:pos="6061"/>
        </w:tabs>
      </w:pPr>
      <w:r>
        <w:t xml:space="preserve">5.2 </w:t>
      </w:r>
      <w:r w:rsidR="005D3E55" w:rsidRPr="009B4F27">
        <w:rPr>
          <w:rStyle w:val="NoSpacingChar"/>
          <w:u w:val="single"/>
        </w:rPr>
        <w:t>Recommendations</w:t>
      </w:r>
    </w:p>
    <w:p w14:paraId="5F7D4105" w14:textId="5ADC409F" w:rsidR="005D3E55" w:rsidRDefault="005D3E55" w:rsidP="00667D86">
      <w:pPr>
        <w:tabs>
          <w:tab w:val="left" w:pos="6061"/>
        </w:tabs>
      </w:pPr>
      <w:r w:rsidRPr="005D3E55">
        <w:t>From a strategic perspective, the research could highlight potential gaps between sustainability commitments and actual capital allocation decisions. If inconsistencies are identified, the study may recommend improvements in strategic planning processes, including clearer integration of environmental targets into corporate governance and investment frameworks. For example, Shell could strengthen transparency in reporting sustainability performance, adjust capital expenditure priorities toward renewable energy technologies, or introduce internal policies that better incentivise low-carbon innovation</w:t>
      </w:r>
      <w:r w:rsidR="00D353F0">
        <w:t>.</w:t>
      </w:r>
    </w:p>
    <w:p w14:paraId="361F9773" w14:textId="1026846B" w:rsidR="00D353F0" w:rsidRDefault="00D353F0" w:rsidP="00667D86">
      <w:pPr>
        <w:tabs>
          <w:tab w:val="left" w:pos="6061"/>
        </w:tabs>
      </w:pPr>
      <w:r w:rsidRPr="00D353F0">
        <w:t xml:space="preserve">The research also has implications for stakeholders such as investors, policymakers, and environmental organisations. A clearer understanding of how large energy companies implement transition strategies can inform more effective regulatory frameworks and investment decisions. Additionally, the findings may contribute to </w:t>
      </w:r>
      <w:r w:rsidRPr="00D353F0">
        <w:lastRenderedPageBreak/>
        <w:t>broader discussions on corporate responsibility and sustainable development in the energy sector.</w:t>
      </w:r>
    </w:p>
    <w:p w14:paraId="4897B2BA" w14:textId="415DE4F5" w:rsidR="00420413" w:rsidRDefault="00667D86" w:rsidP="00667D86">
      <w:pPr>
        <w:tabs>
          <w:tab w:val="left" w:pos="6061"/>
        </w:tabs>
        <w:rPr>
          <w:rStyle w:val="NoSpacingChar"/>
        </w:rPr>
      </w:pPr>
      <w:r>
        <w:t>5.</w:t>
      </w:r>
      <w:r w:rsidR="00D353F0">
        <w:t>3</w:t>
      </w:r>
      <w:r>
        <w:t xml:space="preserve"> </w:t>
      </w:r>
      <w:r w:rsidRPr="009B4F27">
        <w:rPr>
          <w:rStyle w:val="NoSpacingChar"/>
          <w:u w:val="single"/>
        </w:rPr>
        <w:t>Contribution to Academic and Professional Understanding</w:t>
      </w:r>
    </w:p>
    <w:p w14:paraId="54A51B2A" w14:textId="4045BEE2" w:rsidR="00D353F0" w:rsidRDefault="00D353F0" w:rsidP="00D353F0">
      <w:r w:rsidRPr="00D353F0">
        <w:t>Finally, this research contributes to the researcher’s professional development by enhancing skills in applied business research, strategic analysis, and critical evaluation of organisational practices. These competencies are essential for future careers in management, consulting, and sustainability strategy, where evidence-based decision-making plays a crucial role in addressing complex business challenges.</w:t>
      </w:r>
    </w:p>
    <w:p w14:paraId="11E8B896" w14:textId="77777777" w:rsidR="009B4F27" w:rsidRDefault="009B4F27" w:rsidP="00D353F0"/>
    <w:p w14:paraId="56CA91AE" w14:textId="77777777" w:rsidR="009B4F27" w:rsidRDefault="009B4F27" w:rsidP="00D353F0"/>
    <w:p w14:paraId="20E131BE" w14:textId="77777777" w:rsidR="009B4F27" w:rsidRDefault="009B4F27" w:rsidP="00D353F0"/>
    <w:p w14:paraId="374BAD28" w14:textId="77777777" w:rsidR="009B4F27" w:rsidRDefault="009B4F27" w:rsidP="00D353F0"/>
    <w:p w14:paraId="154A87AD" w14:textId="77777777" w:rsidR="009B4F27" w:rsidRDefault="009B4F27" w:rsidP="00D353F0"/>
    <w:p w14:paraId="29BFE472" w14:textId="77777777" w:rsidR="009B4F27" w:rsidRDefault="009B4F27" w:rsidP="00D353F0"/>
    <w:p w14:paraId="7568A68A" w14:textId="77777777" w:rsidR="009B4F27" w:rsidRDefault="009B4F27" w:rsidP="00D353F0"/>
    <w:p w14:paraId="430D338A" w14:textId="77777777" w:rsidR="009B4F27" w:rsidRDefault="009B4F27" w:rsidP="00D353F0"/>
    <w:p w14:paraId="616B5842" w14:textId="77777777" w:rsidR="009B4F27" w:rsidRDefault="009B4F27" w:rsidP="00D353F0"/>
    <w:p w14:paraId="384C9E22" w14:textId="77777777" w:rsidR="009B4F27" w:rsidRDefault="009B4F27" w:rsidP="00D353F0"/>
    <w:p w14:paraId="3F1FBAD2" w14:textId="77777777" w:rsidR="009B4F27" w:rsidRDefault="009B4F27" w:rsidP="00D353F0"/>
    <w:p w14:paraId="50D7948E" w14:textId="77777777" w:rsidR="009B4F27" w:rsidRDefault="009B4F27" w:rsidP="00D353F0"/>
    <w:p w14:paraId="174BFD1D" w14:textId="77777777" w:rsidR="009B4F27" w:rsidRDefault="009B4F27" w:rsidP="00D353F0"/>
    <w:p w14:paraId="21F1A950" w14:textId="77777777" w:rsidR="009B4F27" w:rsidRDefault="009B4F27" w:rsidP="00D353F0"/>
    <w:p w14:paraId="46C74944" w14:textId="77777777" w:rsidR="009B4F27" w:rsidRDefault="009B4F27" w:rsidP="00D353F0"/>
    <w:p w14:paraId="0ADD7C34" w14:textId="77777777" w:rsidR="009B4F27" w:rsidRDefault="009B4F27" w:rsidP="00D353F0"/>
    <w:p w14:paraId="0C45CEBD" w14:textId="77777777" w:rsidR="009B4F27" w:rsidRDefault="009B4F27" w:rsidP="00D353F0"/>
    <w:p w14:paraId="6E2977BA" w14:textId="77777777" w:rsidR="009B4F27" w:rsidRDefault="009B4F27" w:rsidP="00D353F0"/>
    <w:p w14:paraId="6F3EE766" w14:textId="77777777" w:rsidR="009B4F27" w:rsidRDefault="009B4F27" w:rsidP="00D353F0"/>
    <w:p w14:paraId="4513E87C" w14:textId="77777777" w:rsidR="009B4F27" w:rsidRDefault="009B4F27" w:rsidP="00D353F0"/>
    <w:sdt>
      <w:sdtPr>
        <w:id w:val="875203945"/>
        <w:docPartObj>
          <w:docPartGallery w:val="Bibliographies"/>
          <w:docPartUnique/>
        </w:docPartObj>
      </w:sdtPr>
      <w:sdtEndPr>
        <w:rPr>
          <w:rFonts w:asciiTheme="minorHAnsi" w:eastAsiaTheme="minorHAnsi" w:hAnsiTheme="minorHAnsi" w:cstheme="minorBidi"/>
          <w:color w:val="auto"/>
          <w:sz w:val="24"/>
          <w:szCs w:val="24"/>
        </w:rPr>
      </w:sdtEndPr>
      <w:sdtContent>
        <w:p w14:paraId="5493CEA6" w14:textId="20593A12" w:rsidR="009B4F27" w:rsidRDefault="009B4F27">
          <w:pPr>
            <w:pStyle w:val="Heading1"/>
          </w:pPr>
          <w:r>
            <w:t>References</w:t>
          </w:r>
        </w:p>
        <w:sdt>
          <w:sdtPr>
            <w:id w:val="-573587230"/>
            <w:bibliography/>
          </w:sdtPr>
          <w:sdtContent>
            <w:p w14:paraId="370FD04E" w14:textId="77777777" w:rsidR="00966746" w:rsidRDefault="009B4F27" w:rsidP="00966746">
              <w:pPr>
                <w:pStyle w:val="Bibliography"/>
                <w:ind w:left="720" w:hanging="720"/>
                <w:rPr>
                  <w:noProof/>
                  <w:kern w:val="0"/>
                  <w14:ligatures w14:val="none"/>
                </w:rPr>
              </w:pPr>
              <w:r>
                <w:fldChar w:fldCharType="begin"/>
              </w:r>
              <w:r>
                <w:instrText>BIBLIOGRAPHY</w:instrText>
              </w:r>
              <w:r>
                <w:fldChar w:fldCharType="separate"/>
              </w:r>
              <w:r w:rsidR="00966746">
                <w:rPr>
                  <w:noProof/>
                </w:rPr>
                <w:t xml:space="preserve">Adebayo, Y., Esiri, A., Ikevuje, A. H., &amp; Kwakye, J. M. (2024). Energy transition in the oil and gas sector: Business models for a sustainable future. </w:t>
              </w:r>
              <w:r w:rsidR="00966746">
                <w:rPr>
                  <w:i/>
                  <w:iCs/>
                  <w:noProof/>
                </w:rPr>
                <w:t>International Journal of Management &amp; Entrepreneurship Research, 6</w:t>
              </w:r>
              <w:r w:rsidR="00966746">
                <w:rPr>
                  <w:noProof/>
                </w:rPr>
                <w:t>(10), 1.</w:t>
              </w:r>
            </w:p>
            <w:p w14:paraId="74B71B5F" w14:textId="77777777" w:rsidR="00966746" w:rsidRDefault="00966746" w:rsidP="00966746">
              <w:pPr>
                <w:pStyle w:val="Bibliography"/>
                <w:ind w:left="720" w:hanging="720"/>
                <w:rPr>
                  <w:noProof/>
                </w:rPr>
              </w:pPr>
              <w:r>
                <w:rPr>
                  <w:noProof/>
                </w:rPr>
                <w:t xml:space="preserve">Berger-Schmitz, Zola, George, Douglas, Hindal, Cameron, . . . Maria. (2023). What explains firms’ net zero adoption, strategy and response? . </w:t>
              </w:r>
              <w:r>
                <w:rPr>
                  <w:i/>
                  <w:iCs/>
                  <w:noProof/>
                </w:rPr>
                <w:t>Business Strategy and the Environment</w:t>
              </w:r>
              <w:r>
                <w:rPr>
                  <w:noProof/>
                </w:rPr>
                <w:t>, 1-15.</w:t>
              </w:r>
            </w:p>
            <w:p w14:paraId="2FA1FFF4" w14:textId="77777777" w:rsidR="00966746" w:rsidRDefault="00966746" w:rsidP="00966746">
              <w:pPr>
                <w:pStyle w:val="Bibliography"/>
                <w:ind w:left="720" w:hanging="720"/>
                <w:rPr>
                  <w:noProof/>
                </w:rPr>
              </w:pPr>
              <w:r>
                <w:rPr>
                  <w:noProof/>
                </w:rPr>
                <w:t xml:space="preserve">Berrêdo, P. D., Santos, O. M., Abdo, H., Macedo, M. Á., &amp; Losekann, L. D. (2024). Energy transition: Assessing oil companies' compliance with their disclosed environmental strategic positioning. </w:t>
              </w:r>
              <w:r>
                <w:rPr>
                  <w:i/>
                  <w:iCs/>
                  <w:noProof/>
                </w:rPr>
                <w:t>Corporate Social Responsibility and Environmental Management, 31</w:t>
              </w:r>
              <w:r>
                <w:rPr>
                  <w:noProof/>
                </w:rPr>
                <w:t>(4), 1.</w:t>
              </w:r>
            </w:p>
            <w:p w14:paraId="74E4F19A" w14:textId="77777777" w:rsidR="00966746" w:rsidRDefault="00966746" w:rsidP="00966746">
              <w:pPr>
                <w:pStyle w:val="Bibliography"/>
                <w:ind w:left="720" w:hanging="720"/>
                <w:rPr>
                  <w:noProof/>
                </w:rPr>
              </w:pPr>
              <w:r>
                <w:rPr>
                  <w:noProof/>
                </w:rPr>
                <w:t xml:space="preserve">DiMaggio, P. J., &amp; Powell, W. W. (1983). The Iron Cage Revisited: Institutional Isomorphism and Collective Rationality in Organizational Fields. </w:t>
              </w:r>
              <w:r>
                <w:rPr>
                  <w:i/>
                  <w:iCs/>
                  <w:noProof/>
                </w:rPr>
                <w:t>American Sociological Review, 48</w:t>
              </w:r>
              <w:r>
                <w:rPr>
                  <w:noProof/>
                </w:rPr>
                <w:t>(2).</w:t>
              </w:r>
            </w:p>
            <w:p w14:paraId="0E15A978" w14:textId="77777777" w:rsidR="00966746" w:rsidRDefault="00966746" w:rsidP="00966746">
              <w:pPr>
                <w:pStyle w:val="Bibliography"/>
                <w:ind w:left="720" w:hanging="720"/>
                <w:rPr>
                  <w:noProof/>
                </w:rPr>
              </w:pPr>
              <w:r>
                <w:rPr>
                  <w:noProof/>
                </w:rPr>
                <w:t xml:space="preserve">Dimitriou, D., Sartzetaki, M., Karagkouni, A., &amp; Efstratiou, V. (2025). Corporate Strategy for Sustainable Development in the Oil and Gas Industry: Drivers, Agility Mechanisms, and SDG Alignment. </w:t>
              </w:r>
              <w:r>
                <w:rPr>
                  <w:i/>
                  <w:iCs/>
                  <w:noProof/>
                </w:rPr>
                <w:t>J Sustain Res, 7</w:t>
              </w:r>
              <w:r>
                <w:rPr>
                  <w:noProof/>
                </w:rPr>
                <w:t>(3).</w:t>
              </w:r>
            </w:p>
            <w:p w14:paraId="70131245" w14:textId="77777777" w:rsidR="00966746" w:rsidRDefault="00966746" w:rsidP="00966746">
              <w:pPr>
                <w:pStyle w:val="Bibliography"/>
                <w:ind w:left="720" w:hanging="720"/>
                <w:rPr>
                  <w:noProof/>
                </w:rPr>
              </w:pPr>
              <w:r>
                <w:rPr>
                  <w:noProof/>
                </w:rPr>
                <w:t xml:space="preserve">Dongo, D. F., &amp; Relvas, S. (2025). Evaluating the role of the oil and gas industry in energy transition in oil-producing countries: A systematic literature review. </w:t>
              </w:r>
              <w:r>
                <w:rPr>
                  <w:i/>
                  <w:iCs/>
                  <w:noProof/>
                </w:rPr>
                <w:t>Energy Research &amp; Social Science, 120</w:t>
              </w:r>
              <w:r>
                <w:rPr>
                  <w:noProof/>
                </w:rPr>
                <w:t>, 1.</w:t>
              </w:r>
            </w:p>
            <w:p w14:paraId="26B0CB51" w14:textId="77777777" w:rsidR="00966746" w:rsidRDefault="00966746" w:rsidP="00966746">
              <w:pPr>
                <w:pStyle w:val="Bibliography"/>
                <w:ind w:left="720" w:hanging="720"/>
                <w:rPr>
                  <w:noProof/>
                </w:rPr>
              </w:pPr>
              <w:r>
                <w:rPr>
                  <w:noProof/>
                </w:rPr>
                <w:t xml:space="preserve">Eccles, R. G., Ioannou, I., &amp; Serafeim, G. (2014). A significant debate in the literature concerns the relationship between performance and financial outcomes. Some scholars argue that sustainability investments enhance long-term firm value by reducing regulatory risk and improving stakeholder trust. Othe. </w:t>
              </w:r>
              <w:r>
                <w:rPr>
                  <w:i/>
                  <w:iCs/>
                  <w:noProof/>
                </w:rPr>
                <w:t>Management Science</w:t>
              </w:r>
              <w:r>
                <w:rPr>
                  <w:noProof/>
                </w:rPr>
                <w:t>.</w:t>
              </w:r>
            </w:p>
            <w:p w14:paraId="6774ABC7" w14:textId="77777777" w:rsidR="00966746" w:rsidRDefault="00966746" w:rsidP="00966746">
              <w:pPr>
                <w:pStyle w:val="Bibliography"/>
                <w:ind w:left="720" w:hanging="720"/>
                <w:rPr>
                  <w:noProof/>
                </w:rPr>
              </w:pPr>
              <w:r>
                <w:rPr>
                  <w:noProof/>
                </w:rPr>
                <w:t xml:space="preserve">Freeman, d., Harrison, J. S., Wicks, A. C., Parmar, B. L., &amp; Colle, S. d. (1984). </w:t>
              </w:r>
              <w:r>
                <w:rPr>
                  <w:i/>
                  <w:iCs/>
                  <w:noProof/>
                </w:rPr>
                <w:t>Stakeholder Theory: The State of the Art.</w:t>
              </w:r>
              <w:r>
                <w:rPr>
                  <w:noProof/>
                </w:rPr>
                <w:t xml:space="preserve"> Cambridge: Cambridge University Press.</w:t>
              </w:r>
            </w:p>
            <w:p w14:paraId="01EEEAD5" w14:textId="77777777" w:rsidR="00966746" w:rsidRDefault="00966746" w:rsidP="00966746">
              <w:pPr>
                <w:pStyle w:val="Bibliography"/>
                <w:ind w:left="720" w:hanging="720"/>
                <w:rPr>
                  <w:noProof/>
                </w:rPr>
              </w:pPr>
              <w:r>
                <w:rPr>
                  <w:noProof/>
                </w:rPr>
                <w:t xml:space="preserve">Furness, V. (2025). </w:t>
              </w:r>
              <w:r>
                <w:rPr>
                  <w:i/>
                  <w:iCs/>
                  <w:noProof/>
                </w:rPr>
                <w:t>Shareholders' climate resolution challenges 'disconnect' in Shell's LNG strategy</w:t>
              </w:r>
              <w:r>
                <w:rPr>
                  <w:noProof/>
                </w:rPr>
                <w:t>. Retrieved February 26, 2026, from https://www.reuters.com/sustainability/climate-energy/shareholders-climate-resolution-challenges-disconnect-shells-lng-strategy-2025-01-07/</w:t>
              </w:r>
            </w:p>
            <w:p w14:paraId="45B39252" w14:textId="77777777" w:rsidR="00966746" w:rsidRDefault="00966746" w:rsidP="00966746">
              <w:pPr>
                <w:pStyle w:val="Bibliography"/>
                <w:ind w:left="720" w:hanging="720"/>
                <w:rPr>
                  <w:noProof/>
                </w:rPr>
              </w:pPr>
              <w:r>
                <w:rPr>
                  <w:noProof/>
                </w:rPr>
                <w:t xml:space="preserve">Halttunen, K., Slade, R., &amp; Staffell, I. (2023). Diversify or die: Strategy options for oil majors in the sustainable energy transition. </w:t>
              </w:r>
              <w:r>
                <w:rPr>
                  <w:i/>
                  <w:iCs/>
                  <w:noProof/>
                </w:rPr>
                <w:t>Energy Research &amp; Social Science, 104</w:t>
              </w:r>
              <w:r>
                <w:rPr>
                  <w:noProof/>
                </w:rPr>
                <w:t>, 1.</w:t>
              </w:r>
            </w:p>
            <w:p w14:paraId="15011C53" w14:textId="77777777" w:rsidR="00966746" w:rsidRDefault="00966746" w:rsidP="00966746">
              <w:pPr>
                <w:pStyle w:val="Bibliography"/>
                <w:ind w:left="720" w:hanging="720"/>
                <w:rPr>
                  <w:noProof/>
                </w:rPr>
              </w:pPr>
              <w:r>
                <w:rPr>
                  <w:noProof/>
                </w:rPr>
                <w:lastRenderedPageBreak/>
                <w:t xml:space="preserve">Kassotaki, O. (2019). Ambidextrous leadership in high technology organizations. </w:t>
              </w:r>
              <w:r>
                <w:rPr>
                  <w:i/>
                  <w:iCs/>
                  <w:noProof/>
                </w:rPr>
                <w:t>Organizational Dynamics</w:t>
              </w:r>
              <w:r>
                <w:rPr>
                  <w:noProof/>
                </w:rPr>
                <w:t>, 37-43.</w:t>
              </w:r>
            </w:p>
            <w:p w14:paraId="66A86009" w14:textId="77777777" w:rsidR="00966746" w:rsidRDefault="00966746" w:rsidP="00966746">
              <w:pPr>
                <w:pStyle w:val="Bibliography"/>
                <w:ind w:left="720" w:hanging="720"/>
                <w:rPr>
                  <w:noProof/>
                </w:rPr>
              </w:pPr>
              <w:r>
                <w:rPr>
                  <w:noProof/>
                </w:rPr>
                <w:t xml:space="preserve">Nieto-Rodriguez, A. (2014). </w:t>
              </w:r>
              <w:r>
                <w:rPr>
                  <w:i/>
                  <w:iCs/>
                  <w:noProof/>
                </w:rPr>
                <w:t>Organisational ambidexterity</w:t>
              </w:r>
              <w:r>
                <w:rPr>
                  <w:noProof/>
                </w:rPr>
                <w:t>. Retrieved March 03, 2026, from https://www.london.edu/think/organisational-ambidexterity</w:t>
              </w:r>
            </w:p>
            <w:p w14:paraId="647928D6" w14:textId="77777777" w:rsidR="00966746" w:rsidRDefault="00966746" w:rsidP="00966746">
              <w:pPr>
                <w:pStyle w:val="Bibliography"/>
                <w:ind w:left="720" w:hanging="720"/>
                <w:rPr>
                  <w:noProof/>
                </w:rPr>
              </w:pPr>
              <w:r>
                <w:rPr>
                  <w:noProof/>
                </w:rPr>
                <w:t xml:space="preserve">Pickl, M. J. (2019). The renewable energy strategies of oil majors – From oil to energy? </w:t>
              </w:r>
              <w:r>
                <w:rPr>
                  <w:i/>
                  <w:iCs/>
                  <w:noProof/>
                </w:rPr>
                <w:t>Energy Strategy Reviews</w:t>
              </w:r>
              <w:r>
                <w:rPr>
                  <w:noProof/>
                </w:rPr>
                <w:t>.</w:t>
              </w:r>
            </w:p>
            <w:p w14:paraId="17208558" w14:textId="77777777" w:rsidR="00966746" w:rsidRDefault="00966746" w:rsidP="00966746">
              <w:pPr>
                <w:pStyle w:val="Bibliography"/>
                <w:ind w:left="720" w:hanging="720"/>
                <w:rPr>
                  <w:noProof/>
                </w:rPr>
              </w:pPr>
              <w:r>
                <w:rPr>
                  <w:noProof/>
                </w:rPr>
                <w:t xml:space="preserve">Raisch, S., Birkinshaw, J., Probst, G., &amp; Tushman, M. L. (2009). Organizational Ambidexterity: Balancing Exploitation and Exploration for Sustained Performance. </w:t>
              </w:r>
              <w:r>
                <w:rPr>
                  <w:i/>
                  <w:iCs/>
                  <w:noProof/>
                </w:rPr>
                <w:t>Organization Science</w:t>
              </w:r>
              <w:r>
                <w:rPr>
                  <w:noProof/>
                </w:rPr>
                <w:t>, 685-695.</w:t>
              </w:r>
            </w:p>
            <w:p w14:paraId="55A82E26" w14:textId="77777777" w:rsidR="00966746" w:rsidRDefault="00966746" w:rsidP="00966746">
              <w:pPr>
                <w:pStyle w:val="Bibliography"/>
                <w:ind w:left="720" w:hanging="720"/>
                <w:rPr>
                  <w:noProof/>
                </w:rPr>
              </w:pPr>
              <w:r>
                <w:rPr>
                  <w:noProof/>
                </w:rPr>
                <w:t xml:space="preserve">Shell. (2026). </w:t>
              </w:r>
              <w:r>
                <w:rPr>
                  <w:i/>
                  <w:iCs/>
                  <w:noProof/>
                </w:rPr>
                <w:t>Climate</w:t>
              </w:r>
              <w:r>
                <w:rPr>
                  <w:noProof/>
                </w:rPr>
                <w:t>. Retrieved February 26, 2026, from https://www.shell.com/sustainability/climate.html</w:t>
              </w:r>
            </w:p>
            <w:p w14:paraId="2FFF55F3" w14:textId="77777777" w:rsidR="00966746" w:rsidRDefault="00966746" w:rsidP="00966746">
              <w:pPr>
                <w:pStyle w:val="Bibliography"/>
                <w:ind w:left="720" w:hanging="720"/>
                <w:rPr>
                  <w:noProof/>
                </w:rPr>
              </w:pPr>
              <w:r>
                <w:rPr>
                  <w:noProof/>
                </w:rPr>
                <w:t xml:space="preserve">Shell. (2026). </w:t>
              </w:r>
              <w:r>
                <w:rPr>
                  <w:i/>
                  <w:iCs/>
                  <w:noProof/>
                </w:rPr>
                <w:t>Historical Annual Reports</w:t>
              </w:r>
              <w:r>
                <w:rPr>
                  <w:noProof/>
                </w:rPr>
                <w:t>. Retrieved March 05, 2026, from https://www.shell.com/investors/results-and-reporting/annual-report-archive.html</w:t>
              </w:r>
            </w:p>
            <w:p w14:paraId="71912590" w14:textId="77777777" w:rsidR="00966746" w:rsidRDefault="00966746" w:rsidP="00966746">
              <w:pPr>
                <w:pStyle w:val="Bibliography"/>
                <w:ind w:left="720" w:hanging="720"/>
                <w:rPr>
                  <w:noProof/>
                </w:rPr>
              </w:pPr>
              <w:r>
                <w:rPr>
                  <w:noProof/>
                </w:rPr>
                <w:t xml:space="preserve">Si, Y., Desai, D., Bozhilova, D., Puffer, S., &amp; Stephens, J. C. (2023). Fossil fuel companies' climate communication strategies: Industry messaging on renewables and natural gas. </w:t>
              </w:r>
              <w:r>
                <w:rPr>
                  <w:i/>
                  <w:iCs/>
                  <w:noProof/>
                </w:rPr>
                <w:t>Energy Research &amp; Social Science, 98</w:t>
              </w:r>
              <w:r>
                <w:rPr>
                  <w:noProof/>
                </w:rPr>
                <w:t>.</w:t>
              </w:r>
            </w:p>
            <w:p w14:paraId="685B00CB" w14:textId="77777777" w:rsidR="00966746" w:rsidRDefault="00966746" w:rsidP="00966746">
              <w:pPr>
                <w:pStyle w:val="Bibliography"/>
                <w:ind w:left="720" w:hanging="720"/>
                <w:rPr>
                  <w:noProof/>
                </w:rPr>
              </w:pPr>
              <w:r>
                <w:rPr>
                  <w:noProof/>
                </w:rPr>
                <w:t xml:space="preserve">Tushman, M. L., &amp; III, C. A. (2013). ORGANIZATIONAL AMBIDEXTERITY: PAST, PRESENT, AND FUTURE. </w:t>
              </w:r>
              <w:r>
                <w:rPr>
                  <w:i/>
                  <w:iCs/>
                  <w:noProof/>
                </w:rPr>
                <w:t>Academy of Management Perspectives, 27</w:t>
              </w:r>
              <w:r>
                <w:rPr>
                  <w:noProof/>
                </w:rPr>
                <w:t>(4), 324-338.</w:t>
              </w:r>
            </w:p>
            <w:p w14:paraId="063A52C7" w14:textId="77777777" w:rsidR="00966746" w:rsidRDefault="00966746" w:rsidP="00966746">
              <w:pPr>
                <w:pStyle w:val="Bibliography"/>
                <w:ind w:left="720" w:hanging="720"/>
                <w:rPr>
                  <w:noProof/>
                </w:rPr>
              </w:pPr>
              <w:r>
                <w:rPr>
                  <w:noProof/>
                </w:rPr>
                <w:t xml:space="preserve">Vieira, L. C., Longo, M., &amp; Mura, M. (2023). From carbon dependence to renewables: The European oil majors' strategies to face climate change. </w:t>
              </w:r>
              <w:r>
                <w:rPr>
                  <w:i/>
                  <w:iCs/>
                  <w:noProof/>
                </w:rPr>
                <w:t>Business Strategy and the Environment, 32</w:t>
              </w:r>
              <w:r>
                <w:rPr>
                  <w:noProof/>
                </w:rPr>
                <w:t>(4), 1248-1259.</w:t>
              </w:r>
            </w:p>
            <w:p w14:paraId="456BA80C" w14:textId="5AD10928" w:rsidR="009B4F27" w:rsidRDefault="009B4F27" w:rsidP="00966746">
              <w:r>
                <w:rPr>
                  <w:b/>
                  <w:bCs/>
                </w:rPr>
                <w:fldChar w:fldCharType="end"/>
              </w:r>
            </w:p>
          </w:sdtContent>
        </w:sdt>
      </w:sdtContent>
    </w:sdt>
    <w:p w14:paraId="237E246B" w14:textId="77777777" w:rsidR="009B4F27" w:rsidRPr="006C4F4A" w:rsidRDefault="009B4F27" w:rsidP="00D353F0"/>
    <w:sectPr w:rsidR="009B4F27" w:rsidRPr="006C4F4A" w:rsidSect="00B64C0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A8E44" w14:textId="77777777" w:rsidR="003A2CA5" w:rsidRDefault="003A2CA5" w:rsidP="008A3FAB">
      <w:pPr>
        <w:spacing w:after="0" w:line="240" w:lineRule="auto"/>
      </w:pPr>
      <w:r>
        <w:separator/>
      </w:r>
    </w:p>
  </w:endnote>
  <w:endnote w:type="continuationSeparator" w:id="0">
    <w:p w14:paraId="3BFBF1AE" w14:textId="77777777" w:rsidR="003A2CA5" w:rsidRDefault="003A2CA5" w:rsidP="008A3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522005"/>
      <w:docPartObj>
        <w:docPartGallery w:val="Page Numbers (Bottom of Page)"/>
        <w:docPartUnique/>
      </w:docPartObj>
    </w:sdtPr>
    <w:sdtEndPr>
      <w:rPr>
        <w:noProof/>
      </w:rPr>
    </w:sdtEndPr>
    <w:sdtContent>
      <w:p w14:paraId="45081EA1" w14:textId="793FA9D8" w:rsidR="008A3FAB" w:rsidRDefault="008A3F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492C90" w14:textId="77777777" w:rsidR="008A3FAB" w:rsidRDefault="008A3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8BA0A" w14:textId="77777777" w:rsidR="003A2CA5" w:rsidRDefault="003A2CA5" w:rsidP="008A3FAB">
      <w:pPr>
        <w:spacing w:after="0" w:line="240" w:lineRule="auto"/>
      </w:pPr>
      <w:r>
        <w:separator/>
      </w:r>
    </w:p>
  </w:footnote>
  <w:footnote w:type="continuationSeparator" w:id="0">
    <w:p w14:paraId="3A8150C0" w14:textId="77777777" w:rsidR="003A2CA5" w:rsidRDefault="003A2CA5" w:rsidP="008A3F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7C3E"/>
    <w:multiLevelType w:val="multilevel"/>
    <w:tmpl w:val="3A58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E551D"/>
    <w:multiLevelType w:val="multilevel"/>
    <w:tmpl w:val="F32EE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8A0092"/>
    <w:multiLevelType w:val="multilevel"/>
    <w:tmpl w:val="04E8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F39A2"/>
    <w:multiLevelType w:val="multilevel"/>
    <w:tmpl w:val="82103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C40A8E"/>
    <w:multiLevelType w:val="multilevel"/>
    <w:tmpl w:val="157EE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397A52"/>
    <w:multiLevelType w:val="multilevel"/>
    <w:tmpl w:val="DF86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5238E2"/>
    <w:multiLevelType w:val="multilevel"/>
    <w:tmpl w:val="EB7C7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884C2E"/>
    <w:multiLevelType w:val="multilevel"/>
    <w:tmpl w:val="6A56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809384">
    <w:abstractNumId w:val="1"/>
  </w:num>
  <w:num w:numId="2" w16cid:durableId="1521162765">
    <w:abstractNumId w:val="6"/>
  </w:num>
  <w:num w:numId="3" w16cid:durableId="1036926219">
    <w:abstractNumId w:val="2"/>
  </w:num>
  <w:num w:numId="4" w16cid:durableId="1939748285">
    <w:abstractNumId w:val="0"/>
  </w:num>
  <w:num w:numId="5" w16cid:durableId="609707739">
    <w:abstractNumId w:val="3"/>
  </w:num>
  <w:num w:numId="6" w16cid:durableId="1745451832">
    <w:abstractNumId w:val="7"/>
  </w:num>
  <w:num w:numId="7" w16cid:durableId="2146391655">
    <w:abstractNumId w:val="4"/>
  </w:num>
  <w:num w:numId="8" w16cid:durableId="1014067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BDA"/>
    <w:rsid w:val="000122E3"/>
    <w:rsid w:val="00031B07"/>
    <w:rsid w:val="00046AF7"/>
    <w:rsid w:val="000A4C2D"/>
    <w:rsid w:val="000D0C9E"/>
    <w:rsid w:val="000F123D"/>
    <w:rsid w:val="0010620D"/>
    <w:rsid w:val="00106602"/>
    <w:rsid w:val="00132199"/>
    <w:rsid w:val="00162CCA"/>
    <w:rsid w:val="001C4CF6"/>
    <w:rsid w:val="001E0AE4"/>
    <w:rsid w:val="001F5CA4"/>
    <w:rsid w:val="00222392"/>
    <w:rsid w:val="00242633"/>
    <w:rsid w:val="002502E0"/>
    <w:rsid w:val="00295426"/>
    <w:rsid w:val="002A25C4"/>
    <w:rsid w:val="002E0956"/>
    <w:rsid w:val="00323041"/>
    <w:rsid w:val="003577D1"/>
    <w:rsid w:val="0038424F"/>
    <w:rsid w:val="003A2CA5"/>
    <w:rsid w:val="00406ECA"/>
    <w:rsid w:val="00420413"/>
    <w:rsid w:val="004A16AA"/>
    <w:rsid w:val="004F357D"/>
    <w:rsid w:val="00556542"/>
    <w:rsid w:val="005A305C"/>
    <w:rsid w:val="005D3E55"/>
    <w:rsid w:val="00621C53"/>
    <w:rsid w:val="00622D6B"/>
    <w:rsid w:val="006405E5"/>
    <w:rsid w:val="00667D86"/>
    <w:rsid w:val="006A4BDA"/>
    <w:rsid w:val="006C349F"/>
    <w:rsid w:val="006C4A83"/>
    <w:rsid w:val="006C4F4A"/>
    <w:rsid w:val="00726CA9"/>
    <w:rsid w:val="00735ACD"/>
    <w:rsid w:val="00746DFF"/>
    <w:rsid w:val="00790BC5"/>
    <w:rsid w:val="007E4D54"/>
    <w:rsid w:val="0083255D"/>
    <w:rsid w:val="00833C46"/>
    <w:rsid w:val="00837373"/>
    <w:rsid w:val="00874219"/>
    <w:rsid w:val="008970ED"/>
    <w:rsid w:val="008A3FAB"/>
    <w:rsid w:val="008E626C"/>
    <w:rsid w:val="0092049E"/>
    <w:rsid w:val="00966746"/>
    <w:rsid w:val="00970D95"/>
    <w:rsid w:val="009B3FF8"/>
    <w:rsid w:val="009B4F27"/>
    <w:rsid w:val="009C7A15"/>
    <w:rsid w:val="009F74CF"/>
    <w:rsid w:val="00A32C21"/>
    <w:rsid w:val="00A60305"/>
    <w:rsid w:val="00AC1BFE"/>
    <w:rsid w:val="00AF19B8"/>
    <w:rsid w:val="00B177E6"/>
    <w:rsid w:val="00B64C0C"/>
    <w:rsid w:val="00BD4295"/>
    <w:rsid w:val="00BF1360"/>
    <w:rsid w:val="00C37F68"/>
    <w:rsid w:val="00D02595"/>
    <w:rsid w:val="00D353F0"/>
    <w:rsid w:val="00DB12D5"/>
    <w:rsid w:val="00DE79E7"/>
    <w:rsid w:val="00E07FC2"/>
    <w:rsid w:val="00EC4635"/>
    <w:rsid w:val="00EF2D74"/>
    <w:rsid w:val="00F04E94"/>
    <w:rsid w:val="00F24445"/>
    <w:rsid w:val="00F25921"/>
    <w:rsid w:val="00F55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3E4C6"/>
  <w15:chartTrackingRefBased/>
  <w15:docId w15:val="{07F4B299-193C-4B0E-8220-67976A12D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4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4B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4B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4B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4B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B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B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B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B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4B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4B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4B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4B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4B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B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B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BDA"/>
    <w:rPr>
      <w:rFonts w:eastAsiaTheme="majorEastAsia" w:cstheme="majorBidi"/>
      <w:color w:val="272727" w:themeColor="text1" w:themeTint="D8"/>
    </w:rPr>
  </w:style>
  <w:style w:type="paragraph" w:styleId="Title">
    <w:name w:val="Title"/>
    <w:basedOn w:val="Normal"/>
    <w:next w:val="Normal"/>
    <w:link w:val="TitleChar"/>
    <w:uiPriority w:val="10"/>
    <w:qFormat/>
    <w:rsid w:val="006A4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B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B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B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BDA"/>
    <w:pPr>
      <w:spacing w:before="160"/>
      <w:jc w:val="center"/>
    </w:pPr>
    <w:rPr>
      <w:i/>
      <w:iCs/>
      <w:color w:val="404040" w:themeColor="text1" w:themeTint="BF"/>
    </w:rPr>
  </w:style>
  <w:style w:type="character" w:customStyle="1" w:styleId="QuoteChar">
    <w:name w:val="Quote Char"/>
    <w:basedOn w:val="DefaultParagraphFont"/>
    <w:link w:val="Quote"/>
    <w:uiPriority w:val="29"/>
    <w:rsid w:val="006A4BDA"/>
    <w:rPr>
      <w:i/>
      <w:iCs/>
      <w:color w:val="404040" w:themeColor="text1" w:themeTint="BF"/>
    </w:rPr>
  </w:style>
  <w:style w:type="paragraph" w:styleId="ListParagraph">
    <w:name w:val="List Paragraph"/>
    <w:basedOn w:val="Normal"/>
    <w:uiPriority w:val="34"/>
    <w:qFormat/>
    <w:rsid w:val="006A4BDA"/>
    <w:pPr>
      <w:ind w:left="720"/>
      <w:contextualSpacing/>
    </w:pPr>
  </w:style>
  <w:style w:type="character" w:styleId="IntenseEmphasis">
    <w:name w:val="Intense Emphasis"/>
    <w:basedOn w:val="DefaultParagraphFont"/>
    <w:uiPriority w:val="21"/>
    <w:qFormat/>
    <w:rsid w:val="006A4BDA"/>
    <w:rPr>
      <w:i/>
      <w:iCs/>
      <w:color w:val="0F4761" w:themeColor="accent1" w:themeShade="BF"/>
    </w:rPr>
  </w:style>
  <w:style w:type="paragraph" w:styleId="IntenseQuote">
    <w:name w:val="Intense Quote"/>
    <w:basedOn w:val="Normal"/>
    <w:next w:val="Normal"/>
    <w:link w:val="IntenseQuoteChar"/>
    <w:uiPriority w:val="30"/>
    <w:qFormat/>
    <w:rsid w:val="006A4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4BDA"/>
    <w:rPr>
      <w:i/>
      <w:iCs/>
      <w:color w:val="0F4761" w:themeColor="accent1" w:themeShade="BF"/>
    </w:rPr>
  </w:style>
  <w:style w:type="character" w:styleId="IntenseReference">
    <w:name w:val="Intense Reference"/>
    <w:basedOn w:val="DefaultParagraphFont"/>
    <w:uiPriority w:val="32"/>
    <w:qFormat/>
    <w:rsid w:val="006A4BDA"/>
    <w:rPr>
      <w:b/>
      <w:bCs/>
      <w:smallCaps/>
      <w:color w:val="0F4761" w:themeColor="accent1" w:themeShade="BF"/>
      <w:spacing w:val="5"/>
    </w:rPr>
  </w:style>
  <w:style w:type="paragraph" w:styleId="NoSpacing">
    <w:name w:val="No Spacing"/>
    <w:link w:val="NoSpacingChar"/>
    <w:uiPriority w:val="1"/>
    <w:qFormat/>
    <w:rsid w:val="008A3FA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A3FAB"/>
    <w:rPr>
      <w:rFonts w:eastAsiaTheme="minorEastAsia"/>
      <w:kern w:val="0"/>
      <w:sz w:val="22"/>
      <w:szCs w:val="22"/>
      <w:lang w:val="en-US"/>
      <w14:ligatures w14:val="none"/>
    </w:rPr>
  </w:style>
  <w:style w:type="paragraph" w:styleId="Header">
    <w:name w:val="header"/>
    <w:basedOn w:val="Normal"/>
    <w:link w:val="HeaderChar"/>
    <w:uiPriority w:val="99"/>
    <w:unhideWhenUsed/>
    <w:rsid w:val="008A3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FAB"/>
  </w:style>
  <w:style w:type="paragraph" w:styleId="Footer">
    <w:name w:val="footer"/>
    <w:basedOn w:val="Normal"/>
    <w:link w:val="FooterChar"/>
    <w:uiPriority w:val="99"/>
    <w:unhideWhenUsed/>
    <w:rsid w:val="008A3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FAB"/>
  </w:style>
  <w:style w:type="paragraph" w:styleId="NormalWeb">
    <w:name w:val="Normal (Web)"/>
    <w:basedOn w:val="Normal"/>
    <w:uiPriority w:val="99"/>
    <w:semiHidden/>
    <w:unhideWhenUsed/>
    <w:rsid w:val="000122E3"/>
    <w:rPr>
      <w:rFonts w:ascii="Times New Roman" w:hAnsi="Times New Roman" w:cs="Times New Roman"/>
    </w:rPr>
  </w:style>
  <w:style w:type="paragraph" w:styleId="Bibliography">
    <w:name w:val="Bibliography"/>
    <w:basedOn w:val="Normal"/>
    <w:next w:val="Normal"/>
    <w:uiPriority w:val="37"/>
    <w:unhideWhenUsed/>
    <w:rsid w:val="000F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969">
      <w:bodyDiv w:val="1"/>
      <w:marLeft w:val="0"/>
      <w:marRight w:val="0"/>
      <w:marTop w:val="0"/>
      <w:marBottom w:val="0"/>
      <w:divBdr>
        <w:top w:val="none" w:sz="0" w:space="0" w:color="auto"/>
        <w:left w:val="none" w:sz="0" w:space="0" w:color="auto"/>
        <w:bottom w:val="none" w:sz="0" w:space="0" w:color="auto"/>
        <w:right w:val="none" w:sz="0" w:space="0" w:color="auto"/>
      </w:divBdr>
    </w:div>
    <w:div w:id="21588727">
      <w:bodyDiv w:val="1"/>
      <w:marLeft w:val="0"/>
      <w:marRight w:val="0"/>
      <w:marTop w:val="0"/>
      <w:marBottom w:val="0"/>
      <w:divBdr>
        <w:top w:val="none" w:sz="0" w:space="0" w:color="auto"/>
        <w:left w:val="none" w:sz="0" w:space="0" w:color="auto"/>
        <w:bottom w:val="none" w:sz="0" w:space="0" w:color="auto"/>
        <w:right w:val="none" w:sz="0" w:space="0" w:color="auto"/>
      </w:divBdr>
    </w:div>
    <w:div w:id="39785581">
      <w:bodyDiv w:val="1"/>
      <w:marLeft w:val="0"/>
      <w:marRight w:val="0"/>
      <w:marTop w:val="0"/>
      <w:marBottom w:val="0"/>
      <w:divBdr>
        <w:top w:val="none" w:sz="0" w:space="0" w:color="auto"/>
        <w:left w:val="none" w:sz="0" w:space="0" w:color="auto"/>
        <w:bottom w:val="none" w:sz="0" w:space="0" w:color="auto"/>
        <w:right w:val="none" w:sz="0" w:space="0" w:color="auto"/>
      </w:divBdr>
    </w:div>
    <w:div w:id="42489545">
      <w:bodyDiv w:val="1"/>
      <w:marLeft w:val="0"/>
      <w:marRight w:val="0"/>
      <w:marTop w:val="0"/>
      <w:marBottom w:val="0"/>
      <w:divBdr>
        <w:top w:val="none" w:sz="0" w:space="0" w:color="auto"/>
        <w:left w:val="none" w:sz="0" w:space="0" w:color="auto"/>
        <w:bottom w:val="none" w:sz="0" w:space="0" w:color="auto"/>
        <w:right w:val="none" w:sz="0" w:space="0" w:color="auto"/>
      </w:divBdr>
    </w:div>
    <w:div w:id="80419124">
      <w:bodyDiv w:val="1"/>
      <w:marLeft w:val="0"/>
      <w:marRight w:val="0"/>
      <w:marTop w:val="0"/>
      <w:marBottom w:val="0"/>
      <w:divBdr>
        <w:top w:val="none" w:sz="0" w:space="0" w:color="auto"/>
        <w:left w:val="none" w:sz="0" w:space="0" w:color="auto"/>
        <w:bottom w:val="none" w:sz="0" w:space="0" w:color="auto"/>
        <w:right w:val="none" w:sz="0" w:space="0" w:color="auto"/>
      </w:divBdr>
    </w:div>
    <w:div w:id="117267292">
      <w:bodyDiv w:val="1"/>
      <w:marLeft w:val="0"/>
      <w:marRight w:val="0"/>
      <w:marTop w:val="0"/>
      <w:marBottom w:val="0"/>
      <w:divBdr>
        <w:top w:val="none" w:sz="0" w:space="0" w:color="auto"/>
        <w:left w:val="none" w:sz="0" w:space="0" w:color="auto"/>
        <w:bottom w:val="none" w:sz="0" w:space="0" w:color="auto"/>
        <w:right w:val="none" w:sz="0" w:space="0" w:color="auto"/>
      </w:divBdr>
    </w:div>
    <w:div w:id="180626425">
      <w:bodyDiv w:val="1"/>
      <w:marLeft w:val="0"/>
      <w:marRight w:val="0"/>
      <w:marTop w:val="0"/>
      <w:marBottom w:val="0"/>
      <w:divBdr>
        <w:top w:val="none" w:sz="0" w:space="0" w:color="auto"/>
        <w:left w:val="none" w:sz="0" w:space="0" w:color="auto"/>
        <w:bottom w:val="none" w:sz="0" w:space="0" w:color="auto"/>
        <w:right w:val="none" w:sz="0" w:space="0" w:color="auto"/>
      </w:divBdr>
    </w:div>
    <w:div w:id="199099331">
      <w:bodyDiv w:val="1"/>
      <w:marLeft w:val="0"/>
      <w:marRight w:val="0"/>
      <w:marTop w:val="0"/>
      <w:marBottom w:val="0"/>
      <w:divBdr>
        <w:top w:val="none" w:sz="0" w:space="0" w:color="auto"/>
        <w:left w:val="none" w:sz="0" w:space="0" w:color="auto"/>
        <w:bottom w:val="none" w:sz="0" w:space="0" w:color="auto"/>
        <w:right w:val="none" w:sz="0" w:space="0" w:color="auto"/>
      </w:divBdr>
    </w:div>
    <w:div w:id="202405464">
      <w:bodyDiv w:val="1"/>
      <w:marLeft w:val="0"/>
      <w:marRight w:val="0"/>
      <w:marTop w:val="0"/>
      <w:marBottom w:val="0"/>
      <w:divBdr>
        <w:top w:val="none" w:sz="0" w:space="0" w:color="auto"/>
        <w:left w:val="none" w:sz="0" w:space="0" w:color="auto"/>
        <w:bottom w:val="none" w:sz="0" w:space="0" w:color="auto"/>
        <w:right w:val="none" w:sz="0" w:space="0" w:color="auto"/>
      </w:divBdr>
    </w:div>
    <w:div w:id="248776007">
      <w:bodyDiv w:val="1"/>
      <w:marLeft w:val="0"/>
      <w:marRight w:val="0"/>
      <w:marTop w:val="0"/>
      <w:marBottom w:val="0"/>
      <w:divBdr>
        <w:top w:val="none" w:sz="0" w:space="0" w:color="auto"/>
        <w:left w:val="none" w:sz="0" w:space="0" w:color="auto"/>
        <w:bottom w:val="none" w:sz="0" w:space="0" w:color="auto"/>
        <w:right w:val="none" w:sz="0" w:space="0" w:color="auto"/>
      </w:divBdr>
    </w:div>
    <w:div w:id="272712642">
      <w:bodyDiv w:val="1"/>
      <w:marLeft w:val="0"/>
      <w:marRight w:val="0"/>
      <w:marTop w:val="0"/>
      <w:marBottom w:val="0"/>
      <w:divBdr>
        <w:top w:val="none" w:sz="0" w:space="0" w:color="auto"/>
        <w:left w:val="none" w:sz="0" w:space="0" w:color="auto"/>
        <w:bottom w:val="none" w:sz="0" w:space="0" w:color="auto"/>
        <w:right w:val="none" w:sz="0" w:space="0" w:color="auto"/>
      </w:divBdr>
    </w:div>
    <w:div w:id="279579430">
      <w:bodyDiv w:val="1"/>
      <w:marLeft w:val="0"/>
      <w:marRight w:val="0"/>
      <w:marTop w:val="0"/>
      <w:marBottom w:val="0"/>
      <w:divBdr>
        <w:top w:val="none" w:sz="0" w:space="0" w:color="auto"/>
        <w:left w:val="none" w:sz="0" w:space="0" w:color="auto"/>
        <w:bottom w:val="none" w:sz="0" w:space="0" w:color="auto"/>
        <w:right w:val="none" w:sz="0" w:space="0" w:color="auto"/>
      </w:divBdr>
    </w:div>
    <w:div w:id="284820155">
      <w:bodyDiv w:val="1"/>
      <w:marLeft w:val="0"/>
      <w:marRight w:val="0"/>
      <w:marTop w:val="0"/>
      <w:marBottom w:val="0"/>
      <w:divBdr>
        <w:top w:val="none" w:sz="0" w:space="0" w:color="auto"/>
        <w:left w:val="none" w:sz="0" w:space="0" w:color="auto"/>
        <w:bottom w:val="none" w:sz="0" w:space="0" w:color="auto"/>
        <w:right w:val="none" w:sz="0" w:space="0" w:color="auto"/>
      </w:divBdr>
    </w:div>
    <w:div w:id="285280924">
      <w:bodyDiv w:val="1"/>
      <w:marLeft w:val="0"/>
      <w:marRight w:val="0"/>
      <w:marTop w:val="0"/>
      <w:marBottom w:val="0"/>
      <w:divBdr>
        <w:top w:val="none" w:sz="0" w:space="0" w:color="auto"/>
        <w:left w:val="none" w:sz="0" w:space="0" w:color="auto"/>
        <w:bottom w:val="none" w:sz="0" w:space="0" w:color="auto"/>
        <w:right w:val="none" w:sz="0" w:space="0" w:color="auto"/>
      </w:divBdr>
    </w:div>
    <w:div w:id="287125930">
      <w:bodyDiv w:val="1"/>
      <w:marLeft w:val="0"/>
      <w:marRight w:val="0"/>
      <w:marTop w:val="0"/>
      <w:marBottom w:val="0"/>
      <w:divBdr>
        <w:top w:val="none" w:sz="0" w:space="0" w:color="auto"/>
        <w:left w:val="none" w:sz="0" w:space="0" w:color="auto"/>
        <w:bottom w:val="none" w:sz="0" w:space="0" w:color="auto"/>
        <w:right w:val="none" w:sz="0" w:space="0" w:color="auto"/>
      </w:divBdr>
    </w:div>
    <w:div w:id="304507455">
      <w:bodyDiv w:val="1"/>
      <w:marLeft w:val="0"/>
      <w:marRight w:val="0"/>
      <w:marTop w:val="0"/>
      <w:marBottom w:val="0"/>
      <w:divBdr>
        <w:top w:val="none" w:sz="0" w:space="0" w:color="auto"/>
        <w:left w:val="none" w:sz="0" w:space="0" w:color="auto"/>
        <w:bottom w:val="none" w:sz="0" w:space="0" w:color="auto"/>
        <w:right w:val="none" w:sz="0" w:space="0" w:color="auto"/>
      </w:divBdr>
    </w:div>
    <w:div w:id="561405059">
      <w:bodyDiv w:val="1"/>
      <w:marLeft w:val="0"/>
      <w:marRight w:val="0"/>
      <w:marTop w:val="0"/>
      <w:marBottom w:val="0"/>
      <w:divBdr>
        <w:top w:val="none" w:sz="0" w:space="0" w:color="auto"/>
        <w:left w:val="none" w:sz="0" w:space="0" w:color="auto"/>
        <w:bottom w:val="none" w:sz="0" w:space="0" w:color="auto"/>
        <w:right w:val="none" w:sz="0" w:space="0" w:color="auto"/>
      </w:divBdr>
    </w:div>
    <w:div w:id="564684062">
      <w:bodyDiv w:val="1"/>
      <w:marLeft w:val="0"/>
      <w:marRight w:val="0"/>
      <w:marTop w:val="0"/>
      <w:marBottom w:val="0"/>
      <w:divBdr>
        <w:top w:val="none" w:sz="0" w:space="0" w:color="auto"/>
        <w:left w:val="none" w:sz="0" w:space="0" w:color="auto"/>
        <w:bottom w:val="none" w:sz="0" w:space="0" w:color="auto"/>
        <w:right w:val="none" w:sz="0" w:space="0" w:color="auto"/>
      </w:divBdr>
    </w:div>
    <w:div w:id="647512778">
      <w:bodyDiv w:val="1"/>
      <w:marLeft w:val="0"/>
      <w:marRight w:val="0"/>
      <w:marTop w:val="0"/>
      <w:marBottom w:val="0"/>
      <w:divBdr>
        <w:top w:val="none" w:sz="0" w:space="0" w:color="auto"/>
        <w:left w:val="none" w:sz="0" w:space="0" w:color="auto"/>
        <w:bottom w:val="none" w:sz="0" w:space="0" w:color="auto"/>
        <w:right w:val="none" w:sz="0" w:space="0" w:color="auto"/>
      </w:divBdr>
    </w:div>
    <w:div w:id="651562052">
      <w:bodyDiv w:val="1"/>
      <w:marLeft w:val="0"/>
      <w:marRight w:val="0"/>
      <w:marTop w:val="0"/>
      <w:marBottom w:val="0"/>
      <w:divBdr>
        <w:top w:val="none" w:sz="0" w:space="0" w:color="auto"/>
        <w:left w:val="none" w:sz="0" w:space="0" w:color="auto"/>
        <w:bottom w:val="none" w:sz="0" w:space="0" w:color="auto"/>
        <w:right w:val="none" w:sz="0" w:space="0" w:color="auto"/>
      </w:divBdr>
    </w:div>
    <w:div w:id="683482176">
      <w:bodyDiv w:val="1"/>
      <w:marLeft w:val="0"/>
      <w:marRight w:val="0"/>
      <w:marTop w:val="0"/>
      <w:marBottom w:val="0"/>
      <w:divBdr>
        <w:top w:val="none" w:sz="0" w:space="0" w:color="auto"/>
        <w:left w:val="none" w:sz="0" w:space="0" w:color="auto"/>
        <w:bottom w:val="none" w:sz="0" w:space="0" w:color="auto"/>
        <w:right w:val="none" w:sz="0" w:space="0" w:color="auto"/>
      </w:divBdr>
    </w:div>
    <w:div w:id="702170155">
      <w:bodyDiv w:val="1"/>
      <w:marLeft w:val="0"/>
      <w:marRight w:val="0"/>
      <w:marTop w:val="0"/>
      <w:marBottom w:val="0"/>
      <w:divBdr>
        <w:top w:val="none" w:sz="0" w:space="0" w:color="auto"/>
        <w:left w:val="none" w:sz="0" w:space="0" w:color="auto"/>
        <w:bottom w:val="none" w:sz="0" w:space="0" w:color="auto"/>
        <w:right w:val="none" w:sz="0" w:space="0" w:color="auto"/>
      </w:divBdr>
    </w:div>
    <w:div w:id="712802189">
      <w:bodyDiv w:val="1"/>
      <w:marLeft w:val="0"/>
      <w:marRight w:val="0"/>
      <w:marTop w:val="0"/>
      <w:marBottom w:val="0"/>
      <w:divBdr>
        <w:top w:val="none" w:sz="0" w:space="0" w:color="auto"/>
        <w:left w:val="none" w:sz="0" w:space="0" w:color="auto"/>
        <w:bottom w:val="none" w:sz="0" w:space="0" w:color="auto"/>
        <w:right w:val="none" w:sz="0" w:space="0" w:color="auto"/>
      </w:divBdr>
    </w:div>
    <w:div w:id="719209445">
      <w:bodyDiv w:val="1"/>
      <w:marLeft w:val="0"/>
      <w:marRight w:val="0"/>
      <w:marTop w:val="0"/>
      <w:marBottom w:val="0"/>
      <w:divBdr>
        <w:top w:val="none" w:sz="0" w:space="0" w:color="auto"/>
        <w:left w:val="none" w:sz="0" w:space="0" w:color="auto"/>
        <w:bottom w:val="none" w:sz="0" w:space="0" w:color="auto"/>
        <w:right w:val="none" w:sz="0" w:space="0" w:color="auto"/>
      </w:divBdr>
    </w:div>
    <w:div w:id="750472167">
      <w:bodyDiv w:val="1"/>
      <w:marLeft w:val="0"/>
      <w:marRight w:val="0"/>
      <w:marTop w:val="0"/>
      <w:marBottom w:val="0"/>
      <w:divBdr>
        <w:top w:val="none" w:sz="0" w:space="0" w:color="auto"/>
        <w:left w:val="none" w:sz="0" w:space="0" w:color="auto"/>
        <w:bottom w:val="none" w:sz="0" w:space="0" w:color="auto"/>
        <w:right w:val="none" w:sz="0" w:space="0" w:color="auto"/>
      </w:divBdr>
    </w:div>
    <w:div w:id="811992102">
      <w:bodyDiv w:val="1"/>
      <w:marLeft w:val="0"/>
      <w:marRight w:val="0"/>
      <w:marTop w:val="0"/>
      <w:marBottom w:val="0"/>
      <w:divBdr>
        <w:top w:val="none" w:sz="0" w:space="0" w:color="auto"/>
        <w:left w:val="none" w:sz="0" w:space="0" w:color="auto"/>
        <w:bottom w:val="none" w:sz="0" w:space="0" w:color="auto"/>
        <w:right w:val="none" w:sz="0" w:space="0" w:color="auto"/>
      </w:divBdr>
    </w:div>
    <w:div w:id="821431319">
      <w:bodyDiv w:val="1"/>
      <w:marLeft w:val="0"/>
      <w:marRight w:val="0"/>
      <w:marTop w:val="0"/>
      <w:marBottom w:val="0"/>
      <w:divBdr>
        <w:top w:val="none" w:sz="0" w:space="0" w:color="auto"/>
        <w:left w:val="none" w:sz="0" w:space="0" w:color="auto"/>
        <w:bottom w:val="none" w:sz="0" w:space="0" w:color="auto"/>
        <w:right w:val="none" w:sz="0" w:space="0" w:color="auto"/>
      </w:divBdr>
    </w:div>
    <w:div w:id="822891067">
      <w:bodyDiv w:val="1"/>
      <w:marLeft w:val="0"/>
      <w:marRight w:val="0"/>
      <w:marTop w:val="0"/>
      <w:marBottom w:val="0"/>
      <w:divBdr>
        <w:top w:val="none" w:sz="0" w:space="0" w:color="auto"/>
        <w:left w:val="none" w:sz="0" w:space="0" w:color="auto"/>
        <w:bottom w:val="none" w:sz="0" w:space="0" w:color="auto"/>
        <w:right w:val="none" w:sz="0" w:space="0" w:color="auto"/>
      </w:divBdr>
    </w:div>
    <w:div w:id="844396775">
      <w:bodyDiv w:val="1"/>
      <w:marLeft w:val="0"/>
      <w:marRight w:val="0"/>
      <w:marTop w:val="0"/>
      <w:marBottom w:val="0"/>
      <w:divBdr>
        <w:top w:val="none" w:sz="0" w:space="0" w:color="auto"/>
        <w:left w:val="none" w:sz="0" w:space="0" w:color="auto"/>
        <w:bottom w:val="none" w:sz="0" w:space="0" w:color="auto"/>
        <w:right w:val="none" w:sz="0" w:space="0" w:color="auto"/>
      </w:divBdr>
    </w:div>
    <w:div w:id="844898602">
      <w:bodyDiv w:val="1"/>
      <w:marLeft w:val="0"/>
      <w:marRight w:val="0"/>
      <w:marTop w:val="0"/>
      <w:marBottom w:val="0"/>
      <w:divBdr>
        <w:top w:val="none" w:sz="0" w:space="0" w:color="auto"/>
        <w:left w:val="none" w:sz="0" w:space="0" w:color="auto"/>
        <w:bottom w:val="none" w:sz="0" w:space="0" w:color="auto"/>
        <w:right w:val="none" w:sz="0" w:space="0" w:color="auto"/>
      </w:divBdr>
    </w:div>
    <w:div w:id="854541580">
      <w:bodyDiv w:val="1"/>
      <w:marLeft w:val="0"/>
      <w:marRight w:val="0"/>
      <w:marTop w:val="0"/>
      <w:marBottom w:val="0"/>
      <w:divBdr>
        <w:top w:val="none" w:sz="0" w:space="0" w:color="auto"/>
        <w:left w:val="none" w:sz="0" w:space="0" w:color="auto"/>
        <w:bottom w:val="none" w:sz="0" w:space="0" w:color="auto"/>
        <w:right w:val="none" w:sz="0" w:space="0" w:color="auto"/>
      </w:divBdr>
    </w:div>
    <w:div w:id="867252685">
      <w:bodyDiv w:val="1"/>
      <w:marLeft w:val="0"/>
      <w:marRight w:val="0"/>
      <w:marTop w:val="0"/>
      <w:marBottom w:val="0"/>
      <w:divBdr>
        <w:top w:val="none" w:sz="0" w:space="0" w:color="auto"/>
        <w:left w:val="none" w:sz="0" w:space="0" w:color="auto"/>
        <w:bottom w:val="none" w:sz="0" w:space="0" w:color="auto"/>
        <w:right w:val="none" w:sz="0" w:space="0" w:color="auto"/>
      </w:divBdr>
    </w:div>
    <w:div w:id="888031625">
      <w:bodyDiv w:val="1"/>
      <w:marLeft w:val="0"/>
      <w:marRight w:val="0"/>
      <w:marTop w:val="0"/>
      <w:marBottom w:val="0"/>
      <w:divBdr>
        <w:top w:val="none" w:sz="0" w:space="0" w:color="auto"/>
        <w:left w:val="none" w:sz="0" w:space="0" w:color="auto"/>
        <w:bottom w:val="none" w:sz="0" w:space="0" w:color="auto"/>
        <w:right w:val="none" w:sz="0" w:space="0" w:color="auto"/>
      </w:divBdr>
    </w:div>
    <w:div w:id="890768034">
      <w:bodyDiv w:val="1"/>
      <w:marLeft w:val="0"/>
      <w:marRight w:val="0"/>
      <w:marTop w:val="0"/>
      <w:marBottom w:val="0"/>
      <w:divBdr>
        <w:top w:val="none" w:sz="0" w:space="0" w:color="auto"/>
        <w:left w:val="none" w:sz="0" w:space="0" w:color="auto"/>
        <w:bottom w:val="none" w:sz="0" w:space="0" w:color="auto"/>
        <w:right w:val="none" w:sz="0" w:space="0" w:color="auto"/>
      </w:divBdr>
    </w:div>
    <w:div w:id="894241385">
      <w:bodyDiv w:val="1"/>
      <w:marLeft w:val="0"/>
      <w:marRight w:val="0"/>
      <w:marTop w:val="0"/>
      <w:marBottom w:val="0"/>
      <w:divBdr>
        <w:top w:val="none" w:sz="0" w:space="0" w:color="auto"/>
        <w:left w:val="none" w:sz="0" w:space="0" w:color="auto"/>
        <w:bottom w:val="none" w:sz="0" w:space="0" w:color="auto"/>
        <w:right w:val="none" w:sz="0" w:space="0" w:color="auto"/>
      </w:divBdr>
    </w:div>
    <w:div w:id="953363564">
      <w:bodyDiv w:val="1"/>
      <w:marLeft w:val="0"/>
      <w:marRight w:val="0"/>
      <w:marTop w:val="0"/>
      <w:marBottom w:val="0"/>
      <w:divBdr>
        <w:top w:val="none" w:sz="0" w:space="0" w:color="auto"/>
        <w:left w:val="none" w:sz="0" w:space="0" w:color="auto"/>
        <w:bottom w:val="none" w:sz="0" w:space="0" w:color="auto"/>
        <w:right w:val="none" w:sz="0" w:space="0" w:color="auto"/>
      </w:divBdr>
    </w:div>
    <w:div w:id="962618973">
      <w:bodyDiv w:val="1"/>
      <w:marLeft w:val="0"/>
      <w:marRight w:val="0"/>
      <w:marTop w:val="0"/>
      <w:marBottom w:val="0"/>
      <w:divBdr>
        <w:top w:val="none" w:sz="0" w:space="0" w:color="auto"/>
        <w:left w:val="none" w:sz="0" w:space="0" w:color="auto"/>
        <w:bottom w:val="none" w:sz="0" w:space="0" w:color="auto"/>
        <w:right w:val="none" w:sz="0" w:space="0" w:color="auto"/>
      </w:divBdr>
    </w:div>
    <w:div w:id="991953532">
      <w:bodyDiv w:val="1"/>
      <w:marLeft w:val="0"/>
      <w:marRight w:val="0"/>
      <w:marTop w:val="0"/>
      <w:marBottom w:val="0"/>
      <w:divBdr>
        <w:top w:val="none" w:sz="0" w:space="0" w:color="auto"/>
        <w:left w:val="none" w:sz="0" w:space="0" w:color="auto"/>
        <w:bottom w:val="none" w:sz="0" w:space="0" w:color="auto"/>
        <w:right w:val="none" w:sz="0" w:space="0" w:color="auto"/>
      </w:divBdr>
    </w:div>
    <w:div w:id="1019165791">
      <w:bodyDiv w:val="1"/>
      <w:marLeft w:val="0"/>
      <w:marRight w:val="0"/>
      <w:marTop w:val="0"/>
      <w:marBottom w:val="0"/>
      <w:divBdr>
        <w:top w:val="none" w:sz="0" w:space="0" w:color="auto"/>
        <w:left w:val="none" w:sz="0" w:space="0" w:color="auto"/>
        <w:bottom w:val="none" w:sz="0" w:space="0" w:color="auto"/>
        <w:right w:val="none" w:sz="0" w:space="0" w:color="auto"/>
      </w:divBdr>
    </w:div>
    <w:div w:id="1040588659">
      <w:bodyDiv w:val="1"/>
      <w:marLeft w:val="0"/>
      <w:marRight w:val="0"/>
      <w:marTop w:val="0"/>
      <w:marBottom w:val="0"/>
      <w:divBdr>
        <w:top w:val="none" w:sz="0" w:space="0" w:color="auto"/>
        <w:left w:val="none" w:sz="0" w:space="0" w:color="auto"/>
        <w:bottom w:val="none" w:sz="0" w:space="0" w:color="auto"/>
        <w:right w:val="none" w:sz="0" w:space="0" w:color="auto"/>
      </w:divBdr>
    </w:div>
    <w:div w:id="1120418350">
      <w:bodyDiv w:val="1"/>
      <w:marLeft w:val="0"/>
      <w:marRight w:val="0"/>
      <w:marTop w:val="0"/>
      <w:marBottom w:val="0"/>
      <w:divBdr>
        <w:top w:val="none" w:sz="0" w:space="0" w:color="auto"/>
        <w:left w:val="none" w:sz="0" w:space="0" w:color="auto"/>
        <w:bottom w:val="none" w:sz="0" w:space="0" w:color="auto"/>
        <w:right w:val="none" w:sz="0" w:space="0" w:color="auto"/>
      </w:divBdr>
    </w:div>
    <w:div w:id="1147825003">
      <w:bodyDiv w:val="1"/>
      <w:marLeft w:val="0"/>
      <w:marRight w:val="0"/>
      <w:marTop w:val="0"/>
      <w:marBottom w:val="0"/>
      <w:divBdr>
        <w:top w:val="none" w:sz="0" w:space="0" w:color="auto"/>
        <w:left w:val="none" w:sz="0" w:space="0" w:color="auto"/>
        <w:bottom w:val="none" w:sz="0" w:space="0" w:color="auto"/>
        <w:right w:val="none" w:sz="0" w:space="0" w:color="auto"/>
      </w:divBdr>
    </w:div>
    <w:div w:id="1162895357">
      <w:bodyDiv w:val="1"/>
      <w:marLeft w:val="0"/>
      <w:marRight w:val="0"/>
      <w:marTop w:val="0"/>
      <w:marBottom w:val="0"/>
      <w:divBdr>
        <w:top w:val="none" w:sz="0" w:space="0" w:color="auto"/>
        <w:left w:val="none" w:sz="0" w:space="0" w:color="auto"/>
        <w:bottom w:val="none" w:sz="0" w:space="0" w:color="auto"/>
        <w:right w:val="none" w:sz="0" w:space="0" w:color="auto"/>
      </w:divBdr>
    </w:div>
    <w:div w:id="1196045435">
      <w:bodyDiv w:val="1"/>
      <w:marLeft w:val="0"/>
      <w:marRight w:val="0"/>
      <w:marTop w:val="0"/>
      <w:marBottom w:val="0"/>
      <w:divBdr>
        <w:top w:val="none" w:sz="0" w:space="0" w:color="auto"/>
        <w:left w:val="none" w:sz="0" w:space="0" w:color="auto"/>
        <w:bottom w:val="none" w:sz="0" w:space="0" w:color="auto"/>
        <w:right w:val="none" w:sz="0" w:space="0" w:color="auto"/>
      </w:divBdr>
    </w:div>
    <w:div w:id="1201741434">
      <w:bodyDiv w:val="1"/>
      <w:marLeft w:val="0"/>
      <w:marRight w:val="0"/>
      <w:marTop w:val="0"/>
      <w:marBottom w:val="0"/>
      <w:divBdr>
        <w:top w:val="none" w:sz="0" w:space="0" w:color="auto"/>
        <w:left w:val="none" w:sz="0" w:space="0" w:color="auto"/>
        <w:bottom w:val="none" w:sz="0" w:space="0" w:color="auto"/>
        <w:right w:val="none" w:sz="0" w:space="0" w:color="auto"/>
      </w:divBdr>
    </w:div>
    <w:div w:id="1231161448">
      <w:bodyDiv w:val="1"/>
      <w:marLeft w:val="0"/>
      <w:marRight w:val="0"/>
      <w:marTop w:val="0"/>
      <w:marBottom w:val="0"/>
      <w:divBdr>
        <w:top w:val="none" w:sz="0" w:space="0" w:color="auto"/>
        <w:left w:val="none" w:sz="0" w:space="0" w:color="auto"/>
        <w:bottom w:val="none" w:sz="0" w:space="0" w:color="auto"/>
        <w:right w:val="none" w:sz="0" w:space="0" w:color="auto"/>
      </w:divBdr>
    </w:div>
    <w:div w:id="1237206506">
      <w:bodyDiv w:val="1"/>
      <w:marLeft w:val="0"/>
      <w:marRight w:val="0"/>
      <w:marTop w:val="0"/>
      <w:marBottom w:val="0"/>
      <w:divBdr>
        <w:top w:val="none" w:sz="0" w:space="0" w:color="auto"/>
        <w:left w:val="none" w:sz="0" w:space="0" w:color="auto"/>
        <w:bottom w:val="none" w:sz="0" w:space="0" w:color="auto"/>
        <w:right w:val="none" w:sz="0" w:space="0" w:color="auto"/>
      </w:divBdr>
    </w:div>
    <w:div w:id="1239290284">
      <w:bodyDiv w:val="1"/>
      <w:marLeft w:val="0"/>
      <w:marRight w:val="0"/>
      <w:marTop w:val="0"/>
      <w:marBottom w:val="0"/>
      <w:divBdr>
        <w:top w:val="none" w:sz="0" w:space="0" w:color="auto"/>
        <w:left w:val="none" w:sz="0" w:space="0" w:color="auto"/>
        <w:bottom w:val="none" w:sz="0" w:space="0" w:color="auto"/>
        <w:right w:val="none" w:sz="0" w:space="0" w:color="auto"/>
      </w:divBdr>
    </w:div>
    <w:div w:id="1267273405">
      <w:bodyDiv w:val="1"/>
      <w:marLeft w:val="0"/>
      <w:marRight w:val="0"/>
      <w:marTop w:val="0"/>
      <w:marBottom w:val="0"/>
      <w:divBdr>
        <w:top w:val="none" w:sz="0" w:space="0" w:color="auto"/>
        <w:left w:val="none" w:sz="0" w:space="0" w:color="auto"/>
        <w:bottom w:val="none" w:sz="0" w:space="0" w:color="auto"/>
        <w:right w:val="none" w:sz="0" w:space="0" w:color="auto"/>
      </w:divBdr>
    </w:div>
    <w:div w:id="1294942844">
      <w:bodyDiv w:val="1"/>
      <w:marLeft w:val="0"/>
      <w:marRight w:val="0"/>
      <w:marTop w:val="0"/>
      <w:marBottom w:val="0"/>
      <w:divBdr>
        <w:top w:val="none" w:sz="0" w:space="0" w:color="auto"/>
        <w:left w:val="none" w:sz="0" w:space="0" w:color="auto"/>
        <w:bottom w:val="none" w:sz="0" w:space="0" w:color="auto"/>
        <w:right w:val="none" w:sz="0" w:space="0" w:color="auto"/>
      </w:divBdr>
    </w:div>
    <w:div w:id="1366249870">
      <w:bodyDiv w:val="1"/>
      <w:marLeft w:val="0"/>
      <w:marRight w:val="0"/>
      <w:marTop w:val="0"/>
      <w:marBottom w:val="0"/>
      <w:divBdr>
        <w:top w:val="none" w:sz="0" w:space="0" w:color="auto"/>
        <w:left w:val="none" w:sz="0" w:space="0" w:color="auto"/>
        <w:bottom w:val="none" w:sz="0" w:space="0" w:color="auto"/>
        <w:right w:val="none" w:sz="0" w:space="0" w:color="auto"/>
      </w:divBdr>
    </w:div>
    <w:div w:id="1410419037">
      <w:bodyDiv w:val="1"/>
      <w:marLeft w:val="0"/>
      <w:marRight w:val="0"/>
      <w:marTop w:val="0"/>
      <w:marBottom w:val="0"/>
      <w:divBdr>
        <w:top w:val="none" w:sz="0" w:space="0" w:color="auto"/>
        <w:left w:val="none" w:sz="0" w:space="0" w:color="auto"/>
        <w:bottom w:val="none" w:sz="0" w:space="0" w:color="auto"/>
        <w:right w:val="none" w:sz="0" w:space="0" w:color="auto"/>
      </w:divBdr>
    </w:div>
    <w:div w:id="1425764324">
      <w:bodyDiv w:val="1"/>
      <w:marLeft w:val="0"/>
      <w:marRight w:val="0"/>
      <w:marTop w:val="0"/>
      <w:marBottom w:val="0"/>
      <w:divBdr>
        <w:top w:val="none" w:sz="0" w:space="0" w:color="auto"/>
        <w:left w:val="none" w:sz="0" w:space="0" w:color="auto"/>
        <w:bottom w:val="none" w:sz="0" w:space="0" w:color="auto"/>
        <w:right w:val="none" w:sz="0" w:space="0" w:color="auto"/>
      </w:divBdr>
    </w:div>
    <w:div w:id="1460564781">
      <w:bodyDiv w:val="1"/>
      <w:marLeft w:val="0"/>
      <w:marRight w:val="0"/>
      <w:marTop w:val="0"/>
      <w:marBottom w:val="0"/>
      <w:divBdr>
        <w:top w:val="none" w:sz="0" w:space="0" w:color="auto"/>
        <w:left w:val="none" w:sz="0" w:space="0" w:color="auto"/>
        <w:bottom w:val="none" w:sz="0" w:space="0" w:color="auto"/>
        <w:right w:val="none" w:sz="0" w:space="0" w:color="auto"/>
      </w:divBdr>
    </w:div>
    <w:div w:id="1498693219">
      <w:bodyDiv w:val="1"/>
      <w:marLeft w:val="0"/>
      <w:marRight w:val="0"/>
      <w:marTop w:val="0"/>
      <w:marBottom w:val="0"/>
      <w:divBdr>
        <w:top w:val="none" w:sz="0" w:space="0" w:color="auto"/>
        <w:left w:val="none" w:sz="0" w:space="0" w:color="auto"/>
        <w:bottom w:val="none" w:sz="0" w:space="0" w:color="auto"/>
        <w:right w:val="none" w:sz="0" w:space="0" w:color="auto"/>
      </w:divBdr>
    </w:div>
    <w:div w:id="1594632369">
      <w:bodyDiv w:val="1"/>
      <w:marLeft w:val="0"/>
      <w:marRight w:val="0"/>
      <w:marTop w:val="0"/>
      <w:marBottom w:val="0"/>
      <w:divBdr>
        <w:top w:val="none" w:sz="0" w:space="0" w:color="auto"/>
        <w:left w:val="none" w:sz="0" w:space="0" w:color="auto"/>
        <w:bottom w:val="none" w:sz="0" w:space="0" w:color="auto"/>
        <w:right w:val="none" w:sz="0" w:space="0" w:color="auto"/>
      </w:divBdr>
    </w:div>
    <w:div w:id="1639064919">
      <w:bodyDiv w:val="1"/>
      <w:marLeft w:val="0"/>
      <w:marRight w:val="0"/>
      <w:marTop w:val="0"/>
      <w:marBottom w:val="0"/>
      <w:divBdr>
        <w:top w:val="none" w:sz="0" w:space="0" w:color="auto"/>
        <w:left w:val="none" w:sz="0" w:space="0" w:color="auto"/>
        <w:bottom w:val="none" w:sz="0" w:space="0" w:color="auto"/>
        <w:right w:val="none" w:sz="0" w:space="0" w:color="auto"/>
      </w:divBdr>
    </w:div>
    <w:div w:id="1673409801">
      <w:bodyDiv w:val="1"/>
      <w:marLeft w:val="0"/>
      <w:marRight w:val="0"/>
      <w:marTop w:val="0"/>
      <w:marBottom w:val="0"/>
      <w:divBdr>
        <w:top w:val="none" w:sz="0" w:space="0" w:color="auto"/>
        <w:left w:val="none" w:sz="0" w:space="0" w:color="auto"/>
        <w:bottom w:val="none" w:sz="0" w:space="0" w:color="auto"/>
        <w:right w:val="none" w:sz="0" w:space="0" w:color="auto"/>
      </w:divBdr>
    </w:div>
    <w:div w:id="1786270892">
      <w:bodyDiv w:val="1"/>
      <w:marLeft w:val="0"/>
      <w:marRight w:val="0"/>
      <w:marTop w:val="0"/>
      <w:marBottom w:val="0"/>
      <w:divBdr>
        <w:top w:val="none" w:sz="0" w:space="0" w:color="auto"/>
        <w:left w:val="none" w:sz="0" w:space="0" w:color="auto"/>
        <w:bottom w:val="none" w:sz="0" w:space="0" w:color="auto"/>
        <w:right w:val="none" w:sz="0" w:space="0" w:color="auto"/>
      </w:divBdr>
    </w:div>
    <w:div w:id="1813907704">
      <w:bodyDiv w:val="1"/>
      <w:marLeft w:val="0"/>
      <w:marRight w:val="0"/>
      <w:marTop w:val="0"/>
      <w:marBottom w:val="0"/>
      <w:divBdr>
        <w:top w:val="none" w:sz="0" w:space="0" w:color="auto"/>
        <w:left w:val="none" w:sz="0" w:space="0" w:color="auto"/>
        <w:bottom w:val="none" w:sz="0" w:space="0" w:color="auto"/>
        <w:right w:val="none" w:sz="0" w:space="0" w:color="auto"/>
      </w:divBdr>
    </w:div>
    <w:div w:id="1819226724">
      <w:bodyDiv w:val="1"/>
      <w:marLeft w:val="0"/>
      <w:marRight w:val="0"/>
      <w:marTop w:val="0"/>
      <w:marBottom w:val="0"/>
      <w:divBdr>
        <w:top w:val="none" w:sz="0" w:space="0" w:color="auto"/>
        <w:left w:val="none" w:sz="0" w:space="0" w:color="auto"/>
        <w:bottom w:val="none" w:sz="0" w:space="0" w:color="auto"/>
        <w:right w:val="none" w:sz="0" w:space="0" w:color="auto"/>
      </w:divBdr>
    </w:div>
    <w:div w:id="1861122883">
      <w:bodyDiv w:val="1"/>
      <w:marLeft w:val="0"/>
      <w:marRight w:val="0"/>
      <w:marTop w:val="0"/>
      <w:marBottom w:val="0"/>
      <w:divBdr>
        <w:top w:val="none" w:sz="0" w:space="0" w:color="auto"/>
        <w:left w:val="none" w:sz="0" w:space="0" w:color="auto"/>
        <w:bottom w:val="none" w:sz="0" w:space="0" w:color="auto"/>
        <w:right w:val="none" w:sz="0" w:space="0" w:color="auto"/>
      </w:divBdr>
    </w:div>
    <w:div w:id="1862207166">
      <w:bodyDiv w:val="1"/>
      <w:marLeft w:val="0"/>
      <w:marRight w:val="0"/>
      <w:marTop w:val="0"/>
      <w:marBottom w:val="0"/>
      <w:divBdr>
        <w:top w:val="none" w:sz="0" w:space="0" w:color="auto"/>
        <w:left w:val="none" w:sz="0" w:space="0" w:color="auto"/>
        <w:bottom w:val="none" w:sz="0" w:space="0" w:color="auto"/>
        <w:right w:val="none" w:sz="0" w:space="0" w:color="auto"/>
      </w:divBdr>
    </w:div>
    <w:div w:id="1863087817">
      <w:bodyDiv w:val="1"/>
      <w:marLeft w:val="0"/>
      <w:marRight w:val="0"/>
      <w:marTop w:val="0"/>
      <w:marBottom w:val="0"/>
      <w:divBdr>
        <w:top w:val="none" w:sz="0" w:space="0" w:color="auto"/>
        <w:left w:val="none" w:sz="0" w:space="0" w:color="auto"/>
        <w:bottom w:val="none" w:sz="0" w:space="0" w:color="auto"/>
        <w:right w:val="none" w:sz="0" w:space="0" w:color="auto"/>
      </w:divBdr>
    </w:div>
    <w:div w:id="1899121387">
      <w:bodyDiv w:val="1"/>
      <w:marLeft w:val="0"/>
      <w:marRight w:val="0"/>
      <w:marTop w:val="0"/>
      <w:marBottom w:val="0"/>
      <w:divBdr>
        <w:top w:val="none" w:sz="0" w:space="0" w:color="auto"/>
        <w:left w:val="none" w:sz="0" w:space="0" w:color="auto"/>
        <w:bottom w:val="none" w:sz="0" w:space="0" w:color="auto"/>
        <w:right w:val="none" w:sz="0" w:space="0" w:color="auto"/>
      </w:divBdr>
    </w:div>
    <w:div w:id="1916435031">
      <w:bodyDiv w:val="1"/>
      <w:marLeft w:val="0"/>
      <w:marRight w:val="0"/>
      <w:marTop w:val="0"/>
      <w:marBottom w:val="0"/>
      <w:divBdr>
        <w:top w:val="none" w:sz="0" w:space="0" w:color="auto"/>
        <w:left w:val="none" w:sz="0" w:space="0" w:color="auto"/>
        <w:bottom w:val="none" w:sz="0" w:space="0" w:color="auto"/>
        <w:right w:val="none" w:sz="0" w:space="0" w:color="auto"/>
      </w:divBdr>
    </w:div>
    <w:div w:id="1957759455">
      <w:bodyDiv w:val="1"/>
      <w:marLeft w:val="0"/>
      <w:marRight w:val="0"/>
      <w:marTop w:val="0"/>
      <w:marBottom w:val="0"/>
      <w:divBdr>
        <w:top w:val="none" w:sz="0" w:space="0" w:color="auto"/>
        <w:left w:val="none" w:sz="0" w:space="0" w:color="auto"/>
        <w:bottom w:val="none" w:sz="0" w:space="0" w:color="auto"/>
        <w:right w:val="none" w:sz="0" w:space="0" w:color="auto"/>
      </w:divBdr>
    </w:div>
    <w:div w:id="1984039066">
      <w:bodyDiv w:val="1"/>
      <w:marLeft w:val="0"/>
      <w:marRight w:val="0"/>
      <w:marTop w:val="0"/>
      <w:marBottom w:val="0"/>
      <w:divBdr>
        <w:top w:val="none" w:sz="0" w:space="0" w:color="auto"/>
        <w:left w:val="none" w:sz="0" w:space="0" w:color="auto"/>
        <w:bottom w:val="none" w:sz="0" w:space="0" w:color="auto"/>
        <w:right w:val="none" w:sz="0" w:space="0" w:color="auto"/>
      </w:divBdr>
    </w:div>
    <w:div w:id="2036299144">
      <w:bodyDiv w:val="1"/>
      <w:marLeft w:val="0"/>
      <w:marRight w:val="0"/>
      <w:marTop w:val="0"/>
      <w:marBottom w:val="0"/>
      <w:divBdr>
        <w:top w:val="none" w:sz="0" w:space="0" w:color="auto"/>
        <w:left w:val="none" w:sz="0" w:space="0" w:color="auto"/>
        <w:bottom w:val="none" w:sz="0" w:space="0" w:color="auto"/>
        <w:right w:val="none" w:sz="0" w:space="0" w:color="auto"/>
      </w:divBdr>
    </w:div>
    <w:div w:id="2054110953">
      <w:bodyDiv w:val="1"/>
      <w:marLeft w:val="0"/>
      <w:marRight w:val="0"/>
      <w:marTop w:val="0"/>
      <w:marBottom w:val="0"/>
      <w:divBdr>
        <w:top w:val="none" w:sz="0" w:space="0" w:color="auto"/>
        <w:left w:val="none" w:sz="0" w:space="0" w:color="auto"/>
        <w:bottom w:val="none" w:sz="0" w:space="0" w:color="auto"/>
        <w:right w:val="none" w:sz="0" w:space="0" w:color="auto"/>
      </w:divBdr>
    </w:div>
    <w:div w:id="2072346142">
      <w:bodyDiv w:val="1"/>
      <w:marLeft w:val="0"/>
      <w:marRight w:val="0"/>
      <w:marTop w:val="0"/>
      <w:marBottom w:val="0"/>
      <w:divBdr>
        <w:top w:val="none" w:sz="0" w:space="0" w:color="auto"/>
        <w:left w:val="none" w:sz="0" w:space="0" w:color="auto"/>
        <w:bottom w:val="none" w:sz="0" w:space="0" w:color="auto"/>
        <w:right w:val="none" w:sz="0" w:space="0" w:color="auto"/>
      </w:divBdr>
    </w:div>
    <w:div w:id="2085762135">
      <w:bodyDiv w:val="1"/>
      <w:marLeft w:val="0"/>
      <w:marRight w:val="0"/>
      <w:marTop w:val="0"/>
      <w:marBottom w:val="0"/>
      <w:divBdr>
        <w:top w:val="none" w:sz="0" w:space="0" w:color="auto"/>
        <w:left w:val="none" w:sz="0" w:space="0" w:color="auto"/>
        <w:bottom w:val="none" w:sz="0" w:space="0" w:color="auto"/>
        <w:right w:val="none" w:sz="0" w:space="0" w:color="auto"/>
      </w:divBdr>
    </w:div>
    <w:div w:id="2088266938">
      <w:bodyDiv w:val="1"/>
      <w:marLeft w:val="0"/>
      <w:marRight w:val="0"/>
      <w:marTop w:val="0"/>
      <w:marBottom w:val="0"/>
      <w:divBdr>
        <w:top w:val="none" w:sz="0" w:space="0" w:color="auto"/>
        <w:left w:val="none" w:sz="0" w:space="0" w:color="auto"/>
        <w:bottom w:val="none" w:sz="0" w:space="0" w:color="auto"/>
        <w:right w:val="none" w:sz="0" w:space="0" w:color="auto"/>
      </w:divBdr>
    </w:div>
    <w:div w:id="2088381693">
      <w:bodyDiv w:val="1"/>
      <w:marLeft w:val="0"/>
      <w:marRight w:val="0"/>
      <w:marTop w:val="0"/>
      <w:marBottom w:val="0"/>
      <w:divBdr>
        <w:top w:val="none" w:sz="0" w:space="0" w:color="auto"/>
        <w:left w:val="none" w:sz="0" w:space="0" w:color="auto"/>
        <w:bottom w:val="none" w:sz="0" w:space="0" w:color="auto"/>
        <w:right w:val="none" w:sz="0" w:space="0" w:color="auto"/>
      </w:divBdr>
    </w:div>
    <w:div w:id="2103839088">
      <w:bodyDiv w:val="1"/>
      <w:marLeft w:val="0"/>
      <w:marRight w:val="0"/>
      <w:marTop w:val="0"/>
      <w:marBottom w:val="0"/>
      <w:divBdr>
        <w:top w:val="none" w:sz="0" w:space="0" w:color="auto"/>
        <w:left w:val="none" w:sz="0" w:space="0" w:color="auto"/>
        <w:bottom w:val="none" w:sz="0" w:space="0" w:color="auto"/>
        <w:right w:val="none" w:sz="0" w:space="0" w:color="auto"/>
      </w:divBdr>
    </w:div>
    <w:div w:id="213143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9779F4D3594C56A3378169603590EB"/>
        <w:category>
          <w:name w:val="General"/>
          <w:gallery w:val="placeholder"/>
        </w:category>
        <w:types>
          <w:type w:val="bbPlcHdr"/>
        </w:types>
        <w:behaviors>
          <w:behavior w:val="content"/>
        </w:behaviors>
        <w:guid w:val="{1F8CED09-5A9C-408B-9A67-477881862ACF}"/>
      </w:docPartPr>
      <w:docPartBody>
        <w:p w:rsidR="001D378C" w:rsidRDefault="00C46CC6" w:rsidP="00C46CC6">
          <w:pPr>
            <w:pStyle w:val="F59779F4D3594C56A3378169603590EB"/>
          </w:pPr>
          <w:r>
            <w:rPr>
              <w:rFonts w:asciiTheme="majorHAnsi" w:eastAsiaTheme="majorEastAsia" w:hAnsiTheme="majorHAnsi" w:cstheme="majorBidi"/>
              <w:caps/>
              <w:color w:val="156082" w:themeColor="accent1"/>
              <w:sz w:val="80"/>
              <w:szCs w:val="80"/>
            </w:rPr>
            <w:t>[Document title]</w:t>
          </w:r>
        </w:p>
      </w:docPartBody>
    </w:docPart>
    <w:docPart>
      <w:docPartPr>
        <w:name w:val="2B284D6ECBD3443BB4C3566FBE6AE2BD"/>
        <w:category>
          <w:name w:val="General"/>
          <w:gallery w:val="placeholder"/>
        </w:category>
        <w:types>
          <w:type w:val="bbPlcHdr"/>
        </w:types>
        <w:behaviors>
          <w:behavior w:val="content"/>
        </w:behaviors>
        <w:guid w:val="{B353681E-3F99-49E1-81BA-E118BA9753FC}"/>
      </w:docPartPr>
      <w:docPartBody>
        <w:p w:rsidR="001D378C" w:rsidRDefault="00C46CC6" w:rsidP="00C46CC6">
          <w:pPr>
            <w:pStyle w:val="2B284D6ECBD3443BB4C3566FBE6AE2B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CC6"/>
    <w:rsid w:val="001D378C"/>
    <w:rsid w:val="00471ED4"/>
    <w:rsid w:val="005A305C"/>
    <w:rsid w:val="00621C53"/>
    <w:rsid w:val="007B7003"/>
    <w:rsid w:val="008F1424"/>
    <w:rsid w:val="00900182"/>
    <w:rsid w:val="0092049E"/>
    <w:rsid w:val="00B37274"/>
    <w:rsid w:val="00C37F68"/>
    <w:rsid w:val="00C46CC6"/>
    <w:rsid w:val="00D02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9779F4D3594C56A3378169603590EB">
    <w:name w:val="F59779F4D3594C56A3378169603590EB"/>
    <w:rsid w:val="00C46CC6"/>
  </w:style>
  <w:style w:type="paragraph" w:customStyle="1" w:styleId="2B284D6ECBD3443BB4C3566FBE6AE2BD">
    <w:name w:val="2B284D6ECBD3443BB4C3566FBE6AE2BD"/>
    <w:rsid w:val="00C46C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LCLM6004</PublishDate>
  <Abstract/>
  <CompanyAddress>Dr Olu Adegbite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Yet24</b:Tag>
    <b:SourceType>JournalArticle</b:SourceType>
    <b:Guid>{367D9273-29EA-4E4D-865A-7F96ED574050}</b:Guid>
    <b:Title>Energy transition in the oil and gas sector: Business models for a sustainable future</b:Title>
    <b:Year>2024</b:Year>
    <b:JournalName>International Journal of Management &amp; Entrepreneurship Research</b:JournalName>
    <b:Pages>1</b:Pages>
    <b:Volume>6</b:Volume>
    <b:Issue>10</b:Issue>
    <b:Author>
      <b:Author>
        <b:NameList>
          <b:Person>
            <b:Last>Adebayo</b:Last>
            <b:First>Yetunde</b:First>
          </b:Person>
          <b:Person>
            <b:Last>Esiri</b:Last>
            <b:First>Andrew</b:First>
          </b:Person>
          <b:Person>
            <b:Last>Ikevuje</b:Last>
            <b:First>Augusta</b:First>
            <b:Middle>Heavens</b:Middle>
          </b:Person>
          <b:Person>
            <b:Last>Kwakye</b:Last>
            <b:First>Jephta</b:First>
            <b:Middle>Mensah</b:Middle>
          </b:Person>
        </b:NameList>
      </b:Author>
    </b:Author>
    <b:RefOrder>1</b:RefOrder>
  </b:Source>
  <b:Source>
    <b:Tag>She26</b:Tag>
    <b:SourceType>InternetSite</b:SourceType>
    <b:Guid>{E5F04D13-B058-4557-A3E2-9F2B03C1ADEE}</b:Guid>
    <b:Title>Climate</b:Title>
    <b:Year>2026</b:Year>
    <b:YearAccessed>2026</b:YearAccessed>
    <b:MonthAccessed>February</b:MonthAccessed>
    <b:DayAccessed>26</b:DayAccessed>
    <b:URL>https://www.shell.com/sustainability/climate.html</b:URL>
    <b:Author>
      <b:Author>
        <b:Corporate>Shell</b:Corporate>
      </b:Author>
    </b:Author>
    <b:RefOrder>2</b:RefOrder>
  </b:Source>
  <b:Source>
    <b:Tag>Pau24</b:Tag>
    <b:SourceType>JournalArticle</b:SourceType>
    <b:Guid>{06123AB3-6B2E-4894-B54D-8B7DD2152025}</b:Guid>
    <b:Title>Energy transition: Assessing oil companies' compliance with their disclosed environmental strategic positioning</b:Title>
    <b:Year>2024</b:Year>
    <b:Pages>1</b:Pages>
    <b:Author>
      <b:Author>
        <b:NameList>
          <b:Person>
            <b:Last>Berrêdo</b:Last>
            <b:First>Paula</b:First>
            <b:Middle>Danyelle</b:Middle>
          </b:Person>
          <b:Person>
            <b:Last>Santos</b:Last>
            <b:First>Odilanei</b:First>
            <b:Middle>Morais dos</b:Middle>
          </b:Person>
          <b:Person>
            <b:Last>Abdo</b:Last>
            <b:First>Hafez</b:First>
          </b:Person>
          <b:Person>
            <b:Last>Macedo</b:Last>
            <b:First>Marcelo</b:First>
            <b:Middle>Álvaro da Silva</b:Middle>
          </b:Person>
          <b:Person>
            <b:Last>Losekann</b:Last>
            <b:First>Luciano</b:First>
            <b:Middle>Dias</b:Middle>
          </b:Person>
        </b:NameList>
      </b:Author>
    </b:Author>
    <b:JournalName>Corporate Social Responsibility and Environmental Management</b:JournalName>
    <b:Volume>31</b:Volume>
    <b:Issue>4</b:Issue>
    <b:RefOrder>3</b:RefOrder>
  </b:Source>
  <b:Source>
    <b:Tag>Vir25</b:Tag>
    <b:SourceType>InternetSite</b:SourceType>
    <b:Guid>{4441A7B7-8158-4F4C-B9F7-394E734B4AD4}</b:Guid>
    <b:Title>Shareholders' climate resolution challenges 'disconnect' in Shell's LNG strategy</b:Title>
    <b:Year>2025</b:Year>
    <b:Author>
      <b:Author>
        <b:NameList>
          <b:Person>
            <b:Last>Furness</b:Last>
            <b:First>Virginia</b:First>
          </b:Person>
        </b:NameList>
      </b:Author>
    </b:Author>
    <b:YearAccessed>2026</b:YearAccessed>
    <b:MonthAccessed>February</b:MonthAccessed>
    <b:DayAccessed>26</b:DayAccessed>
    <b:URL>https://www.reuters.com/sustainability/climate-energy/shareholders-climate-resolution-challenges-disconnect-shells-lng-strategy-2025-01-07/</b:URL>
    <b:RefOrder>4</b:RefOrder>
  </b:Source>
  <b:Source>
    <b:Tag>Dan25</b:Tag>
    <b:SourceType>JournalArticle</b:SourceType>
    <b:Guid>{D26AB594-0DA0-4ACF-961D-84C663BE2C04}</b:Guid>
    <b:Title>Evaluating the role of the oil and gas industry in energy transition in oil-producing countries: A systematic literature review</b:Title>
    <b:Year>2025</b:Year>
    <b:Pages>1</b:Pages>
    <b:Author>
      <b:Author>
        <b:NameList>
          <b:Person>
            <b:Last>Dongo</b:Last>
            <b:First>Daniel</b:First>
            <b:Middle>Filipe</b:Middle>
          </b:Person>
          <b:Person>
            <b:Last>Relvas</b:Last>
            <b:First>Susana</b:First>
          </b:Person>
        </b:NameList>
      </b:Author>
    </b:Author>
    <b:JournalName>Energy Research &amp; Social Science</b:JournalName>
    <b:Volume>120</b:Volume>
    <b:RefOrder>5</b:RefOrder>
  </b:Source>
  <b:Source>
    <b:Tag>Kri23</b:Tag>
    <b:SourceType>JournalArticle</b:SourceType>
    <b:Guid>{534D8F22-0E1D-4D42-9CDF-496C21035D34}</b:Guid>
    <b:Author>
      <b:Author>
        <b:NameList>
          <b:Person>
            <b:Last>Halttunen</b:Last>
            <b:First>Krista</b:First>
          </b:Person>
          <b:Person>
            <b:Last>Slade</b:Last>
            <b:First>Raphael</b:First>
          </b:Person>
          <b:Person>
            <b:Last>Staffell</b:Last>
            <b:First>Iain</b:First>
          </b:Person>
        </b:NameList>
      </b:Author>
    </b:Author>
    <b:Title>Diversify or die: Strategy options for oil majors in the sustainable energy transition</b:Title>
    <b:JournalName>Energy Research &amp; Social Science</b:JournalName>
    <b:Year>2023</b:Year>
    <b:Pages>1</b:Pages>
    <b:Volume>104</b:Volume>
    <b:RefOrder>6</b:RefOrder>
  </b:Source>
  <b:Source>
    <b:Tag>Dim25</b:Tag>
    <b:SourceType>JournalArticle</b:SourceType>
    <b:Guid>{79336A33-A475-4B56-AB20-0EF5827E8530}</b:Guid>
    <b:Author>
      <b:Author>
        <b:NameList>
          <b:Person>
            <b:Last>Dimitriou</b:Last>
            <b:First>Dimitrios</b:First>
          </b:Person>
          <b:Person>
            <b:Last>Sartzetaki</b:Last>
            <b:First>Maria</b:First>
          </b:Person>
          <b:Person>
            <b:Last>Karagkouni</b:Last>
            <b:First>Aristi</b:First>
          </b:Person>
          <b:Person>
            <b:Last>Efstratiou</b:Last>
            <b:First>Vasiliki</b:First>
          </b:Person>
        </b:NameList>
      </b:Author>
    </b:Author>
    <b:Title>Corporate Strategy for Sustainable Development in the Oil and Gas Industry: Drivers, Agility Mechanisms, and SDG Alignment</b:Title>
    <b:JournalName>J Sustain Res</b:JournalName>
    <b:Year>2025</b:Year>
    <b:Volume>7</b:Volume>
    <b:Issue>3</b:Issue>
    <b:RefOrder>7</b:RefOrder>
  </b:Source>
  <b:Source>
    <b:Tag>dwa84</b:Tag>
    <b:SourceType>Book</b:SourceType>
    <b:Guid>{0302A4B3-E06A-41DB-B181-1003410BB183}</b:Guid>
    <b:Title>Stakeholder Theory: The State of the Art</b:Title>
    <b:Year>1984</b:Year>
    <b:Author>
      <b:Author>
        <b:NameList>
          <b:Person>
            <b:Last>Freeman</b:Last>
            <b:First>dward</b:First>
          </b:Person>
          <b:Person>
            <b:Last>Harrison</b:Last>
            <b:First>Jeffrey</b:First>
            <b:Middle>S.</b:Middle>
          </b:Person>
          <b:Person>
            <b:Last>Wicks</b:Last>
            <b:First>Andrew</b:First>
            <b:Middle>C.</b:Middle>
          </b:Person>
          <b:Person>
            <b:Last>Parmar</b:Last>
            <b:First>Bidhan</b:First>
            <b:Middle>L.</b:Middle>
          </b:Person>
          <b:Person>
            <b:Last>Colle</b:Last>
            <b:First>Simone</b:First>
            <b:Middle>de</b:Middle>
          </b:Person>
        </b:NameList>
      </b:Author>
    </b:Author>
    <b:City>Cambridge</b:City>
    <b:Publisher>Cambridge University Press</b:Publisher>
    <b:RefOrder>15</b:RefOrder>
  </b:Source>
  <b:Source>
    <b:Tag>Ber23</b:Tag>
    <b:SourceType>JournalArticle</b:SourceType>
    <b:Guid>{DDDE29FD-C97C-4F54-BFC9-CF83F75C3DAA}</b:Guid>
    <b:Title>What explains firms’ net zero adoption, strategy and response? </b:Title>
    <b:Year>2023</b:Year>
    <b:Pages>1-15</b:Pages>
    <b:Author>
      <b:Author>
        <b:NameList>
          <b:Person>
            <b:Last>Berger-Schmitz</b:Last>
          </b:Person>
          <b:Person>
            <b:Last>Zola</b:Last>
          </b:Person>
          <b:Person>
            <b:Last>George</b:Last>
          </b:Person>
          <b:Person>
            <b:Last>Douglas</b:Last>
          </b:Person>
          <b:Person>
            <b:Last>Hindal</b:Last>
          </b:Person>
          <b:Person>
            <b:Last>Cameron</b:Last>
          </b:Person>
          <b:Person>
            <b:Last>Perkins</b:Last>
          </b:Person>
          <b:Person>
            <b:Last>Travaille</b:Last>
            <b:First>Richard</b:First>
            <b:Middle>&amp;</b:Middle>
          </b:Person>
          <b:Person>
            <b:Last>Maria</b:Last>
          </b:Person>
        </b:NameList>
      </b:Author>
    </b:Author>
    <b:JournalName>Business Strategy and the Environment</b:JournalName>
    <b:RefOrder>16</b:RefOrder>
  </b:Source>
  <b:Source>
    <b:Tag>Pau83</b:Tag>
    <b:SourceType>JournalArticle</b:SourceType>
    <b:Guid>{FB128FC2-88F7-4A39-BE45-1014C9917485}</b:Guid>
    <b:Author>
      <b:Author>
        <b:NameList>
          <b:Person>
            <b:Last>DiMaggio</b:Last>
            <b:First>Paul</b:First>
            <b:Middle>J.</b:Middle>
          </b:Person>
          <b:Person>
            <b:Last>Powell</b:Last>
            <b:First>Walter</b:First>
            <b:Middle>W.</b:Middle>
          </b:Person>
        </b:NameList>
      </b:Author>
    </b:Author>
    <b:Title>The Iron Cage Revisited: Institutional Isomorphism and Collective Rationality in Organizational Fields</b:Title>
    <b:JournalName>American Sociological Review</b:JournalName>
    <b:Year>1983</b:Year>
    <b:Volume>48</b:Volume>
    <b:Issue>2</b:Issue>
    <b:RefOrder>17</b:RefOrder>
  </b:Source>
  <b:Source>
    <b:Tag>Yut23</b:Tag>
    <b:SourceType>JournalArticle</b:SourceType>
    <b:Guid>{41FBEC75-A77A-4BA1-BC22-433E823134FA}</b:Guid>
    <b:Author>
      <b:Author>
        <b:NameList>
          <b:Person>
            <b:Last>Si</b:Last>
            <b:First>Yutong</b:First>
          </b:Person>
          <b:Person>
            <b:Last>Desai</b:Last>
            <b:First>Dipa</b:First>
          </b:Person>
          <b:Person>
            <b:Last>Bozhilova</b:Last>
            <b:First>Diana</b:First>
          </b:Person>
          <b:Person>
            <b:Last>Puffer</b:Last>
            <b:First>Sheila</b:First>
          </b:Person>
          <b:Person>
            <b:Last>Stephens</b:Last>
            <b:First>Jennie</b:First>
            <b:Middle>C.</b:Middle>
          </b:Person>
        </b:NameList>
      </b:Author>
    </b:Author>
    <b:Title>Fossil fuel companies' climate communication strategies: Industry messaging on renewables and natural gas</b:Title>
    <b:JournalName>Energy Research &amp; Social Science</b:JournalName>
    <b:Year>2023</b:Year>
    <b:Volume>98</b:Volume>
    <b:RefOrder>18</b:RefOrder>
  </b:Source>
  <b:Source>
    <b:Tag>Let23</b:Tag>
    <b:SourceType>JournalArticle</b:SourceType>
    <b:Guid>{7D4A18E2-012E-45AB-A387-C39A1B1AE1C0}</b:Guid>
    <b:Author>
      <b:Author>
        <b:NameList>
          <b:Person>
            <b:Last>Vieira</b:Last>
            <b:First>Leticia</b:First>
            <b:Middle>Canal</b:Middle>
          </b:Person>
          <b:Person>
            <b:Last>Longo</b:Last>
            <b:First>Mariolina</b:First>
          </b:Person>
          <b:Person>
            <b:Last>Mura</b:Last>
            <b:First>Matteo</b:First>
          </b:Person>
        </b:NameList>
      </b:Author>
    </b:Author>
    <b:Title>From carbon dependence to renewables: The European oil majors' strategies to face climate change</b:Title>
    <b:JournalName>Business Strategy and the Environment</b:JournalName>
    <b:Year>2023</b:Year>
    <b:Pages>1248-1259</b:Pages>
    <b:Volume>32</b:Volume>
    <b:Issue>4</b:Issue>
    <b:RefOrder>19</b:RefOrder>
  </b:Source>
  <b:Source>
    <b:Tag>Ant14</b:Tag>
    <b:SourceType>InternetSite</b:SourceType>
    <b:Guid>{E2BFCFF4-6D73-4D04-8C1B-A5017AF96E2F}</b:Guid>
    <b:Title>Organisational ambidexterity</b:Title>
    <b:Year>2014</b:Year>
    <b:YearAccessed>2026</b:YearAccessed>
    <b:MonthAccessed>March</b:MonthAccessed>
    <b:DayAccessed>03</b:DayAccessed>
    <b:URL>https://www.london.edu/think/organisational-ambidexterity</b:URL>
    <b:Author>
      <b:Author>
        <b:NameList>
          <b:Person>
            <b:Last>Nieto-Rodriguez</b:Last>
            <b:First>Antonio</b:First>
          </b:Person>
        </b:NameList>
      </b:Author>
    </b:Author>
    <b:RefOrder>9</b:RefOrder>
  </b:Source>
  <b:Source>
    <b:Tag>She261</b:Tag>
    <b:SourceType>InternetSite</b:SourceType>
    <b:Guid>{1479C9F5-058E-4842-9EAF-BA27F0D6938A}</b:Guid>
    <b:Author>
      <b:Author>
        <b:Corporate>Shell</b:Corporate>
      </b:Author>
    </b:Author>
    <b:Title>Historical Annual Reports</b:Title>
    <b:Year>2026</b:Year>
    <b:YearAccessed>2026</b:YearAccessed>
    <b:MonthAccessed>March</b:MonthAccessed>
    <b:DayAccessed>05</b:DayAccessed>
    <b:URL>https://www.shell.com/investors/results-and-reporting/annual-report-archive.html</b:URL>
    <b:RefOrder>14</b:RefOrder>
  </b:Source>
  <b:Source>
    <b:Tag>CHA13</b:Tag>
    <b:SourceType>JournalArticle</b:SourceType>
    <b:Guid>{947DCB36-6ED8-423E-AE4F-E173406386F8}</b:Guid>
    <b:Author>
      <b:Author>
        <b:NameList>
          <b:Person>
            <b:Last>Tushman</b:Last>
            <b:First>Michael</b:First>
            <b:Middle>L.</b:Middle>
          </b:Person>
          <b:Person>
            <b:Last>III</b:Last>
            <b:First>Charles</b:First>
            <b:Middle>A. O’Reilly</b:Middle>
          </b:Person>
        </b:NameList>
      </b:Author>
    </b:Author>
    <b:Title>ORGANIZATIONAL AMBIDEXTERITY: PAST, PRESENT, AND FUTURE</b:Title>
    <b:JournalName>Academy of Management Perspectives</b:JournalName>
    <b:Year>2013</b:Year>
    <b:Pages>324-338</b:Pages>
    <b:Volume>27</b:Volume>
    <b:Issue>4</b:Issue>
    <b:RefOrder>8</b:RefOrder>
  </b:Source>
  <b:Source>
    <b:Tag>Kas19</b:Tag>
    <b:SourceType>JournalArticle</b:SourceType>
    <b:Guid>{222372D7-7C4F-4447-8D48-579D6E5A761F}</b:Guid>
    <b:Author>
      <b:Author>
        <b:NameList>
          <b:Person>
            <b:Last>Kassotaki</b:Last>
            <b:First>Olga</b:First>
          </b:Person>
        </b:NameList>
      </b:Author>
    </b:Author>
    <b:Title>Ambidextrous leadership in high technology organizations</b:Title>
    <b:JournalName>Organizational Dynamics</b:JournalName>
    <b:Year>2019</b:Year>
    <b:Pages>37-43</b:Pages>
    <b:RefOrder>10</b:RefOrder>
  </b:Source>
  <b:Source>
    <b:Tag>Seb09</b:Tag>
    <b:SourceType>JournalArticle</b:SourceType>
    <b:Guid>{BE8A4561-6662-422E-A4CD-CB8627623F2B}</b:Guid>
    <b:Author>
      <b:Author>
        <b:NameList>
          <b:Person>
            <b:Last>Raisch</b:Last>
            <b:First>Sebastian</b:First>
          </b:Person>
          <b:Person>
            <b:Last>Birkinshaw</b:Last>
            <b:First>Julian</b:First>
          </b:Person>
          <b:Person>
            <b:Last>Probst</b:Last>
            <b:First>Gilbert</b:First>
          </b:Person>
          <b:Person>
            <b:Last>Tushman</b:Last>
            <b:First>Michael</b:First>
            <b:Middle>L.</b:Middle>
          </b:Person>
        </b:NameList>
      </b:Author>
    </b:Author>
    <b:Title>Organizational Ambidexterity: Balancing Exploitation and Exploration for Sustained Performance</b:Title>
    <b:JournalName>Organization Science</b:JournalName>
    <b:Year>2009</b:Year>
    <b:Pages>685-695</b:Pages>
    <b:RefOrder>11</b:RefOrder>
  </b:Source>
  <b:Source>
    <b:Tag>Rob14</b:Tag>
    <b:SourceType>JournalArticle</b:SourceType>
    <b:Guid>{4B578B1A-BF82-457B-B133-8BDCFFD181A2}</b:Guid>
    <b:Title>A significant debate in the literature concerns the relationship between performance and financial outcomes. Some scholars argue that sustainability investments enhance long-term firm value by reducing regulatory risk and improving stakeholder trust. Othe</b:Title>
    <b:JournalName>Management Science</b:JournalName>
    <b:Year>2014</b:Year>
    <b:Author>
      <b:Author>
        <b:NameList>
          <b:Person>
            <b:Last>Eccles</b:Last>
            <b:First>Robert</b:First>
            <b:Middle>G.</b:Middle>
          </b:Person>
          <b:Person>
            <b:Last>Ioannou</b:Last>
            <b:First>Ioannis</b:First>
          </b:Person>
          <b:Person>
            <b:Last>Serafeim</b:Last>
            <b:First>George</b:First>
          </b:Person>
        </b:NameList>
      </b:Author>
    </b:Author>
    <b:RefOrder>12</b:RefOrder>
  </b:Source>
  <b:Source>
    <b:Tag>Mat19</b:Tag>
    <b:SourceType>JournalArticle</b:SourceType>
    <b:Guid>{99BFBE09-D13B-45A5-A892-B16DF8E88224}</b:Guid>
    <b:Author>
      <b:Author>
        <b:NameList>
          <b:Person>
            <b:Last>Pickl</b:Last>
            <b:First>Matthias</b:First>
            <b:Middle>J.</b:Middle>
          </b:Person>
        </b:NameList>
      </b:Author>
    </b:Author>
    <b:Title>The renewable energy strategies of oil majors – From oil to energy?</b:Title>
    <b:JournalName>Energy Strategy Reviews</b:JournalName>
    <b:Year>2019</b:Yea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30E7EA-0306-4C5B-B6C6-688FE5272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11</Pages>
  <Words>2888</Words>
  <Characters>16462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Research Methods for Business</vt:lpstr>
    </vt:vector>
  </TitlesOfParts>
  <Company>BA (Hons) Leadership and Management Skills for the Workplace</Company>
  <LinksUpToDate>false</LinksUpToDate>
  <CharactersWithSpaces>19312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for Business</dc:title>
  <dc:subject>Lamar Walters 2310732</dc:subject>
  <dc:creator>Lamar Walters (2310732)</dc:creator>
  <cp:keywords/>
  <dc:description/>
  <cp:lastModifiedBy>Lamar Walters (2310732)</cp:lastModifiedBy>
  <cp:revision>18</cp:revision>
  <dcterms:created xsi:type="dcterms:W3CDTF">2026-02-26T12:27:00Z</dcterms:created>
  <dcterms:modified xsi:type="dcterms:W3CDTF">2026-03-16T00:30:00Z</dcterms:modified>
</cp:coreProperties>
</file>