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heme="majorHAnsi" w:hAnsiTheme="majorHAnsi" w:eastAsiaTheme="majorEastAsia" w:cstheme="majorBidi"/>
          <w:sz w:val="72"/>
          <w:szCs w:val="72"/>
          <w:lang w:eastAsia="en-US"/>
        </w:rPr>
        <w:id w:val="-222604848"/>
        <w:docPartObj>
          <w:docPartGallery w:val="AutoText"/>
        </w:docPartObj>
      </w:sdtPr>
      <w:sdtEndPr>
        <w:rPr>
          <w:rFonts w:ascii="Times New Roman" w:hAnsi="Times New Roman" w:eastAsiaTheme="minorHAnsi" w:cstheme="minorBidi"/>
          <w:sz w:val="24"/>
          <w:szCs w:val="22"/>
          <w:lang w:eastAsia="en-US"/>
        </w:rPr>
      </w:sdtEndPr>
      <w:sdtContent>
        <w:p>
          <w:pPr>
            <w:pStyle w:val="19"/>
            <w:rPr>
              <w:rFonts w:asciiTheme="majorHAnsi" w:hAnsiTheme="majorHAnsi" w:eastAsiaTheme="majorEastAsia" w:cstheme="majorBidi"/>
              <w:sz w:val="72"/>
              <w:szCs w:val="72"/>
              <w:lang w:eastAsia="en-US"/>
            </w:rPr>
          </w:pPr>
          <w:r>
            <w:rPr>
              <w:b/>
              <w:lang w:eastAsia="en-GB"/>
            </w:rPr>
            <w:drawing>
              <wp:inline distT="0" distB="0" distL="0" distR="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escription: :::::::Desktop:In progress desktop:TRINITY SAINT DAVID:logo:TSD_logo2010.jpg"/>
                        <pic:cNvPicPr>
                          <a:picLocks noChangeAspect="1" noChangeArrowheads="1"/>
                        </pic:cNvPicPr>
                      </pic:nvPicPr>
                      <pic:blipFill>
                        <a:blip r:embed="rId4" cstate="print"/>
                        <a:srcRect/>
                        <a:stretch>
                          <a:fillRect/>
                        </a:stretch>
                      </pic:blipFill>
                      <pic:spPr>
                        <a:xfrm>
                          <a:off x="0" y="0"/>
                          <a:ext cx="2209800" cy="742950"/>
                        </a:xfrm>
                        <a:prstGeom prst="rect">
                          <a:avLst/>
                        </a:prstGeom>
                        <a:noFill/>
                        <a:ln w="9525">
                          <a:noFill/>
                          <a:miter lim="800000"/>
                          <a:headEnd/>
                          <a:tailEnd/>
                        </a:ln>
                      </pic:spPr>
                    </pic:pic>
                  </a:graphicData>
                </a:graphic>
              </wp:inline>
            </w:drawing>
          </w:r>
        </w:p>
        <w:p>
          <w:pPr>
            <w:pStyle w:val="19"/>
            <w:jc w:val="center"/>
            <w:rPr>
              <w:rFonts w:asciiTheme="majorHAnsi" w:hAnsiTheme="majorHAnsi" w:eastAsiaTheme="majorEastAsia" w:cstheme="majorBidi"/>
              <w:sz w:val="72"/>
              <w:szCs w:val="72"/>
              <w:lang w:eastAsia="en-US"/>
            </w:rPr>
          </w:pPr>
          <w:r>
            <w:rPr>
              <w:rFonts w:asciiTheme="majorHAnsi" w:hAnsiTheme="majorHAnsi" w:eastAsiaTheme="majorEastAsia" w:cstheme="majorBidi"/>
              <w:sz w:val="72"/>
              <w:szCs w:val="72"/>
              <w:lang w:eastAsia="en-US"/>
            </w:rPr>
            <w:t>Community Engagement: LCBB4002</w:t>
          </w:r>
        </w:p>
        <w:p>
          <w:pPr>
            <w:pStyle w:val="19"/>
            <w:jc w:val="center"/>
            <w:rPr>
              <w:rFonts w:asciiTheme="majorHAnsi" w:hAnsiTheme="majorHAnsi" w:eastAsiaTheme="majorEastAsia" w:cstheme="majorBidi"/>
              <w:sz w:val="72"/>
              <w:szCs w:val="72"/>
              <w:lang w:val="en-GB" w:eastAsia="en-US"/>
            </w:rPr>
          </w:pPr>
          <w:r>
            <w:rPr>
              <w:rFonts w:asciiTheme="majorHAnsi" w:hAnsiTheme="majorHAnsi" w:eastAsiaTheme="majorEastAsia" w:cstheme="majorBidi"/>
              <w:sz w:val="72"/>
              <w:szCs w:val="72"/>
              <w:lang w:eastAsia="en-US"/>
            </w:rPr>
            <w:t>Student Name:</w:t>
          </w:r>
          <w:r>
            <w:rPr>
              <w:rFonts w:asciiTheme="majorHAnsi" w:hAnsiTheme="majorHAnsi" w:eastAsiaTheme="majorEastAsia" w:cstheme="majorBidi"/>
              <w:sz w:val="72"/>
              <w:szCs w:val="72"/>
              <w:lang w:val="en-GB" w:eastAsia="en-US"/>
            </w:rPr>
            <w:t>MIHAELA FILIMON</w:t>
          </w:r>
        </w:p>
        <w:p>
          <w:pPr>
            <w:pStyle w:val="19"/>
            <w:jc w:val="center"/>
            <w:rPr>
              <w:rFonts w:asciiTheme="majorHAnsi" w:hAnsiTheme="majorHAnsi" w:eastAsiaTheme="majorEastAsia" w:cstheme="majorBidi"/>
              <w:sz w:val="72"/>
              <w:szCs w:val="72"/>
              <w:lang w:val="en-GB" w:eastAsia="en-US"/>
            </w:rPr>
          </w:pPr>
          <w:r>
            <w:rPr>
              <w:rFonts w:asciiTheme="majorHAnsi" w:hAnsiTheme="majorHAnsi" w:eastAsiaTheme="majorEastAsia" w:cstheme="majorBidi"/>
              <w:sz w:val="72"/>
              <w:szCs w:val="72"/>
              <w:lang w:eastAsia="en-US"/>
            </w:rPr>
            <w:t>Student ID:</w:t>
          </w:r>
          <w:r>
            <w:rPr>
              <w:rFonts w:asciiTheme="majorHAnsi" w:hAnsiTheme="majorHAnsi" w:eastAsiaTheme="majorEastAsia" w:cstheme="majorBidi"/>
              <w:sz w:val="72"/>
              <w:szCs w:val="72"/>
              <w:lang w:val="en-GB" w:eastAsia="en-US"/>
            </w:rPr>
            <w:t>1813660</w:t>
          </w:r>
        </w:p>
        <w:p>
          <w:pPr>
            <w:pStyle w:val="19"/>
            <w:jc w:val="center"/>
            <w:rPr>
              <w:rFonts w:asciiTheme="majorHAnsi" w:hAnsiTheme="majorHAnsi" w:eastAsiaTheme="majorEastAsia" w:cstheme="majorBidi"/>
              <w:sz w:val="72"/>
              <w:szCs w:val="72"/>
              <w:lang w:val="en-GB" w:eastAsia="en-US"/>
            </w:rPr>
          </w:pPr>
          <w:r>
            <w:rPr>
              <w:rFonts w:asciiTheme="majorHAnsi" w:hAnsiTheme="majorHAnsi" w:eastAsiaTheme="majorEastAsia" w:cstheme="majorBidi"/>
              <w:sz w:val="72"/>
              <w:szCs w:val="72"/>
              <w:lang w:eastAsia="en-US"/>
            </w:rPr>
            <w:t>Lecturer:</w:t>
          </w:r>
          <w:r>
            <w:rPr>
              <w:rFonts w:asciiTheme="majorHAnsi" w:hAnsiTheme="majorHAnsi" w:eastAsiaTheme="majorEastAsia" w:cstheme="majorBidi"/>
              <w:sz w:val="72"/>
              <w:szCs w:val="72"/>
              <w:lang w:val="en-GB" w:eastAsia="en-US"/>
            </w:rPr>
            <w:t xml:space="preserve"> </w:t>
          </w:r>
        </w:p>
        <w:p>
          <w:pPr>
            <w:pStyle w:val="19"/>
            <w:jc w:val="center"/>
            <w:rPr>
              <w:rFonts w:asciiTheme="majorHAnsi" w:hAnsiTheme="majorHAnsi" w:eastAsiaTheme="majorEastAsia" w:cstheme="majorBidi"/>
              <w:b/>
              <w:sz w:val="72"/>
              <w:szCs w:val="72"/>
            </w:rPr>
          </w:pPr>
          <w:r>
            <w:rPr>
              <w:rFonts w:asciiTheme="majorHAnsi" w:hAnsiTheme="majorHAnsi" w:eastAsiaTheme="majorEastAsia" w:cstheme="majorBidi"/>
              <w:sz w:val="72"/>
              <w:szCs w:val="72"/>
              <w:lang w:eastAsia="en-US"/>
            </w:rPr>
            <w:t>Date of Submission:</w:t>
          </w:r>
          <w:bookmarkStart w:id="13" w:name="_GoBack"/>
          <w:bookmarkEnd w:id="13"/>
        </w:p>
        <w:p>
          <w:pPr>
            <w:pStyle w:val="19"/>
            <w:rPr>
              <w:rFonts w:asciiTheme="majorHAnsi" w:hAnsiTheme="majorHAnsi" w:eastAsiaTheme="majorEastAsia" w:cstheme="majorBidi"/>
              <w:b/>
              <w:sz w:val="72"/>
              <w:szCs w:val="72"/>
            </w:rPr>
          </w:pPr>
        </w:p>
        <w:p>
          <w:pPr>
            <w:pStyle w:val="19"/>
            <w:rPr>
              <w:rFonts w:asciiTheme="majorHAnsi" w:hAnsiTheme="majorHAnsi" w:eastAsiaTheme="majorEastAsia" w:cstheme="majorBidi"/>
              <w:b/>
              <w:sz w:val="72"/>
              <w:szCs w:val="72"/>
            </w:rPr>
          </w:pPr>
        </w:p>
        <w:p>
          <w:pPr>
            <w:pStyle w:val="19"/>
            <w:rPr>
              <w:rFonts w:asciiTheme="majorHAnsi" w:hAnsiTheme="majorHAnsi" w:eastAsiaTheme="majorEastAsia" w:cstheme="majorBidi"/>
              <w:b/>
              <w:sz w:val="72"/>
              <w:szCs w:val="72"/>
            </w:rPr>
          </w:pPr>
        </w:p>
        <w:p>
          <w:pPr>
            <w:pStyle w:val="19"/>
            <w:rPr>
              <w:rFonts w:asciiTheme="majorHAnsi" w:hAnsiTheme="majorHAnsi" w:eastAsiaTheme="majorEastAsia" w:cstheme="majorBidi"/>
              <w:b/>
              <w:sz w:val="72"/>
              <w:szCs w:val="72"/>
            </w:rPr>
          </w:pPr>
        </w:p>
        <w:p>
          <w:pPr>
            <w:pStyle w:val="19"/>
            <w:rPr>
              <w:rFonts w:asciiTheme="majorHAnsi" w:hAnsiTheme="majorHAnsi" w:eastAsiaTheme="majorEastAsia" w:cstheme="majorBidi"/>
              <w:b/>
              <w:sz w:val="72"/>
              <w:szCs w:val="72"/>
            </w:rPr>
          </w:pPr>
        </w:p>
        <w:p>
          <w:pPr>
            <w:pStyle w:val="19"/>
            <w:rPr>
              <w:rFonts w:asciiTheme="majorHAnsi" w:hAnsiTheme="majorHAnsi" w:eastAsiaTheme="majorEastAsia" w:cstheme="majorBidi"/>
              <w:b/>
              <w:sz w:val="72"/>
              <w:szCs w:val="72"/>
            </w:rPr>
          </w:pPr>
        </w:p>
        <w:p>
          <w:pPr>
            <w:spacing w:line="276" w:lineRule="auto"/>
            <w:jc w:val="left"/>
            <w:rPr>
              <w:rFonts w:eastAsiaTheme="majorEastAsia" w:cstheme="majorBidi"/>
              <w:b/>
              <w:bCs/>
              <w:sz w:val="32"/>
              <w:szCs w:val="28"/>
            </w:rPr>
          </w:pPr>
        </w:p>
      </w:sdtContent>
    </w:sdt>
    <w:sdt>
      <w:sdtPr>
        <w:rPr>
          <w:rFonts w:ascii="Times New Roman" w:hAnsi="Times New Roman" w:eastAsiaTheme="minorHAnsi" w:cstheme="minorBidi"/>
          <w:b w:val="0"/>
          <w:bCs w:val="0"/>
          <w:color w:val="auto"/>
          <w:sz w:val="24"/>
          <w:szCs w:val="22"/>
          <w:lang w:eastAsia="en-US"/>
        </w:rPr>
        <w:id w:val="-829515566"/>
        <w:docPartObj>
          <w:docPartGallery w:val="Table of Contents"/>
          <w:docPartUnique/>
        </w:docPartObj>
      </w:sdtPr>
      <w:sdtEndPr>
        <w:rPr>
          <w:rFonts w:ascii="Times New Roman" w:hAnsi="Times New Roman" w:eastAsiaTheme="minorHAnsi" w:cstheme="minorBidi"/>
          <w:b w:val="0"/>
          <w:bCs w:val="0"/>
          <w:color w:val="auto"/>
          <w:sz w:val="24"/>
          <w:szCs w:val="22"/>
          <w:lang w:eastAsia="en-US"/>
        </w:rPr>
      </w:sdtEndPr>
      <w:sdtContent>
        <w:p>
          <w:pPr>
            <w:pStyle w:val="21"/>
          </w:pPr>
          <w:r>
            <w:t>Table of Contents</w:t>
          </w:r>
        </w:p>
        <w:p>
          <w:pPr>
            <w:pStyle w:val="7"/>
            <w:tabs>
              <w:tab w:val="right" w:leader="dot" w:pos="9350"/>
            </w:tabs>
            <w:rPr>
              <w:rFonts w:asciiTheme="minorHAnsi" w:hAnsiTheme="minorHAnsi" w:eastAsiaTheme="minorEastAsia"/>
              <w:sz w:val="22"/>
              <w:lang w:val="en-GB" w:eastAsia="en-GB"/>
            </w:rPr>
          </w:pPr>
          <w:r>
            <w:fldChar w:fldCharType="begin"/>
          </w:r>
          <w:r>
            <w:instrText xml:space="preserve"> TOC \o "1-3" \h \z \u </w:instrText>
          </w:r>
          <w:r>
            <w:fldChar w:fldCharType="separate"/>
          </w:r>
          <w:r>
            <w:fldChar w:fldCharType="begin"/>
          </w:r>
          <w:r>
            <w:instrText xml:space="preserve"> HYPERLINK \l "_Toc7806906" </w:instrText>
          </w:r>
          <w:r>
            <w:fldChar w:fldCharType="separate"/>
          </w:r>
          <w:r>
            <w:rPr>
              <w:rStyle w:val="10"/>
            </w:rPr>
            <w:t>Introduction</w:t>
          </w:r>
          <w:r>
            <w:tab/>
          </w:r>
          <w:r>
            <w:fldChar w:fldCharType="begin"/>
          </w:r>
          <w:r>
            <w:instrText xml:space="preserve"> PAGEREF _Toc7806906 \h </w:instrText>
          </w:r>
          <w:r>
            <w:fldChar w:fldCharType="separate"/>
          </w:r>
          <w:r>
            <w:t>2</w:t>
          </w:r>
          <w:r>
            <w:fldChar w:fldCharType="end"/>
          </w:r>
          <w:r>
            <w:fldChar w:fldCharType="end"/>
          </w:r>
        </w:p>
        <w:p>
          <w:pPr>
            <w:pStyle w:val="7"/>
            <w:tabs>
              <w:tab w:val="right" w:leader="dot" w:pos="9350"/>
            </w:tabs>
            <w:rPr>
              <w:rFonts w:asciiTheme="minorHAnsi" w:hAnsiTheme="minorHAnsi" w:eastAsiaTheme="minorEastAsia"/>
              <w:sz w:val="22"/>
              <w:lang w:val="en-GB" w:eastAsia="en-GB"/>
            </w:rPr>
          </w:pPr>
          <w:r>
            <w:fldChar w:fldCharType="begin"/>
          </w:r>
          <w:r>
            <w:instrText xml:space="preserve"> HYPERLINK \l "_Toc7806907" </w:instrText>
          </w:r>
          <w:r>
            <w:fldChar w:fldCharType="separate"/>
          </w:r>
          <w:r>
            <w:rPr>
              <w:rStyle w:val="10"/>
            </w:rPr>
            <w:t>Company Profile</w:t>
          </w:r>
          <w:r>
            <w:tab/>
          </w:r>
          <w:r>
            <w:fldChar w:fldCharType="begin"/>
          </w:r>
          <w:r>
            <w:instrText xml:space="preserve"> PAGEREF _Toc7806907 \h </w:instrText>
          </w:r>
          <w:r>
            <w:fldChar w:fldCharType="separate"/>
          </w:r>
          <w:r>
            <w:t>3</w:t>
          </w:r>
          <w:r>
            <w:fldChar w:fldCharType="end"/>
          </w:r>
          <w:r>
            <w:fldChar w:fldCharType="end"/>
          </w:r>
        </w:p>
        <w:p>
          <w:pPr>
            <w:pStyle w:val="8"/>
            <w:tabs>
              <w:tab w:val="right" w:leader="dot" w:pos="9350"/>
            </w:tabs>
            <w:rPr>
              <w:rFonts w:asciiTheme="minorHAnsi" w:hAnsiTheme="minorHAnsi" w:eastAsiaTheme="minorEastAsia"/>
              <w:sz w:val="22"/>
              <w:lang w:val="en-GB" w:eastAsia="en-GB"/>
            </w:rPr>
          </w:pPr>
          <w:r>
            <w:fldChar w:fldCharType="begin"/>
          </w:r>
          <w:r>
            <w:instrText xml:space="preserve"> HYPERLINK \l "_Toc7806908" </w:instrText>
          </w:r>
          <w:r>
            <w:fldChar w:fldCharType="separate"/>
          </w:r>
          <w:r>
            <w:rPr>
              <w:rStyle w:val="10"/>
            </w:rPr>
            <w:t>Customers and clients of Oxfam and their expectation from Oxfam</w:t>
          </w:r>
          <w:r>
            <w:tab/>
          </w:r>
          <w:r>
            <w:fldChar w:fldCharType="begin"/>
          </w:r>
          <w:r>
            <w:instrText xml:space="preserve"> PAGEREF _Toc7806908 \h </w:instrText>
          </w:r>
          <w:r>
            <w:fldChar w:fldCharType="separate"/>
          </w:r>
          <w:r>
            <w:t>5</w:t>
          </w:r>
          <w:r>
            <w:fldChar w:fldCharType="end"/>
          </w:r>
          <w:r>
            <w:fldChar w:fldCharType="end"/>
          </w:r>
        </w:p>
        <w:p>
          <w:pPr>
            <w:pStyle w:val="8"/>
            <w:tabs>
              <w:tab w:val="right" w:leader="dot" w:pos="9350"/>
            </w:tabs>
            <w:rPr>
              <w:rFonts w:asciiTheme="minorHAnsi" w:hAnsiTheme="minorHAnsi" w:eastAsiaTheme="minorEastAsia"/>
              <w:sz w:val="22"/>
              <w:lang w:val="en-GB" w:eastAsia="en-GB"/>
            </w:rPr>
          </w:pPr>
          <w:r>
            <w:fldChar w:fldCharType="begin"/>
          </w:r>
          <w:r>
            <w:instrText xml:space="preserve"> HYPERLINK \l "_Toc7806909" </w:instrText>
          </w:r>
          <w:r>
            <w:fldChar w:fldCharType="separate"/>
          </w:r>
          <w:r>
            <w:rPr>
              <w:rStyle w:val="10"/>
            </w:rPr>
            <w:t>SWOT analysis</w:t>
          </w:r>
          <w:r>
            <w:tab/>
          </w:r>
          <w:r>
            <w:fldChar w:fldCharType="begin"/>
          </w:r>
          <w:r>
            <w:instrText xml:space="preserve"> PAGEREF _Toc7806909 \h </w:instrText>
          </w:r>
          <w:r>
            <w:fldChar w:fldCharType="separate"/>
          </w:r>
          <w:r>
            <w:t>5</w:t>
          </w:r>
          <w:r>
            <w:fldChar w:fldCharType="end"/>
          </w:r>
          <w:r>
            <w:fldChar w:fldCharType="end"/>
          </w:r>
        </w:p>
        <w:p>
          <w:pPr>
            <w:pStyle w:val="8"/>
            <w:tabs>
              <w:tab w:val="right" w:leader="dot" w:pos="9350"/>
            </w:tabs>
            <w:rPr>
              <w:rFonts w:asciiTheme="minorHAnsi" w:hAnsiTheme="minorHAnsi" w:eastAsiaTheme="minorEastAsia"/>
              <w:sz w:val="22"/>
              <w:lang w:val="en-GB" w:eastAsia="en-GB"/>
            </w:rPr>
          </w:pPr>
          <w:r>
            <w:fldChar w:fldCharType="begin"/>
          </w:r>
          <w:r>
            <w:instrText xml:space="preserve"> HYPERLINK \l "_Toc7806910" </w:instrText>
          </w:r>
          <w:r>
            <w:fldChar w:fldCharType="separate"/>
          </w:r>
          <w:r>
            <w:rPr>
              <w:rStyle w:val="10"/>
            </w:rPr>
            <w:t>PESTLE analysis</w:t>
          </w:r>
          <w:r>
            <w:tab/>
          </w:r>
          <w:r>
            <w:fldChar w:fldCharType="begin"/>
          </w:r>
          <w:r>
            <w:instrText xml:space="preserve"> PAGEREF _Toc7806910 \h </w:instrText>
          </w:r>
          <w:r>
            <w:fldChar w:fldCharType="separate"/>
          </w:r>
          <w:r>
            <w:t>6</w:t>
          </w:r>
          <w:r>
            <w:fldChar w:fldCharType="end"/>
          </w:r>
          <w:r>
            <w:fldChar w:fldCharType="end"/>
          </w:r>
        </w:p>
        <w:p>
          <w:pPr>
            <w:pStyle w:val="8"/>
            <w:tabs>
              <w:tab w:val="right" w:leader="dot" w:pos="9350"/>
            </w:tabs>
            <w:rPr>
              <w:rFonts w:asciiTheme="minorHAnsi" w:hAnsiTheme="minorHAnsi" w:eastAsiaTheme="minorEastAsia"/>
              <w:sz w:val="22"/>
              <w:lang w:val="en-GB" w:eastAsia="en-GB"/>
            </w:rPr>
          </w:pPr>
          <w:r>
            <w:fldChar w:fldCharType="begin"/>
          </w:r>
          <w:r>
            <w:instrText xml:space="preserve"> HYPERLINK \l "_Toc7806911" </w:instrText>
          </w:r>
          <w:r>
            <w:fldChar w:fldCharType="separate"/>
          </w:r>
          <w:r>
            <w:rPr>
              <w:rStyle w:val="10"/>
            </w:rPr>
            <w:t>Role of employees within Oxfam and how they support organizational goal</w:t>
          </w:r>
          <w:r>
            <w:tab/>
          </w:r>
          <w:r>
            <w:fldChar w:fldCharType="begin"/>
          </w:r>
          <w:r>
            <w:instrText xml:space="preserve"> PAGEREF _Toc7806911 \h </w:instrText>
          </w:r>
          <w:r>
            <w:fldChar w:fldCharType="separate"/>
          </w:r>
          <w:r>
            <w:t>7</w:t>
          </w:r>
          <w:r>
            <w:fldChar w:fldCharType="end"/>
          </w:r>
          <w:r>
            <w:fldChar w:fldCharType="end"/>
          </w:r>
        </w:p>
        <w:p>
          <w:pPr>
            <w:pStyle w:val="8"/>
            <w:tabs>
              <w:tab w:val="right" w:leader="dot" w:pos="9350"/>
            </w:tabs>
            <w:rPr>
              <w:rFonts w:asciiTheme="minorHAnsi" w:hAnsiTheme="minorHAnsi" w:eastAsiaTheme="minorEastAsia"/>
              <w:sz w:val="22"/>
              <w:lang w:val="en-GB" w:eastAsia="en-GB"/>
            </w:rPr>
          </w:pPr>
          <w:r>
            <w:fldChar w:fldCharType="begin"/>
          </w:r>
          <w:r>
            <w:instrText xml:space="preserve"> HYPERLINK \l "_Toc7806912" </w:instrText>
          </w:r>
          <w:r>
            <w:fldChar w:fldCharType="separate"/>
          </w:r>
          <w:r>
            <w:rPr>
              <w:rStyle w:val="10"/>
            </w:rPr>
            <w:t>Training and development of Oxfam’s employees</w:t>
          </w:r>
          <w:r>
            <w:tab/>
          </w:r>
          <w:r>
            <w:fldChar w:fldCharType="begin"/>
          </w:r>
          <w:r>
            <w:instrText xml:space="preserve"> PAGEREF _Toc7806912 \h </w:instrText>
          </w:r>
          <w:r>
            <w:fldChar w:fldCharType="separate"/>
          </w:r>
          <w:r>
            <w:t>7</w:t>
          </w:r>
          <w:r>
            <w:fldChar w:fldCharType="end"/>
          </w:r>
          <w:r>
            <w:fldChar w:fldCharType="end"/>
          </w:r>
        </w:p>
        <w:p>
          <w:pPr>
            <w:pStyle w:val="8"/>
            <w:tabs>
              <w:tab w:val="right" w:leader="dot" w:pos="9350"/>
            </w:tabs>
            <w:rPr>
              <w:rFonts w:asciiTheme="minorHAnsi" w:hAnsiTheme="minorHAnsi" w:eastAsiaTheme="minorEastAsia"/>
              <w:sz w:val="22"/>
              <w:lang w:val="en-GB" w:eastAsia="en-GB"/>
            </w:rPr>
          </w:pPr>
          <w:r>
            <w:fldChar w:fldCharType="begin"/>
          </w:r>
          <w:r>
            <w:instrText xml:space="preserve"> HYPERLINK \l "_Toc7806913" </w:instrText>
          </w:r>
          <w:r>
            <w:fldChar w:fldCharType="separate"/>
          </w:r>
          <w:r>
            <w:rPr>
              <w:rStyle w:val="10"/>
            </w:rPr>
            <w:t>Significance of training and development of the employees of Oxfam</w:t>
          </w:r>
          <w:r>
            <w:tab/>
          </w:r>
          <w:r>
            <w:fldChar w:fldCharType="begin"/>
          </w:r>
          <w:r>
            <w:instrText xml:space="preserve"> PAGEREF _Toc7806913 \h </w:instrText>
          </w:r>
          <w:r>
            <w:fldChar w:fldCharType="separate"/>
          </w:r>
          <w:r>
            <w:t>8</w:t>
          </w:r>
          <w:r>
            <w:fldChar w:fldCharType="end"/>
          </w:r>
          <w:r>
            <w:fldChar w:fldCharType="end"/>
          </w:r>
        </w:p>
        <w:p>
          <w:pPr>
            <w:pStyle w:val="8"/>
            <w:tabs>
              <w:tab w:val="right" w:leader="dot" w:pos="9350"/>
            </w:tabs>
            <w:rPr>
              <w:rFonts w:asciiTheme="minorHAnsi" w:hAnsiTheme="minorHAnsi" w:eastAsiaTheme="minorEastAsia"/>
              <w:sz w:val="22"/>
              <w:lang w:val="en-GB" w:eastAsia="en-GB"/>
            </w:rPr>
          </w:pPr>
          <w:r>
            <w:fldChar w:fldCharType="begin"/>
          </w:r>
          <w:r>
            <w:instrText xml:space="preserve"> HYPERLINK \l "_Toc7806914" </w:instrText>
          </w:r>
          <w:r>
            <w:fldChar w:fldCharType="separate"/>
          </w:r>
          <w:r>
            <w:rPr>
              <w:rStyle w:val="10"/>
            </w:rPr>
            <w:t>Human resource management and its importance for Oxfam</w:t>
          </w:r>
          <w:r>
            <w:tab/>
          </w:r>
          <w:r>
            <w:fldChar w:fldCharType="begin"/>
          </w:r>
          <w:r>
            <w:instrText xml:space="preserve"> PAGEREF _Toc7806914 \h </w:instrText>
          </w:r>
          <w:r>
            <w:fldChar w:fldCharType="separate"/>
          </w:r>
          <w:r>
            <w:t>8</w:t>
          </w:r>
          <w:r>
            <w:fldChar w:fldCharType="end"/>
          </w:r>
          <w:r>
            <w:fldChar w:fldCharType="end"/>
          </w:r>
        </w:p>
        <w:p>
          <w:pPr>
            <w:pStyle w:val="8"/>
            <w:tabs>
              <w:tab w:val="right" w:leader="dot" w:pos="9350"/>
            </w:tabs>
            <w:rPr>
              <w:rFonts w:asciiTheme="minorHAnsi" w:hAnsiTheme="minorHAnsi" w:eastAsiaTheme="minorEastAsia"/>
              <w:sz w:val="22"/>
              <w:lang w:val="en-GB" w:eastAsia="en-GB"/>
            </w:rPr>
          </w:pPr>
          <w:r>
            <w:fldChar w:fldCharType="begin"/>
          </w:r>
          <w:r>
            <w:instrText xml:space="preserve"> HYPERLINK \l "_Toc7806915" </w:instrText>
          </w:r>
          <w:r>
            <w:fldChar w:fldCharType="separate"/>
          </w:r>
          <w:r>
            <w:rPr>
              <w:rStyle w:val="10"/>
            </w:rPr>
            <w:t>Skills and knowledge required to manage human resources</w:t>
          </w:r>
          <w:r>
            <w:tab/>
          </w:r>
          <w:r>
            <w:fldChar w:fldCharType="begin"/>
          </w:r>
          <w:r>
            <w:instrText xml:space="preserve"> PAGEREF _Toc7806915 \h </w:instrText>
          </w:r>
          <w:r>
            <w:fldChar w:fldCharType="separate"/>
          </w:r>
          <w:r>
            <w:t>9</w:t>
          </w:r>
          <w:r>
            <w:fldChar w:fldCharType="end"/>
          </w:r>
          <w:r>
            <w:fldChar w:fldCharType="end"/>
          </w:r>
        </w:p>
        <w:p>
          <w:pPr>
            <w:pStyle w:val="8"/>
            <w:tabs>
              <w:tab w:val="right" w:leader="dot" w:pos="9350"/>
            </w:tabs>
            <w:rPr>
              <w:rFonts w:asciiTheme="minorHAnsi" w:hAnsiTheme="minorHAnsi" w:eastAsiaTheme="minorEastAsia"/>
              <w:sz w:val="22"/>
              <w:lang w:val="en-GB" w:eastAsia="en-GB"/>
            </w:rPr>
          </w:pPr>
          <w:r>
            <w:fldChar w:fldCharType="begin"/>
          </w:r>
          <w:r>
            <w:instrText xml:space="preserve"> HYPERLINK \l "_Toc7806916" </w:instrText>
          </w:r>
          <w:r>
            <w:fldChar w:fldCharType="separate"/>
          </w:r>
          <w:r>
            <w:rPr>
              <w:rStyle w:val="10"/>
            </w:rPr>
            <w:t>Training and development requirement needed to be considered</w:t>
          </w:r>
          <w:r>
            <w:tab/>
          </w:r>
          <w:r>
            <w:fldChar w:fldCharType="begin"/>
          </w:r>
          <w:r>
            <w:instrText xml:space="preserve"> PAGEREF _Toc7806916 \h </w:instrText>
          </w:r>
          <w:r>
            <w:fldChar w:fldCharType="separate"/>
          </w:r>
          <w:r>
            <w:t>10</w:t>
          </w:r>
          <w:r>
            <w:fldChar w:fldCharType="end"/>
          </w:r>
          <w:r>
            <w:fldChar w:fldCharType="end"/>
          </w:r>
        </w:p>
        <w:p>
          <w:pPr>
            <w:pStyle w:val="7"/>
            <w:tabs>
              <w:tab w:val="right" w:leader="dot" w:pos="9350"/>
            </w:tabs>
            <w:rPr>
              <w:rFonts w:asciiTheme="minorHAnsi" w:hAnsiTheme="minorHAnsi" w:eastAsiaTheme="minorEastAsia"/>
              <w:sz w:val="22"/>
              <w:lang w:val="en-GB" w:eastAsia="en-GB"/>
            </w:rPr>
          </w:pPr>
          <w:r>
            <w:fldChar w:fldCharType="begin"/>
          </w:r>
          <w:r>
            <w:instrText xml:space="preserve"> HYPERLINK \l "_Toc7806917" </w:instrText>
          </w:r>
          <w:r>
            <w:fldChar w:fldCharType="separate"/>
          </w:r>
          <w:r>
            <w:rPr>
              <w:rStyle w:val="10"/>
            </w:rPr>
            <w:t>Conclusion</w:t>
          </w:r>
          <w:r>
            <w:tab/>
          </w:r>
          <w:r>
            <w:fldChar w:fldCharType="begin"/>
          </w:r>
          <w:r>
            <w:instrText xml:space="preserve"> PAGEREF _Toc7806917 \h </w:instrText>
          </w:r>
          <w:r>
            <w:fldChar w:fldCharType="separate"/>
          </w:r>
          <w:r>
            <w:t>11</w:t>
          </w:r>
          <w:r>
            <w:fldChar w:fldCharType="end"/>
          </w:r>
          <w:r>
            <w:fldChar w:fldCharType="end"/>
          </w:r>
        </w:p>
        <w:p>
          <w:pPr>
            <w:pStyle w:val="7"/>
            <w:tabs>
              <w:tab w:val="right" w:leader="dot" w:pos="9350"/>
            </w:tabs>
            <w:rPr>
              <w:rFonts w:asciiTheme="minorHAnsi" w:hAnsiTheme="minorHAnsi" w:eastAsiaTheme="minorEastAsia"/>
              <w:sz w:val="22"/>
              <w:lang w:val="en-GB" w:eastAsia="en-GB"/>
            </w:rPr>
          </w:pPr>
          <w:r>
            <w:fldChar w:fldCharType="begin"/>
          </w:r>
          <w:r>
            <w:instrText xml:space="preserve"> HYPERLINK \l "_Toc7806918" </w:instrText>
          </w:r>
          <w:r>
            <w:fldChar w:fldCharType="separate"/>
          </w:r>
          <w:r>
            <w:rPr>
              <w:rStyle w:val="10"/>
            </w:rPr>
            <w:t>References</w:t>
          </w:r>
          <w:r>
            <w:tab/>
          </w:r>
          <w:r>
            <w:fldChar w:fldCharType="begin"/>
          </w:r>
          <w:r>
            <w:instrText xml:space="preserve"> PAGEREF _Toc7806918 \h </w:instrText>
          </w:r>
          <w:r>
            <w:fldChar w:fldCharType="separate"/>
          </w:r>
          <w:r>
            <w:t>12</w:t>
          </w:r>
          <w:r>
            <w:fldChar w:fldCharType="end"/>
          </w:r>
          <w:r>
            <w:fldChar w:fldCharType="end"/>
          </w:r>
        </w:p>
        <w:p>
          <w:r>
            <w:rPr>
              <w:b/>
              <w:bCs/>
            </w:rPr>
            <w:fldChar w:fldCharType="end"/>
          </w:r>
        </w:p>
      </w:sdtContent>
    </w:sdt>
    <w:p>
      <w:pPr>
        <w:spacing w:line="276" w:lineRule="auto"/>
        <w:jc w:val="left"/>
        <w:rPr>
          <w:rFonts w:eastAsiaTheme="majorEastAsia" w:cstheme="majorBidi"/>
          <w:b/>
          <w:bCs/>
          <w:sz w:val="32"/>
          <w:szCs w:val="28"/>
        </w:rPr>
      </w:pPr>
      <w:r>
        <w:br w:type="page"/>
      </w:r>
    </w:p>
    <w:p>
      <w:pPr>
        <w:pStyle w:val="2"/>
      </w:pPr>
      <w:bookmarkStart w:id="0" w:name="_Toc7806906"/>
      <w:r>
        <w:t>Introduction</w:t>
      </w:r>
      <w:bookmarkEnd w:id="0"/>
    </w:p>
    <w:p>
      <w:pPr>
        <w:rPr>
          <w:rFonts w:eastAsiaTheme="majorEastAsia" w:cstheme="majorBidi"/>
          <w:sz w:val="32"/>
          <w:szCs w:val="28"/>
        </w:rPr>
      </w:pPr>
      <w:r>
        <w:t>Some people in the world are now leading untold suffering lives in the world. They are fight with poverty and hunger. Their basic rights are violated by the one group of people. Oxfam is on the side of these people anywhere in the world. Thousands of people in the world are now affected due to natural disaster. These people are the customers and clients of Oxfam. Besides, there are a large number of people in the world who are leading their life below extreme poverty line. Oxfam is working for these distress people across the world. This report will review how Oxfam works towards organizational goal.</w:t>
      </w:r>
    </w:p>
    <w:p>
      <w:pPr>
        <w:spacing w:line="276" w:lineRule="auto"/>
        <w:jc w:val="left"/>
        <w:rPr>
          <w:rFonts w:eastAsiaTheme="majorEastAsia" w:cstheme="majorBidi"/>
          <w:b/>
          <w:bCs/>
          <w:sz w:val="32"/>
          <w:szCs w:val="28"/>
        </w:rPr>
      </w:pPr>
      <w:r>
        <w:br w:type="page"/>
      </w:r>
    </w:p>
    <w:p>
      <w:pPr>
        <w:pStyle w:val="2"/>
      </w:pPr>
      <w:bookmarkStart w:id="1" w:name="_Toc7806907"/>
      <w:r>
        <w:t>Company Profile</w:t>
      </w:r>
      <w:bookmarkEnd w:id="1"/>
    </w:p>
    <w:p>
      <w:r>
        <w:t xml:space="preserve">Oxfam is a confederation of 20 independent charitable institutions whose goal is to eliminate poverty worldwide. It is an international organization fighting for alleviating poverty in the world. The prior name of Oxfam was Oxfam committee for famine relief. It was established in 1942 and headquartered at Oxford in London, United Kingdom. Oxfam is a non-profit organization focusing on poverty eradication and disaster relief (Crouch, 2019). Private sector is playing a vital role to promote activities and contribution of Oxfam in removing poverty and disaster in the world. Oxfam belongs to lifestyle and retail sector. The organizational structure of Oxfam is geographical which is given below. </w:t>
      </w:r>
    </w:p>
    <w:p>
      <w:pPr>
        <w:jc w:val="center"/>
      </w:pPr>
      <w:r>
        <w:drawing>
          <wp:inline distT="0" distB="0" distL="0" distR="0">
            <wp:extent cx="5143500" cy="2809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143500" cy="2809875"/>
                    </a:xfrm>
                    <a:prstGeom prst="rect">
                      <a:avLst/>
                    </a:prstGeom>
                  </pic:spPr>
                </pic:pic>
              </a:graphicData>
            </a:graphic>
          </wp:inline>
        </w:drawing>
      </w:r>
    </w:p>
    <w:p>
      <w:r>
        <w:rPr>
          <w:b/>
        </w:rPr>
        <w:t>Vision:</w:t>
      </w:r>
      <w:r>
        <w:t xml:space="preserve"> the vision of Oxfam is to work together internationally to enable people to exercise their rights and manage their own lives. </w:t>
      </w:r>
    </w:p>
    <w:p>
      <w:r>
        <w:rPr>
          <w:b/>
        </w:rPr>
        <w:t>Mission:</w:t>
      </w:r>
      <w:r>
        <w:t xml:space="preserve"> the mission of Oxfam is to programs to address the structural causes of poverty and related injustice. </w:t>
      </w:r>
    </w:p>
    <w:p>
      <w:pPr>
        <w:spacing w:line="276" w:lineRule="auto"/>
        <w:jc w:val="left"/>
        <w:rPr>
          <w:b/>
        </w:rPr>
      </w:pPr>
      <w:r>
        <w:rPr>
          <w:b/>
        </w:rPr>
        <w:br w:type="page"/>
      </w:r>
    </w:p>
    <w:p>
      <w:r>
        <w:rPr>
          <w:b/>
        </w:rPr>
        <w:t>Objectives:</w:t>
      </w:r>
      <w:r>
        <w:t xml:space="preserve"> Oxfam has some clear objectives which are given below. </w:t>
      </w:r>
    </w:p>
    <w:p>
      <w:pPr>
        <w:pStyle w:val="18"/>
        <w:numPr>
          <w:ilvl w:val="0"/>
          <w:numId w:val="1"/>
        </w:numPr>
      </w:pPr>
      <w:r>
        <w:t xml:space="preserve">Right to an identity </w:t>
      </w:r>
    </w:p>
    <w:p>
      <w:pPr>
        <w:pStyle w:val="18"/>
        <w:numPr>
          <w:ilvl w:val="0"/>
          <w:numId w:val="1"/>
        </w:numPr>
      </w:pPr>
      <w:r>
        <w:t xml:space="preserve">Right to a heard </w:t>
      </w:r>
    </w:p>
    <w:p>
      <w:pPr>
        <w:pStyle w:val="18"/>
        <w:numPr>
          <w:ilvl w:val="0"/>
          <w:numId w:val="1"/>
        </w:numPr>
      </w:pPr>
      <w:r>
        <w:t xml:space="preserve">Right to a sustainable livelihood </w:t>
      </w:r>
    </w:p>
    <w:p>
      <w:pPr>
        <w:pStyle w:val="18"/>
        <w:numPr>
          <w:ilvl w:val="0"/>
          <w:numId w:val="1"/>
        </w:numPr>
      </w:pPr>
      <w:r>
        <w:t xml:space="preserve">Right to basic social services </w:t>
      </w:r>
    </w:p>
    <w:p>
      <w:pPr>
        <w:pStyle w:val="18"/>
        <w:numPr>
          <w:ilvl w:val="0"/>
          <w:numId w:val="1"/>
        </w:numPr>
      </w:pPr>
      <w:r>
        <w:t>Right to right and security</w:t>
      </w:r>
      <w:r>
        <w:br w:type="page"/>
      </w:r>
    </w:p>
    <w:p>
      <w:pPr>
        <w:pStyle w:val="3"/>
      </w:pPr>
      <w:bookmarkStart w:id="2" w:name="_Toc7806908"/>
      <w:r>
        <w:t>Customers and clients of Oxfam and their expectation from Oxfam</w:t>
      </w:r>
      <w:bookmarkEnd w:id="2"/>
    </w:p>
    <w:p>
      <w:r>
        <w:t xml:space="preserve">Thousands of people in the world are now affected due to natural disaster. These people are the customers and clients of Oxfam. Besides, there are a large number of people in the world who are leading their life below extreme poverty line. Oxfam also works for poverty affected people for the betterment of their lives (Bejaković, 2011). The expectation of disaster and poverty affiliated people in the world that Oxfam will take actions to improve the financial condition as well help to reduce the impact of natural disasters. The basic goal of Oxfam is to reduce poverty in the world. Poor people in the world are expecting that Oxfam will work for their betterment of lives as well as helps them to improve their financial condition. </w:t>
      </w:r>
    </w:p>
    <w:p>
      <w:pPr>
        <w:pStyle w:val="3"/>
      </w:pPr>
      <w:bookmarkStart w:id="3" w:name="_Toc7806909"/>
      <w:r>
        <w:t>SWOT analysis</w:t>
      </w:r>
      <w:bookmarkEnd w:id="3"/>
    </w:p>
    <w:tbl>
      <w:tblPr>
        <w:tblStyle w:val="12"/>
        <w:tblW w:w="95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788"/>
        <w:gridCol w:w="47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88" w:type="dxa"/>
          </w:tcPr>
          <w:p>
            <w:pPr>
              <w:spacing w:after="0"/>
              <w:jc w:val="center"/>
              <w:rPr>
                <w:b/>
              </w:rPr>
            </w:pPr>
            <w:r>
              <w:rPr>
                <w:b/>
              </w:rPr>
              <w:t>Strengths</w:t>
            </w:r>
          </w:p>
        </w:tc>
        <w:tc>
          <w:tcPr>
            <w:tcW w:w="4788" w:type="dxa"/>
          </w:tcPr>
          <w:p>
            <w:pPr>
              <w:spacing w:after="0"/>
              <w:jc w:val="center"/>
              <w:rPr>
                <w:b/>
              </w:rPr>
            </w:pPr>
            <w:r>
              <w:rPr>
                <w:b/>
              </w:rPr>
              <w:t>Weaknesses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88" w:type="dxa"/>
          </w:tcPr>
          <w:p>
            <w:pPr>
              <w:pStyle w:val="18"/>
              <w:numPr>
                <w:ilvl w:val="0"/>
                <w:numId w:val="2"/>
              </w:numPr>
              <w:spacing w:after="0"/>
            </w:pPr>
            <w:r>
              <w:t xml:space="preserve">Strong brand name and motivated employees </w:t>
            </w:r>
          </w:p>
          <w:p>
            <w:pPr>
              <w:pStyle w:val="18"/>
              <w:numPr>
                <w:ilvl w:val="0"/>
                <w:numId w:val="2"/>
              </w:numPr>
              <w:spacing w:after="0"/>
            </w:pPr>
            <w:r>
              <w:t xml:space="preserve">Global network of affiliates and supporters </w:t>
            </w:r>
          </w:p>
          <w:p>
            <w:pPr>
              <w:pStyle w:val="18"/>
              <w:numPr>
                <w:ilvl w:val="0"/>
                <w:numId w:val="2"/>
              </w:numPr>
              <w:spacing w:after="0"/>
            </w:pPr>
            <w:r>
              <w:t>Stick to  basic needs of customers</w:t>
            </w:r>
          </w:p>
          <w:p>
            <w:pPr>
              <w:pStyle w:val="18"/>
              <w:numPr>
                <w:ilvl w:val="0"/>
                <w:numId w:val="2"/>
              </w:numPr>
              <w:spacing w:after="0"/>
            </w:pPr>
            <w:r>
              <w:t xml:space="preserve">Good online presence with reasonable price </w:t>
            </w:r>
          </w:p>
        </w:tc>
        <w:tc>
          <w:tcPr>
            <w:tcW w:w="4788" w:type="dxa"/>
          </w:tcPr>
          <w:p>
            <w:pPr>
              <w:pStyle w:val="18"/>
              <w:numPr>
                <w:ilvl w:val="0"/>
                <w:numId w:val="2"/>
              </w:numPr>
              <w:spacing w:after="0"/>
            </w:pPr>
            <w:r>
              <w:t xml:space="preserve">Less preferred store </w:t>
            </w:r>
          </w:p>
          <w:p>
            <w:pPr>
              <w:pStyle w:val="18"/>
              <w:numPr>
                <w:ilvl w:val="0"/>
                <w:numId w:val="2"/>
              </w:numPr>
              <w:spacing w:after="0"/>
            </w:pPr>
            <w:r>
              <w:t>Less global existence</w:t>
            </w:r>
          </w:p>
          <w:p>
            <w:pPr>
              <w:pStyle w:val="18"/>
              <w:numPr>
                <w:ilvl w:val="0"/>
                <w:numId w:val="2"/>
              </w:numPr>
              <w:spacing w:after="0"/>
            </w:pPr>
            <w:r>
              <w:t>Limited brand recognition</w:t>
            </w:r>
          </w:p>
          <w:p>
            <w:pPr>
              <w:pStyle w:val="18"/>
              <w:numPr>
                <w:ilvl w:val="0"/>
                <w:numId w:val="2"/>
              </w:numPr>
              <w:spacing w:after="0"/>
            </w:pPr>
            <w:r>
              <w:t xml:space="preserve">Lack of fund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88" w:type="dxa"/>
          </w:tcPr>
          <w:p>
            <w:pPr>
              <w:spacing w:after="0"/>
              <w:jc w:val="center"/>
              <w:rPr>
                <w:b/>
              </w:rPr>
            </w:pPr>
            <w:r>
              <w:rPr>
                <w:b/>
              </w:rPr>
              <w:t>Opportunities</w:t>
            </w:r>
          </w:p>
        </w:tc>
        <w:tc>
          <w:tcPr>
            <w:tcW w:w="4788" w:type="dxa"/>
          </w:tcPr>
          <w:p>
            <w:pPr>
              <w:spacing w:after="0"/>
              <w:jc w:val="center"/>
              <w:rPr>
                <w:b/>
              </w:rPr>
            </w:pPr>
            <w:r>
              <w:rPr>
                <w:b/>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88" w:type="dxa"/>
          </w:tcPr>
          <w:p>
            <w:pPr>
              <w:pStyle w:val="18"/>
              <w:numPr>
                <w:ilvl w:val="0"/>
                <w:numId w:val="3"/>
              </w:numPr>
              <w:spacing w:after="0"/>
            </w:pPr>
            <w:r>
              <w:t xml:space="preserve">Option to expand </w:t>
            </w:r>
          </w:p>
          <w:p>
            <w:pPr>
              <w:pStyle w:val="18"/>
              <w:numPr>
                <w:ilvl w:val="0"/>
                <w:numId w:val="3"/>
              </w:numPr>
              <w:spacing w:after="0"/>
            </w:pPr>
            <w:r>
              <w:t xml:space="preserve">Increase goals and objectives </w:t>
            </w:r>
          </w:p>
          <w:p>
            <w:pPr>
              <w:pStyle w:val="18"/>
              <w:numPr>
                <w:ilvl w:val="0"/>
                <w:numId w:val="3"/>
              </w:numPr>
              <w:spacing w:after="0"/>
            </w:pPr>
            <w:r>
              <w:t xml:space="preserve">Carry out several human right based activities </w:t>
            </w:r>
          </w:p>
        </w:tc>
        <w:tc>
          <w:tcPr>
            <w:tcW w:w="4788" w:type="dxa"/>
          </w:tcPr>
          <w:p>
            <w:pPr>
              <w:pStyle w:val="18"/>
              <w:numPr>
                <w:ilvl w:val="0"/>
                <w:numId w:val="3"/>
              </w:numPr>
              <w:spacing w:after="0"/>
            </w:pPr>
            <w:r>
              <w:t xml:space="preserve">Lack of volunteer </w:t>
            </w:r>
          </w:p>
          <w:p>
            <w:pPr>
              <w:pStyle w:val="18"/>
              <w:numPr>
                <w:ilvl w:val="0"/>
                <w:numId w:val="3"/>
              </w:numPr>
              <w:spacing w:after="0"/>
            </w:pPr>
            <w:r>
              <w:t xml:space="preserve">Lack of motivated employees </w:t>
            </w:r>
          </w:p>
          <w:p>
            <w:pPr>
              <w:pStyle w:val="18"/>
              <w:numPr>
                <w:ilvl w:val="0"/>
                <w:numId w:val="3"/>
              </w:numPr>
              <w:spacing w:after="0"/>
            </w:pPr>
            <w:r>
              <w:t xml:space="preserve">Lack of customer motivation </w:t>
            </w:r>
          </w:p>
          <w:p>
            <w:pPr>
              <w:pStyle w:val="18"/>
              <w:numPr>
                <w:ilvl w:val="0"/>
                <w:numId w:val="3"/>
              </w:numPr>
              <w:spacing w:after="0"/>
            </w:pPr>
            <w:r>
              <w:t xml:space="preserve">Excessive criticism </w:t>
            </w:r>
          </w:p>
        </w:tc>
      </w:tr>
    </w:tbl>
    <w:p/>
    <w:p>
      <w:pPr>
        <w:spacing w:line="276" w:lineRule="auto"/>
        <w:jc w:val="left"/>
        <w:rPr>
          <w:rFonts w:eastAsiaTheme="majorEastAsia" w:cstheme="majorBidi"/>
          <w:b/>
          <w:bCs/>
          <w:sz w:val="28"/>
          <w:szCs w:val="26"/>
        </w:rPr>
      </w:pPr>
      <w:r>
        <w:br w:type="page"/>
      </w:r>
    </w:p>
    <w:p>
      <w:pPr>
        <w:pStyle w:val="3"/>
      </w:pPr>
      <w:bookmarkStart w:id="4" w:name="_Toc7806910"/>
      <w:r>
        <w:t>PESTLE analysis</w:t>
      </w:r>
      <w:bookmarkEnd w:id="4"/>
    </w:p>
    <w:tbl>
      <w:tblPr>
        <w:tblStyle w:val="12"/>
        <w:tblW w:w="929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17"/>
        <w:gridCol w:w="717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52" w:hRule="atLeast"/>
        </w:trPr>
        <w:tc>
          <w:tcPr>
            <w:tcW w:w="2117" w:type="dxa"/>
          </w:tcPr>
          <w:p>
            <w:pPr>
              <w:spacing w:after="0"/>
              <w:jc w:val="center"/>
              <w:rPr>
                <w:b/>
              </w:rPr>
            </w:pPr>
            <w:r>
              <w:rPr>
                <w:b/>
              </w:rPr>
              <w:t>PESTLE factors</w:t>
            </w:r>
          </w:p>
        </w:tc>
        <w:tc>
          <w:tcPr>
            <w:tcW w:w="7177" w:type="dxa"/>
          </w:tcPr>
          <w:p>
            <w:pPr>
              <w:spacing w:after="0"/>
              <w:jc w:val="center"/>
              <w:rPr>
                <w:b/>
              </w:rPr>
            </w:pPr>
            <w:r>
              <w:rPr>
                <w:b/>
              </w:rPr>
              <w:t>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69" w:hRule="atLeast"/>
        </w:trPr>
        <w:tc>
          <w:tcPr>
            <w:tcW w:w="2117" w:type="dxa"/>
          </w:tcPr>
          <w:p>
            <w:pPr>
              <w:spacing w:after="0"/>
            </w:pPr>
            <w:r>
              <w:t xml:space="preserve">Political </w:t>
            </w:r>
          </w:p>
        </w:tc>
        <w:tc>
          <w:tcPr>
            <w:tcW w:w="7177" w:type="dxa"/>
          </w:tcPr>
          <w:p>
            <w:pPr>
              <w:spacing w:after="0"/>
            </w:pPr>
            <w:r>
              <w:t xml:space="preserve">Oxfam is an international organization for which we need to consider world political condition in order to justify impact of politics on activities of Oxfam. The world is now engaged in a cold war and United Kingdom is on the side of United States. United Kingdom and United States have a significant and obvious role in the world politics which will help to carry out operations of Oxfam all around the world.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52" w:hRule="atLeast"/>
        </w:trPr>
        <w:tc>
          <w:tcPr>
            <w:tcW w:w="2117" w:type="dxa"/>
          </w:tcPr>
          <w:p>
            <w:pPr>
              <w:spacing w:after="0"/>
            </w:pPr>
            <w:r>
              <w:t xml:space="preserve">Economical </w:t>
            </w:r>
          </w:p>
        </w:tc>
        <w:tc>
          <w:tcPr>
            <w:tcW w:w="7177" w:type="dxa"/>
          </w:tcPr>
          <w:p>
            <w:pPr>
              <w:spacing w:after="0"/>
            </w:pPr>
            <w:r>
              <w:t xml:space="preserve">World economic condition is going to be well in the recent years. Most of the funds collected by Oxfam are through donations and majority of its donators are businessmen, industrialists, and political persons. As world politics is going well in recent years, it is expected to continue same economic condition in the coming periods. So, Oxfam will get better responses from its stakeholders (Diskett and Lusty, 2012).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52" w:hRule="atLeast"/>
        </w:trPr>
        <w:tc>
          <w:tcPr>
            <w:tcW w:w="2117" w:type="dxa"/>
          </w:tcPr>
          <w:p>
            <w:pPr>
              <w:spacing w:after="0"/>
            </w:pPr>
            <w:r>
              <w:t xml:space="preserve">Social </w:t>
            </w:r>
          </w:p>
        </w:tc>
        <w:tc>
          <w:tcPr>
            <w:tcW w:w="7177" w:type="dxa"/>
          </w:tcPr>
          <w:p>
            <w:pPr>
              <w:spacing w:after="0"/>
            </w:pPr>
            <w:r>
              <w:t xml:space="preserve">Oxfam is carrying out different strategies to adjust with different social customs, trends, and traditions. It has adopted different strategies for undertaking activities in Middle east countries and separate policies for South Asian countries.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69" w:hRule="atLeast"/>
        </w:trPr>
        <w:tc>
          <w:tcPr>
            <w:tcW w:w="2117" w:type="dxa"/>
          </w:tcPr>
          <w:p>
            <w:pPr>
              <w:spacing w:after="0"/>
            </w:pPr>
            <w:r>
              <w:t>Technological</w:t>
            </w:r>
          </w:p>
        </w:tc>
        <w:tc>
          <w:tcPr>
            <w:tcW w:w="7177" w:type="dxa"/>
          </w:tcPr>
          <w:p>
            <w:pPr>
              <w:spacing w:after="0"/>
            </w:pPr>
            <w:r>
              <w:t xml:space="preserve">Oxfam is basically a United Kingdom based company which is an industrial country. The technological side of Oxfam is very strong. It is using high tech devices to connect with the people in the remote place of the world.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52" w:hRule="atLeast"/>
        </w:trPr>
        <w:tc>
          <w:tcPr>
            <w:tcW w:w="2117" w:type="dxa"/>
          </w:tcPr>
          <w:p>
            <w:pPr>
              <w:spacing w:after="0"/>
            </w:pPr>
            <w:r>
              <w:t xml:space="preserve">Legal </w:t>
            </w:r>
          </w:p>
        </w:tc>
        <w:tc>
          <w:tcPr>
            <w:tcW w:w="7177" w:type="dxa"/>
          </w:tcPr>
          <w:p>
            <w:pPr>
              <w:spacing w:after="0"/>
            </w:pPr>
            <w:r>
              <w:t xml:space="preserve">Oxfam is undertaking activities for the welfare of the people worldwide. The activities of Oxfam are legally supported by all the countries. At the same time, the government of United Kingdom is also formulating rules and regulations to expand the activities of charitable institutions.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69" w:hRule="atLeast"/>
        </w:trPr>
        <w:tc>
          <w:tcPr>
            <w:tcW w:w="2117" w:type="dxa"/>
          </w:tcPr>
          <w:p>
            <w:pPr>
              <w:spacing w:after="0"/>
            </w:pPr>
            <w:r>
              <w:t>Environmental</w:t>
            </w:r>
          </w:p>
        </w:tc>
        <w:tc>
          <w:tcPr>
            <w:tcW w:w="7177" w:type="dxa"/>
          </w:tcPr>
          <w:p>
            <w:pPr>
              <w:spacing w:after="0"/>
            </w:pPr>
            <w:r>
              <w:t xml:space="preserve">Environment factors are very favorable for Oxfam because it recruits volunteers all over the world for carrying out its activities. All the factors in the PESTLE analysis are favorable to Oxfam for which it is recommended that it should expand operation rapid in the world. </w:t>
            </w:r>
          </w:p>
        </w:tc>
      </w:tr>
    </w:tbl>
    <w:p/>
    <w:p>
      <w:pPr>
        <w:pStyle w:val="3"/>
      </w:pPr>
      <w:bookmarkStart w:id="5" w:name="_Toc7806911"/>
      <w:r>
        <w:t>Role of employees within Oxfam and how they support organizational goal</w:t>
      </w:r>
      <w:bookmarkEnd w:id="5"/>
    </w:p>
    <w:p>
      <w:r>
        <w:t xml:space="preserve">Oxfam is determined to change the world and eliminate poverty from the world. In order to implement its dream, its employees are working day and night to change the luck of the people. The employees of Oxfam are continuously formulating and implementation strategies that are changing luck of the poor people in the world. The employees of Oxfam work to find out practical and innovative ways for people to lift themselves out of poverty and remove insolvency. The employees of Oxfam operate campaigns for raising voice for the poor people in the world so that they can know their rights and understand their doings.  Suck kind of programs draw attention to the world leaders and influence them to make global decision for the betterment of the affected people in the world (Jennings, 2002). Thousands of employees of Oxfam are now working for achieving the goals and objectives of Oxfam. They are contributing to the achievement of vision and mission by formulating strategies, preparing guidelines, and working in the field. Say for example; Oxfam has operation in Cox’s Bazar, Bangladesh for the betterment of the Rohingya People who are tortured and fled by the Myanmar military. The employees of Oxfam are working day and night for removing daily problems of Rohingya and ensuring basic human rights of these distress people. This is how employees of Oxfam are contributing to the organizational goal of Oxfam. </w:t>
      </w:r>
    </w:p>
    <w:p>
      <w:pPr>
        <w:pStyle w:val="3"/>
      </w:pPr>
      <w:bookmarkStart w:id="6" w:name="_Toc7806912"/>
      <w:r>
        <w:t>Training and development of Oxfam’s employees</w:t>
      </w:r>
      <w:bookmarkEnd w:id="6"/>
    </w:p>
    <w:p>
      <w:r>
        <w:t xml:space="preserve">Oxfam is concerned with the training and development of its stuffs and employees in order to provide better services to the distress people in the world. Oxfam is working with people who are basically deprived of basic human rights and suffering from various problems of daily needs. The employees of Oxfam require dealing with such poor people in the world. as the employees of Oxfam are committed to fight with injustice of poverty, it is required to be skilled and expert worker for removing the problem. Oxfam arranges training opportunities for its employees both on the job and off the job way (Manurung, 2017). The number of employees of Oxfam is increasing over the years. Moreover, large numbers of volunteers are engaging with Oxfam who require training and development. It trains up its employees by engaging them with operations and programs that are operated around the world. Moreover, Oxfam is providing external learning opportunity to the employees by arranging coaching, seminars, conferencing, and so on. </w:t>
      </w:r>
    </w:p>
    <w:p>
      <w:pPr>
        <w:pStyle w:val="3"/>
      </w:pPr>
      <w:bookmarkStart w:id="7" w:name="_Toc7806913"/>
      <w:r>
        <w:t>Significance of training and development of the employees of Oxfam</w:t>
      </w:r>
      <w:bookmarkEnd w:id="7"/>
    </w:p>
    <w:p>
      <w:r>
        <w:t xml:space="preserve">Training and development programs of Oxfam help to improve service quality of employees. Training and development improves skills and knowledge of the employees through which they will provide better services to the distress people in the world. As training and development programs of Oxfam increases knowledge base of employees, they will solve problems in innovative and practical ways (Rochester, 2012). Moreover, training and development programs for employees will help them to perform tasks more precisely, efficiently, and effectively. It is expected to perform better by the trained up employees of Oxfam because they get improved knowledge on their activities and operations. As Oxfam arranges training and development programs on the job way, employees will easily accustomed with the job environment and become better performer. Combating rural poverty and hunger is a difficult task. It requires smart and skilled persons to combat poverty and hunger. To be smart, skilled, and practical workers, there is no substitute to training and development programs. </w:t>
      </w:r>
    </w:p>
    <w:p>
      <w:pPr>
        <w:pStyle w:val="3"/>
      </w:pPr>
      <w:bookmarkStart w:id="8" w:name="_Toc7806914"/>
      <w:r>
        <w:t>Human resource management and its importance for Oxfam</w:t>
      </w:r>
      <w:bookmarkEnd w:id="8"/>
    </w:p>
    <w:p>
      <w:r>
        <w:t>I would like to take the role of human resource manager of Oxfam. Oxfam has a number of employees and volunteers across the world. They need to be managed in a proper way in order to get the best services from them. I would like to say that the role of human resource manager is very important for Oxfam. In this role, as HR manager of Oxfam, it is required to design and redesign compensation plan for the employees and formulating and implementing strategies to get the tasks done by the employees (Moon, 2004). As HR manager of Oxfam, it is required to maintain controls of the activities and monitor workforce to ensure that employees are doing the right things. HR manager of Oxfam requires arranging training and development programs for improving skills and expertise of the employees. Moreover, employee selection and recruitment is a key responsibility of HR manager of Oxfam. Designing hiring process complying with existing laws and regulations of United Kingdom is also responsibility of HR manager. Moreover, the HR manager of Oxfam monitors performance, appraises performance, ensure good work environment, manages disputes among employees, and develop friendly public relations.</w:t>
      </w:r>
    </w:p>
    <w:p>
      <w:pPr>
        <w:pStyle w:val="3"/>
      </w:pPr>
      <w:bookmarkStart w:id="9" w:name="_Toc7806915"/>
      <w:r>
        <w:t>Skills and knowledge required to manage human resources</w:t>
      </w:r>
      <w:bookmarkEnd w:id="9"/>
    </w:p>
    <w:p>
      <w:r>
        <w:t xml:space="preserve">In order to manage human resources of Oxfam, it is required by the HR manager to have the following skills and knowledge. </w:t>
      </w:r>
    </w:p>
    <w:p>
      <w:r>
        <w:rPr>
          <w:b/>
        </w:rPr>
        <w:t>Communication skills:</w:t>
      </w:r>
      <w:r>
        <w:t xml:space="preserve"> the HR manager of Oxfam must have communication skills to organize workforce and dissolve disputes among them. Moreover, it is quite important for a HR manager to be communicative and knowledgeable in order to solve human behavior based problems. </w:t>
      </w:r>
    </w:p>
    <w:p>
      <w:r>
        <w:rPr>
          <w:b/>
        </w:rPr>
        <w:t>Operational skills:</w:t>
      </w:r>
      <w:r>
        <w:t xml:space="preserve"> the operational skill of HR manager of Oxfam must be at a standard level. The HR manager requires performing activities with the help of manpower in the department. The HR manager normally performs operations in the field by using his/her operational skills. </w:t>
      </w:r>
    </w:p>
    <w:p>
      <w:r>
        <w:rPr>
          <w:b/>
        </w:rPr>
        <w:t>Decision making skills:</w:t>
      </w:r>
      <w:r>
        <w:t xml:space="preserve"> the HR manager of Oxfam must require taking several decisions for solving organizational situation. Several unexpected situations arise in the workplace. The HR manager may require making immediate decision to solve these situations. So, HR manager of Oxfam must be able to make right decision at the right time (Hart, Maddison, Wolff, 2007). </w:t>
      </w:r>
    </w:p>
    <w:p>
      <w:r>
        <w:rPr>
          <w:b/>
        </w:rPr>
        <w:t>Academic knowledge:</w:t>
      </w:r>
      <w:r>
        <w:t xml:space="preserve"> The HR manager of Oxfam must be enriched with academic knowledge with the management and monitoring of human resources. When HR manager becomes academic scholar, he/she will apply well established knowledge and philosophies to solve business problem in the work place. </w:t>
      </w:r>
    </w:p>
    <w:p>
      <w:r>
        <w:rPr>
          <w:b/>
        </w:rPr>
        <w:t>Legal knowledge:</w:t>
      </w:r>
      <w:r>
        <w:t xml:space="preserve"> The HR manager of Oxfam must have legal knowledge about enforced laws and regulations of United Kingdom and the country where it has operations. As Oxfam is a human life based charitable institution, it cannot be indulged in illegal activities. So, the HR manager must comply with legal systems for which legal knowledge of the region is necessary. </w:t>
      </w:r>
    </w:p>
    <w:p>
      <w:pPr>
        <w:spacing w:line="276" w:lineRule="auto"/>
        <w:jc w:val="left"/>
        <w:rPr>
          <w:rFonts w:eastAsiaTheme="majorEastAsia" w:cstheme="majorBidi"/>
          <w:b/>
          <w:bCs/>
          <w:sz w:val="28"/>
          <w:szCs w:val="26"/>
        </w:rPr>
      </w:pPr>
      <w:r>
        <w:br w:type="page"/>
      </w:r>
    </w:p>
    <w:p>
      <w:pPr>
        <w:pStyle w:val="3"/>
      </w:pPr>
      <w:bookmarkStart w:id="10" w:name="_Toc7806916"/>
      <w:r>
        <w:t>Training and development requirement needed to be considered</w:t>
      </w:r>
      <w:bookmarkEnd w:id="10"/>
      <w:r>
        <w:t xml:space="preserve"> </w:t>
      </w:r>
    </w:p>
    <w:p>
      <w:r>
        <w:t xml:space="preserve">The employees of Oxfam require training to be efficient and effective in the workplace. Here, it is found that the employees of Oxfam are performing poorly because they don’t know what to do and how to do. The compensation plan of Oxfam is quite smart and enough to make the employees happy and satisfy. The only problem of employees is that they don’t know well what they have to do and how to do (Gilchrist, 2009). The employees of Oxfam are not performing well in the workplace. They require on the job training to perform well in the workforce. Besides, most of the employees are not rich with the academic and practical knowledge of the tasks in which they are engaged. They should be taught well by coaching, seminar, conferencing and other practical learning ways. </w:t>
      </w:r>
    </w:p>
    <w:p>
      <w:pPr>
        <w:spacing w:line="276" w:lineRule="auto"/>
        <w:jc w:val="left"/>
        <w:rPr>
          <w:rFonts w:eastAsiaTheme="majorEastAsia" w:cstheme="majorBidi"/>
          <w:b/>
          <w:bCs/>
          <w:sz w:val="32"/>
          <w:szCs w:val="28"/>
        </w:rPr>
      </w:pPr>
      <w:r>
        <w:br w:type="page"/>
      </w:r>
    </w:p>
    <w:p>
      <w:pPr>
        <w:pStyle w:val="2"/>
      </w:pPr>
      <w:bookmarkStart w:id="11" w:name="_Toc7806917"/>
      <w:r>
        <w:t>Conclusion</w:t>
      </w:r>
      <w:bookmarkEnd w:id="11"/>
    </w:p>
    <w:p>
      <w:pPr>
        <w:rPr>
          <w:rFonts w:eastAsiaTheme="majorEastAsia" w:cstheme="majorBidi"/>
          <w:sz w:val="32"/>
          <w:szCs w:val="28"/>
        </w:rPr>
      </w:pPr>
      <w:r>
        <w:t xml:space="preserve">Oxfam is an international organization fighting for alleviating poverty in the world. The goal of Oxfam is to eliminate poverty and hunger from the world. It has operation in Tanzania, Lebanon, Morocco, Bangladesh, Sri Lanka, and Afghanistan against poverty and hunger. The purpose of Oxfam is to remove inequality among people and establish people’s right especially basic human rights. When we’re bombarded with unwelcome or uncomfortable information, it’s easier to take issue with the format than listen to the message. The purpose of the report is to explain Oxfam accompanied with its vision, mission, and objectives. </w:t>
      </w:r>
      <w:r>
        <w:br w:type="page"/>
      </w:r>
    </w:p>
    <w:p>
      <w:pPr>
        <w:pStyle w:val="2"/>
      </w:pPr>
      <w:bookmarkStart w:id="12" w:name="_Toc7806918"/>
      <w:r>
        <w:t>References</w:t>
      </w:r>
      <w:bookmarkEnd w:id="12"/>
    </w:p>
    <w:p>
      <w:r>
        <w:t xml:space="preserve">Bejaković, P. (2011). </w:t>
      </w:r>
      <w:r>
        <w:rPr>
          <w:i/>
        </w:rPr>
        <w:t>Oxfam International: 21st Century Aid Recognising Success and Tackling Failure.</w:t>
      </w:r>
      <w:r>
        <w:t xml:space="preserve"> Revija za socijalnu politiku, 1(1).</w:t>
      </w:r>
    </w:p>
    <w:p>
      <w:r>
        <w:t xml:space="preserve">Crouch, O. (2019). </w:t>
      </w:r>
      <w:r>
        <w:rPr>
          <w:i/>
        </w:rPr>
        <w:t>Village Reconstruction in Lebanon. Disasters,</w:t>
      </w:r>
      <w:r>
        <w:t xml:space="preserve"> 3(2), pp.126-129.</w:t>
      </w:r>
    </w:p>
    <w:p>
      <w:r>
        <w:t xml:space="preserve">Diskett, P. and Lusty, T. (2012). </w:t>
      </w:r>
      <w:r>
        <w:rPr>
          <w:i/>
        </w:rPr>
        <w:t>Oxfam feeding kits: Revision of contents</w:t>
      </w:r>
      <w:r>
        <w:t>. Disasters, 6(2), pp.137-140.</w:t>
      </w:r>
    </w:p>
    <w:p>
      <w:r>
        <w:t>Jennings, M. (2002). ‘</w:t>
      </w:r>
      <w:r>
        <w:rPr>
          <w:i/>
        </w:rPr>
        <w:t>Almost an Oxfam in itself’: Oxfam, Ujamaa and development in Tanzania</w:t>
      </w:r>
      <w:r>
        <w:t>. African Affairs, 101(405), pp.509-530.</w:t>
      </w:r>
    </w:p>
    <w:p>
      <w:r>
        <w:t xml:space="preserve">Manurung, H. (2017). </w:t>
      </w:r>
      <w:r>
        <w:rPr>
          <w:i/>
        </w:rPr>
        <w:t>The Proactive Engagement of Oxfam International as International Non-Governmental Organization (INGO) to Solve Somalia Food Insecurity Problem.</w:t>
      </w:r>
      <w:r>
        <w:t xml:space="preserve"> SSRN Electronic Journal.</w:t>
      </w:r>
    </w:p>
    <w:p>
      <w:r>
        <w:t xml:space="preserve">Day, G (2006). </w:t>
      </w:r>
      <w:r>
        <w:rPr>
          <w:i/>
        </w:rPr>
        <w:t>Community and Everyday Life</w:t>
      </w:r>
      <w:r>
        <w:t xml:space="preserve">. UK: Routledge </w:t>
      </w:r>
    </w:p>
    <w:p>
      <w:r>
        <w:t xml:space="preserve">Gilchrist, A., (2009). </w:t>
      </w:r>
      <w:r>
        <w:rPr>
          <w:i/>
        </w:rPr>
        <w:t>The Well-Connected Community, a networking approach to Community Development.</w:t>
      </w:r>
      <w:r>
        <w:t xml:space="preserve">London: Policy Press </w:t>
      </w:r>
    </w:p>
    <w:p>
      <w:r>
        <w:t>Hart, A., Maddison, E., Wolff, D. (2007</w:t>
      </w:r>
      <w:r>
        <w:rPr>
          <w:i/>
        </w:rPr>
        <w:t>) CommunityUniversity Partnerships in Practice. Leicester:</w:t>
      </w:r>
      <w:r>
        <w:t xml:space="preserve"> National Institute of Adult Continuing Education.</w:t>
      </w:r>
    </w:p>
    <w:p>
      <w:r>
        <w:t xml:space="preserve">Moon, J., (2004) </w:t>
      </w:r>
      <w:r>
        <w:rPr>
          <w:i/>
        </w:rPr>
        <w:t>A handbook of reflective practice and experimental learning: theory and practice.</w:t>
      </w:r>
      <w:r>
        <w:t xml:space="preserve"> UK: Routledge.</w:t>
      </w:r>
    </w:p>
    <w:p>
      <w:r>
        <w:t xml:space="preserve">Rochester, C., Ellis Paine, A., Howlett, S. (2012). </w:t>
      </w:r>
      <w:r>
        <w:rPr>
          <w:i/>
        </w:rPr>
        <w:t>Volunteering and Society in the 21st Century</w:t>
      </w:r>
      <w:r>
        <w:t>. Palgrave: Macmillan</w:t>
      </w:r>
    </w:p>
    <w:p/>
    <w:sectPr>
      <w:pgSz w:w="12240" w:h="15840"/>
      <w:pgMar w:top="1440" w:right="1440" w:bottom="1440" w:left="1440" w:header="720" w:footer="720" w:gutter="0"/>
      <w:pgNumType w:start="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ymbol">
    <w:panose1 w:val="05050102010706020507"/>
    <w:charset w:val="02"/>
    <w:family w:val="roman"/>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964A18"/>
    <w:multiLevelType w:val="multilevel"/>
    <w:tmpl w:val="71964A1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7EFC5607"/>
    <w:multiLevelType w:val="multilevel"/>
    <w:tmpl w:val="7EFC560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FD31CF6"/>
    <w:multiLevelType w:val="multilevel"/>
    <w:tmpl w:val="7FD31CF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19A4"/>
    <w:rsid w:val="00010EB3"/>
    <w:rsid w:val="00063880"/>
    <w:rsid w:val="00096772"/>
    <w:rsid w:val="00097B79"/>
    <w:rsid w:val="000D4AB9"/>
    <w:rsid w:val="000D74DA"/>
    <w:rsid w:val="000E1EE1"/>
    <w:rsid w:val="00105488"/>
    <w:rsid w:val="00112C17"/>
    <w:rsid w:val="00144DE7"/>
    <w:rsid w:val="0017004B"/>
    <w:rsid w:val="001C0BC1"/>
    <w:rsid w:val="001D3763"/>
    <w:rsid w:val="001E46FF"/>
    <w:rsid w:val="001E4C16"/>
    <w:rsid w:val="001F6E7F"/>
    <w:rsid w:val="00233994"/>
    <w:rsid w:val="00252F41"/>
    <w:rsid w:val="00253140"/>
    <w:rsid w:val="00271E67"/>
    <w:rsid w:val="002D6832"/>
    <w:rsid w:val="002D796E"/>
    <w:rsid w:val="002F2F2B"/>
    <w:rsid w:val="00386697"/>
    <w:rsid w:val="003A48E7"/>
    <w:rsid w:val="003B1090"/>
    <w:rsid w:val="003C42D3"/>
    <w:rsid w:val="003C7D95"/>
    <w:rsid w:val="00401091"/>
    <w:rsid w:val="0043313F"/>
    <w:rsid w:val="00441E8D"/>
    <w:rsid w:val="0044228D"/>
    <w:rsid w:val="004640A0"/>
    <w:rsid w:val="0046573A"/>
    <w:rsid w:val="004731B2"/>
    <w:rsid w:val="004E2DF9"/>
    <w:rsid w:val="004F4FC7"/>
    <w:rsid w:val="00503167"/>
    <w:rsid w:val="00504AFD"/>
    <w:rsid w:val="00533568"/>
    <w:rsid w:val="00562A35"/>
    <w:rsid w:val="0056447E"/>
    <w:rsid w:val="005C0368"/>
    <w:rsid w:val="005C3E09"/>
    <w:rsid w:val="005D41EE"/>
    <w:rsid w:val="005D4DC8"/>
    <w:rsid w:val="006001E8"/>
    <w:rsid w:val="00645DE2"/>
    <w:rsid w:val="006B4743"/>
    <w:rsid w:val="00726024"/>
    <w:rsid w:val="007357A4"/>
    <w:rsid w:val="00762AC5"/>
    <w:rsid w:val="007734B3"/>
    <w:rsid w:val="007B4734"/>
    <w:rsid w:val="007E128B"/>
    <w:rsid w:val="007E61E2"/>
    <w:rsid w:val="00811773"/>
    <w:rsid w:val="00843390"/>
    <w:rsid w:val="008556A0"/>
    <w:rsid w:val="00862314"/>
    <w:rsid w:val="00873327"/>
    <w:rsid w:val="008956BB"/>
    <w:rsid w:val="008B03EB"/>
    <w:rsid w:val="008B3A5B"/>
    <w:rsid w:val="00915436"/>
    <w:rsid w:val="00920950"/>
    <w:rsid w:val="009A11D6"/>
    <w:rsid w:val="009B7350"/>
    <w:rsid w:val="009E111D"/>
    <w:rsid w:val="00A30483"/>
    <w:rsid w:val="00A34B72"/>
    <w:rsid w:val="00A47BD0"/>
    <w:rsid w:val="00A516BB"/>
    <w:rsid w:val="00AA5CC2"/>
    <w:rsid w:val="00AA7E25"/>
    <w:rsid w:val="00B2798D"/>
    <w:rsid w:val="00B351A0"/>
    <w:rsid w:val="00B43181"/>
    <w:rsid w:val="00B56EB5"/>
    <w:rsid w:val="00B97B58"/>
    <w:rsid w:val="00BA3991"/>
    <w:rsid w:val="00BD02E9"/>
    <w:rsid w:val="00BE2D6A"/>
    <w:rsid w:val="00C00D11"/>
    <w:rsid w:val="00C11465"/>
    <w:rsid w:val="00C16714"/>
    <w:rsid w:val="00C219A4"/>
    <w:rsid w:val="00C409A5"/>
    <w:rsid w:val="00C821BC"/>
    <w:rsid w:val="00C90A4B"/>
    <w:rsid w:val="00C92080"/>
    <w:rsid w:val="00CC10C8"/>
    <w:rsid w:val="00CC2747"/>
    <w:rsid w:val="00CC5F91"/>
    <w:rsid w:val="00D00C69"/>
    <w:rsid w:val="00D12D42"/>
    <w:rsid w:val="00D227E9"/>
    <w:rsid w:val="00D3100B"/>
    <w:rsid w:val="00D77A51"/>
    <w:rsid w:val="00D954B0"/>
    <w:rsid w:val="00DA706F"/>
    <w:rsid w:val="00DB2F31"/>
    <w:rsid w:val="00DB651E"/>
    <w:rsid w:val="00E03808"/>
    <w:rsid w:val="00E255D7"/>
    <w:rsid w:val="00E348B5"/>
    <w:rsid w:val="00E80B2E"/>
    <w:rsid w:val="00E87137"/>
    <w:rsid w:val="00EB13F9"/>
    <w:rsid w:val="00EC2B8B"/>
    <w:rsid w:val="00EE449D"/>
    <w:rsid w:val="00F058D6"/>
    <w:rsid w:val="00F32EA9"/>
    <w:rsid w:val="00F5648D"/>
    <w:rsid w:val="00FF3DA7"/>
    <w:rsid w:val="4AC231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HAnsi" w:cstheme="minorBidi"/>
      <w:sz w:val="24"/>
      <w:szCs w:val="22"/>
      <w:lang w:val="en-US" w:eastAsia="en-US" w:bidi="ar-SA"/>
    </w:rPr>
  </w:style>
  <w:style w:type="paragraph" w:styleId="2">
    <w:name w:val="heading 1"/>
    <w:basedOn w:val="1"/>
    <w:next w:val="1"/>
    <w:link w:val="13"/>
    <w:qFormat/>
    <w:uiPriority w:val="9"/>
    <w:pPr>
      <w:keepNext/>
      <w:keepLines/>
      <w:spacing w:before="120" w:after="120"/>
      <w:outlineLvl w:val="0"/>
    </w:pPr>
    <w:rPr>
      <w:rFonts w:eastAsiaTheme="majorEastAsia" w:cstheme="majorBidi"/>
      <w:b/>
      <w:bCs/>
      <w:sz w:val="32"/>
      <w:szCs w:val="28"/>
    </w:rPr>
  </w:style>
  <w:style w:type="paragraph" w:styleId="3">
    <w:name w:val="heading 2"/>
    <w:basedOn w:val="1"/>
    <w:next w:val="1"/>
    <w:link w:val="14"/>
    <w:unhideWhenUsed/>
    <w:qFormat/>
    <w:uiPriority w:val="9"/>
    <w:pPr>
      <w:keepNext/>
      <w:keepLines/>
      <w:spacing w:before="120" w:after="120"/>
      <w:outlineLvl w:val="1"/>
    </w:pPr>
    <w:rPr>
      <w:rFonts w:eastAsiaTheme="majorEastAsia" w:cstheme="majorBidi"/>
      <w:b/>
      <w:bCs/>
      <w:sz w:val="28"/>
      <w:szCs w:val="26"/>
    </w:rPr>
  </w:style>
  <w:style w:type="paragraph" w:styleId="4">
    <w:name w:val="heading 3"/>
    <w:basedOn w:val="1"/>
    <w:next w:val="1"/>
    <w:link w:val="15"/>
    <w:unhideWhenUsed/>
    <w:qFormat/>
    <w:uiPriority w:val="9"/>
    <w:pPr>
      <w:keepNext/>
      <w:keepLines/>
      <w:spacing w:before="200" w:after="0"/>
      <w:outlineLvl w:val="2"/>
    </w:pPr>
    <w:rPr>
      <w:rFonts w:eastAsiaTheme="majorEastAsia" w:cstheme="majorBidi"/>
      <w:b/>
      <w:bCs/>
      <w:sz w:val="26"/>
    </w:rPr>
  </w:style>
  <w:style w:type="paragraph" w:styleId="5">
    <w:name w:val="heading 4"/>
    <w:basedOn w:val="1"/>
    <w:next w:val="1"/>
    <w:link w:val="16"/>
    <w:semiHidden/>
    <w:unhideWhenUsed/>
    <w:qFormat/>
    <w:uiPriority w:val="9"/>
    <w:pPr>
      <w:keepNext/>
      <w:keepLines/>
      <w:spacing w:before="200" w:after="0"/>
      <w:outlineLvl w:val="3"/>
    </w:pPr>
    <w:rPr>
      <w:rFonts w:eastAsiaTheme="majorEastAsia" w:cstheme="majorBidi"/>
      <w:b/>
      <w:bCs/>
      <w:iCs/>
      <w:szCs w:val="24"/>
    </w:rPr>
  </w:style>
  <w:style w:type="character" w:default="1" w:styleId="9">
    <w:name w:val="Default Paragraph Font"/>
    <w:semiHidden/>
    <w:unhideWhenUsed/>
    <w:uiPriority w:val="1"/>
  </w:style>
  <w:style w:type="table" w:default="1" w:styleId="11">
    <w:name w:val="Normal Table"/>
    <w:semiHidden/>
    <w:unhideWhenUsed/>
    <w:uiPriority w:val="99"/>
    <w:tblPr>
      <w:tblLayout w:type="fixed"/>
      <w:tblCellMar>
        <w:top w:w="0" w:type="dxa"/>
        <w:left w:w="108" w:type="dxa"/>
        <w:bottom w:w="0" w:type="dxa"/>
        <w:right w:w="108" w:type="dxa"/>
      </w:tblCellMar>
    </w:tblPr>
  </w:style>
  <w:style w:type="paragraph" w:styleId="6">
    <w:name w:val="Balloon Text"/>
    <w:basedOn w:val="1"/>
    <w:link w:val="17"/>
    <w:semiHidden/>
    <w:unhideWhenUsed/>
    <w:qFormat/>
    <w:uiPriority w:val="99"/>
    <w:pPr>
      <w:spacing w:after="0" w:line="240" w:lineRule="auto"/>
    </w:pPr>
    <w:rPr>
      <w:rFonts w:ascii="Tahoma" w:hAnsi="Tahoma" w:cs="Tahoma"/>
      <w:sz w:val="16"/>
      <w:szCs w:val="16"/>
    </w:rPr>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40"/>
    </w:pPr>
  </w:style>
  <w:style w:type="character" w:styleId="10">
    <w:name w:val="Hyperlink"/>
    <w:basedOn w:val="9"/>
    <w:unhideWhenUsed/>
    <w:uiPriority w:val="99"/>
    <w:rPr>
      <w:color w:val="0000FF" w:themeColor="hyperlink"/>
      <w:u w:val="single"/>
      <w14:textFill>
        <w14:solidFill>
          <w14:schemeClr w14:val="hlink"/>
        </w14:solidFill>
      </w14:textFill>
    </w:rPr>
  </w:style>
  <w:style w:type="table" w:styleId="12">
    <w:name w:val="Table Grid"/>
    <w:basedOn w:val="11"/>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3">
    <w:name w:val="Heading 1 Char"/>
    <w:basedOn w:val="9"/>
    <w:link w:val="2"/>
    <w:uiPriority w:val="9"/>
    <w:rPr>
      <w:rFonts w:ascii="Times New Roman" w:hAnsi="Times New Roman" w:eastAsiaTheme="majorEastAsia" w:cstheme="majorBidi"/>
      <w:b/>
      <w:bCs/>
      <w:sz w:val="32"/>
      <w:szCs w:val="28"/>
    </w:rPr>
  </w:style>
  <w:style w:type="character" w:customStyle="1" w:styleId="14">
    <w:name w:val="Heading 2 Char"/>
    <w:basedOn w:val="9"/>
    <w:link w:val="3"/>
    <w:uiPriority w:val="9"/>
    <w:rPr>
      <w:rFonts w:ascii="Times New Roman" w:hAnsi="Times New Roman" w:eastAsiaTheme="majorEastAsia" w:cstheme="majorBidi"/>
      <w:b/>
      <w:bCs/>
      <w:sz w:val="28"/>
      <w:szCs w:val="26"/>
    </w:rPr>
  </w:style>
  <w:style w:type="character" w:customStyle="1" w:styleId="15">
    <w:name w:val="Heading 3 Char"/>
    <w:basedOn w:val="9"/>
    <w:link w:val="4"/>
    <w:qFormat/>
    <w:uiPriority w:val="9"/>
    <w:rPr>
      <w:rFonts w:ascii="Times New Roman" w:hAnsi="Times New Roman" w:eastAsiaTheme="majorEastAsia" w:cstheme="majorBidi"/>
      <w:b/>
      <w:bCs/>
      <w:sz w:val="26"/>
    </w:rPr>
  </w:style>
  <w:style w:type="character" w:customStyle="1" w:styleId="16">
    <w:name w:val="Heading 4 Char"/>
    <w:basedOn w:val="9"/>
    <w:link w:val="5"/>
    <w:semiHidden/>
    <w:uiPriority w:val="9"/>
    <w:rPr>
      <w:rFonts w:ascii="Times New Roman" w:hAnsi="Times New Roman" w:eastAsiaTheme="majorEastAsia" w:cstheme="majorBidi"/>
      <w:b/>
      <w:bCs/>
      <w:iCs/>
      <w:sz w:val="24"/>
      <w:szCs w:val="24"/>
    </w:rPr>
  </w:style>
  <w:style w:type="character" w:customStyle="1" w:styleId="17">
    <w:name w:val="Balloon Text Char"/>
    <w:basedOn w:val="9"/>
    <w:link w:val="6"/>
    <w:semiHidden/>
    <w:uiPriority w:val="99"/>
    <w:rPr>
      <w:rFonts w:ascii="Tahoma" w:hAnsi="Tahoma" w:cs="Tahoma"/>
      <w:sz w:val="16"/>
      <w:szCs w:val="16"/>
    </w:rPr>
  </w:style>
  <w:style w:type="paragraph" w:styleId="18">
    <w:name w:val="List Paragraph"/>
    <w:basedOn w:val="1"/>
    <w:qFormat/>
    <w:uiPriority w:val="34"/>
    <w:pPr>
      <w:ind w:left="720"/>
      <w:contextualSpacing/>
    </w:pPr>
  </w:style>
  <w:style w:type="paragraph" w:styleId="19">
    <w:name w:val="No Spacing"/>
    <w:link w:val="20"/>
    <w:qFormat/>
    <w:uiPriority w:val="1"/>
    <w:pPr>
      <w:spacing w:after="0" w:line="240" w:lineRule="auto"/>
    </w:pPr>
    <w:rPr>
      <w:rFonts w:asciiTheme="minorHAnsi" w:hAnsiTheme="minorHAnsi" w:eastAsiaTheme="minorEastAsia" w:cstheme="minorBidi"/>
      <w:sz w:val="22"/>
      <w:szCs w:val="22"/>
      <w:lang w:val="en-US" w:eastAsia="ja-JP" w:bidi="ar-SA"/>
    </w:rPr>
  </w:style>
  <w:style w:type="character" w:customStyle="1" w:styleId="20">
    <w:name w:val="No Spacing Char"/>
    <w:basedOn w:val="9"/>
    <w:link w:val="19"/>
    <w:uiPriority w:val="1"/>
    <w:rPr>
      <w:rFonts w:eastAsiaTheme="minorEastAsia"/>
      <w:lang w:eastAsia="ja-JP"/>
    </w:rPr>
  </w:style>
  <w:style w:type="paragraph" w:customStyle="1" w:styleId="21">
    <w:name w:val="TOC Heading"/>
    <w:basedOn w:val="2"/>
    <w:next w:val="1"/>
    <w:semiHidden/>
    <w:unhideWhenUsed/>
    <w:qFormat/>
    <w:uiPriority w:val="39"/>
    <w:pPr>
      <w:spacing w:before="480" w:after="0" w:line="276" w:lineRule="auto"/>
      <w:jc w:val="left"/>
      <w:outlineLvl w:val="9"/>
    </w:pPr>
    <w:rPr>
      <w:rFonts w:asciiTheme="majorHAnsi" w:hAnsiTheme="majorHAnsi"/>
      <w:color w:val="376092" w:themeColor="accent1" w:themeShade="BF"/>
      <w:sz w:val="28"/>
      <w:lang w:eastAsia="ja-JP"/>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485B5BE-2B59-4657-8A9A-8A6CBBC6EFA2}">
  <ds:schemaRefs/>
</ds:datastoreItem>
</file>

<file path=docProps/app.xml><?xml version="1.0" encoding="utf-8"?>
<Properties xmlns="http://schemas.openxmlformats.org/officeDocument/2006/extended-properties" xmlns:vt="http://schemas.openxmlformats.org/officeDocument/2006/docPropsVTypes">
  <Template>Normal</Template>
  <Pages>13</Pages>
  <Words>2379</Words>
  <Characters>13563</Characters>
  <Lines>113</Lines>
  <Paragraphs>31</Paragraphs>
  <TotalTime>192</TotalTime>
  <ScaleCrop>false</ScaleCrop>
  <LinksUpToDate>false</LinksUpToDate>
  <CharactersWithSpaces>15911</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2019-05-03T14:39:00Z</dcterms:created>
  <dc:creator>vfili</dc:creator>
  <cp:lastModifiedBy>vfili</cp:lastModifiedBy>
  <dcterms:modified xsi:type="dcterms:W3CDTF">2019-05-03T21:04:36Z</dcterms:modified>
  <dc:title>Community Engagement</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1033-10.2.0.7636</vt:lpwstr>
  </property>
</Properties>
</file>