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F4CE76" w14:textId="77777777" w:rsidR="00272014" w:rsidRDefault="00272014" w:rsidP="00272014">
      <w:pPr>
        <w:jc w:val="center"/>
      </w:pPr>
      <w:r>
        <w:rPr>
          <w:noProof/>
        </w:rPr>
        <w:drawing>
          <wp:inline distT="0" distB="0" distL="0" distR="0" wp14:anchorId="75CC7B6A" wp14:editId="40A7947C">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04F3A6D6" w14:textId="77777777" w:rsidR="00272014" w:rsidRDefault="00272014" w:rsidP="00272014"/>
    <w:p w14:paraId="3A40FC94" w14:textId="77777777" w:rsidR="00272014" w:rsidRDefault="00272014" w:rsidP="00272014"/>
    <w:p w14:paraId="5E912153" w14:textId="77777777" w:rsidR="00CD1445" w:rsidRDefault="00CD1445" w:rsidP="00272014"/>
    <w:p w14:paraId="66526376" w14:textId="77777777" w:rsidR="00272014" w:rsidRDefault="00272014" w:rsidP="00272014"/>
    <w:p w14:paraId="3E555E4F" w14:textId="5A77783D" w:rsidR="00272014" w:rsidRPr="00646406" w:rsidRDefault="00272014" w:rsidP="00272014">
      <w:pPr>
        <w:jc w:val="center"/>
        <w:rPr>
          <w:rFonts w:ascii="Arial" w:hAnsi="Arial" w:cs="Arial"/>
          <w:b/>
          <w:bCs/>
        </w:rPr>
      </w:pPr>
      <w:r w:rsidRPr="00646406">
        <w:rPr>
          <w:rFonts w:ascii="Arial" w:hAnsi="Arial" w:cs="Arial"/>
          <w:b/>
          <w:bCs/>
        </w:rPr>
        <w:t>Student Name:</w:t>
      </w:r>
      <w:r w:rsidRPr="00A1094E">
        <w:rPr>
          <w:rFonts w:ascii="Arial" w:hAnsi="Arial" w:cs="Arial"/>
        </w:rPr>
        <w:t xml:space="preserve"> </w:t>
      </w:r>
      <w:r w:rsidRPr="00CF1964">
        <w:rPr>
          <w:rFonts w:ascii="Arial" w:hAnsi="Arial" w:cs="Arial"/>
        </w:rPr>
        <w:t>Mahedy Hasan</w:t>
      </w:r>
    </w:p>
    <w:p w14:paraId="6C0FD8EF" w14:textId="77777777" w:rsidR="00272014" w:rsidRPr="00646406" w:rsidRDefault="00272014" w:rsidP="00272014">
      <w:pPr>
        <w:jc w:val="center"/>
        <w:rPr>
          <w:rFonts w:ascii="Arial" w:hAnsi="Arial" w:cs="Arial"/>
          <w:b/>
          <w:bCs/>
        </w:rPr>
      </w:pPr>
      <w:r w:rsidRPr="00646406">
        <w:rPr>
          <w:rFonts w:ascii="Arial" w:hAnsi="Arial" w:cs="Arial"/>
          <w:b/>
          <w:bCs/>
        </w:rPr>
        <w:t>Student ID:</w:t>
      </w:r>
      <w:r w:rsidRPr="00A1094E">
        <w:rPr>
          <w:rFonts w:ascii="Arial" w:hAnsi="Arial" w:cs="Arial"/>
        </w:rPr>
        <w:t xml:space="preserve"> </w:t>
      </w:r>
      <w:r>
        <w:rPr>
          <w:rFonts w:ascii="Arial" w:hAnsi="Arial" w:cs="Arial"/>
        </w:rPr>
        <w:t>2425802</w:t>
      </w:r>
    </w:p>
    <w:p w14:paraId="6B6B1DE0" w14:textId="77777777" w:rsidR="00272014" w:rsidRPr="00646406" w:rsidRDefault="00272014" w:rsidP="00272014">
      <w:pPr>
        <w:rPr>
          <w:rFonts w:ascii="Arial" w:hAnsi="Arial" w:cs="Arial"/>
        </w:rPr>
      </w:pPr>
    </w:p>
    <w:p w14:paraId="38947826" w14:textId="77777777" w:rsidR="00350D97" w:rsidRPr="00646406" w:rsidRDefault="00350D97" w:rsidP="00350D97">
      <w:pPr>
        <w:jc w:val="center"/>
        <w:rPr>
          <w:rFonts w:ascii="Arial" w:hAnsi="Arial" w:cs="Arial"/>
          <w:b/>
          <w:bCs/>
        </w:rPr>
      </w:pPr>
      <w:r w:rsidRPr="00646406">
        <w:rPr>
          <w:rFonts w:ascii="Arial" w:hAnsi="Arial" w:cs="Arial"/>
          <w:b/>
          <w:bCs/>
        </w:rPr>
        <w:t xml:space="preserve">Module Name: </w:t>
      </w:r>
      <w:r w:rsidRPr="00606D0D">
        <w:rPr>
          <w:rFonts w:ascii="Arial" w:hAnsi="Arial" w:cs="Arial"/>
        </w:rPr>
        <w:t>International Business Concepts</w:t>
      </w:r>
    </w:p>
    <w:p w14:paraId="32D20F44" w14:textId="77777777" w:rsidR="00350D97" w:rsidRDefault="00350D97" w:rsidP="00350D97">
      <w:pPr>
        <w:jc w:val="center"/>
        <w:rPr>
          <w:rFonts w:ascii="Arial" w:hAnsi="Arial" w:cs="Arial"/>
        </w:rPr>
      </w:pPr>
      <w:r w:rsidRPr="00646406">
        <w:rPr>
          <w:rFonts w:ascii="Arial" w:hAnsi="Arial" w:cs="Arial"/>
          <w:b/>
          <w:bCs/>
        </w:rPr>
        <w:t xml:space="preserve">Module Code: </w:t>
      </w:r>
      <w:r w:rsidRPr="00606D0D">
        <w:rPr>
          <w:rFonts w:ascii="Arial" w:hAnsi="Arial" w:cs="Arial"/>
        </w:rPr>
        <w:t>LCMB7034</w:t>
      </w:r>
    </w:p>
    <w:p w14:paraId="3FA065CA" w14:textId="77777777" w:rsidR="00350D97" w:rsidRPr="00A1094E" w:rsidRDefault="00350D97" w:rsidP="00350D97">
      <w:pPr>
        <w:jc w:val="center"/>
        <w:rPr>
          <w:rFonts w:ascii="Arial" w:hAnsi="Arial" w:cs="Arial"/>
        </w:rPr>
      </w:pPr>
    </w:p>
    <w:p w14:paraId="076DD82B" w14:textId="77777777" w:rsidR="00350D97" w:rsidRDefault="00350D97" w:rsidP="00350D97">
      <w:pPr>
        <w:jc w:val="center"/>
        <w:rPr>
          <w:rFonts w:ascii="Arial" w:hAnsi="Arial" w:cs="Arial"/>
        </w:rPr>
      </w:pPr>
      <w:r w:rsidRPr="00E7301C">
        <w:rPr>
          <w:rFonts w:ascii="Arial" w:hAnsi="Arial" w:cs="Arial"/>
          <w:b/>
          <w:bCs/>
        </w:rPr>
        <w:t xml:space="preserve">Assignment Title: </w:t>
      </w:r>
      <w:r w:rsidRPr="00606D0D">
        <w:rPr>
          <w:rFonts w:ascii="Arial" w:hAnsi="Arial" w:cs="Arial"/>
        </w:rPr>
        <w:t>Report</w:t>
      </w:r>
    </w:p>
    <w:p w14:paraId="1C0A9EAC" w14:textId="77777777" w:rsidR="00350D97" w:rsidRDefault="00350D97" w:rsidP="00350D97">
      <w:pPr>
        <w:jc w:val="center"/>
        <w:rPr>
          <w:rFonts w:ascii="Arial" w:hAnsi="Arial" w:cs="Arial"/>
        </w:rPr>
      </w:pPr>
      <w:r w:rsidRPr="00646406">
        <w:rPr>
          <w:rFonts w:ascii="Arial" w:hAnsi="Arial" w:cs="Arial"/>
          <w:b/>
          <w:bCs/>
        </w:rPr>
        <w:t>Lecturer’s Name:</w:t>
      </w:r>
      <w:r w:rsidRPr="00A1094E">
        <w:rPr>
          <w:rFonts w:ascii="Arial" w:hAnsi="Arial" w:cs="Arial"/>
        </w:rPr>
        <w:t xml:space="preserve"> </w:t>
      </w:r>
      <w:r w:rsidRPr="00606D0D">
        <w:rPr>
          <w:rFonts w:ascii="Arial" w:hAnsi="Arial" w:cs="Arial"/>
        </w:rPr>
        <w:t>Akshay Narayanan</w:t>
      </w:r>
    </w:p>
    <w:p w14:paraId="5E75F709" w14:textId="77777777" w:rsidR="00350D97" w:rsidRPr="00646406" w:rsidRDefault="00350D97" w:rsidP="00350D97">
      <w:pPr>
        <w:jc w:val="center"/>
        <w:rPr>
          <w:rFonts w:ascii="Arial" w:hAnsi="Arial" w:cs="Arial"/>
          <w:b/>
          <w:bCs/>
        </w:rPr>
      </w:pPr>
    </w:p>
    <w:p w14:paraId="6E930A34" w14:textId="22C94F68" w:rsidR="00350D97" w:rsidRDefault="00350D97" w:rsidP="00350D97">
      <w:pPr>
        <w:jc w:val="center"/>
        <w:rPr>
          <w:rFonts w:ascii="Arial" w:hAnsi="Arial" w:cs="Arial"/>
        </w:rPr>
      </w:pPr>
      <w:r w:rsidRPr="00646406">
        <w:rPr>
          <w:rFonts w:ascii="Arial" w:hAnsi="Arial" w:cs="Arial"/>
          <w:b/>
          <w:bCs/>
        </w:rPr>
        <w:t>Work Count:</w:t>
      </w:r>
      <w:r>
        <w:rPr>
          <w:rFonts w:ascii="Arial" w:hAnsi="Arial" w:cs="Arial"/>
          <w:b/>
          <w:bCs/>
        </w:rPr>
        <w:t xml:space="preserve"> </w:t>
      </w:r>
      <w:r w:rsidR="00246E61">
        <w:rPr>
          <w:rFonts w:ascii="Arial" w:hAnsi="Arial" w:cs="Arial"/>
        </w:rPr>
        <w:t>5357</w:t>
      </w:r>
    </w:p>
    <w:p w14:paraId="19FB6959" w14:textId="77777777" w:rsidR="00350D97" w:rsidRPr="00272014" w:rsidRDefault="00350D97" w:rsidP="00350D97">
      <w:pPr>
        <w:jc w:val="center"/>
        <w:rPr>
          <w:rFonts w:ascii="Arial" w:hAnsi="Arial" w:cs="Arial"/>
        </w:rPr>
      </w:pPr>
    </w:p>
    <w:p w14:paraId="5D0549EE" w14:textId="77777777" w:rsidR="00350D97" w:rsidRDefault="00350D97" w:rsidP="00350D97">
      <w:pPr>
        <w:jc w:val="center"/>
        <w:rPr>
          <w:rFonts w:ascii="Arial" w:hAnsi="Arial" w:cs="Arial"/>
        </w:rPr>
      </w:pPr>
      <w:r>
        <w:rPr>
          <w:rFonts w:ascii="Arial" w:hAnsi="Arial" w:cs="Arial"/>
          <w:b/>
          <w:bCs/>
        </w:rPr>
        <w:t>S</w:t>
      </w:r>
      <w:r w:rsidRPr="00E1548E">
        <w:rPr>
          <w:rFonts w:ascii="Arial" w:hAnsi="Arial" w:cs="Arial"/>
          <w:b/>
          <w:bCs/>
        </w:rPr>
        <w:t>ubmission date</w:t>
      </w:r>
      <w:r>
        <w:rPr>
          <w:rFonts w:ascii="Arial" w:hAnsi="Arial" w:cs="Arial"/>
          <w:b/>
          <w:bCs/>
        </w:rPr>
        <w:t xml:space="preserve">: </w:t>
      </w:r>
      <w:r>
        <w:rPr>
          <w:rFonts w:ascii="Arial" w:hAnsi="Arial" w:cs="Arial"/>
        </w:rPr>
        <w:t>15</w:t>
      </w:r>
      <w:r w:rsidRPr="002C59E9">
        <w:rPr>
          <w:rFonts w:ascii="Arial" w:hAnsi="Arial" w:cs="Arial"/>
        </w:rPr>
        <w:t>/</w:t>
      </w:r>
      <w:r>
        <w:rPr>
          <w:rFonts w:ascii="Arial" w:hAnsi="Arial" w:cs="Arial"/>
        </w:rPr>
        <w:t>12</w:t>
      </w:r>
      <w:r w:rsidRPr="002C59E9">
        <w:rPr>
          <w:rFonts w:ascii="Arial" w:hAnsi="Arial" w:cs="Arial"/>
        </w:rPr>
        <w:t>/</w:t>
      </w:r>
      <w:r>
        <w:rPr>
          <w:rFonts w:ascii="Arial" w:hAnsi="Arial" w:cs="Arial"/>
        </w:rPr>
        <w:t>2025</w:t>
      </w:r>
    </w:p>
    <w:p w14:paraId="08E86B57" w14:textId="77777777" w:rsidR="00105CC8" w:rsidRDefault="00105CC8" w:rsidP="00272014">
      <w:pPr>
        <w:jc w:val="center"/>
        <w:rPr>
          <w:rFonts w:ascii="Arial" w:hAnsi="Arial" w:cs="Arial"/>
        </w:rPr>
      </w:pPr>
    </w:p>
    <w:p w14:paraId="59BA0584" w14:textId="77777777" w:rsidR="00105CC8" w:rsidRDefault="00105CC8" w:rsidP="00272014">
      <w:pPr>
        <w:jc w:val="center"/>
        <w:rPr>
          <w:rFonts w:ascii="Arial" w:hAnsi="Arial" w:cs="Arial"/>
        </w:rPr>
      </w:pPr>
    </w:p>
    <w:p w14:paraId="511AEDE2" w14:textId="77777777" w:rsidR="00105CC8" w:rsidRDefault="00105CC8" w:rsidP="00272014">
      <w:pPr>
        <w:jc w:val="center"/>
        <w:rPr>
          <w:rFonts w:ascii="Arial" w:hAnsi="Arial" w:cs="Arial"/>
        </w:rPr>
      </w:pPr>
    </w:p>
    <w:p w14:paraId="64374DC0" w14:textId="77777777" w:rsidR="00881384" w:rsidRDefault="00881384" w:rsidP="00881384">
      <w:pPr>
        <w:rPr>
          <w:rFonts w:ascii="Arial" w:hAnsi="Arial" w:cs="Arial"/>
          <w:color w:val="4472C4" w:themeColor="accent1"/>
        </w:rPr>
      </w:pPr>
    </w:p>
    <w:p w14:paraId="486A0FCB" w14:textId="77777777" w:rsidR="0043033A" w:rsidRDefault="0043033A" w:rsidP="00881384">
      <w:pPr>
        <w:rPr>
          <w:rFonts w:ascii="Arial" w:hAnsi="Arial" w:cs="Arial"/>
          <w:color w:val="4472C4" w:themeColor="accent1"/>
        </w:rPr>
      </w:pPr>
    </w:p>
    <w:p w14:paraId="6DC57132" w14:textId="77777777" w:rsidR="004947B8" w:rsidRDefault="004947B8" w:rsidP="00881384">
      <w:pPr>
        <w:rPr>
          <w:rFonts w:ascii="Arial" w:hAnsi="Arial" w:cs="Arial"/>
          <w:color w:val="4472C4" w:themeColor="accent1"/>
        </w:rPr>
      </w:pPr>
    </w:p>
    <w:p w14:paraId="68A878B0" w14:textId="77777777" w:rsidR="00F54291" w:rsidRDefault="00F54291" w:rsidP="00881384">
      <w:pPr>
        <w:rPr>
          <w:rFonts w:ascii="Arial" w:hAnsi="Arial" w:cs="Arial"/>
          <w:color w:val="4472C4" w:themeColor="accent1"/>
        </w:rPr>
      </w:pPr>
    </w:p>
    <w:p w14:paraId="1F9C89C3" w14:textId="77777777" w:rsidR="0090382E" w:rsidRDefault="0090382E" w:rsidP="00881384">
      <w:pPr>
        <w:rPr>
          <w:rFonts w:ascii="Arial" w:hAnsi="Arial" w:cs="Arial"/>
          <w:color w:val="4472C4" w:themeColor="accent1"/>
        </w:rPr>
      </w:pPr>
    </w:p>
    <w:p w14:paraId="4970F2AA" w14:textId="73E97838" w:rsidR="00F54291" w:rsidRDefault="00EC0B25" w:rsidP="00296CCB">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5EB5E6AA" wp14:editId="071EA001">
            <wp:extent cx="5943600" cy="3228340"/>
            <wp:effectExtent l="0" t="0" r="0" b="0"/>
            <wp:docPr id="2493437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343735" name="Picture 24934373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228340"/>
                    </a:xfrm>
                    <a:prstGeom prst="rect">
                      <a:avLst/>
                    </a:prstGeom>
                  </pic:spPr>
                </pic:pic>
              </a:graphicData>
            </a:graphic>
          </wp:inline>
        </w:drawing>
      </w:r>
    </w:p>
    <w:p w14:paraId="6087F19D" w14:textId="4EE13A03" w:rsidR="00EC0B25" w:rsidRPr="00F54291" w:rsidRDefault="00DD15C8" w:rsidP="00EC0B25">
      <w:pPr>
        <w:spacing w:line="360" w:lineRule="auto"/>
        <w:jc w:val="center"/>
        <w:rPr>
          <w:rFonts w:ascii="Arial" w:hAnsi="Arial" w:cs="Arial"/>
          <w:b/>
          <w:bCs/>
          <w:color w:val="4472C4" w:themeColor="accent1"/>
        </w:rPr>
      </w:pPr>
      <w:r w:rsidRPr="00F54291">
        <w:rPr>
          <w:rFonts w:ascii="Arial" w:hAnsi="Arial" w:cs="Arial"/>
          <w:b/>
          <w:bCs/>
          <w:color w:val="4472C4" w:themeColor="accent1"/>
        </w:rPr>
        <w:t>Toyota’s Global Strategy and Emerging Market Penetration: A Consultancy Report on Thailand</w:t>
      </w:r>
    </w:p>
    <w:p w14:paraId="614712A6" w14:textId="77777777" w:rsidR="00F54291" w:rsidRDefault="00F54291" w:rsidP="00E32AD5">
      <w:pPr>
        <w:spacing w:line="360" w:lineRule="auto"/>
        <w:jc w:val="both"/>
        <w:rPr>
          <w:rFonts w:ascii="Arial" w:hAnsi="Arial" w:cs="Arial"/>
          <w:color w:val="000000" w:themeColor="text1"/>
        </w:rPr>
      </w:pPr>
    </w:p>
    <w:p w14:paraId="48C086CA" w14:textId="01A8C84B" w:rsidR="00DD15C8" w:rsidRPr="00DD15C8" w:rsidRDefault="00DD15C8" w:rsidP="00DD15C8">
      <w:pPr>
        <w:spacing w:line="360" w:lineRule="auto"/>
        <w:jc w:val="both"/>
        <w:rPr>
          <w:rFonts w:ascii="Arial" w:hAnsi="Arial" w:cs="Arial"/>
          <w:b/>
          <w:bCs/>
          <w:color w:val="4472C4" w:themeColor="accent1"/>
        </w:rPr>
      </w:pPr>
      <w:r w:rsidRPr="00DD15C8">
        <w:rPr>
          <w:rFonts w:ascii="Arial" w:hAnsi="Arial" w:cs="Arial"/>
          <w:b/>
          <w:bCs/>
          <w:color w:val="4472C4" w:themeColor="accent1"/>
        </w:rPr>
        <w:t xml:space="preserve">Executive Summary </w:t>
      </w:r>
    </w:p>
    <w:p w14:paraId="11F904D0" w14:textId="77777777" w:rsidR="00701EB3" w:rsidRDefault="006F4C99" w:rsidP="006F4C99">
      <w:pPr>
        <w:spacing w:line="360" w:lineRule="auto"/>
        <w:jc w:val="both"/>
        <w:rPr>
          <w:rFonts w:ascii="Arial" w:hAnsi="Arial" w:cs="Arial"/>
          <w:color w:val="000000" w:themeColor="text1"/>
        </w:rPr>
      </w:pPr>
      <w:r w:rsidRPr="006F4C99">
        <w:rPr>
          <w:rFonts w:ascii="Arial" w:hAnsi="Arial" w:cs="Arial"/>
          <w:color w:val="000000" w:themeColor="text1"/>
        </w:rPr>
        <w:t xml:space="preserve">The present report is a thorough study of the international operations of Toyota with special attention to its expansion in Thailand as an emerging economy. It discusses the advantages and difficulties of the Toyota global value chain, analyses its international entry strategies and uses the OLI paradigm to determine the appropriateness of Thailand as a strategic location. </w:t>
      </w:r>
    </w:p>
    <w:p w14:paraId="2C2EF301" w14:textId="193A69AB" w:rsidR="009D4CF6" w:rsidRDefault="006F4C99" w:rsidP="00701EB3">
      <w:pPr>
        <w:spacing w:line="360" w:lineRule="auto"/>
        <w:jc w:val="both"/>
        <w:rPr>
          <w:rFonts w:ascii="Arial" w:hAnsi="Arial" w:cs="Arial"/>
          <w:color w:val="000000" w:themeColor="text1"/>
        </w:rPr>
      </w:pPr>
      <w:r w:rsidRPr="006F4C99">
        <w:rPr>
          <w:rFonts w:ascii="Arial" w:hAnsi="Arial" w:cs="Arial"/>
          <w:color w:val="000000" w:themeColor="text1"/>
        </w:rPr>
        <w:t>The report further examines cultural variations between the Japanese and the Thais and how these differences have affected the market entry and the long-term success of Toyota. Lastly, it suggests important Standard Operating Procedure (SOP) changes to promote localisation, efficiency and cultural fit to improve the competitiveness of Toyota in Thailand.</w:t>
      </w:r>
    </w:p>
    <w:sdt>
      <w:sdtPr>
        <w:rPr>
          <w:rFonts w:ascii="Arial" w:eastAsiaTheme="minorHAnsi" w:hAnsi="Arial" w:cs="Arial"/>
          <w:color w:val="auto"/>
          <w:kern w:val="2"/>
          <w:sz w:val="22"/>
          <w:szCs w:val="22"/>
          <w14:ligatures w14:val="standardContextual"/>
        </w:rPr>
        <w:id w:val="181947877"/>
        <w:docPartObj>
          <w:docPartGallery w:val="Table of Contents"/>
          <w:docPartUnique/>
        </w:docPartObj>
      </w:sdtPr>
      <w:sdtEndPr>
        <w:rPr>
          <w:b/>
          <w:bCs/>
          <w:noProof/>
        </w:rPr>
      </w:sdtEndPr>
      <w:sdtContent>
        <w:p w14:paraId="0A218617" w14:textId="695ED4ED" w:rsidR="000D2307" w:rsidRPr="00E931D5" w:rsidRDefault="000D2307" w:rsidP="00E931D5">
          <w:pPr>
            <w:pStyle w:val="TOCHeading"/>
            <w:spacing w:line="240" w:lineRule="auto"/>
            <w:jc w:val="both"/>
            <w:rPr>
              <w:rFonts w:ascii="Arial" w:hAnsi="Arial" w:cs="Arial"/>
              <w:sz w:val="22"/>
              <w:szCs w:val="22"/>
            </w:rPr>
          </w:pPr>
          <w:r w:rsidRPr="00E931D5">
            <w:rPr>
              <w:rFonts w:ascii="Arial" w:hAnsi="Arial" w:cs="Arial"/>
              <w:sz w:val="22"/>
              <w:szCs w:val="22"/>
            </w:rPr>
            <w:t>Table of Contents</w:t>
          </w:r>
        </w:p>
        <w:p w14:paraId="0C4EFCCA" w14:textId="2BF71B55" w:rsidR="00E931D5" w:rsidRPr="00E931D5" w:rsidRDefault="000D2307" w:rsidP="00E931D5">
          <w:pPr>
            <w:pStyle w:val="TOC1"/>
            <w:tabs>
              <w:tab w:val="right" w:leader="dot" w:pos="9350"/>
            </w:tabs>
            <w:spacing w:line="240" w:lineRule="auto"/>
            <w:rPr>
              <w:rFonts w:ascii="Arial" w:eastAsiaTheme="minorEastAsia" w:hAnsi="Arial" w:cs="Arial"/>
              <w:noProof/>
              <w:sz w:val="22"/>
              <w:szCs w:val="22"/>
            </w:rPr>
          </w:pPr>
          <w:r w:rsidRPr="00E931D5">
            <w:rPr>
              <w:rFonts w:ascii="Arial" w:hAnsi="Arial" w:cs="Arial"/>
              <w:sz w:val="22"/>
              <w:szCs w:val="22"/>
            </w:rPr>
            <w:fldChar w:fldCharType="begin"/>
          </w:r>
          <w:r w:rsidRPr="00E931D5">
            <w:rPr>
              <w:rFonts w:ascii="Arial" w:hAnsi="Arial" w:cs="Arial"/>
              <w:sz w:val="22"/>
              <w:szCs w:val="22"/>
            </w:rPr>
            <w:instrText xml:space="preserve"> TOC \o "1-3" \h \z \u </w:instrText>
          </w:r>
          <w:r w:rsidRPr="00E931D5">
            <w:rPr>
              <w:rFonts w:ascii="Arial" w:hAnsi="Arial" w:cs="Arial"/>
              <w:sz w:val="22"/>
              <w:szCs w:val="22"/>
            </w:rPr>
            <w:fldChar w:fldCharType="separate"/>
          </w:r>
          <w:hyperlink w:anchor="_Toc216121772" w:history="1">
            <w:r w:rsidR="00E931D5" w:rsidRPr="00E931D5">
              <w:rPr>
                <w:rStyle w:val="Hyperlink"/>
                <w:rFonts w:ascii="Arial" w:hAnsi="Arial" w:cs="Arial"/>
                <w:noProof/>
                <w:sz w:val="22"/>
                <w:szCs w:val="22"/>
              </w:rPr>
              <w:t>1. Introduction</w:t>
            </w:r>
            <w:r w:rsidR="00E931D5" w:rsidRPr="00E931D5">
              <w:rPr>
                <w:rFonts w:ascii="Arial" w:hAnsi="Arial" w:cs="Arial"/>
                <w:noProof/>
                <w:webHidden/>
                <w:sz w:val="22"/>
                <w:szCs w:val="22"/>
              </w:rPr>
              <w:tab/>
            </w:r>
            <w:r w:rsidR="00E931D5" w:rsidRPr="00E931D5">
              <w:rPr>
                <w:rFonts w:ascii="Arial" w:hAnsi="Arial" w:cs="Arial"/>
                <w:noProof/>
                <w:webHidden/>
                <w:sz w:val="22"/>
                <w:szCs w:val="22"/>
              </w:rPr>
              <w:fldChar w:fldCharType="begin"/>
            </w:r>
            <w:r w:rsidR="00E931D5" w:rsidRPr="00E931D5">
              <w:rPr>
                <w:rFonts w:ascii="Arial" w:hAnsi="Arial" w:cs="Arial"/>
                <w:noProof/>
                <w:webHidden/>
                <w:sz w:val="22"/>
                <w:szCs w:val="22"/>
              </w:rPr>
              <w:instrText xml:space="preserve"> PAGEREF _Toc216121772 \h </w:instrText>
            </w:r>
            <w:r w:rsidR="00E931D5" w:rsidRPr="00E931D5">
              <w:rPr>
                <w:rFonts w:ascii="Arial" w:hAnsi="Arial" w:cs="Arial"/>
                <w:noProof/>
                <w:webHidden/>
                <w:sz w:val="22"/>
                <w:szCs w:val="22"/>
              </w:rPr>
            </w:r>
            <w:r w:rsidR="00E931D5" w:rsidRPr="00E931D5">
              <w:rPr>
                <w:rFonts w:ascii="Arial" w:hAnsi="Arial" w:cs="Arial"/>
                <w:noProof/>
                <w:webHidden/>
                <w:sz w:val="22"/>
                <w:szCs w:val="22"/>
              </w:rPr>
              <w:fldChar w:fldCharType="separate"/>
            </w:r>
            <w:r w:rsidR="005B218A">
              <w:rPr>
                <w:rFonts w:ascii="Arial" w:hAnsi="Arial" w:cs="Arial"/>
                <w:noProof/>
                <w:webHidden/>
                <w:sz w:val="22"/>
                <w:szCs w:val="22"/>
              </w:rPr>
              <w:t>4</w:t>
            </w:r>
            <w:r w:rsidR="00E931D5" w:rsidRPr="00E931D5">
              <w:rPr>
                <w:rFonts w:ascii="Arial" w:hAnsi="Arial" w:cs="Arial"/>
                <w:noProof/>
                <w:webHidden/>
                <w:sz w:val="22"/>
                <w:szCs w:val="22"/>
              </w:rPr>
              <w:fldChar w:fldCharType="end"/>
            </w:r>
          </w:hyperlink>
        </w:p>
        <w:p w14:paraId="4D448EF9" w14:textId="02A280EF" w:rsidR="00E931D5" w:rsidRPr="00E931D5" w:rsidRDefault="00E931D5" w:rsidP="00E931D5">
          <w:pPr>
            <w:pStyle w:val="TOC1"/>
            <w:tabs>
              <w:tab w:val="right" w:leader="dot" w:pos="9350"/>
            </w:tabs>
            <w:spacing w:line="240" w:lineRule="auto"/>
            <w:rPr>
              <w:rFonts w:ascii="Arial" w:eastAsiaTheme="minorEastAsia" w:hAnsi="Arial" w:cs="Arial"/>
              <w:noProof/>
              <w:sz w:val="22"/>
              <w:szCs w:val="22"/>
            </w:rPr>
          </w:pPr>
          <w:hyperlink w:anchor="_Toc216121773" w:history="1">
            <w:r w:rsidRPr="00E931D5">
              <w:rPr>
                <w:rStyle w:val="Hyperlink"/>
                <w:rFonts w:ascii="Arial" w:hAnsi="Arial" w:cs="Arial"/>
                <w:noProof/>
                <w:sz w:val="22"/>
                <w:szCs w:val="22"/>
              </w:rPr>
              <w:t>2. Benefits and Challenges of International Operations</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_Toc216121773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5</w:t>
            </w:r>
            <w:r w:rsidRPr="00E931D5">
              <w:rPr>
                <w:rFonts w:ascii="Arial" w:hAnsi="Arial" w:cs="Arial"/>
                <w:noProof/>
                <w:webHidden/>
                <w:sz w:val="22"/>
                <w:szCs w:val="22"/>
              </w:rPr>
              <w:fldChar w:fldCharType="end"/>
            </w:r>
          </w:hyperlink>
        </w:p>
        <w:p w14:paraId="5A2DCC22" w14:textId="3ABA0063"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74" w:history="1">
            <w:r w:rsidRPr="00E931D5">
              <w:rPr>
                <w:rStyle w:val="Hyperlink"/>
                <w:rFonts w:ascii="Arial" w:hAnsi="Arial" w:cs="Arial"/>
                <w:noProof/>
                <w:sz w:val="22"/>
                <w:szCs w:val="22"/>
              </w:rPr>
              <w:t>a. Why Toyota Can Be Designated an MNC/TNC</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_Toc216121774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5</w:t>
            </w:r>
            <w:r w:rsidRPr="00E931D5">
              <w:rPr>
                <w:rFonts w:ascii="Arial" w:hAnsi="Arial" w:cs="Arial"/>
                <w:noProof/>
                <w:webHidden/>
                <w:sz w:val="22"/>
                <w:szCs w:val="22"/>
              </w:rPr>
              <w:fldChar w:fldCharType="end"/>
            </w:r>
          </w:hyperlink>
        </w:p>
        <w:p w14:paraId="29FD20D9" w14:textId="7DBCE953"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75" w:history="1">
            <w:r w:rsidRPr="00E931D5">
              <w:rPr>
                <w:rStyle w:val="Hyperlink"/>
                <w:rFonts w:ascii="Arial" w:hAnsi="Arial" w:cs="Arial"/>
                <w:noProof/>
                <w:sz w:val="22"/>
                <w:szCs w:val="22"/>
              </w:rPr>
              <w:t>b. Nature of Toyota’s Global Operations Across the Value Chain</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_Toc216121775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6</w:t>
            </w:r>
            <w:r w:rsidRPr="00E931D5">
              <w:rPr>
                <w:rFonts w:ascii="Arial" w:hAnsi="Arial" w:cs="Arial"/>
                <w:noProof/>
                <w:webHidden/>
                <w:sz w:val="22"/>
                <w:szCs w:val="22"/>
              </w:rPr>
              <w:fldChar w:fldCharType="end"/>
            </w:r>
          </w:hyperlink>
        </w:p>
        <w:p w14:paraId="6EE1FF45" w14:textId="414A8180"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76" w:history="1">
            <w:r w:rsidRPr="00E931D5">
              <w:rPr>
                <w:rStyle w:val="Hyperlink"/>
                <w:rFonts w:ascii="Arial" w:hAnsi="Arial" w:cs="Arial"/>
                <w:noProof/>
                <w:sz w:val="22"/>
                <w:szCs w:val="22"/>
              </w:rPr>
              <w:t>c. Toyota’s Entry Modes into International Markets and Dominant Strategy</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_Toc216121776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8</w:t>
            </w:r>
            <w:r w:rsidRPr="00E931D5">
              <w:rPr>
                <w:rFonts w:ascii="Arial" w:hAnsi="Arial" w:cs="Arial"/>
                <w:noProof/>
                <w:webHidden/>
                <w:sz w:val="22"/>
                <w:szCs w:val="22"/>
              </w:rPr>
              <w:fldChar w:fldCharType="end"/>
            </w:r>
          </w:hyperlink>
        </w:p>
        <w:p w14:paraId="6F0ADD1E" w14:textId="394D3BED"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77" w:history="1">
            <w:r w:rsidRPr="00E931D5">
              <w:rPr>
                <w:rStyle w:val="Hyperlink"/>
                <w:rFonts w:ascii="Arial" w:hAnsi="Arial" w:cs="Arial"/>
                <w:noProof/>
                <w:sz w:val="22"/>
                <w:szCs w:val="22"/>
              </w:rPr>
              <w:t>d. Key Benefits Obtained from Toyota’s International Operations</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_Toc216121777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9</w:t>
            </w:r>
            <w:r w:rsidRPr="00E931D5">
              <w:rPr>
                <w:rFonts w:ascii="Arial" w:hAnsi="Arial" w:cs="Arial"/>
                <w:noProof/>
                <w:webHidden/>
                <w:sz w:val="22"/>
                <w:szCs w:val="22"/>
              </w:rPr>
              <w:fldChar w:fldCharType="end"/>
            </w:r>
          </w:hyperlink>
        </w:p>
        <w:p w14:paraId="0ED1CD33" w14:textId="30AEC5C4" w:rsidR="00E931D5" w:rsidRPr="00E931D5" w:rsidRDefault="00E931D5" w:rsidP="00E931D5">
          <w:pPr>
            <w:pStyle w:val="TOC1"/>
            <w:tabs>
              <w:tab w:val="right" w:leader="dot" w:pos="9350"/>
            </w:tabs>
            <w:spacing w:line="240" w:lineRule="auto"/>
            <w:rPr>
              <w:rFonts w:ascii="Arial" w:eastAsiaTheme="minorEastAsia" w:hAnsi="Arial" w:cs="Arial"/>
              <w:noProof/>
              <w:sz w:val="22"/>
              <w:szCs w:val="22"/>
            </w:rPr>
          </w:pPr>
          <w:hyperlink w:anchor="_Toc216121778" w:history="1">
            <w:r w:rsidRPr="00E931D5">
              <w:rPr>
                <w:rStyle w:val="Hyperlink"/>
                <w:rFonts w:ascii="Arial" w:hAnsi="Arial" w:cs="Arial"/>
                <w:noProof/>
                <w:sz w:val="22"/>
                <w:szCs w:val="22"/>
              </w:rPr>
              <w:t>3. OLI Analysis: How Ownership, Location and Internalisation Factors Impact Toyota’s Entry Mode into Thailand</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_Toc216121778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11</w:t>
            </w:r>
            <w:r w:rsidRPr="00E931D5">
              <w:rPr>
                <w:rFonts w:ascii="Arial" w:hAnsi="Arial" w:cs="Arial"/>
                <w:noProof/>
                <w:webHidden/>
                <w:sz w:val="22"/>
                <w:szCs w:val="22"/>
              </w:rPr>
              <w:fldChar w:fldCharType="end"/>
            </w:r>
          </w:hyperlink>
        </w:p>
        <w:p w14:paraId="21B9D666" w14:textId="78068ADD"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79" w:history="1">
            <w:r w:rsidRPr="00E931D5">
              <w:rPr>
                <w:rStyle w:val="Hyperlink"/>
                <w:rFonts w:ascii="Arial" w:hAnsi="Arial" w:cs="Arial"/>
                <w:noProof/>
                <w:sz w:val="22"/>
                <w:szCs w:val="22"/>
              </w:rPr>
              <w:t>3.1 Ownership Advantages and Their Influence on Entry Mode</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_Toc216121779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11</w:t>
            </w:r>
            <w:r w:rsidRPr="00E931D5">
              <w:rPr>
                <w:rFonts w:ascii="Arial" w:hAnsi="Arial" w:cs="Arial"/>
                <w:noProof/>
                <w:webHidden/>
                <w:sz w:val="22"/>
                <w:szCs w:val="22"/>
              </w:rPr>
              <w:fldChar w:fldCharType="end"/>
            </w:r>
          </w:hyperlink>
        </w:p>
        <w:p w14:paraId="7162DBB9" w14:textId="5BEE1AD8"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80" w:history="1">
            <w:r w:rsidRPr="00E931D5">
              <w:rPr>
                <w:rStyle w:val="Hyperlink"/>
                <w:rFonts w:ascii="Arial" w:hAnsi="Arial" w:cs="Arial"/>
                <w:noProof/>
                <w:sz w:val="22"/>
                <w:szCs w:val="22"/>
              </w:rPr>
              <w:t>3.2 Location Advantages and Their Role in Shaping Entry Mode Decisions</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_Toc216121780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12</w:t>
            </w:r>
            <w:r w:rsidRPr="00E931D5">
              <w:rPr>
                <w:rFonts w:ascii="Arial" w:hAnsi="Arial" w:cs="Arial"/>
                <w:noProof/>
                <w:webHidden/>
                <w:sz w:val="22"/>
                <w:szCs w:val="22"/>
              </w:rPr>
              <w:fldChar w:fldCharType="end"/>
            </w:r>
          </w:hyperlink>
        </w:p>
        <w:p w14:paraId="78942BC9" w14:textId="12D152A2"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81" w:history="1">
            <w:r w:rsidRPr="00E931D5">
              <w:rPr>
                <w:rStyle w:val="Hyperlink"/>
                <w:rFonts w:ascii="Arial" w:hAnsi="Arial" w:cs="Arial"/>
                <w:noProof/>
                <w:sz w:val="22"/>
                <w:szCs w:val="22"/>
              </w:rPr>
              <w:t>3.3 Internalisation Advantages and Their Impact on Entry Mode</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_Toc216121781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14</w:t>
            </w:r>
            <w:r w:rsidRPr="00E931D5">
              <w:rPr>
                <w:rFonts w:ascii="Arial" w:hAnsi="Arial" w:cs="Arial"/>
                <w:noProof/>
                <w:webHidden/>
                <w:sz w:val="22"/>
                <w:szCs w:val="22"/>
              </w:rPr>
              <w:fldChar w:fldCharType="end"/>
            </w:r>
          </w:hyperlink>
        </w:p>
        <w:p w14:paraId="6760A74B" w14:textId="767E4E88"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82" w:history="1">
            <w:r w:rsidRPr="00E931D5">
              <w:rPr>
                <w:rStyle w:val="Hyperlink"/>
                <w:rFonts w:ascii="Arial" w:hAnsi="Arial" w:cs="Arial"/>
                <w:noProof/>
                <w:sz w:val="22"/>
                <w:szCs w:val="22"/>
              </w:rPr>
              <w:t>3.4 Integrating OLI Factors: Why FDI Is Toyota’s Dominant Mode of Entry in Thailand</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_Toc216121782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16</w:t>
            </w:r>
            <w:r w:rsidRPr="00E931D5">
              <w:rPr>
                <w:rFonts w:ascii="Arial" w:hAnsi="Arial" w:cs="Arial"/>
                <w:noProof/>
                <w:webHidden/>
                <w:sz w:val="22"/>
                <w:szCs w:val="22"/>
              </w:rPr>
              <w:fldChar w:fldCharType="end"/>
            </w:r>
          </w:hyperlink>
        </w:p>
        <w:p w14:paraId="01FECA08" w14:textId="65D048F7" w:rsidR="00E931D5" w:rsidRPr="00E931D5" w:rsidRDefault="00E931D5" w:rsidP="00E931D5">
          <w:pPr>
            <w:pStyle w:val="TOC1"/>
            <w:tabs>
              <w:tab w:val="right" w:leader="dot" w:pos="9350"/>
            </w:tabs>
            <w:spacing w:line="240" w:lineRule="auto"/>
            <w:rPr>
              <w:rFonts w:ascii="Arial" w:eastAsiaTheme="minorEastAsia" w:hAnsi="Arial" w:cs="Arial"/>
              <w:noProof/>
              <w:sz w:val="22"/>
              <w:szCs w:val="22"/>
            </w:rPr>
          </w:pPr>
          <w:hyperlink w:anchor="_Toc216121783" w:history="1">
            <w:r w:rsidRPr="00E931D5">
              <w:rPr>
                <w:rStyle w:val="Hyperlink"/>
                <w:rFonts w:ascii="Arial" w:hAnsi="Arial" w:cs="Arial"/>
                <w:noProof/>
                <w:sz w:val="22"/>
                <w:szCs w:val="22"/>
              </w:rPr>
              <w:t>4. Critical Evaluation of Cultural Differences Between Japan and Thailand and Their Impact on Toyota’s Market Entry Strategy and Success</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_Toc216121783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16</w:t>
            </w:r>
            <w:r w:rsidRPr="00E931D5">
              <w:rPr>
                <w:rFonts w:ascii="Arial" w:hAnsi="Arial" w:cs="Arial"/>
                <w:noProof/>
                <w:webHidden/>
                <w:sz w:val="22"/>
                <w:szCs w:val="22"/>
              </w:rPr>
              <w:fldChar w:fldCharType="end"/>
            </w:r>
          </w:hyperlink>
        </w:p>
        <w:p w14:paraId="269949F5" w14:textId="54257C86"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84" w:history="1">
            <w:r w:rsidRPr="00E931D5">
              <w:rPr>
                <w:rStyle w:val="Hyperlink"/>
                <w:rFonts w:ascii="Arial" w:hAnsi="Arial" w:cs="Arial"/>
                <w:noProof/>
                <w:sz w:val="22"/>
                <w:szCs w:val="22"/>
              </w:rPr>
              <w:t>4.1 Key Cultural Differences Between Japan and Thailand</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_Toc216121784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16</w:t>
            </w:r>
            <w:r w:rsidRPr="00E931D5">
              <w:rPr>
                <w:rFonts w:ascii="Arial" w:hAnsi="Arial" w:cs="Arial"/>
                <w:noProof/>
                <w:webHidden/>
                <w:sz w:val="22"/>
                <w:szCs w:val="22"/>
              </w:rPr>
              <w:fldChar w:fldCharType="end"/>
            </w:r>
          </w:hyperlink>
        </w:p>
        <w:p w14:paraId="61B7068F" w14:textId="1DEC6BE5"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85" w:history="1">
            <w:r w:rsidRPr="00E931D5">
              <w:rPr>
                <w:rStyle w:val="Hyperlink"/>
                <w:rFonts w:ascii="Arial" w:hAnsi="Arial" w:cs="Arial"/>
                <w:noProof/>
                <w:sz w:val="22"/>
                <w:szCs w:val="22"/>
              </w:rPr>
              <w:t>4.2 Impact of Cultural Differences on Toyota’s Market Entry Strategy</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_Toc216121785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17</w:t>
            </w:r>
            <w:r w:rsidRPr="00E931D5">
              <w:rPr>
                <w:rFonts w:ascii="Arial" w:hAnsi="Arial" w:cs="Arial"/>
                <w:noProof/>
                <w:webHidden/>
                <w:sz w:val="22"/>
                <w:szCs w:val="22"/>
              </w:rPr>
              <w:fldChar w:fldCharType="end"/>
            </w:r>
          </w:hyperlink>
        </w:p>
        <w:p w14:paraId="45838287" w14:textId="57CA8241"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86" w:history="1">
            <w:r w:rsidRPr="00E931D5">
              <w:rPr>
                <w:rStyle w:val="Hyperlink"/>
                <w:rFonts w:ascii="Arial" w:hAnsi="Arial" w:cs="Arial"/>
                <w:noProof/>
                <w:sz w:val="22"/>
                <w:szCs w:val="22"/>
              </w:rPr>
              <w:t>4.3 Impact of Cultural Differences on Toyota’s Potential for Success in Thailand</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_Toc216121786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20</w:t>
            </w:r>
            <w:r w:rsidRPr="00E931D5">
              <w:rPr>
                <w:rFonts w:ascii="Arial" w:hAnsi="Arial" w:cs="Arial"/>
                <w:noProof/>
                <w:webHidden/>
                <w:sz w:val="22"/>
                <w:szCs w:val="22"/>
              </w:rPr>
              <w:fldChar w:fldCharType="end"/>
            </w:r>
          </w:hyperlink>
        </w:p>
        <w:p w14:paraId="61334211" w14:textId="3A94A25D"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87" w:history="1">
            <w:r w:rsidRPr="00E931D5">
              <w:rPr>
                <w:rStyle w:val="Hyperlink"/>
                <w:rFonts w:ascii="Arial" w:hAnsi="Arial" w:cs="Arial"/>
                <w:noProof/>
                <w:sz w:val="22"/>
                <w:szCs w:val="22"/>
              </w:rPr>
              <w:t>Fit of Organisational Value System</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_Toc216121787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20</w:t>
            </w:r>
            <w:r w:rsidRPr="00E931D5">
              <w:rPr>
                <w:rFonts w:ascii="Arial" w:hAnsi="Arial" w:cs="Arial"/>
                <w:noProof/>
                <w:webHidden/>
                <w:sz w:val="22"/>
                <w:szCs w:val="22"/>
              </w:rPr>
              <w:fldChar w:fldCharType="end"/>
            </w:r>
          </w:hyperlink>
        </w:p>
        <w:p w14:paraId="067A7BE4" w14:textId="079B3070" w:rsidR="00E931D5" w:rsidRPr="00E931D5" w:rsidRDefault="00E931D5" w:rsidP="00E931D5">
          <w:pPr>
            <w:pStyle w:val="TOC1"/>
            <w:tabs>
              <w:tab w:val="right" w:leader="dot" w:pos="9350"/>
            </w:tabs>
            <w:spacing w:line="240" w:lineRule="auto"/>
            <w:rPr>
              <w:rFonts w:ascii="Arial" w:eastAsiaTheme="minorEastAsia" w:hAnsi="Arial" w:cs="Arial"/>
              <w:noProof/>
              <w:sz w:val="22"/>
              <w:szCs w:val="22"/>
            </w:rPr>
          </w:pPr>
          <w:hyperlink w:anchor="_Toc216121788" w:history="1">
            <w:r w:rsidRPr="00E931D5">
              <w:rPr>
                <w:rStyle w:val="Hyperlink"/>
                <w:rFonts w:ascii="Arial" w:hAnsi="Arial" w:cs="Arial"/>
                <w:noProof/>
                <w:sz w:val="22"/>
                <w:szCs w:val="22"/>
              </w:rPr>
              <w:t>5. Critical Discussion and Recommendations: SOP Adjustments for Toyota in Thailand</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_Toc216121788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21</w:t>
            </w:r>
            <w:r w:rsidRPr="00E931D5">
              <w:rPr>
                <w:rFonts w:ascii="Arial" w:hAnsi="Arial" w:cs="Arial"/>
                <w:noProof/>
                <w:webHidden/>
                <w:sz w:val="22"/>
                <w:szCs w:val="22"/>
              </w:rPr>
              <w:fldChar w:fldCharType="end"/>
            </w:r>
          </w:hyperlink>
        </w:p>
        <w:p w14:paraId="23EF9B05" w14:textId="2EF2EA85"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89" w:history="1">
            <w:r w:rsidRPr="00E931D5">
              <w:rPr>
                <w:rStyle w:val="Hyperlink"/>
                <w:rFonts w:ascii="Arial" w:hAnsi="Arial" w:cs="Arial"/>
                <w:noProof/>
                <w:sz w:val="22"/>
                <w:szCs w:val="22"/>
              </w:rPr>
              <w:t>5.1 SOP Adjustment 1: Localized Workforce Development and Management SOPs</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_Toc216121789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22</w:t>
            </w:r>
            <w:r w:rsidRPr="00E931D5">
              <w:rPr>
                <w:rFonts w:ascii="Arial" w:hAnsi="Arial" w:cs="Arial"/>
                <w:noProof/>
                <w:webHidden/>
                <w:sz w:val="22"/>
                <w:szCs w:val="22"/>
              </w:rPr>
              <w:fldChar w:fldCharType="end"/>
            </w:r>
          </w:hyperlink>
        </w:p>
        <w:p w14:paraId="3A1AC358" w14:textId="1AD70CD9"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90" w:history="1">
            <w:r w:rsidRPr="00E931D5">
              <w:rPr>
                <w:rStyle w:val="Hyperlink"/>
                <w:rFonts w:ascii="Arial" w:hAnsi="Arial" w:cs="Arial"/>
                <w:noProof/>
                <w:sz w:val="22"/>
                <w:szCs w:val="22"/>
              </w:rPr>
              <w:t>5.2 SOP Adjustment 2: Culturally Sensitive Supplier Integration and Quality Assurance SOPs</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_Toc216121790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24</w:t>
            </w:r>
            <w:r w:rsidRPr="00E931D5">
              <w:rPr>
                <w:rFonts w:ascii="Arial" w:hAnsi="Arial" w:cs="Arial"/>
                <w:noProof/>
                <w:webHidden/>
                <w:sz w:val="22"/>
                <w:szCs w:val="22"/>
              </w:rPr>
              <w:fldChar w:fldCharType="end"/>
            </w:r>
          </w:hyperlink>
        </w:p>
        <w:p w14:paraId="2FC4C71C" w14:textId="7C36E49C"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91" w:history="1">
            <w:r w:rsidRPr="00E931D5">
              <w:rPr>
                <w:rStyle w:val="Hyperlink"/>
                <w:rFonts w:ascii="Arial" w:hAnsi="Arial" w:cs="Arial"/>
                <w:noProof/>
                <w:sz w:val="22"/>
                <w:szCs w:val="22"/>
              </w:rPr>
              <w:t>5.3 SOP Adjustment 3: Customized Customer Experience and After-Sales Service SOPs</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_Toc216121791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26</w:t>
            </w:r>
            <w:r w:rsidRPr="00E931D5">
              <w:rPr>
                <w:rFonts w:ascii="Arial" w:hAnsi="Arial" w:cs="Arial"/>
                <w:noProof/>
                <w:webHidden/>
                <w:sz w:val="22"/>
                <w:szCs w:val="22"/>
              </w:rPr>
              <w:fldChar w:fldCharType="end"/>
            </w:r>
          </w:hyperlink>
        </w:p>
        <w:p w14:paraId="2B17433B" w14:textId="0471A563"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92" w:history="1">
            <w:r w:rsidRPr="00E931D5">
              <w:rPr>
                <w:rStyle w:val="Hyperlink"/>
                <w:rFonts w:ascii="Arial" w:hAnsi="Arial" w:cs="Arial"/>
                <w:noProof/>
                <w:sz w:val="22"/>
                <w:szCs w:val="22"/>
              </w:rPr>
              <w:t>5.4 SOP Adjustment 4: Localized Sustainability and Environmental Compliance Procedures</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_Toc216121792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27</w:t>
            </w:r>
            <w:r w:rsidRPr="00E931D5">
              <w:rPr>
                <w:rFonts w:ascii="Arial" w:hAnsi="Arial" w:cs="Arial"/>
                <w:noProof/>
                <w:webHidden/>
                <w:sz w:val="22"/>
                <w:szCs w:val="22"/>
              </w:rPr>
              <w:fldChar w:fldCharType="end"/>
            </w:r>
          </w:hyperlink>
        </w:p>
        <w:p w14:paraId="367B01E8" w14:textId="0B435E6C"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93" w:history="1">
            <w:r w:rsidRPr="00E931D5">
              <w:rPr>
                <w:rStyle w:val="Hyperlink"/>
                <w:rFonts w:ascii="Arial" w:hAnsi="Arial" w:cs="Arial"/>
                <w:noProof/>
                <w:sz w:val="22"/>
                <w:szCs w:val="22"/>
              </w:rPr>
              <w:t>5.5 SOP Adjustment 5: Culturally Adapted Leadership and Decision-Making Protocols</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_Toc216121793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29</w:t>
            </w:r>
            <w:r w:rsidRPr="00E931D5">
              <w:rPr>
                <w:rFonts w:ascii="Arial" w:hAnsi="Arial" w:cs="Arial"/>
                <w:noProof/>
                <w:webHidden/>
                <w:sz w:val="22"/>
                <w:szCs w:val="22"/>
              </w:rPr>
              <w:fldChar w:fldCharType="end"/>
            </w:r>
          </w:hyperlink>
        </w:p>
        <w:p w14:paraId="2804E219" w14:textId="753217A3" w:rsidR="00E931D5" w:rsidRPr="00E931D5" w:rsidRDefault="00E931D5" w:rsidP="00E931D5">
          <w:pPr>
            <w:pStyle w:val="TOC1"/>
            <w:tabs>
              <w:tab w:val="right" w:leader="dot" w:pos="9350"/>
            </w:tabs>
            <w:spacing w:line="240" w:lineRule="auto"/>
            <w:rPr>
              <w:rFonts w:ascii="Arial" w:eastAsiaTheme="minorEastAsia" w:hAnsi="Arial" w:cs="Arial"/>
              <w:noProof/>
              <w:sz w:val="22"/>
              <w:szCs w:val="22"/>
            </w:rPr>
          </w:pPr>
          <w:hyperlink w:anchor="_Toc216121794" w:history="1">
            <w:r w:rsidRPr="00E931D5">
              <w:rPr>
                <w:rStyle w:val="Hyperlink"/>
                <w:rFonts w:ascii="Arial" w:hAnsi="Arial" w:cs="Arial"/>
                <w:noProof/>
                <w:sz w:val="22"/>
                <w:szCs w:val="22"/>
              </w:rPr>
              <w:t>6. Conclusion</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_Toc216121794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31</w:t>
            </w:r>
            <w:r w:rsidRPr="00E931D5">
              <w:rPr>
                <w:rFonts w:ascii="Arial" w:hAnsi="Arial" w:cs="Arial"/>
                <w:noProof/>
                <w:webHidden/>
                <w:sz w:val="22"/>
                <w:szCs w:val="22"/>
              </w:rPr>
              <w:fldChar w:fldCharType="end"/>
            </w:r>
          </w:hyperlink>
        </w:p>
        <w:p w14:paraId="5E629120" w14:textId="2F7753EE" w:rsidR="00E931D5" w:rsidRPr="00E931D5" w:rsidRDefault="00E931D5" w:rsidP="00E931D5">
          <w:pPr>
            <w:pStyle w:val="TOC1"/>
            <w:tabs>
              <w:tab w:val="right" w:leader="dot" w:pos="9350"/>
            </w:tabs>
            <w:spacing w:line="240" w:lineRule="auto"/>
            <w:rPr>
              <w:rFonts w:ascii="Arial" w:eastAsiaTheme="minorEastAsia" w:hAnsi="Arial" w:cs="Arial"/>
              <w:noProof/>
              <w:sz w:val="22"/>
              <w:szCs w:val="22"/>
            </w:rPr>
          </w:pPr>
          <w:hyperlink w:anchor="_Toc216121795" w:history="1">
            <w:r w:rsidRPr="00E931D5">
              <w:rPr>
                <w:rStyle w:val="Hyperlink"/>
                <w:rFonts w:ascii="Arial" w:hAnsi="Arial" w:cs="Arial"/>
                <w:noProof/>
                <w:sz w:val="22"/>
                <w:szCs w:val="22"/>
              </w:rPr>
              <w:t>References</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_Toc216121795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32</w:t>
            </w:r>
            <w:r w:rsidRPr="00E931D5">
              <w:rPr>
                <w:rFonts w:ascii="Arial" w:hAnsi="Arial" w:cs="Arial"/>
                <w:noProof/>
                <w:webHidden/>
                <w:sz w:val="22"/>
                <w:szCs w:val="22"/>
              </w:rPr>
              <w:fldChar w:fldCharType="end"/>
            </w:r>
          </w:hyperlink>
        </w:p>
        <w:p w14:paraId="066673BC" w14:textId="786A2499" w:rsidR="00E931D5" w:rsidRPr="00E931D5" w:rsidRDefault="00E931D5" w:rsidP="00E931D5">
          <w:pPr>
            <w:pStyle w:val="TOC1"/>
            <w:tabs>
              <w:tab w:val="right" w:leader="dot" w:pos="9350"/>
            </w:tabs>
            <w:spacing w:line="240" w:lineRule="auto"/>
            <w:rPr>
              <w:rFonts w:ascii="Arial" w:eastAsiaTheme="minorEastAsia" w:hAnsi="Arial" w:cs="Arial"/>
              <w:noProof/>
              <w:sz w:val="22"/>
              <w:szCs w:val="22"/>
            </w:rPr>
          </w:pPr>
          <w:hyperlink w:anchor="_Toc216121796" w:history="1">
            <w:r w:rsidRPr="00E931D5">
              <w:rPr>
                <w:rStyle w:val="Hyperlink"/>
                <w:rFonts w:ascii="Arial" w:hAnsi="Arial" w:cs="Arial"/>
                <w:noProof/>
                <w:sz w:val="22"/>
                <w:szCs w:val="22"/>
              </w:rPr>
              <w:t>Appendices</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_Toc216121796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34</w:t>
            </w:r>
            <w:r w:rsidRPr="00E931D5">
              <w:rPr>
                <w:rFonts w:ascii="Arial" w:hAnsi="Arial" w:cs="Arial"/>
                <w:noProof/>
                <w:webHidden/>
                <w:sz w:val="22"/>
                <w:szCs w:val="22"/>
              </w:rPr>
              <w:fldChar w:fldCharType="end"/>
            </w:r>
          </w:hyperlink>
        </w:p>
        <w:p w14:paraId="2372B77C" w14:textId="11CE9C7F"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97" w:history="1">
            <w:r w:rsidRPr="00E931D5">
              <w:rPr>
                <w:rStyle w:val="Hyperlink"/>
                <w:rFonts w:ascii="Arial" w:hAnsi="Arial" w:cs="Arial"/>
                <w:noProof/>
                <w:sz w:val="22"/>
                <w:szCs w:val="22"/>
              </w:rPr>
              <w:t>Appendix A: Gantt Chart for Report Development</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_Toc216121797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34</w:t>
            </w:r>
            <w:r w:rsidRPr="00E931D5">
              <w:rPr>
                <w:rFonts w:ascii="Arial" w:hAnsi="Arial" w:cs="Arial"/>
                <w:noProof/>
                <w:webHidden/>
                <w:sz w:val="22"/>
                <w:szCs w:val="22"/>
              </w:rPr>
              <w:fldChar w:fldCharType="end"/>
            </w:r>
          </w:hyperlink>
        </w:p>
        <w:p w14:paraId="02F5CEC4" w14:textId="1219F77F"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98" w:history="1">
            <w:r w:rsidRPr="00E931D5">
              <w:rPr>
                <w:rStyle w:val="Hyperlink"/>
                <w:rFonts w:ascii="Arial" w:hAnsi="Arial" w:cs="Arial"/>
                <w:noProof/>
                <w:sz w:val="22"/>
                <w:szCs w:val="22"/>
              </w:rPr>
              <w:t>Appendix B: Communication Records with Client / Supervisor</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_Toc216121798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34</w:t>
            </w:r>
            <w:r w:rsidRPr="00E931D5">
              <w:rPr>
                <w:rFonts w:ascii="Arial" w:hAnsi="Arial" w:cs="Arial"/>
                <w:noProof/>
                <w:webHidden/>
                <w:sz w:val="22"/>
                <w:szCs w:val="22"/>
              </w:rPr>
              <w:fldChar w:fldCharType="end"/>
            </w:r>
          </w:hyperlink>
        </w:p>
        <w:p w14:paraId="2B09E9F4" w14:textId="589AFAA4"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799" w:history="1">
            <w:r w:rsidRPr="00E931D5">
              <w:rPr>
                <w:rStyle w:val="Hyperlink"/>
                <w:rFonts w:ascii="Arial" w:hAnsi="Arial" w:cs="Arial"/>
                <w:noProof/>
                <w:sz w:val="22"/>
                <w:szCs w:val="22"/>
              </w:rPr>
              <w:t>Appendix C: Models and Frameworks Used in the Report</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_Toc216121799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34</w:t>
            </w:r>
            <w:r w:rsidRPr="00E931D5">
              <w:rPr>
                <w:rFonts w:ascii="Arial" w:hAnsi="Arial" w:cs="Arial"/>
                <w:noProof/>
                <w:webHidden/>
                <w:sz w:val="22"/>
                <w:szCs w:val="22"/>
              </w:rPr>
              <w:fldChar w:fldCharType="end"/>
            </w:r>
          </w:hyperlink>
        </w:p>
        <w:p w14:paraId="36610AB0" w14:textId="0C0930AC"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800" w:history="1">
            <w:r w:rsidRPr="00E931D5">
              <w:rPr>
                <w:rStyle w:val="Hyperlink"/>
                <w:rFonts w:ascii="Arial" w:hAnsi="Arial" w:cs="Arial"/>
                <w:noProof/>
                <w:sz w:val="22"/>
                <w:szCs w:val="22"/>
              </w:rPr>
              <w:t>Appendix D: Summary of Toyota’s Global Value Chain Activities</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_Toc216121800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35</w:t>
            </w:r>
            <w:r w:rsidRPr="00E931D5">
              <w:rPr>
                <w:rFonts w:ascii="Arial" w:hAnsi="Arial" w:cs="Arial"/>
                <w:noProof/>
                <w:webHidden/>
                <w:sz w:val="22"/>
                <w:szCs w:val="22"/>
              </w:rPr>
              <w:fldChar w:fldCharType="end"/>
            </w:r>
          </w:hyperlink>
        </w:p>
        <w:p w14:paraId="43E3D2A3" w14:textId="3821C70D" w:rsidR="00E931D5" w:rsidRPr="00E931D5" w:rsidRDefault="00E931D5" w:rsidP="00E931D5">
          <w:pPr>
            <w:pStyle w:val="TOC2"/>
            <w:tabs>
              <w:tab w:val="right" w:leader="dot" w:pos="9350"/>
            </w:tabs>
            <w:spacing w:line="240" w:lineRule="auto"/>
            <w:rPr>
              <w:rFonts w:ascii="Arial" w:eastAsiaTheme="minorEastAsia" w:hAnsi="Arial" w:cs="Arial"/>
              <w:noProof/>
              <w:sz w:val="22"/>
              <w:szCs w:val="22"/>
            </w:rPr>
          </w:pPr>
          <w:hyperlink w:anchor="_Toc216121801" w:history="1">
            <w:r w:rsidRPr="00E931D5">
              <w:rPr>
                <w:rStyle w:val="Hyperlink"/>
                <w:rFonts w:ascii="Arial" w:hAnsi="Arial" w:cs="Arial"/>
                <w:noProof/>
                <w:sz w:val="22"/>
                <w:szCs w:val="22"/>
              </w:rPr>
              <w:t>Appendix E: PESTLE Analysis for Toyota’s Operations in Thailand</w:t>
            </w:r>
            <w:r w:rsidRPr="00E931D5">
              <w:rPr>
                <w:rFonts w:ascii="Arial" w:hAnsi="Arial" w:cs="Arial"/>
                <w:noProof/>
                <w:webHidden/>
                <w:sz w:val="22"/>
                <w:szCs w:val="22"/>
              </w:rPr>
              <w:tab/>
            </w:r>
            <w:r w:rsidRPr="00E931D5">
              <w:rPr>
                <w:rFonts w:ascii="Arial" w:hAnsi="Arial" w:cs="Arial"/>
                <w:noProof/>
                <w:webHidden/>
                <w:sz w:val="22"/>
                <w:szCs w:val="22"/>
              </w:rPr>
              <w:fldChar w:fldCharType="begin"/>
            </w:r>
            <w:r w:rsidRPr="00E931D5">
              <w:rPr>
                <w:rFonts w:ascii="Arial" w:hAnsi="Arial" w:cs="Arial"/>
                <w:noProof/>
                <w:webHidden/>
                <w:sz w:val="22"/>
                <w:szCs w:val="22"/>
              </w:rPr>
              <w:instrText xml:space="preserve"> PAGEREF _Toc216121801 \h </w:instrText>
            </w:r>
            <w:r w:rsidRPr="00E931D5">
              <w:rPr>
                <w:rFonts w:ascii="Arial" w:hAnsi="Arial" w:cs="Arial"/>
                <w:noProof/>
                <w:webHidden/>
                <w:sz w:val="22"/>
                <w:szCs w:val="22"/>
              </w:rPr>
            </w:r>
            <w:r w:rsidRPr="00E931D5">
              <w:rPr>
                <w:rFonts w:ascii="Arial" w:hAnsi="Arial" w:cs="Arial"/>
                <w:noProof/>
                <w:webHidden/>
                <w:sz w:val="22"/>
                <w:szCs w:val="22"/>
              </w:rPr>
              <w:fldChar w:fldCharType="separate"/>
            </w:r>
            <w:r w:rsidR="005B218A">
              <w:rPr>
                <w:rFonts w:ascii="Arial" w:hAnsi="Arial" w:cs="Arial"/>
                <w:noProof/>
                <w:webHidden/>
                <w:sz w:val="22"/>
                <w:szCs w:val="22"/>
              </w:rPr>
              <w:t>36</w:t>
            </w:r>
            <w:r w:rsidRPr="00E931D5">
              <w:rPr>
                <w:rFonts w:ascii="Arial" w:hAnsi="Arial" w:cs="Arial"/>
                <w:noProof/>
                <w:webHidden/>
                <w:sz w:val="22"/>
                <w:szCs w:val="22"/>
              </w:rPr>
              <w:fldChar w:fldCharType="end"/>
            </w:r>
          </w:hyperlink>
        </w:p>
        <w:p w14:paraId="1532D70B" w14:textId="161482BF" w:rsidR="000D2307" w:rsidRPr="000D2307" w:rsidRDefault="000D2307" w:rsidP="00E931D5">
          <w:pPr>
            <w:spacing w:line="240" w:lineRule="auto"/>
            <w:jc w:val="both"/>
          </w:pPr>
          <w:r w:rsidRPr="00E931D5">
            <w:rPr>
              <w:rFonts w:ascii="Arial" w:hAnsi="Arial" w:cs="Arial"/>
              <w:b/>
              <w:bCs/>
              <w:noProof/>
              <w:sz w:val="22"/>
              <w:szCs w:val="22"/>
            </w:rPr>
            <w:fldChar w:fldCharType="end"/>
          </w:r>
        </w:p>
      </w:sdtContent>
    </w:sdt>
    <w:p w14:paraId="432E79F3" w14:textId="1A5C3D3F" w:rsidR="00004228" w:rsidRPr="00004228" w:rsidRDefault="00004228" w:rsidP="00004228">
      <w:pPr>
        <w:pStyle w:val="Heading1"/>
      </w:pPr>
      <w:bookmarkStart w:id="0" w:name="_Toc215577607"/>
      <w:bookmarkStart w:id="1" w:name="_Toc216121772"/>
      <w:r w:rsidRPr="00004228">
        <w:lastRenderedPageBreak/>
        <w:t>1. Introduction</w:t>
      </w:r>
      <w:bookmarkEnd w:id="0"/>
      <w:bookmarkEnd w:id="1"/>
      <w:r w:rsidRPr="00004228">
        <w:t xml:space="preserve"> </w:t>
      </w:r>
    </w:p>
    <w:p w14:paraId="61A88210" w14:textId="77777777" w:rsidR="006F4C99" w:rsidRDefault="006F4C99" w:rsidP="006F4C99">
      <w:pPr>
        <w:spacing w:line="360" w:lineRule="auto"/>
        <w:jc w:val="both"/>
        <w:rPr>
          <w:rFonts w:ascii="Arial" w:hAnsi="Arial" w:cs="Arial"/>
          <w:color w:val="000000" w:themeColor="text1"/>
        </w:rPr>
      </w:pPr>
      <w:r w:rsidRPr="006F4C99">
        <w:rPr>
          <w:rFonts w:ascii="Arial" w:hAnsi="Arial" w:cs="Arial"/>
          <w:color w:val="000000" w:themeColor="text1"/>
        </w:rPr>
        <w:t>Toyota Motor Corporation (Toyota) is among the global international automotive manufacturing companies with operations in over 170 countries and regions. It has a vast territorial distribution, international production chains, and cross-border supply chains that make it one of the leading Multinational Corporations (MNC). This report is a critical assessment of international activities of Toyota with a particular reference to its operation in Thailand, one of the most vibrant emerging markets in Southeast Asia. This analysis starts with the description of the advantages and limitations of the global activities of Toyota and proceeds to the discussion of the influence of the OLI factors on its way to market entry.</w:t>
      </w:r>
    </w:p>
    <w:p w14:paraId="1F4F7885" w14:textId="17789AA5" w:rsidR="00EC0B25" w:rsidRPr="00EC0B25" w:rsidRDefault="00EC0B25" w:rsidP="006F4C99">
      <w:pPr>
        <w:spacing w:line="360" w:lineRule="auto"/>
        <w:jc w:val="both"/>
        <w:rPr>
          <w:rFonts w:asciiTheme="majorHAnsi" w:hAnsiTheme="majorHAnsi" w:cstheme="majorHAnsi"/>
          <w:color w:val="4472C4" w:themeColor="accent1"/>
          <w:sz w:val="22"/>
          <w:szCs w:val="22"/>
        </w:rPr>
      </w:pPr>
      <w:r w:rsidRPr="00EC0B25">
        <w:rPr>
          <w:rFonts w:asciiTheme="majorHAnsi" w:hAnsiTheme="majorHAnsi" w:cstheme="majorHAnsi"/>
          <w:color w:val="4472C4" w:themeColor="accent1"/>
          <w:sz w:val="22"/>
          <w:szCs w:val="22"/>
        </w:rPr>
        <w:t>Figure 1: Toyota Daihatsu Engineering &amp; Manufacturing Head Office (Thailand)</w:t>
      </w:r>
    </w:p>
    <w:p w14:paraId="6B422EFE" w14:textId="736005DD" w:rsidR="00EC0B25" w:rsidRDefault="00EC0B25" w:rsidP="00EC0B25">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45CDE7EB" wp14:editId="7F520BD3">
            <wp:extent cx="5699497" cy="2949934"/>
            <wp:effectExtent l="0" t="0" r="0" b="3175"/>
            <wp:docPr id="15794523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452302" name="Picture 1579452302"/>
                    <pic:cNvPicPr/>
                  </pic:nvPicPr>
                  <pic:blipFill>
                    <a:blip r:embed="rId10">
                      <a:extLst>
                        <a:ext uri="{28A0092B-C50C-407E-A947-70E740481C1C}">
                          <a14:useLocalDpi xmlns:a14="http://schemas.microsoft.com/office/drawing/2010/main" val="0"/>
                        </a:ext>
                      </a:extLst>
                    </a:blip>
                    <a:stretch>
                      <a:fillRect/>
                    </a:stretch>
                  </pic:blipFill>
                  <pic:spPr>
                    <a:xfrm>
                      <a:off x="0" y="0"/>
                      <a:ext cx="5809397" cy="3006816"/>
                    </a:xfrm>
                    <a:prstGeom prst="rect">
                      <a:avLst/>
                    </a:prstGeom>
                  </pic:spPr>
                </pic:pic>
              </a:graphicData>
            </a:graphic>
          </wp:inline>
        </w:drawing>
      </w:r>
    </w:p>
    <w:p w14:paraId="522B0CE6" w14:textId="571F52D3" w:rsidR="00EC0B25" w:rsidRPr="00EC0B25" w:rsidRDefault="00EC0B25" w:rsidP="00EC0B25">
      <w:pPr>
        <w:spacing w:line="360" w:lineRule="auto"/>
        <w:jc w:val="center"/>
        <w:rPr>
          <w:rFonts w:asciiTheme="majorHAnsi" w:hAnsiTheme="majorHAnsi" w:cstheme="majorHAnsi"/>
          <w:i/>
          <w:iCs/>
          <w:color w:val="000000" w:themeColor="text1"/>
          <w:sz w:val="22"/>
          <w:szCs w:val="22"/>
        </w:rPr>
      </w:pPr>
      <w:r w:rsidRPr="00EC0B25">
        <w:rPr>
          <w:rFonts w:asciiTheme="majorHAnsi" w:hAnsiTheme="majorHAnsi" w:cstheme="majorHAnsi"/>
          <w:i/>
          <w:iCs/>
          <w:color w:val="000000" w:themeColor="text1"/>
          <w:sz w:val="22"/>
          <w:szCs w:val="22"/>
        </w:rPr>
        <w:t>Source: Toyota Asia – TMAP-EM Head Office</w:t>
      </w:r>
    </w:p>
    <w:p w14:paraId="7527F4F7" w14:textId="4EEE0704" w:rsidR="006F4C99" w:rsidRDefault="006F4C99" w:rsidP="00E32AD5">
      <w:pPr>
        <w:spacing w:line="360" w:lineRule="auto"/>
        <w:jc w:val="both"/>
        <w:rPr>
          <w:rFonts w:ascii="Arial" w:hAnsi="Arial" w:cs="Arial"/>
          <w:color w:val="000000" w:themeColor="text1"/>
        </w:rPr>
      </w:pPr>
      <w:r w:rsidRPr="006F4C99">
        <w:rPr>
          <w:rFonts w:ascii="Arial" w:hAnsi="Arial" w:cs="Arial"/>
          <w:color w:val="000000" w:themeColor="text1"/>
        </w:rPr>
        <w:t>Another evaluation examines the cultural contrast between Japan and Thailand and how these aspects will affect the entry strategy and the performance of Toyota. The last section gives strategic suggestions on changes that can be made to the Standard Operating Procedures (SOPs) at Toyota to make its success in Thailand more effective. The report will end by summarizing the most important findings and strategic implications of Toyota impacting its international expansion.</w:t>
      </w:r>
    </w:p>
    <w:p w14:paraId="212CEFA9" w14:textId="4DEAA66C" w:rsidR="00004228" w:rsidRPr="00004228" w:rsidRDefault="00004228" w:rsidP="00FC0A5A">
      <w:pPr>
        <w:pStyle w:val="Heading1"/>
      </w:pPr>
      <w:bookmarkStart w:id="2" w:name="_Toc215577608"/>
      <w:bookmarkStart w:id="3" w:name="_Toc216121773"/>
      <w:r w:rsidRPr="00004228">
        <w:lastRenderedPageBreak/>
        <w:t>2. Benefits and Challenges of International Operations</w:t>
      </w:r>
      <w:bookmarkEnd w:id="2"/>
      <w:bookmarkEnd w:id="3"/>
      <w:r w:rsidRPr="00004228">
        <w:t xml:space="preserve"> </w:t>
      </w:r>
    </w:p>
    <w:p w14:paraId="5B4F1297" w14:textId="14AE28F7" w:rsidR="006F4C99" w:rsidRDefault="006F4C99" w:rsidP="00004228">
      <w:pPr>
        <w:spacing w:line="360" w:lineRule="auto"/>
        <w:jc w:val="both"/>
        <w:rPr>
          <w:rFonts w:ascii="Arial" w:hAnsi="Arial" w:cs="Arial"/>
          <w:color w:val="000000" w:themeColor="text1"/>
        </w:rPr>
      </w:pPr>
      <w:r w:rsidRPr="006F4C99">
        <w:rPr>
          <w:rFonts w:ascii="Arial" w:hAnsi="Arial" w:cs="Arial"/>
          <w:color w:val="000000" w:themeColor="text1"/>
        </w:rPr>
        <w:t>Toyota Motor Corporation (Toyota) is among the most widely recognised automotive manufacturers in the world as well as one of the strongest examples of a multinational or transnational corporation (MNC/TNC). The international business model of the company is highly strategic, as reflected in its large overseas operations, cross-border production systems, and globally integrated supply chains. This part critically evaluates the major advantages and issues of international operations of Toyota in terms of its label of being an MNC/TNC, the character of the international value chain, its modes of entering international markets, and benefits acquired due to its global operations.</w:t>
      </w:r>
    </w:p>
    <w:p w14:paraId="5DAF6DC3" w14:textId="336FFB38" w:rsidR="0090382E" w:rsidRPr="0090382E" w:rsidRDefault="0090382E" w:rsidP="00004228">
      <w:pPr>
        <w:spacing w:line="360" w:lineRule="auto"/>
        <w:jc w:val="both"/>
        <w:rPr>
          <w:rFonts w:asciiTheme="majorHAnsi" w:hAnsiTheme="majorHAnsi" w:cstheme="majorHAnsi"/>
          <w:i/>
          <w:iCs/>
          <w:color w:val="4472C4" w:themeColor="accent1"/>
          <w:sz w:val="22"/>
          <w:szCs w:val="22"/>
        </w:rPr>
      </w:pPr>
      <w:r w:rsidRPr="0090382E">
        <w:rPr>
          <w:rFonts w:asciiTheme="majorHAnsi" w:hAnsiTheme="majorHAnsi" w:cstheme="majorHAnsi"/>
          <w:i/>
          <w:iCs/>
          <w:color w:val="4472C4" w:themeColor="accent1"/>
          <w:sz w:val="22"/>
          <w:szCs w:val="22"/>
        </w:rPr>
        <w:t>Figure 2: Toyota's Global Operations: MNC Status, Integrated Value Chain, Entry Modes, and Key Benefits</w:t>
      </w:r>
    </w:p>
    <w:p w14:paraId="486CAEB5" w14:textId="55D97DB0" w:rsidR="0090382E" w:rsidRDefault="0090382E" w:rsidP="0090382E">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13B7AD92" wp14:editId="208CA14F">
            <wp:extent cx="5387009" cy="2938107"/>
            <wp:effectExtent l="0" t="0" r="4445" b="0"/>
            <wp:docPr id="4224717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71792" name="Picture 42247179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98135" cy="2944175"/>
                    </a:xfrm>
                    <a:prstGeom prst="rect">
                      <a:avLst/>
                    </a:prstGeom>
                  </pic:spPr>
                </pic:pic>
              </a:graphicData>
            </a:graphic>
          </wp:inline>
        </w:drawing>
      </w:r>
    </w:p>
    <w:p w14:paraId="512750E9" w14:textId="31DDC743" w:rsidR="0090382E" w:rsidRPr="0090382E" w:rsidRDefault="0090382E" w:rsidP="0090382E">
      <w:pPr>
        <w:spacing w:line="360" w:lineRule="auto"/>
        <w:jc w:val="center"/>
        <w:rPr>
          <w:rFonts w:asciiTheme="majorHAnsi" w:hAnsiTheme="majorHAnsi" w:cstheme="majorHAnsi"/>
          <w:i/>
          <w:iCs/>
          <w:color w:val="000000" w:themeColor="text1"/>
          <w:sz w:val="22"/>
          <w:szCs w:val="22"/>
        </w:rPr>
      </w:pPr>
      <w:r w:rsidRPr="0090382E">
        <w:rPr>
          <w:rFonts w:asciiTheme="majorHAnsi" w:hAnsiTheme="majorHAnsi" w:cstheme="majorHAnsi"/>
          <w:i/>
          <w:iCs/>
          <w:color w:val="000000" w:themeColor="text1"/>
          <w:sz w:val="22"/>
          <w:szCs w:val="22"/>
        </w:rPr>
        <w:t>Source: Toyota Annual Report (2023), UNCTAD (2022), Dunning &amp; Lundan (2008), Grant (2021).</w:t>
      </w:r>
    </w:p>
    <w:p w14:paraId="061E7FED" w14:textId="78C016A8" w:rsidR="00004228" w:rsidRPr="00004228" w:rsidRDefault="00FC0A5A" w:rsidP="00FC0A5A">
      <w:pPr>
        <w:pStyle w:val="Heading2"/>
      </w:pPr>
      <w:bookmarkStart w:id="4" w:name="_Toc215577609"/>
      <w:bookmarkStart w:id="5" w:name="_Toc216121774"/>
      <w:r>
        <w:t>a.</w:t>
      </w:r>
      <w:r w:rsidR="00004228" w:rsidRPr="00004228">
        <w:t xml:space="preserve"> Why Toyota Can Be Designated an MNC/TNC</w:t>
      </w:r>
      <w:bookmarkEnd w:id="4"/>
      <w:bookmarkEnd w:id="5"/>
    </w:p>
    <w:p w14:paraId="477F69ED" w14:textId="77777777" w:rsidR="003D7BED" w:rsidRDefault="003D7BED" w:rsidP="003D7BED">
      <w:pPr>
        <w:spacing w:line="360" w:lineRule="auto"/>
        <w:jc w:val="both"/>
        <w:rPr>
          <w:rFonts w:ascii="Arial" w:hAnsi="Arial" w:cs="Arial"/>
          <w:color w:val="000000" w:themeColor="text1"/>
        </w:rPr>
      </w:pPr>
      <w:r w:rsidRPr="003D7BED">
        <w:rPr>
          <w:rFonts w:ascii="Arial" w:hAnsi="Arial" w:cs="Arial"/>
          <w:color w:val="000000" w:themeColor="text1"/>
        </w:rPr>
        <w:t>Toyota is an MNC/TNC since it owns and exerts control over productive assets in various countries other than its domestic country; Japan. UNCTAD (2022) defines a multinational enterprise as one that is typified by foreign direct investment (FDI), cross-border control, and internationally diffused production and marketing systems. Toyota satisfies all these requirements by the fact that it has over 50 manufacturing facilities in North America, Europe, the Middle East, Africa, and Asia-Pacific (Toyota Annual Report, 2023).</w:t>
      </w:r>
    </w:p>
    <w:p w14:paraId="0D62FC56" w14:textId="0E6EBBC8" w:rsidR="003D7BED" w:rsidRPr="00004228" w:rsidRDefault="003D7BED" w:rsidP="00004228">
      <w:pPr>
        <w:spacing w:line="360" w:lineRule="auto"/>
        <w:jc w:val="both"/>
        <w:rPr>
          <w:rFonts w:ascii="Arial" w:hAnsi="Arial" w:cs="Arial"/>
          <w:color w:val="000000" w:themeColor="text1"/>
        </w:rPr>
      </w:pPr>
      <w:r w:rsidRPr="003D7BED">
        <w:rPr>
          <w:rFonts w:ascii="Arial" w:hAnsi="Arial" w:cs="Arial"/>
          <w:color w:val="000000" w:themeColor="text1"/>
        </w:rPr>
        <w:lastRenderedPageBreak/>
        <w:t>Moreover, Toyota involves itself in strategic alliances, joint ventures and overseas research and development projects, which enables them to transnationalism their supply chain and knowledge networks (Dunning &amp; Lundan, 2008). Its transnational identity is supported by its international workforce of over 370,000 employees and its presence in more than 170 nations all around the world (Toyota Global, 2023). The capacity of Toyota to organize production, logistics, innovation, and marketing in the continents proves that the company is highly globalized and locally responsive, which are two main aspects of a TNC</w:t>
      </w:r>
      <w:r w:rsidR="00B73928">
        <w:rPr>
          <w:rFonts w:ascii="Arial" w:hAnsi="Arial" w:cs="Arial"/>
          <w:color w:val="000000" w:themeColor="text1"/>
        </w:rPr>
        <w:t xml:space="preserve">. </w:t>
      </w:r>
      <w:r w:rsidRPr="003D7BED">
        <w:rPr>
          <w:rFonts w:ascii="Arial" w:hAnsi="Arial" w:cs="Arial"/>
          <w:color w:val="000000" w:themeColor="text1"/>
        </w:rPr>
        <w:t>Therefore, the organisational structure, the diversified outlook of Toyota, and its numerous FDI projects in the world obviously make this company an MNC/TNC.</w:t>
      </w:r>
    </w:p>
    <w:p w14:paraId="68CA5882" w14:textId="537ADD36" w:rsidR="00004228" w:rsidRPr="00004228" w:rsidRDefault="00004228" w:rsidP="009D4CF6">
      <w:pPr>
        <w:pStyle w:val="Heading2"/>
      </w:pPr>
      <w:bookmarkStart w:id="6" w:name="_Toc215577610"/>
      <w:bookmarkStart w:id="7" w:name="_Toc216121775"/>
      <w:r w:rsidRPr="00004228">
        <w:t>b</w:t>
      </w:r>
      <w:r w:rsidR="009D4CF6">
        <w:t xml:space="preserve">. </w:t>
      </w:r>
      <w:r w:rsidRPr="00004228">
        <w:t>Nature of Toyota’s Global Operations Across the Value Chain</w:t>
      </w:r>
      <w:bookmarkEnd w:id="6"/>
      <w:bookmarkEnd w:id="7"/>
    </w:p>
    <w:p w14:paraId="00A4C643" w14:textId="77777777" w:rsidR="00DE3B96" w:rsidRDefault="003D7BED" w:rsidP="003D7BED">
      <w:pPr>
        <w:spacing w:line="360" w:lineRule="auto"/>
        <w:jc w:val="both"/>
        <w:rPr>
          <w:rFonts w:ascii="Arial" w:hAnsi="Arial" w:cs="Arial"/>
          <w:color w:val="000000" w:themeColor="text1"/>
        </w:rPr>
      </w:pPr>
      <w:r w:rsidRPr="003D7BED">
        <w:rPr>
          <w:rFonts w:ascii="Arial" w:hAnsi="Arial" w:cs="Arial"/>
          <w:color w:val="000000" w:themeColor="text1"/>
        </w:rPr>
        <w:t>The organisation of Toyota operations in the world follows an integrated value chain including research and development (R&amp;D), sourcing, production, sales, and financing. These functions are coordinated internationally, which is the key to the competitive advantage of the company.</w:t>
      </w:r>
    </w:p>
    <w:p w14:paraId="4ACDDBE0" w14:textId="067062D8" w:rsidR="00BE7A08" w:rsidRPr="00BE7A08" w:rsidRDefault="00BE7A08" w:rsidP="003D7BED">
      <w:pPr>
        <w:spacing w:line="360" w:lineRule="auto"/>
        <w:jc w:val="both"/>
        <w:rPr>
          <w:rFonts w:asciiTheme="majorHAnsi" w:hAnsiTheme="majorHAnsi" w:cstheme="majorHAnsi"/>
          <w:i/>
          <w:iCs/>
          <w:color w:val="4472C4" w:themeColor="accent1"/>
          <w:sz w:val="22"/>
          <w:szCs w:val="22"/>
        </w:rPr>
      </w:pPr>
      <w:r w:rsidRPr="00BE7A08">
        <w:rPr>
          <w:rFonts w:asciiTheme="majorHAnsi" w:hAnsiTheme="majorHAnsi" w:cstheme="majorHAnsi"/>
          <w:i/>
          <w:iCs/>
          <w:color w:val="4472C4" w:themeColor="accent1"/>
          <w:sz w:val="22"/>
          <w:szCs w:val="22"/>
        </w:rPr>
        <w:t>Figure 3: An Integrated and Decentralized Model of Transnational Operations</w:t>
      </w:r>
    </w:p>
    <w:p w14:paraId="647623D4" w14:textId="4FD6FF93" w:rsidR="00BE7A08" w:rsidRDefault="00BE7A08" w:rsidP="003D7BED">
      <w:pPr>
        <w:spacing w:line="360" w:lineRule="auto"/>
        <w:jc w:val="both"/>
        <w:rPr>
          <w:rFonts w:ascii="Arial" w:hAnsi="Arial" w:cs="Arial"/>
          <w:color w:val="000000" w:themeColor="text1"/>
        </w:rPr>
      </w:pPr>
      <w:r>
        <w:rPr>
          <w:rFonts w:ascii="Arial" w:hAnsi="Arial" w:cs="Arial"/>
          <w:noProof/>
          <w:color w:val="000000" w:themeColor="text1"/>
        </w:rPr>
        <w:drawing>
          <wp:inline distT="0" distB="0" distL="0" distR="0" wp14:anchorId="061788E4" wp14:editId="21706032">
            <wp:extent cx="5943600" cy="1555750"/>
            <wp:effectExtent l="0" t="0" r="0" b="6350"/>
            <wp:docPr id="15264202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420232" name="Picture 1526420232"/>
                    <pic:cNvPicPr/>
                  </pic:nvPicPr>
                  <pic:blipFill>
                    <a:blip r:embed="rId12">
                      <a:extLst>
                        <a:ext uri="{28A0092B-C50C-407E-A947-70E740481C1C}">
                          <a14:useLocalDpi xmlns:a14="http://schemas.microsoft.com/office/drawing/2010/main" val="0"/>
                        </a:ext>
                      </a:extLst>
                    </a:blip>
                    <a:stretch>
                      <a:fillRect/>
                    </a:stretch>
                  </pic:blipFill>
                  <pic:spPr>
                    <a:xfrm>
                      <a:off x="0" y="0"/>
                      <a:ext cx="5943600" cy="1555750"/>
                    </a:xfrm>
                    <a:prstGeom prst="rect">
                      <a:avLst/>
                    </a:prstGeom>
                  </pic:spPr>
                </pic:pic>
              </a:graphicData>
            </a:graphic>
          </wp:inline>
        </w:drawing>
      </w:r>
    </w:p>
    <w:p w14:paraId="17A9F9AB" w14:textId="474C2367" w:rsidR="00982F66" w:rsidRPr="00982F66" w:rsidRDefault="00982F66" w:rsidP="00982F66">
      <w:pPr>
        <w:spacing w:line="360" w:lineRule="auto"/>
        <w:jc w:val="center"/>
        <w:rPr>
          <w:rFonts w:asciiTheme="majorHAnsi" w:hAnsiTheme="majorHAnsi" w:cstheme="majorHAnsi"/>
          <w:i/>
          <w:iCs/>
          <w:color w:val="000000" w:themeColor="text1"/>
          <w:sz w:val="22"/>
          <w:szCs w:val="22"/>
        </w:rPr>
      </w:pPr>
      <w:r w:rsidRPr="00982F66">
        <w:rPr>
          <w:rFonts w:asciiTheme="majorHAnsi" w:hAnsiTheme="majorHAnsi" w:cstheme="majorHAnsi"/>
          <w:i/>
          <w:iCs/>
          <w:color w:val="000000" w:themeColor="text1"/>
          <w:sz w:val="22"/>
          <w:szCs w:val="22"/>
        </w:rPr>
        <w:t>Source: Toyota Annual Report (2023), Toyota Global (2023), Toyota Research Institute (2022)</w:t>
      </w:r>
    </w:p>
    <w:p w14:paraId="051A3E87" w14:textId="77777777" w:rsidR="00DE3B96" w:rsidRPr="00DE3B96" w:rsidRDefault="003D7BED" w:rsidP="003D7BED">
      <w:pPr>
        <w:spacing w:line="360" w:lineRule="auto"/>
        <w:jc w:val="both"/>
        <w:rPr>
          <w:rFonts w:ascii="Arial" w:hAnsi="Arial" w:cs="Arial"/>
          <w:b/>
          <w:bCs/>
          <w:color w:val="000000" w:themeColor="text1"/>
        </w:rPr>
      </w:pPr>
      <w:r w:rsidRPr="003D7BED">
        <w:rPr>
          <w:rFonts w:ascii="Arial" w:hAnsi="Arial" w:cs="Arial"/>
          <w:b/>
          <w:bCs/>
          <w:color w:val="000000" w:themeColor="text1"/>
        </w:rPr>
        <w:t>Research and Development (R&amp;D)</w:t>
      </w:r>
    </w:p>
    <w:p w14:paraId="608E193A" w14:textId="77777777" w:rsidR="00DE3B96" w:rsidRDefault="003D7BED" w:rsidP="003D7BED">
      <w:pPr>
        <w:spacing w:line="360" w:lineRule="auto"/>
        <w:jc w:val="both"/>
        <w:rPr>
          <w:rFonts w:ascii="Arial" w:hAnsi="Arial" w:cs="Arial"/>
          <w:color w:val="000000" w:themeColor="text1"/>
        </w:rPr>
      </w:pPr>
      <w:r w:rsidRPr="003D7BED">
        <w:rPr>
          <w:rFonts w:ascii="Arial" w:hAnsi="Arial" w:cs="Arial"/>
          <w:color w:val="000000" w:themeColor="text1"/>
        </w:rPr>
        <w:t xml:space="preserve">The R&amp;D system of Toyota is located worldwide and has large centres in Japan, the United States, Europe, China, and Thailand. Its research and development </w:t>
      </w:r>
      <w:r w:rsidR="00DE3B96" w:rsidRPr="003D7BED">
        <w:rPr>
          <w:rFonts w:ascii="Arial" w:hAnsi="Arial" w:cs="Arial"/>
          <w:color w:val="000000" w:themeColor="text1"/>
        </w:rPr>
        <w:t>are</w:t>
      </w:r>
      <w:r w:rsidRPr="003D7BED">
        <w:rPr>
          <w:rFonts w:ascii="Arial" w:hAnsi="Arial" w:cs="Arial"/>
          <w:color w:val="000000" w:themeColor="text1"/>
        </w:rPr>
        <w:t xml:space="preserve"> on the topics of hybrid technology, electric vehicles (EVs), hydrogen fuel cells, autonomous driving, and safety systems (Toyota Research Institute, 2022). Internationalisation of R&amp;D enables Toyota to exploit local technological advantages, meet particular local market </w:t>
      </w:r>
      <w:r w:rsidRPr="003D7BED">
        <w:rPr>
          <w:rFonts w:ascii="Arial" w:hAnsi="Arial" w:cs="Arial"/>
          <w:color w:val="000000" w:themeColor="text1"/>
        </w:rPr>
        <w:lastRenderedPageBreak/>
        <w:t>demands and carry out field testing in diverse conditions. Fujimoto (2019) claims that the key to the innovative ability of Toyota is its local experimentation and worldwide knowledge-sharing.</w:t>
      </w:r>
    </w:p>
    <w:p w14:paraId="5E0C58B0" w14:textId="77777777" w:rsidR="00DE3B96" w:rsidRDefault="003D7BED" w:rsidP="003D7BED">
      <w:pPr>
        <w:spacing w:line="360" w:lineRule="auto"/>
        <w:jc w:val="both"/>
        <w:rPr>
          <w:rFonts w:ascii="Arial" w:hAnsi="Arial" w:cs="Arial"/>
          <w:b/>
          <w:bCs/>
          <w:color w:val="000000" w:themeColor="text1"/>
        </w:rPr>
      </w:pPr>
      <w:r w:rsidRPr="003D7BED">
        <w:rPr>
          <w:rFonts w:ascii="Arial" w:hAnsi="Arial" w:cs="Arial"/>
          <w:b/>
          <w:bCs/>
          <w:color w:val="000000" w:themeColor="text1"/>
        </w:rPr>
        <w:t>International Sourcing and Procurement.</w:t>
      </w:r>
    </w:p>
    <w:p w14:paraId="06E86B14" w14:textId="77777777" w:rsidR="00DE3B96" w:rsidRDefault="003D7BED" w:rsidP="003D7BED">
      <w:pPr>
        <w:spacing w:line="360" w:lineRule="auto"/>
        <w:jc w:val="both"/>
        <w:rPr>
          <w:rFonts w:ascii="Arial" w:hAnsi="Arial" w:cs="Arial"/>
          <w:color w:val="000000" w:themeColor="text1"/>
        </w:rPr>
      </w:pPr>
      <w:r w:rsidRPr="003D7BED">
        <w:rPr>
          <w:rFonts w:ascii="Arial" w:hAnsi="Arial" w:cs="Arial"/>
          <w:color w:val="000000" w:themeColor="text1"/>
        </w:rPr>
        <w:t xml:space="preserve">The Toyota manufacturing methodology of Just-in-Time (JIT) production, suppliers and lean inventory control is the basis of the Toyota sourcing philosophy. The company works with thousands of suppliers in Asia, Europe, and North America and promotes long-term relations in order to have the stability of quality and to </w:t>
      </w:r>
      <w:r w:rsidR="00DE3B96" w:rsidRPr="003D7BED">
        <w:rPr>
          <w:rFonts w:ascii="Arial" w:hAnsi="Arial" w:cs="Arial"/>
          <w:color w:val="000000" w:themeColor="text1"/>
        </w:rPr>
        <w:t>minimize</w:t>
      </w:r>
      <w:r w:rsidRPr="003D7BED">
        <w:rPr>
          <w:rFonts w:ascii="Arial" w:hAnsi="Arial" w:cs="Arial"/>
          <w:color w:val="000000" w:themeColor="text1"/>
        </w:rPr>
        <w:t xml:space="preserve"> transaction costs (Ohno, 1988). Toyota is developing the idea of local sourcing in its emerging markets in Thailand and Indonesia to </w:t>
      </w:r>
      <w:r w:rsidR="00DE3B96" w:rsidRPr="003D7BED">
        <w:rPr>
          <w:rFonts w:ascii="Arial" w:hAnsi="Arial" w:cs="Arial"/>
          <w:color w:val="000000" w:themeColor="text1"/>
        </w:rPr>
        <w:t>minimize</w:t>
      </w:r>
      <w:r w:rsidRPr="003D7BED">
        <w:rPr>
          <w:rFonts w:ascii="Arial" w:hAnsi="Arial" w:cs="Arial"/>
          <w:color w:val="000000" w:themeColor="text1"/>
        </w:rPr>
        <w:t xml:space="preserve"> reliance on imports and ensure local content requirements (OICA, 2022).</w:t>
      </w:r>
    </w:p>
    <w:p w14:paraId="34779BC8" w14:textId="77777777" w:rsidR="00DE3B96" w:rsidRPr="00DE3B96" w:rsidRDefault="003D7BED" w:rsidP="003D7BED">
      <w:pPr>
        <w:spacing w:line="360" w:lineRule="auto"/>
        <w:jc w:val="both"/>
        <w:rPr>
          <w:rFonts w:ascii="Arial" w:hAnsi="Arial" w:cs="Arial"/>
          <w:b/>
          <w:bCs/>
          <w:color w:val="000000" w:themeColor="text1"/>
        </w:rPr>
      </w:pPr>
      <w:r w:rsidRPr="003D7BED">
        <w:rPr>
          <w:rFonts w:ascii="Arial" w:hAnsi="Arial" w:cs="Arial"/>
          <w:b/>
          <w:bCs/>
          <w:color w:val="000000" w:themeColor="text1"/>
        </w:rPr>
        <w:t>Production and Assembly</w:t>
      </w:r>
    </w:p>
    <w:p w14:paraId="6BB7022F" w14:textId="77777777" w:rsidR="00DE3B96" w:rsidRDefault="003D7BED" w:rsidP="00DE3B96">
      <w:pPr>
        <w:spacing w:line="360" w:lineRule="auto"/>
        <w:jc w:val="both"/>
        <w:rPr>
          <w:rFonts w:ascii="Arial" w:hAnsi="Arial" w:cs="Arial"/>
          <w:b/>
          <w:bCs/>
          <w:color w:val="000000" w:themeColor="text1"/>
        </w:rPr>
      </w:pPr>
      <w:r w:rsidRPr="003D7BED">
        <w:rPr>
          <w:rFonts w:ascii="Arial" w:hAnsi="Arial" w:cs="Arial"/>
          <w:color w:val="000000" w:themeColor="text1"/>
        </w:rPr>
        <w:t xml:space="preserve">Toyota has a </w:t>
      </w:r>
      <w:r w:rsidR="00DE3B96" w:rsidRPr="003D7BED">
        <w:rPr>
          <w:rFonts w:ascii="Arial" w:hAnsi="Arial" w:cs="Arial"/>
          <w:color w:val="000000" w:themeColor="text1"/>
        </w:rPr>
        <w:t>decentralized</w:t>
      </w:r>
      <w:r w:rsidRPr="003D7BED">
        <w:rPr>
          <w:rFonts w:ascii="Arial" w:hAnsi="Arial" w:cs="Arial"/>
          <w:color w:val="000000" w:themeColor="text1"/>
        </w:rPr>
        <w:t xml:space="preserve"> international production system, which helps the company to produce vehicles nearby major markets. The presence of production plants in the United States, United Kingdom, France, Brazil, Thailand, and China is an assurance of economies of scale, reduced logistical expenses, and </w:t>
      </w:r>
      <w:r w:rsidR="00DE3B96" w:rsidRPr="003D7BED">
        <w:rPr>
          <w:rFonts w:ascii="Arial" w:hAnsi="Arial" w:cs="Arial"/>
          <w:color w:val="000000" w:themeColor="text1"/>
        </w:rPr>
        <w:t>minimized</w:t>
      </w:r>
      <w:r w:rsidRPr="003D7BED">
        <w:rPr>
          <w:rFonts w:ascii="Arial" w:hAnsi="Arial" w:cs="Arial"/>
          <w:color w:val="000000" w:themeColor="text1"/>
        </w:rPr>
        <w:t xml:space="preserve"> risks in case of currency fluctuations (Grant, 2021). As much as production has a standardised TPS model, Toyota gives flexibility to its local plants to respond to market conditions and regulatory requirements. An example of this includes Thailand, which has specialised in the manufacture of pickup trucks, and Europe, which </w:t>
      </w:r>
      <w:r w:rsidR="00DE3B96" w:rsidRPr="003D7BED">
        <w:rPr>
          <w:rFonts w:ascii="Arial" w:hAnsi="Arial" w:cs="Arial"/>
          <w:color w:val="000000" w:themeColor="text1"/>
        </w:rPr>
        <w:t>specializes</w:t>
      </w:r>
      <w:r w:rsidRPr="003D7BED">
        <w:rPr>
          <w:rFonts w:ascii="Arial" w:hAnsi="Arial" w:cs="Arial"/>
          <w:color w:val="000000" w:themeColor="text1"/>
        </w:rPr>
        <w:t xml:space="preserve"> in hybrid cars given the tighter emission regulations.</w:t>
      </w:r>
    </w:p>
    <w:p w14:paraId="2599D87C" w14:textId="77777777" w:rsidR="00DE3B96" w:rsidRPr="00DE3B96" w:rsidRDefault="00DE3B96" w:rsidP="00DE3B96">
      <w:pPr>
        <w:spacing w:line="360" w:lineRule="auto"/>
        <w:jc w:val="both"/>
        <w:rPr>
          <w:rFonts w:ascii="Arial" w:hAnsi="Arial" w:cs="Arial"/>
          <w:b/>
          <w:bCs/>
          <w:color w:val="000000" w:themeColor="text1"/>
        </w:rPr>
      </w:pPr>
      <w:r w:rsidRPr="00DE3B96">
        <w:rPr>
          <w:rFonts w:ascii="Arial" w:hAnsi="Arial" w:cs="Arial"/>
          <w:b/>
          <w:bCs/>
          <w:color w:val="000000" w:themeColor="text1"/>
        </w:rPr>
        <w:t>Sales and Distribution</w:t>
      </w:r>
    </w:p>
    <w:p w14:paraId="3951AB0E" w14:textId="77777777" w:rsidR="00DE3B96" w:rsidRDefault="00DE3B96" w:rsidP="00DE3B96">
      <w:pPr>
        <w:spacing w:line="360" w:lineRule="auto"/>
        <w:jc w:val="both"/>
        <w:rPr>
          <w:rFonts w:ascii="Arial" w:hAnsi="Arial" w:cs="Arial"/>
          <w:color w:val="000000" w:themeColor="text1"/>
        </w:rPr>
      </w:pPr>
      <w:r w:rsidRPr="00DE3B96">
        <w:rPr>
          <w:rFonts w:ascii="Arial" w:hAnsi="Arial" w:cs="Arial"/>
          <w:color w:val="000000" w:themeColor="text1"/>
        </w:rPr>
        <w:t>The Toyota sales operation is in 170 countries, which is backed by subsidiaries, dealerships, distributors, and franchise partners. The company tailors the sales strategies based on the local consumer behaviour, income, and cultural preferences (Kotler and Keller, 2022). As an example, Toyota markets compact cars in Europe, pickup trucks in Southeast Asia and SUVs in North America. It also uses digital marketing, online shops and extensive dealer networks to increase customer interaction.</w:t>
      </w:r>
    </w:p>
    <w:p w14:paraId="298E9EC2" w14:textId="77777777" w:rsidR="00DE3B96" w:rsidRPr="00DE3B96" w:rsidRDefault="00DE3B96" w:rsidP="00DE3B96">
      <w:pPr>
        <w:spacing w:line="360" w:lineRule="auto"/>
        <w:jc w:val="both"/>
        <w:rPr>
          <w:rFonts w:ascii="Arial" w:hAnsi="Arial" w:cs="Arial"/>
          <w:b/>
          <w:bCs/>
          <w:color w:val="000000" w:themeColor="text1"/>
        </w:rPr>
      </w:pPr>
      <w:r w:rsidRPr="00DE3B96">
        <w:rPr>
          <w:rFonts w:ascii="Arial" w:hAnsi="Arial" w:cs="Arial"/>
          <w:b/>
          <w:bCs/>
          <w:color w:val="000000" w:themeColor="text1"/>
        </w:rPr>
        <w:lastRenderedPageBreak/>
        <w:t>International Financial and Capital Management.</w:t>
      </w:r>
    </w:p>
    <w:p w14:paraId="5BB4BF34" w14:textId="749166BE" w:rsidR="00DE3B96" w:rsidRDefault="00DE3B96" w:rsidP="00DE3B96">
      <w:pPr>
        <w:spacing w:line="360" w:lineRule="auto"/>
        <w:jc w:val="both"/>
        <w:rPr>
          <w:rFonts w:ascii="Arial" w:hAnsi="Arial" w:cs="Arial"/>
          <w:color w:val="000000" w:themeColor="text1"/>
        </w:rPr>
      </w:pPr>
      <w:r w:rsidRPr="00DE3B96">
        <w:rPr>
          <w:rFonts w:ascii="Arial" w:hAnsi="Arial" w:cs="Arial"/>
          <w:color w:val="000000" w:themeColor="text1"/>
        </w:rPr>
        <w:t>Toyota Financial Services (TFS) is a financial services company that offers credit, leasing, and insurance to consumers and dealers that are based in over 40 countries. International capital markets are of significant significance to the financial strategy, and Toyota can use them to finance its international activities and innovation initiatives (Toyota Financial Services, 2023). It has the advantage of accessing global financing, which makes it</w:t>
      </w:r>
      <w:r>
        <w:rPr>
          <w:rFonts w:ascii="Arial" w:hAnsi="Arial" w:cs="Arial"/>
          <w:color w:val="000000" w:themeColor="text1"/>
        </w:rPr>
        <w:t xml:space="preserve"> </w:t>
      </w:r>
      <w:r w:rsidRPr="00DE3B96">
        <w:rPr>
          <w:rFonts w:ascii="Arial" w:hAnsi="Arial" w:cs="Arial"/>
          <w:color w:val="000000" w:themeColor="text1"/>
        </w:rPr>
        <w:t>cheaper to finance and increases its FDI capability.</w:t>
      </w:r>
    </w:p>
    <w:p w14:paraId="1EC21F06" w14:textId="091F7133" w:rsidR="00DE3B96" w:rsidRPr="00DE3B96" w:rsidRDefault="00DE3B96" w:rsidP="00004228">
      <w:pPr>
        <w:spacing w:line="360" w:lineRule="auto"/>
        <w:jc w:val="both"/>
        <w:rPr>
          <w:rFonts w:ascii="Arial" w:hAnsi="Arial" w:cs="Arial"/>
          <w:b/>
          <w:bCs/>
          <w:color w:val="000000" w:themeColor="text1"/>
        </w:rPr>
      </w:pPr>
      <w:r w:rsidRPr="00DE3B96">
        <w:rPr>
          <w:rFonts w:ascii="Arial" w:hAnsi="Arial" w:cs="Arial"/>
          <w:color w:val="000000" w:themeColor="text1"/>
        </w:rPr>
        <w:t>All these activities in the value chain at Toyota demonstrate an extremely coordinated and globally embraced model of operation in a manner that enhances efficiency, innovation and responsiveness.</w:t>
      </w:r>
    </w:p>
    <w:p w14:paraId="1A86413E" w14:textId="7C9330E5" w:rsidR="00004228" w:rsidRPr="00004228" w:rsidRDefault="00004228" w:rsidP="009D4CF6">
      <w:pPr>
        <w:pStyle w:val="Heading2"/>
      </w:pPr>
      <w:bookmarkStart w:id="8" w:name="_Toc215577611"/>
      <w:bookmarkStart w:id="9" w:name="_Toc216121776"/>
      <w:r w:rsidRPr="00004228">
        <w:t>c</w:t>
      </w:r>
      <w:r w:rsidR="009D4CF6">
        <w:t>.</w:t>
      </w:r>
      <w:r w:rsidRPr="00004228">
        <w:t xml:space="preserve"> Toyota’s Entry Modes into International Markets and Dominant Strategy</w:t>
      </w:r>
      <w:bookmarkEnd w:id="8"/>
      <w:bookmarkEnd w:id="9"/>
    </w:p>
    <w:p w14:paraId="4A7A899B" w14:textId="77777777" w:rsidR="00AF6D5C" w:rsidRDefault="00662BC0" w:rsidP="00662BC0">
      <w:pPr>
        <w:spacing w:line="360" w:lineRule="auto"/>
        <w:jc w:val="both"/>
        <w:rPr>
          <w:rFonts w:ascii="Arial" w:hAnsi="Arial" w:cs="Arial"/>
          <w:color w:val="000000" w:themeColor="text1"/>
        </w:rPr>
      </w:pPr>
      <w:r w:rsidRPr="00662BC0">
        <w:rPr>
          <w:rFonts w:ascii="Arial" w:hAnsi="Arial" w:cs="Arial"/>
          <w:color w:val="000000" w:themeColor="text1"/>
        </w:rPr>
        <w:t>Toyota deploys a combination of entry modes to penetrate and explore the foreign markets, based on the local laws, strategic objectives and risk factors.</w:t>
      </w:r>
    </w:p>
    <w:p w14:paraId="4D96CF3B" w14:textId="084C4BB9" w:rsidR="009D4259" w:rsidRPr="009D4259" w:rsidRDefault="009D4259" w:rsidP="00662BC0">
      <w:pPr>
        <w:spacing w:line="360" w:lineRule="auto"/>
        <w:jc w:val="both"/>
        <w:rPr>
          <w:rFonts w:asciiTheme="majorHAnsi" w:hAnsiTheme="majorHAnsi" w:cstheme="majorHAnsi"/>
          <w:i/>
          <w:iCs/>
          <w:color w:val="4472C4" w:themeColor="accent1"/>
          <w:sz w:val="22"/>
          <w:szCs w:val="22"/>
        </w:rPr>
      </w:pPr>
      <w:r w:rsidRPr="009D4259">
        <w:rPr>
          <w:rFonts w:asciiTheme="majorHAnsi" w:hAnsiTheme="majorHAnsi" w:cstheme="majorHAnsi"/>
          <w:i/>
          <w:iCs/>
          <w:color w:val="4472C4" w:themeColor="accent1"/>
          <w:sz w:val="22"/>
          <w:szCs w:val="22"/>
        </w:rPr>
        <w:t>Figure 4. Toyota's International Market Entry Modes and Dominant Strategy</w:t>
      </w:r>
    </w:p>
    <w:p w14:paraId="2B6D8FB0" w14:textId="76284F18" w:rsidR="009D4259" w:rsidRDefault="009D4259" w:rsidP="00662BC0">
      <w:pPr>
        <w:spacing w:line="360" w:lineRule="auto"/>
        <w:jc w:val="both"/>
        <w:rPr>
          <w:rFonts w:ascii="Arial" w:hAnsi="Arial" w:cs="Arial"/>
          <w:color w:val="000000" w:themeColor="text1"/>
        </w:rPr>
      </w:pPr>
      <w:r>
        <w:rPr>
          <w:rFonts w:ascii="Arial" w:hAnsi="Arial" w:cs="Arial"/>
          <w:noProof/>
          <w:color w:val="000000" w:themeColor="text1"/>
        </w:rPr>
        <w:drawing>
          <wp:inline distT="0" distB="0" distL="0" distR="0" wp14:anchorId="036F3AEB" wp14:editId="689E459B">
            <wp:extent cx="5943600" cy="2658110"/>
            <wp:effectExtent l="0" t="0" r="0" b="8890"/>
            <wp:docPr id="9404258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425816" name="Picture 940425816"/>
                    <pic:cNvPicPr/>
                  </pic:nvPicPr>
                  <pic:blipFill>
                    <a:blip r:embed="rId13">
                      <a:extLst>
                        <a:ext uri="{28A0092B-C50C-407E-A947-70E740481C1C}">
                          <a14:useLocalDpi xmlns:a14="http://schemas.microsoft.com/office/drawing/2010/main" val="0"/>
                        </a:ext>
                      </a:extLst>
                    </a:blip>
                    <a:stretch>
                      <a:fillRect/>
                    </a:stretch>
                  </pic:blipFill>
                  <pic:spPr>
                    <a:xfrm>
                      <a:off x="0" y="0"/>
                      <a:ext cx="5943600" cy="2658110"/>
                    </a:xfrm>
                    <a:prstGeom prst="rect">
                      <a:avLst/>
                    </a:prstGeom>
                  </pic:spPr>
                </pic:pic>
              </a:graphicData>
            </a:graphic>
          </wp:inline>
        </w:drawing>
      </w:r>
    </w:p>
    <w:p w14:paraId="75BBD03C" w14:textId="094CEA0A" w:rsidR="009D4259" w:rsidRPr="009D4259" w:rsidRDefault="009D4259" w:rsidP="009D4259">
      <w:pPr>
        <w:spacing w:line="360" w:lineRule="auto"/>
        <w:jc w:val="center"/>
        <w:rPr>
          <w:rFonts w:asciiTheme="majorHAnsi" w:hAnsiTheme="majorHAnsi" w:cstheme="majorHAnsi"/>
          <w:i/>
          <w:iCs/>
          <w:color w:val="000000" w:themeColor="text1"/>
          <w:sz w:val="22"/>
          <w:szCs w:val="22"/>
        </w:rPr>
      </w:pPr>
      <w:r w:rsidRPr="009D4259">
        <w:rPr>
          <w:rFonts w:asciiTheme="majorHAnsi" w:hAnsiTheme="majorHAnsi" w:cstheme="majorHAnsi"/>
          <w:i/>
          <w:iCs/>
          <w:color w:val="000000" w:themeColor="text1"/>
          <w:sz w:val="22"/>
          <w:szCs w:val="22"/>
        </w:rPr>
        <w:t>Source: Hill, C. W. L. (2023). International Business: Competing in the Global Marketplace</w:t>
      </w:r>
    </w:p>
    <w:p w14:paraId="4B985C95" w14:textId="412B1056" w:rsidR="00AF6D5C" w:rsidRPr="00437508" w:rsidRDefault="00AF6D5C" w:rsidP="00662BC0">
      <w:pPr>
        <w:spacing w:line="360" w:lineRule="auto"/>
        <w:jc w:val="both"/>
        <w:rPr>
          <w:rFonts w:ascii="Arial" w:hAnsi="Arial" w:cs="Arial"/>
          <w:b/>
          <w:bCs/>
          <w:color w:val="000000" w:themeColor="text1"/>
        </w:rPr>
      </w:pPr>
      <w:r>
        <w:rPr>
          <w:rFonts w:ascii="Arial" w:hAnsi="Arial" w:cs="Arial"/>
          <w:b/>
          <w:bCs/>
          <w:color w:val="000000" w:themeColor="text1"/>
        </w:rPr>
        <w:t xml:space="preserve">1. </w:t>
      </w:r>
      <w:r w:rsidR="00662BC0" w:rsidRPr="00662BC0">
        <w:rPr>
          <w:rFonts w:ascii="Arial" w:hAnsi="Arial" w:cs="Arial"/>
          <w:b/>
          <w:bCs/>
          <w:color w:val="000000" w:themeColor="text1"/>
        </w:rPr>
        <w:t>Wholly owned subsidiaries (FDI)</w:t>
      </w:r>
      <w:r w:rsidR="00437508">
        <w:rPr>
          <w:rFonts w:ascii="Arial" w:hAnsi="Arial" w:cs="Arial"/>
          <w:b/>
          <w:bCs/>
          <w:color w:val="000000" w:themeColor="text1"/>
        </w:rPr>
        <w:t xml:space="preserve">: </w:t>
      </w:r>
      <w:r w:rsidR="00662BC0" w:rsidRPr="00662BC0">
        <w:rPr>
          <w:rFonts w:ascii="Arial" w:hAnsi="Arial" w:cs="Arial"/>
          <w:color w:val="000000" w:themeColor="text1"/>
        </w:rPr>
        <w:t xml:space="preserve">Toyota regularly employs FDI in either wholly owned manufacturing or subsidiary sales. Some of the strongest countries in this mode include the United States, the UK, France, Thailand and Turkey. Wholly owned </w:t>
      </w:r>
      <w:r w:rsidR="00662BC0" w:rsidRPr="00662BC0">
        <w:rPr>
          <w:rFonts w:ascii="Arial" w:hAnsi="Arial" w:cs="Arial"/>
          <w:color w:val="000000" w:themeColor="text1"/>
        </w:rPr>
        <w:lastRenderedPageBreak/>
        <w:t>subsidiaries provide Toyota with complete control of production processes and protection of technologies and implementation of TPS standards (Peng, 2021).</w:t>
      </w:r>
      <w:r>
        <w:rPr>
          <w:rFonts w:ascii="Arial" w:hAnsi="Arial" w:cs="Arial"/>
          <w:color w:val="000000" w:themeColor="text1"/>
        </w:rPr>
        <w:t xml:space="preserve"> </w:t>
      </w:r>
      <w:r w:rsidR="00662BC0" w:rsidRPr="00662BC0">
        <w:rPr>
          <w:rFonts w:ascii="Arial" w:hAnsi="Arial" w:cs="Arial"/>
          <w:color w:val="000000" w:themeColor="text1"/>
        </w:rPr>
        <w:t>Dominant mode: The most dominant and primary entry mode that Toyota has worldwide is via wholly owned subsidiaries.</w:t>
      </w:r>
    </w:p>
    <w:p w14:paraId="061E13A7" w14:textId="02E16AB3" w:rsidR="00AF6D5C" w:rsidRPr="00437508" w:rsidRDefault="00AF6D5C" w:rsidP="00662BC0">
      <w:pPr>
        <w:spacing w:line="360" w:lineRule="auto"/>
        <w:jc w:val="both"/>
        <w:rPr>
          <w:rFonts w:ascii="Arial" w:hAnsi="Arial" w:cs="Arial"/>
          <w:b/>
          <w:bCs/>
          <w:color w:val="000000" w:themeColor="text1"/>
        </w:rPr>
      </w:pPr>
      <w:r>
        <w:rPr>
          <w:rFonts w:ascii="Arial" w:hAnsi="Arial" w:cs="Arial"/>
          <w:b/>
          <w:bCs/>
          <w:color w:val="000000" w:themeColor="text1"/>
        </w:rPr>
        <w:t xml:space="preserve">2. </w:t>
      </w:r>
      <w:r w:rsidR="00662BC0" w:rsidRPr="00662BC0">
        <w:rPr>
          <w:rFonts w:ascii="Arial" w:hAnsi="Arial" w:cs="Arial"/>
          <w:b/>
          <w:bCs/>
          <w:color w:val="000000" w:themeColor="text1"/>
        </w:rPr>
        <w:t>Joint Ventures (JVs)</w:t>
      </w:r>
      <w:r w:rsidR="00437508">
        <w:rPr>
          <w:rFonts w:ascii="Arial" w:hAnsi="Arial" w:cs="Arial"/>
          <w:b/>
          <w:bCs/>
          <w:color w:val="000000" w:themeColor="text1"/>
        </w:rPr>
        <w:t xml:space="preserve">: </w:t>
      </w:r>
      <w:r w:rsidR="00662BC0" w:rsidRPr="00662BC0">
        <w:rPr>
          <w:rFonts w:ascii="Arial" w:hAnsi="Arial" w:cs="Arial"/>
          <w:color w:val="000000" w:themeColor="text1"/>
        </w:rPr>
        <w:t>JVs are employed where the foreign ownership is limited by the local regulations, or where there is a significance in the local market. In China, Toyota has joint ventures with FAW Group and GAC Group since all foreign automakers are required to have JV partnerships with Chinese companies. Elsewhere, in India, Toyota collaborated with Kirloskar Group to establish Toyota Kirloskar Motor. JVs provide opportunities for local knowledge, networks, and channels of distribution (Hill, 2023).</w:t>
      </w:r>
    </w:p>
    <w:p w14:paraId="61942B61" w14:textId="2AA8BDD7" w:rsidR="00773C83" w:rsidRPr="00437508" w:rsidRDefault="00AF6D5C" w:rsidP="00662BC0">
      <w:pPr>
        <w:spacing w:line="360" w:lineRule="auto"/>
        <w:jc w:val="both"/>
        <w:rPr>
          <w:rFonts w:ascii="Arial" w:hAnsi="Arial" w:cs="Arial"/>
          <w:b/>
          <w:bCs/>
          <w:color w:val="000000" w:themeColor="text1"/>
        </w:rPr>
      </w:pPr>
      <w:r>
        <w:rPr>
          <w:rFonts w:ascii="Arial" w:hAnsi="Arial" w:cs="Arial"/>
          <w:b/>
          <w:bCs/>
          <w:color w:val="000000" w:themeColor="text1"/>
        </w:rPr>
        <w:t xml:space="preserve">3. </w:t>
      </w:r>
      <w:r w:rsidR="00662BC0" w:rsidRPr="00662BC0">
        <w:rPr>
          <w:rFonts w:ascii="Arial" w:hAnsi="Arial" w:cs="Arial"/>
          <w:b/>
          <w:bCs/>
          <w:color w:val="000000" w:themeColor="text1"/>
        </w:rPr>
        <w:t>Strategic Alliances</w:t>
      </w:r>
      <w:r w:rsidR="00437508">
        <w:rPr>
          <w:rFonts w:ascii="Arial" w:hAnsi="Arial" w:cs="Arial"/>
          <w:b/>
          <w:bCs/>
          <w:color w:val="000000" w:themeColor="text1"/>
        </w:rPr>
        <w:t xml:space="preserve">: </w:t>
      </w:r>
      <w:r w:rsidR="00773C83" w:rsidRPr="00773C83">
        <w:rPr>
          <w:rFonts w:ascii="Arial" w:hAnsi="Arial" w:cs="Arial"/>
          <w:color w:val="000000" w:themeColor="text1"/>
        </w:rPr>
        <w:t>Toyota is based on alliances for era improvement and marketplace growth. These consist of collaborations with Panasonic (battery technology), Mazda (improvement of EV platforms) and Subaru (development of self-sufficient riding structures). Alliances facilitate shared chance and rapid innovation.</w:t>
      </w:r>
    </w:p>
    <w:p w14:paraId="226C75CC" w14:textId="3563FB6D" w:rsidR="00AF6D5C" w:rsidRPr="00437508" w:rsidRDefault="00AF6D5C" w:rsidP="00662BC0">
      <w:pPr>
        <w:spacing w:line="360" w:lineRule="auto"/>
        <w:jc w:val="both"/>
        <w:rPr>
          <w:rFonts w:ascii="Arial" w:hAnsi="Arial" w:cs="Arial"/>
          <w:b/>
          <w:bCs/>
          <w:color w:val="000000" w:themeColor="text1"/>
        </w:rPr>
      </w:pPr>
      <w:r w:rsidRPr="00AF6D5C">
        <w:rPr>
          <w:rFonts w:ascii="Arial" w:hAnsi="Arial" w:cs="Arial"/>
          <w:b/>
          <w:bCs/>
          <w:color w:val="000000" w:themeColor="text1"/>
        </w:rPr>
        <w:t xml:space="preserve">4. </w:t>
      </w:r>
      <w:r w:rsidR="00662BC0" w:rsidRPr="00662BC0">
        <w:rPr>
          <w:rFonts w:ascii="Arial" w:hAnsi="Arial" w:cs="Arial"/>
          <w:b/>
          <w:bCs/>
          <w:color w:val="000000" w:themeColor="text1"/>
        </w:rPr>
        <w:t>Exporting</w:t>
      </w:r>
      <w:r w:rsidR="00437508">
        <w:rPr>
          <w:rFonts w:ascii="Arial" w:hAnsi="Arial" w:cs="Arial"/>
          <w:b/>
          <w:bCs/>
          <w:color w:val="000000" w:themeColor="text1"/>
        </w:rPr>
        <w:t xml:space="preserve">: </w:t>
      </w:r>
      <w:r w:rsidR="00662BC0" w:rsidRPr="00662BC0">
        <w:rPr>
          <w:rFonts w:ascii="Arial" w:hAnsi="Arial" w:cs="Arial"/>
          <w:color w:val="000000" w:themeColor="text1"/>
        </w:rPr>
        <w:t xml:space="preserve">Toyota is exporting cars made in Japan and manufacturing centres in Thailand and Turkey to the areas that lack local production capability. Exporting enables Toyota to have a balanced demand globally and stabilise the rates of </w:t>
      </w:r>
      <w:r w:rsidRPr="00662BC0">
        <w:rPr>
          <w:rFonts w:ascii="Arial" w:hAnsi="Arial" w:cs="Arial"/>
          <w:color w:val="000000" w:themeColor="text1"/>
        </w:rPr>
        <w:t>utilization</w:t>
      </w:r>
      <w:r w:rsidR="00662BC0" w:rsidRPr="00662BC0">
        <w:rPr>
          <w:rFonts w:ascii="Arial" w:hAnsi="Arial" w:cs="Arial"/>
          <w:color w:val="000000" w:themeColor="text1"/>
        </w:rPr>
        <w:t xml:space="preserve"> of plants.</w:t>
      </w:r>
    </w:p>
    <w:p w14:paraId="6A631BA7" w14:textId="1BA8FC7D" w:rsidR="00AF6D5C" w:rsidRPr="00437508" w:rsidRDefault="00662BC0" w:rsidP="00662BC0">
      <w:pPr>
        <w:spacing w:line="360" w:lineRule="auto"/>
        <w:jc w:val="both"/>
        <w:rPr>
          <w:rFonts w:ascii="Arial" w:hAnsi="Arial" w:cs="Arial"/>
          <w:b/>
          <w:bCs/>
          <w:color w:val="000000" w:themeColor="text1"/>
        </w:rPr>
      </w:pPr>
      <w:r w:rsidRPr="00662BC0">
        <w:rPr>
          <w:rFonts w:ascii="Arial" w:hAnsi="Arial" w:cs="Arial"/>
          <w:b/>
          <w:bCs/>
          <w:color w:val="000000" w:themeColor="text1"/>
        </w:rPr>
        <w:t>5. Licensing and Franchising</w:t>
      </w:r>
      <w:r w:rsidR="00437508">
        <w:rPr>
          <w:rFonts w:ascii="Arial" w:hAnsi="Arial" w:cs="Arial"/>
          <w:b/>
          <w:bCs/>
          <w:color w:val="000000" w:themeColor="text1"/>
        </w:rPr>
        <w:t xml:space="preserve">: </w:t>
      </w:r>
      <w:r w:rsidRPr="00662BC0">
        <w:rPr>
          <w:rFonts w:ascii="Arial" w:hAnsi="Arial" w:cs="Arial"/>
          <w:color w:val="000000" w:themeColor="text1"/>
        </w:rPr>
        <w:t>Licensing is mainly used in dealership operations where Toyota is able to increase the distribution speed with low capital expenditure.</w:t>
      </w:r>
    </w:p>
    <w:p w14:paraId="504FC0AD" w14:textId="34584383" w:rsidR="00DE3B96" w:rsidRPr="00004228" w:rsidRDefault="00662BC0" w:rsidP="00004228">
      <w:pPr>
        <w:spacing w:line="360" w:lineRule="auto"/>
        <w:jc w:val="both"/>
        <w:rPr>
          <w:rFonts w:ascii="Arial" w:hAnsi="Arial" w:cs="Arial"/>
          <w:color w:val="000000" w:themeColor="text1"/>
        </w:rPr>
      </w:pPr>
      <w:r w:rsidRPr="00662BC0">
        <w:rPr>
          <w:rFonts w:ascii="Arial" w:hAnsi="Arial" w:cs="Arial"/>
          <w:color w:val="000000" w:themeColor="text1"/>
        </w:rPr>
        <w:t xml:space="preserve">In general, Toyota's international expansion policy is a mix of control-based FDI and cooperative practices (JVs and alliances) to </w:t>
      </w:r>
      <w:r w:rsidR="00AF6D5C" w:rsidRPr="00662BC0">
        <w:rPr>
          <w:rFonts w:ascii="Arial" w:hAnsi="Arial" w:cs="Arial"/>
          <w:color w:val="000000" w:themeColor="text1"/>
        </w:rPr>
        <w:t>optimize</w:t>
      </w:r>
      <w:r w:rsidRPr="00662BC0">
        <w:rPr>
          <w:rFonts w:ascii="Arial" w:hAnsi="Arial" w:cs="Arial"/>
          <w:color w:val="000000" w:themeColor="text1"/>
        </w:rPr>
        <w:t xml:space="preserve"> the access to the market and share of resources.</w:t>
      </w:r>
    </w:p>
    <w:p w14:paraId="33497D8F" w14:textId="2203B42A" w:rsidR="00004228" w:rsidRPr="00004228" w:rsidRDefault="00004228" w:rsidP="009D4CF6">
      <w:pPr>
        <w:pStyle w:val="Heading2"/>
      </w:pPr>
      <w:bookmarkStart w:id="10" w:name="_Toc215577612"/>
      <w:bookmarkStart w:id="11" w:name="_Toc216121777"/>
      <w:r w:rsidRPr="00004228">
        <w:t>d</w:t>
      </w:r>
      <w:r w:rsidR="009D4CF6">
        <w:t xml:space="preserve">. </w:t>
      </w:r>
      <w:r w:rsidRPr="00004228">
        <w:t>Key Benefits Obtained from Toyota’s International Operations</w:t>
      </w:r>
      <w:bookmarkEnd w:id="10"/>
      <w:bookmarkEnd w:id="11"/>
    </w:p>
    <w:p w14:paraId="049DAE44" w14:textId="77777777" w:rsidR="00E9547C" w:rsidRDefault="006A1424" w:rsidP="006A1424">
      <w:pPr>
        <w:spacing w:line="360" w:lineRule="auto"/>
        <w:jc w:val="both"/>
        <w:rPr>
          <w:rFonts w:ascii="Arial" w:hAnsi="Arial" w:cs="Arial"/>
          <w:color w:val="000000" w:themeColor="text1"/>
        </w:rPr>
      </w:pPr>
      <w:r w:rsidRPr="006A1424">
        <w:rPr>
          <w:rFonts w:ascii="Arial" w:hAnsi="Arial" w:cs="Arial"/>
          <w:color w:val="000000" w:themeColor="text1"/>
        </w:rPr>
        <w:t>The large-scale presence of Toyota all over the world offers a number of strategic, financial and competitive advantages that further contribute to its status as one of the most successful automotive manufacturers across the world.</w:t>
      </w:r>
    </w:p>
    <w:tbl>
      <w:tblPr>
        <w:tblStyle w:val="GridTable1Light"/>
        <w:tblW w:w="0" w:type="auto"/>
        <w:tblLook w:val="04A0" w:firstRow="1" w:lastRow="0" w:firstColumn="1" w:lastColumn="0" w:noHBand="0" w:noVBand="1"/>
      </w:tblPr>
      <w:tblGrid>
        <w:gridCol w:w="2335"/>
        <w:gridCol w:w="7015"/>
      </w:tblGrid>
      <w:tr w:rsidR="004F09B6" w:rsidRPr="007628A4" w14:paraId="6BD2D8CE" w14:textId="77777777" w:rsidTr="000457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vAlign w:val="center"/>
          </w:tcPr>
          <w:p w14:paraId="293ECA06" w14:textId="0C6EFCD8" w:rsidR="004F09B6" w:rsidRPr="007628A4" w:rsidRDefault="00384E66" w:rsidP="007628A4">
            <w:pPr>
              <w:spacing w:line="360" w:lineRule="auto"/>
              <w:jc w:val="center"/>
              <w:rPr>
                <w:rFonts w:ascii="Arial" w:hAnsi="Arial" w:cs="Arial"/>
                <w:sz w:val="22"/>
                <w:szCs w:val="22"/>
              </w:rPr>
            </w:pPr>
            <w:r w:rsidRPr="007628A4">
              <w:rPr>
                <w:rFonts w:ascii="Arial" w:hAnsi="Arial" w:cs="Arial"/>
                <w:sz w:val="22"/>
                <w:szCs w:val="22"/>
              </w:rPr>
              <w:t>Benefit</w:t>
            </w:r>
          </w:p>
        </w:tc>
        <w:tc>
          <w:tcPr>
            <w:tcW w:w="7015" w:type="dxa"/>
            <w:vAlign w:val="center"/>
          </w:tcPr>
          <w:p w14:paraId="68D91A4D" w14:textId="63FCD305" w:rsidR="004F09B6" w:rsidRPr="007628A4" w:rsidRDefault="00384E66" w:rsidP="007628A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628A4">
              <w:rPr>
                <w:rFonts w:ascii="Arial" w:hAnsi="Arial" w:cs="Arial"/>
                <w:sz w:val="22"/>
                <w:szCs w:val="22"/>
              </w:rPr>
              <w:t>Description</w:t>
            </w:r>
          </w:p>
        </w:tc>
      </w:tr>
      <w:tr w:rsidR="004F09B6" w:rsidRPr="007628A4" w14:paraId="26B83084" w14:textId="77777777" w:rsidTr="00045756">
        <w:tc>
          <w:tcPr>
            <w:cnfStyle w:val="001000000000" w:firstRow="0" w:lastRow="0" w:firstColumn="1" w:lastColumn="0" w:oddVBand="0" w:evenVBand="0" w:oddHBand="0" w:evenHBand="0" w:firstRowFirstColumn="0" w:firstRowLastColumn="0" w:lastRowFirstColumn="0" w:lastRowLastColumn="0"/>
            <w:tcW w:w="2335" w:type="dxa"/>
            <w:vAlign w:val="center"/>
          </w:tcPr>
          <w:p w14:paraId="12D45910" w14:textId="54B687B4" w:rsidR="004F09B6" w:rsidRPr="007628A4" w:rsidRDefault="00B848DB" w:rsidP="007628A4">
            <w:pPr>
              <w:spacing w:line="360" w:lineRule="auto"/>
              <w:rPr>
                <w:rFonts w:ascii="Arial" w:hAnsi="Arial" w:cs="Arial"/>
                <w:sz w:val="22"/>
                <w:szCs w:val="22"/>
              </w:rPr>
            </w:pPr>
            <w:r w:rsidRPr="007628A4">
              <w:rPr>
                <w:rFonts w:ascii="Arial" w:hAnsi="Arial" w:cs="Arial"/>
                <w:sz w:val="22"/>
                <w:szCs w:val="22"/>
              </w:rPr>
              <w:lastRenderedPageBreak/>
              <w:t>Cost Effectiveness and Economies of Scale.</w:t>
            </w:r>
          </w:p>
        </w:tc>
        <w:tc>
          <w:tcPr>
            <w:tcW w:w="7015" w:type="dxa"/>
            <w:vAlign w:val="center"/>
          </w:tcPr>
          <w:p w14:paraId="776988F6" w14:textId="16D93474" w:rsidR="004F09B6" w:rsidRPr="007628A4" w:rsidRDefault="00B848DB" w:rsidP="00762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628A4">
              <w:rPr>
                <w:rFonts w:ascii="Arial" w:hAnsi="Arial" w:cs="Arial"/>
                <w:sz w:val="22"/>
                <w:szCs w:val="22"/>
              </w:rPr>
              <w:t>The global presence of Toyota allows the company to lower the unit production cost through the spread of the fixed costs and large volumes of production. The cost of components is also reduced by global sourcing, especially by relying on suppliers in countries with low-cost components like Thailand and Vietnam (Grant, 2021).</w:t>
            </w:r>
          </w:p>
        </w:tc>
      </w:tr>
      <w:tr w:rsidR="004F09B6" w:rsidRPr="007628A4" w14:paraId="4C80FA1D" w14:textId="77777777" w:rsidTr="00045756">
        <w:tc>
          <w:tcPr>
            <w:cnfStyle w:val="001000000000" w:firstRow="0" w:lastRow="0" w:firstColumn="1" w:lastColumn="0" w:oddVBand="0" w:evenVBand="0" w:oddHBand="0" w:evenHBand="0" w:firstRowFirstColumn="0" w:firstRowLastColumn="0" w:lastRowFirstColumn="0" w:lastRowLastColumn="0"/>
            <w:tcW w:w="2335" w:type="dxa"/>
            <w:vAlign w:val="center"/>
          </w:tcPr>
          <w:p w14:paraId="18C83082" w14:textId="460AF044" w:rsidR="004F09B6" w:rsidRPr="007628A4" w:rsidRDefault="00B848DB" w:rsidP="007628A4">
            <w:pPr>
              <w:spacing w:line="360" w:lineRule="auto"/>
              <w:rPr>
                <w:rFonts w:ascii="Arial" w:hAnsi="Arial" w:cs="Arial"/>
                <w:sz w:val="22"/>
                <w:szCs w:val="22"/>
              </w:rPr>
            </w:pPr>
            <w:r w:rsidRPr="007628A4">
              <w:rPr>
                <w:rFonts w:ascii="Arial" w:hAnsi="Arial" w:cs="Arial"/>
                <w:sz w:val="22"/>
                <w:szCs w:val="22"/>
              </w:rPr>
              <w:t>Diversification and risk minimization in the market.</w:t>
            </w:r>
          </w:p>
        </w:tc>
        <w:tc>
          <w:tcPr>
            <w:tcW w:w="7015" w:type="dxa"/>
            <w:vAlign w:val="center"/>
          </w:tcPr>
          <w:p w14:paraId="52F99975" w14:textId="25BE04A2" w:rsidR="004F09B6" w:rsidRPr="007628A4" w:rsidRDefault="00B848DB" w:rsidP="00762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628A4">
              <w:rPr>
                <w:rFonts w:ascii="Arial" w:hAnsi="Arial" w:cs="Arial"/>
                <w:sz w:val="22"/>
                <w:szCs w:val="22"/>
              </w:rPr>
              <w:t>Geographical diversification helps it to counter the risk of economic recessions, regulatory measures, or natural calamities in certain markets. As an illustration, the 2011 earthquake that hit Japan affected domestic production, but foreign plants sustained continuity of global supply.</w:t>
            </w:r>
          </w:p>
        </w:tc>
      </w:tr>
      <w:tr w:rsidR="004F09B6" w:rsidRPr="007628A4" w14:paraId="0D7E67D3" w14:textId="77777777" w:rsidTr="00045756">
        <w:tc>
          <w:tcPr>
            <w:cnfStyle w:val="001000000000" w:firstRow="0" w:lastRow="0" w:firstColumn="1" w:lastColumn="0" w:oddVBand="0" w:evenVBand="0" w:oddHBand="0" w:evenHBand="0" w:firstRowFirstColumn="0" w:firstRowLastColumn="0" w:lastRowFirstColumn="0" w:lastRowLastColumn="0"/>
            <w:tcW w:w="2335" w:type="dxa"/>
            <w:vAlign w:val="center"/>
          </w:tcPr>
          <w:p w14:paraId="3E5991A8" w14:textId="77777777" w:rsidR="00B848DB" w:rsidRPr="007628A4" w:rsidRDefault="00B848DB" w:rsidP="007628A4">
            <w:pPr>
              <w:spacing w:line="360" w:lineRule="auto"/>
              <w:rPr>
                <w:rFonts w:ascii="Arial" w:hAnsi="Arial" w:cs="Arial"/>
                <w:sz w:val="22"/>
                <w:szCs w:val="22"/>
              </w:rPr>
            </w:pPr>
            <w:r w:rsidRPr="007628A4">
              <w:rPr>
                <w:rFonts w:ascii="Arial" w:hAnsi="Arial" w:cs="Arial"/>
                <w:sz w:val="22"/>
                <w:szCs w:val="22"/>
              </w:rPr>
              <w:t>Availability of New Markets and Segments of Consumers.</w:t>
            </w:r>
          </w:p>
          <w:p w14:paraId="0B0817DC" w14:textId="77777777" w:rsidR="004F09B6" w:rsidRPr="007628A4" w:rsidRDefault="004F09B6" w:rsidP="007628A4">
            <w:pPr>
              <w:spacing w:line="360" w:lineRule="auto"/>
              <w:rPr>
                <w:rFonts w:ascii="Arial" w:hAnsi="Arial" w:cs="Arial"/>
                <w:sz w:val="22"/>
                <w:szCs w:val="22"/>
              </w:rPr>
            </w:pPr>
          </w:p>
        </w:tc>
        <w:tc>
          <w:tcPr>
            <w:tcW w:w="7015" w:type="dxa"/>
            <w:vAlign w:val="center"/>
          </w:tcPr>
          <w:p w14:paraId="508806EC" w14:textId="05C48110" w:rsidR="004F09B6" w:rsidRPr="007628A4" w:rsidRDefault="00B848DB" w:rsidP="00762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628A4">
              <w:rPr>
                <w:rFonts w:ascii="Arial" w:hAnsi="Arial" w:cs="Arial"/>
                <w:sz w:val="22"/>
                <w:szCs w:val="22"/>
              </w:rPr>
              <w:t>The international operations enable Toyota to cater to different markets with different tastes in vehicles. Thailand is dominated by pickup trucks, Europe by compact cars and North America by SUVs. This improves the relevance of the Toyota brand worldwide.</w:t>
            </w:r>
          </w:p>
        </w:tc>
      </w:tr>
      <w:tr w:rsidR="004F09B6" w:rsidRPr="007628A4" w14:paraId="7B3F7241" w14:textId="77777777" w:rsidTr="00045756">
        <w:tc>
          <w:tcPr>
            <w:cnfStyle w:val="001000000000" w:firstRow="0" w:lastRow="0" w:firstColumn="1" w:lastColumn="0" w:oddVBand="0" w:evenVBand="0" w:oddHBand="0" w:evenHBand="0" w:firstRowFirstColumn="0" w:firstRowLastColumn="0" w:lastRowFirstColumn="0" w:lastRowLastColumn="0"/>
            <w:tcW w:w="2335" w:type="dxa"/>
            <w:vAlign w:val="center"/>
          </w:tcPr>
          <w:p w14:paraId="032A0835" w14:textId="0CC7F3B7" w:rsidR="004F09B6" w:rsidRPr="007628A4" w:rsidRDefault="00B848DB" w:rsidP="007628A4">
            <w:pPr>
              <w:spacing w:line="360" w:lineRule="auto"/>
              <w:rPr>
                <w:rFonts w:ascii="Arial" w:hAnsi="Arial" w:cs="Arial"/>
                <w:sz w:val="22"/>
                <w:szCs w:val="22"/>
              </w:rPr>
            </w:pPr>
            <w:r w:rsidRPr="007628A4">
              <w:rPr>
                <w:rFonts w:ascii="Arial" w:hAnsi="Arial" w:cs="Arial"/>
                <w:sz w:val="22"/>
                <w:szCs w:val="22"/>
              </w:rPr>
              <w:t>Innovation and Knowledge Transfer.</w:t>
            </w:r>
          </w:p>
        </w:tc>
        <w:tc>
          <w:tcPr>
            <w:tcW w:w="7015" w:type="dxa"/>
            <w:vAlign w:val="center"/>
          </w:tcPr>
          <w:p w14:paraId="7E897AF8" w14:textId="5E97FDDB" w:rsidR="004F09B6" w:rsidRPr="007628A4" w:rsidRDefault="00B848DB" w:rsidP="00762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628A4">
              <w:rPr>
                <w:rFonts w:ascii="Arial" w:hAnsi="Arial" w:cs="Arial"/>
                <w:sz w:val="22"/>
                <w:szCs w:val="22"/>
              </w:rPr>
              <w:t>International research and development centres help in sharing technological expertise. The hybrid technology that was developed at Toyota was boosted by the joint R&amp;D activities in Japan, the US, and Europe (Fujimoto, 2019).</w:t>
            </w:r>
          </w:p>
        </w:tc>
      </w:tr>
      <w:tr w:rsidR="004F09B6" w:rsidRPr="007628A4" w14:paraId="5EABEA37" w14:textId="77777777" w:rsidTr="00045756">
        <w:tc>
          <w:tcPr>
            <w:cnfStyle w:val="001000000000" w:firstRow="0" w:lastRow="0" w:firstColumn="1" w:lastColumn="0" w:oddVBand="0" w:evenVBand="0" w:oddHBand="0" w:evenHBand="0" w:firstRowFirstColumn="0" w:firstRowLastColumn="0" w:lastRowFirstColumn="0" w:lastRowLastColumn="0"/>
            <w:tcW w:w="2335" w:type="dxa"/>
            <w:vAlign w:val="center"/>
          </w:tcPr>
          <w:p w14:paraId="4C0F299D" w14:textId="6CDA82AF" w:rsidR="004F09B6" w:rsidRPr="007628A4" w:rsidRDefault="00B848DB" w:rsidP="007628A4">
            <w:pPr>
              <w:spacing w:line="360" w:lineRule="auto"/>
              <w:rPr>
                <w:rFonts w:ascii="Arial" w:hAnsi="Arial" w:cs="Arial"/>
                <w:sz w:val="22"/>
                <w:szCs w:val="22"/>
              </w:rPr>
            </w:pPr>
            <w:r w:rsidRPr="007628A4">
              <w:rPr>
                <w:rFonts w:ascii="Arial" w:hAnsi="Arial" w:cs="Arial"/>
                <w:sz w:val="22"/>
                <w:szCs w:val="22"/>
              </w:rPr>
              <w:t>Enhanced Global Brand Image</w:t>
            </w:r>
          </w:p>
        </w:tc>
        <w:tc>
          <w:tcPr>
            <w:tcW w:w="7015" w:type="dxa"/>
            <w:vAlign w:val="center"/>
          </w:tcPr>
          <w:p w14:paraId="7CBC4B91" w14:textId="07F2997F" w:rsidR="004F09B6" w:rsidRPr="007628A4" w:rsidRDefault="00B848DB" w:rsidP="00762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628A4">
              <w:rPr>
                <w:rFonts w:ascii="Arial" w:hAnsi="Arial" w:cs="Arial"/>
                <w:sz w:val="22"/>
                <w:szCs w:val="22"/>
              </w:rPr>
              <w:t>The global presence enhances the reputation of Toyota in terms of quality, durability and environmental leadership. Well-established brand equity attracts clients and generates an impact on pricing power (Kotler and Keller, 2022).</w:t>
            </w:r>
          </w:p>
        </w:tc>
      </w:tr>
      <w:tr w:rsidR="004F09B6" w:rsidRPr="007628A4" w14:paraId="36733E66" w14:textId="77777777" w:rsidTr="00045756">
        <w:tc>
          <w:tcPr>
            <w:cnfStyle w:val="001000000000" w:firstRow="0" w:lastRow="0" w:firstColumn="1" w:lastColumn="0" w:oddVBand="0" w:evenVBand="0" w:oddHBand="0" w:evenHBand="0" w:firstRowFirstColumn="0" w:firstRowLastColumn="0" w:lastRowFirstColumn="0" w:lastRowLastColumn="0"/>
            <w:tcW w:w="2335" w:type="dxa"/>
            <w:vAlign w:val="center"/>
          </w:tcPr>
          <w:p w14:paraId="04453998" w14:textId="62541C71" w:rsidR="004F09B6" w:rsidRPr="007628A4" w:rsidRDefault="00B848DB" w:rsidP="007628A4">
            <w:pPr>
              <w:spacing w:line="360" w:lineRule="auto"/>
              <w:rPr>
                <w:rFonts w:ascii="Arial" w:hAnsi="Arial" w:cs="Arial"/>
                <w:sz w:val="22"/>
                <w:szCs w:val="22"/>
              </w:rPr>
            </w:pPr>
            <w:r w:rsidRPr="007628A4">
              <w:rPr>
                <w:rFonts w:ascii="Arial" w:hAnsi="Arial" w:cs="Arial"/>
                <w:sz w:val="22"/>
                <w:szCs w:val="22"/>
              </w:rPr>
              <w:t>Responsiveness and adaptation at a local level.</w:t>
            </w:r>
          </w:p>
        </w:tc>
        <w:tc>
          <w:tcPr>
            <w:tcW w:w="7015" w:type="dxa"/>
            <w:vAlign w:val="center"/>
          </w:tcPr>
          <w:p w14:paraId="6EBF2820" w14:textId="2BA87F87" w:rsidR="004F09B6" w:rsidRPr="007628A4" w:rsidRDefault="00B848DB" w:rsidP="00762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628A4">
              <w:rPr>
                <w:rFonts w:ascii="Arial" w:hAnsi="Arial" w:cs="Arial"/>
                <w:sz w:val="22"/>
                <w:szCs w:val="22"/>
              </w:rPr>
              <w:t>Local production also enables Toyota to regulate the fashion of cars to reflect tradition, season and regulatory requirements. It reduces the import price list and takes into account the pride of the customers.</w:t>
            </w:r>
          </w:p>
        </w:tc>
      </w:tr>
      <w:tr w:rsidR="004F09B6" w:rsidRPr="007628A4" w14:paraId="46AC4EA4" w14:textId="77777777" w:rsidTr="00045756">
        <w:tc>
          <w:tcPr>
            <w:cnfStyle w:val="001000000000" w:firstRow="0" w:lastRow="0" w:firstColumn="1" w:lastColumn="0" w:oddVBand="0" w:evenVBand="0" w:oddHBand="0" w:evenHBand="0" w:firstRowFirstColumn="0" w:firstRowLastColumn="0" w:lastRowFirstColumn="0" w:lastRowLastColumn="0"/>
            <w:tcW w:w="2335" w:type="dxa"/>
            <w:vAlign w:val="center"/>
          </w:tcPr>
          <w:p w14:paraId="7E2DA2BF" w14:textId="633B9AFC" w:rsidR="004F09B6" w:rsidRPr="007628A4" w:rsidRDefault="00B848DB" w:rsidP="007628A4">
            <w:pPr>
              <w:spacing w:line="360" w:lineRule="auto"/>
              <w:rPr>
                <w:rFonts w:ascii="Arial" w:hAnsi="Arial" w:cs="Arial"/>
                <w:sz w:val="22"/>
                <w:szCs w:val="22"/>
              </w:rPr>
            </w:pPr>
            <w:r w:rsidRPr="007628A4">
              <w:rPr>
                <w:rFonts w:ascii="Arial" w:hAnsi="Arial" w:cs="Arial"/>
                <w:sz w:val="22"/>
                <w:szCs w:val="22"/>
              </w:rPr>
              <w:t>FDI as a source of strategic control.</w:t>
            </w:r>
          </w:p>
        </w:tc>
        <w:tc>
          <w:tcPr>
            <w:tcW w:w="7015" w:type="dxa"/>
            <w:vAlign w:val="center"/>
          </w:tcPr>
          <w:p w14:paraId="37C97578" w14:textId="7A311F61" w:rsidR="004F09B6" w:rsidRPr="007628A4" w:rsidRDefault="00B848DB" w:rsidP="007628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628A4">
              <w:rPr>
                <w:rFonts w:ascii="Arial" w:hAnsi="Arial" w:cs="Arial"/>
                <w:sz w:val="22"/>
                <w:szCs w:val="22"/>
              </w:rPr>
              <w:t>The wholly owned subsidiaries afford Toyota to exercise good control over production quality, distribution and marketing, which makes it a competitive advantage towards the TPS model.</w:t>
            </w:r>
          </w:p>
        </w:tc>
      </w:tr>
    </w:tbl>
    <w:p w14:paraId="2E731FC3" w14:textId="188F2E29" w:rsidR="006A1424" w:rsidRDefault="006A1424" w:rsidP="007628A4">
      <w:pPr>
        <w:spacing w:before="240" w:line="360" w:lineRule="auto"/>
        <w:jc w:val="both"/>
        <w:rPr>
          <w:rFonts w:ascii="Arial" w:hAnsi="Arial" w:cs="Arial"/>
          <w:color w:val="000000" w:themeColor="text1"/>
        </w:rPr>
      </w:pPr>
      <w:r w:rsidRPr="006A1424">
        <w:rPr>
          <w:rFonts w:ascii="Arial" w:hAnsi="Arial" w:cs="Arial"/>
          <w:color w:val="000000" w:themeColor="text1"/>
        </w:rPr>
        <w:t>In general, the global business activities of Toyota allow reducing costs, increasing markets, diversifying risks, and innovation, which remain central to its long-term competitive edge.</w:t>
      </w:r>
    </w:p>
    <w:p w14:paraId="52241E2D" w14:textId="188F2E29" w:rsidR="005D205A" w:rsidRPr="005D205A" w:rsidRDefault="005D205A" w:rsidP="005D205A">
      <w:pPr>
        <w:pStyle w:val="Heading1"/>
      </w:pPr>
      <w:bookmarkStart w:id="12" w:name="_Toc215577613"/>
      <w:bookmarkStart w:id="13" w:name="_Toc216121778"/>
      <w:r w:rsidRPr="005D205A">
        <w:lastRenderedPageBreak/>
        <w:t>3. OLI Analysis: How Ownership, Location and Internalisation Factors Impact Toyota’s Entry Mode into Thailand</w:t>
      </w:r>
      <w:bookmarkEnd w:id="12"/>
      <w:bookmarkEnd w:id="13"/>
      <w:r w:rsidRPr="005D205A">
        <w:t xml:space="preserve"> </w:t>
      </w:r>
    </w:p>
    <w:p w14:paraId="288AF646" w14:textId="2F15BF0B" w:rsidR="00E9547C" w:rsidRDefault="00E9547C" w:rsidP="005D205A">
      <w:pPr>
        <w:spacing w:line="360" w:lineRule="auto"/>
        <w:jc w:val="both"/>
        <w:rPr>
          <w:rFonts w:ascii="Arial" w:hAnsi="Arial" w:cs="Arial"/>
          <w:color w:val="000000" w:themeColor="text1"/>
        </w:rPr>
      </w:pPr>
      <w:r w:rsidRPr="00E9547C">
        <w:rPr>
          <w:rFonts w:ascii="Arial" w:hAnsi="Arial" w:cs="Arial"/>
          <w:color w:val="000000" w:themeColor="text1"/>
        </w:rPr>
        <w:t>The Dunning Eclectic Paradigm (OLI Framework) is an elaborate theoretical framework that elucidates the reason behind the decision by multinational enterprises to adopt certain entry modes in their expansion to international markets. This framework claims that ownership, location and internalisation benefits interrelate to decide whether a company will enter a foreign market by exporting, licensing, joint ventures (JVs), or a foreign direct investment (FDI) (Dunning, 1993). This section critically examines how OLI factors determine the entry mode decisions of Toyota in Thailand, one of its most strategically important emerging markets.</w:t>
      </w:r>
    </w:p>
    <w:p w14:paraId="49D97648" w14:textId="0806A097" w:rsidR="0023472A" w:rsidRPr="00875312" w:rsidRDefault="0023472A" w:rsidP="005D205A">
      <w:pPr>
        <w:spacing w:line="360" w:lineRule="auto"/>
        <w:jc w:val="both"/>
        <w:rPr>
          <w:rFonts w:asciiTheme="majorHAnsi" w:hAnsiTheme="majorHAnsi" w:cstheme="majorHAnsi"/>
          <w:i/>
          <w:iCs/>
          <w:color w:val="4472C4" w:themeColor="accent1"/>
          <w:sz w:val="22"/>
          <w:szCs w:val="22"/>
        </w:rPr>
      </w:pPr>
      <w:r w:rsidRPr="00875312">
        <w:rPr>
          <w:rFonts w:asciiTheme="majorHAnsi" w:hAnsiTheme="majorHAnsi" w:cstheme="majorHAnsi"/>
          <w:i/>
          <w:iCs/>
          <w:color w:val="4472C4" w:themeColor="accent1"/>
          <w:sz w:val="22"/>
          <w:szCs w:val="22"/>
        </w:rPr>
        <w:t>Figure 5: OLI Analysis: Toyota's Entry Mode into Thailand (Dunning Eclectic Paradigm)</w:t>
      </w:r>
    </w:p>
    <w:p w14:paraId="5D2945A3" w14:textId="47E5A51A" w:rsidR="0023472A" w:rsidRDefault="0023472A" w:rsidP="0023472A">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4FFBA93E" wp14:editId="1B2F559F">
            <wp:extent cx="5918950" cy="3228230"/>
            <wp:effectExtent l="0" t="0" r="5715" b="0"/>
            <wp:docPr id="15002518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25189" name="Picture 15002518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2404" cy="3241022"/>
                    </a:xfrm>
                    <a:prstGeom prst="rect">
                      <a:avLst/>
                    </a:prstGeom>
                  </pic:spPr>
                </pic:pic>
              </a:graphicData>
            </a:graphic>
          </wp:inline>
        </w:drawing>
      </w:r>
    </w:p>
    <w:p w14:paraId="4D3F618D" w14:textId="1C9F1402" w:rsidR="0023472A" w:rsidRPr="00480E71" w:rsidRDefault="00480E71" w:rsidP="0023472A">
      <w:pPr>
        <w:spacing w:line="360" w:lineRule="auto"/>
        <w:jc w:val="center"/>
        <w:rPr>
          <w:rFonts w:asciiTheme="majorHAnsi" w:hAnsiTheme="majorHAnsi" w:cstheme="majorHAnsi"/>
          <w:i/>
          <w:iCs/>
          <w:color w:val="000000" w:themeColor="text1"/>
          <w:sz w:val="22"/>
          <w:szCs w:val="22"/>
        </w:rPr>
      </w:pPr>
      <w:r w:rsidRPr="00480E71">
        <w:rPr>
          <w:rFonts w:asciiTheme="majorHAnsi" w:hAnsiTheme="majorHAnsi" w:cstheme="majorHAnsi"/>
          <w:i/>
          <w:iCs/>
          <w:color w:val="000000" w:themeColor="text1"/>
          <w:sz w:val="22"/>
          <w:szCs w:val="22"/>
        </w:rPr>
        <w:t>Source: Dunning, (1993), Fujimoto, (2019), Hunnert, (2010), Kotler &amp; Keller, (2022).</w:t>
      </w:r>
    </w:p>
    <w:p w14:paraId="48699655" w14:textId="58DA8AE9" w:rsidR="005D205A" w:rsidRPr="005D205A" w:rsidRDefault="005D205A" w:rsidP="005D205A">
      <w:pPr>
        <w:pStyle w:val="Heading2"/>
      </w:pPr>
      <w:bookmarkStart w:id="14" w:name="_Toc215577614"/>
      <w:bookmarkStart w:id="15" w:name="_Toc216121779"/>
      <w:r>
        <w:t xml:space="preserve">3.1 </w:t>
      </w:r>
      <w:r w:rsidRPr="005D205A">
        <w:t>Ownership Advantages and Their Influence on Entry Mode</w:t>
      </w:r>
      <w:bookmarkEnd w:id="14"/>
      <w:bookmarkEnd w:id="15"/>
    </w:p>
    <w:p w14:paraId="40F338FE" w14:textId="77777777" w:rsidR="00642D7E" w:rsidRDefault="00E9547C" w:rsidP="00642D7E">
      <w:pPr>
        <w:spacing w:line="360" w:lineRule="auto"/>
        <w:jc w:val="both"/>
        <w:rPr>
          <w:rFonts w:ascii="Arial" w:hAnsi="Arial" w:cs="Arial"/>
          <w:color w:val="000000" w:themeColor="text1"/>
        </w:rPr>
      </w:pPr>
      <w:r w:rsidRPr="00E9547C">
        <w:rPr>
          <w:rFonts w:ascii="Arial" w:hAnsi="Arial" w:cs="Arial"/>
          <w:color w:val="000000" w:themeColor="text1"/>
        </w:rPr>
        <w:t>Ownership privileges are firm-specific resources that offer a competitive advantage over the domestic firms. Toyota has a number of proprietary advantages which are strongly inclined towards high-control entry modes, including equity-based joint ventures and wholly owned subsidiaries.</w:t>
      </w:r>
    </w:p>
    <w:p w14:paraId="14300886" w14:textId="77777777" w:rsidR="00642D7E" w:rsidRPr="00642D7E" w:rsidRDefault="00642D7E" w:rsidP="00642D7E">
      <w:pPr>
        <w:spacing w:line="360" w:lineRule="auto"/>
        <w:jc w:val="both"/>
        <w:rPr>
          <w:rFonts w:ascii="Arial" w:hAnsi="Arial" w:cs="Arial"/>
          <w:b/>
          <w:bCs/>
          <w:color w:val="000000" w:themeColor="text1"/>
        </w:rPr>
      </w:pPr>
      <w:r w:rsidRPr="00642D7E">
        <w:rPr>
          <w:rFonts w:ascii="Arial" w:hAnsi="Arial" w:cs="Arial"/>
          <w:b/>
          <w:bCs/>
          <w:color w:val="000000" w:themeColor="text1"/>
        </w:rPr>
        <w:lastRenderedPageBreak/>
        <w:t>Innovative and Technological Strengths.</w:t>
      </w:r>
    </w:p>
    <w:p w14:paraId="7280607A" w14:textId="77777777" w:rsidR="00642D7E" w:rsidRDefault="00642D7E" w:rsidP="00642D7E">
      <w:pPr>
        <w:spacing w:line="360" w:lineRule="auto"/>
        <w:jc w:val="both"/>
        <w:rPr>
          <w:rFonts w:ascii="Arial" w:hAnsi="Arial" w:cs="Arial"/>
          <w:color w:val="000000" w:themeColor="text1"/>
        </w:rPr>
      </w:pPr>
      <w:r w:rsidRPr="00642D7E">
        <w:rPr>
          <w:rFonts w:ascii="Arial" w:hAnsi="Arial" w:cs="Arial"/>
          <w:color w:val="000000" w:themeColor="text1"/>
        </w:rPr>
        <w:t>The main strength of ownership of Toyota is the highly developed production processes (Toyota Production System, TPS), hybrid and electric vehicles, and a world-renowned quality of products (Fujimoto, 2019). These intangible resources are not easy to replicate and give Toyota a competitive edge that is long-term. Due to the fact that these technologies are important intellectual property (IP), Toyota holds a high motive of achieving strategic control in new market entrances. Entry modes that are high in control minimize the risk of leaking knowledge to the competitors (Hunnert, 2010).</w:t>
      </w:r>
    </w:p>
    <w:p w14:paraId="550447F2" w14:textId="77777777" w:rsidR="00642D7E" w:rsidRDefault="00642D7E" w:rsidP="00642D7E">
      <w:pPr>
        <w:spacing w:line="360" w:lineRule="auto"/>
        <w:jc w:val="both"/>
        <w:rPr>
          <w:rFonts w:ascii="Arial" w:hAnsi="Arial" w:cs="Arial"/>
          <w:color w:val="000000" w:themeColor="text1"/>
        </w:rPr>
      </w:pPr>
      <w:r w:rsidRPr="00642D7E">
        <w:rPr>
          <w:rFonts w:ascii="Arial" w:hAnsi="Arial" w:cs="Arial"/>
          <w:color w:val="000000" w:themeColor="text1"/>
        </w:rPr>
        <w:t>In Thailand, Toyota had entered initially in the form of a majority-owned subsidiary (Toyota Motor Thailand Co. Ltd.), which allowed the Toyota Company to apply TPS and maintain quality standards without relying heavily on the local partners. The benefits of ownership thus influenced Toyota to shun licensing or franchising, which would open proprietary knowledge to the local firms.</w:t>
      </w:r>
    </w:p>
    <w:p w14:paraId="408FD061" w14:textId="77777777" w:rsidR="00642D7E" w:rsidRPr="00642D7E" w:rsidRDefault="00642D7E" w:rsidP="00642D7E">
      <w:pPr>
        <w:spacing w:line="360" w:lineRule="auto"/>
        <w:jc w:val="both"/>
        <w:rPr>
          <w:rFonts w:ascii="Arial" w:hAnsi="Arial" w:cs="Arial"/>
          <w:b/>
          <w:bCs/>
          <w:color w:val="000000" w:themeColor="text1"/>
        </w:rPr>
      </w:pPr>
      <w:r w:rsidRPr="00642D7E">
        <w:rPr>
          <w:rFonts w:ascii="Arial" w:hAnsi="Arial" w:cs="Arial"/>
          <w:b/>
          <w:bCs/>
          <w:color w:val="000000" w:themeColor="text1"/>
        </w:rPr>
        <w:t>Brand Strength and Financial Resources.</w:t>
      </w:r>
    </w:p>
    <w:p w14:paraId="1E0CE862" w14:textId="3AE6C915" w:rsidR="00642D7E" w:rsidRPr="005D205A" w:rsidRDefault="00642D7E" w:rsidP="005D205A">
      <w:pPr>
        <w:spacing w:line="360" w:lineRule="auto"/>
        <w:jc w:val="both"/>
        <w:rPr>
          <w:rFonts w:ascii="Arial" w:hAnsi="Arial" w:cs="Arial"/>
          <w:color w:val="000000" w:themeColor="text1"/>
        </w:rPr>
      </w:pPr>
      <w:r w:rsidRPr="00642D7E">
        <w:rPr>
          <w:rFonts w:ascii="Arial" w:hAnsi="Arial" w:cs="Arial"/>
          <w:color w:val="000000" w:themeColor="text1"/>
        </w:rPr>
        <w:t>FDI is also the most favored entry strategy by Toyota due to its international brand name, huge financial capability, and massive research and development base. Kotler and Keller (2022) conclude that strong brands lower the risk of market penetration and rationalize greater investments of resources. The capital resources of Toyota have enabled it to build massive-scale factories like its Sarong and Ban Pho production plants. Since they are firm-specific, Toyota would want to have the resources fully utilized by owning them.</w:t>
      </w:r>
      <w:r w:rsidRPr="00642D7E">
        <w:rPr>
          <w:rFonts w:ascii="Arial" w:hAnsi="Arial" w:cs="Arial"/>
          <w:color w:val="000000" w:themeColor="text1"/>
        </w:rPr>
        <w:br/>
        <w:t>The advantages of ownership would therefore serve as a direct factor in the fact that Toyota prefers wholly owned subsidiaries and equity FDI in Thailand.</w:t>
      </w:r>
    </w:p>
    <w:p w14:paraId="12E9E6E4" w14:textId="32DF420D" w:rsidR="005D205A" w:rsidRPr="005D205A" w:rsidRDefault="005D205A" w:rsidP="005D205A">
      <w:pPr>
        <w:pStyle w:val="Heading2"/>
      </w:pPr>
      <w:bookmarkStart w:id="16" w:name="_Toc215577615"/>
      <w:bookmarkStart w:id="17" w:name="_Toc216121780"/>
      <w:r>
        <w:t xml:space="preserve">3.2 </w:t>
      </w:r>
      <w:r w:rsidRPr="005D205A">
        <w:t>Location Advantages and Their Role in Shaping Entry Mode Decisions</w:t>
      </w:r>
      <w:bookmarkEnd w:id="16"/>
      <w:bookmarkEnd w:id="17"/>
    </w:p>
    <w:p w14:paraId="7F39F39C" w14:textId="77777777" w:rsidR="00D60C04" w:rsidRDefault="00EF1449" w:rsidP="00EF1449">
      <w:pPr>
        <w:spacing w:line="360" w:lineRule="auto"/>
        <w:jc w:val="both"/>
        <w:rPr>
          <w:rFonts w:ascii="Arial" w:hAnsi="Arial" w:cs="Arial"/>
          <w:color w:val="000000" w:themeColor="text1"/>
        </w:rPr>
      </w:pPr>
      <w:r w:rsidRPr="00EF1449">
        <w:rPr>
          <w:rFonts w:ascii="Arial" w:hAnsi="Arial" w:cs="Arial"/>
          <w:color w:val="000000" w:themeColor="text1"/>
        </w:rPr>
        <w:t>Location advantages are those characteristics of the country that render a host market a good destination for FDI. Thailand has a mixture of cost, institutional, and strategic advantages that have had a significant impact on the mode of entry by Toyota.</w:t>
      </w:r>
    </w:p>
    <w:p w14:paraId="52EA3A00" w14:textId="77777777" w:rsidR="00D60C04" w:rsidRPr="00D60C04" w:rsidRDefault="00EF1449" w:rsidP="00EF1449">
      <w:pPr>
        <w:spacing w:line="360" w:lineRule="auto"/>
        <w:jc w:val="both"/>
        <w:rPr>
          <w:rFonts w:ascii="Arial" w:hAnsi="Arial" w:cs="Arial"/>
          <w:b/>
          <w:bCs/>
          <w:color w:val="000000" w:themeColor="text1"/>
        </w:rPr>
      </w:pPr>
      <w:r w:rsidRPr="00EF1449">
        <w:rPr>
          <w:rFonts w:ascii="Arial" w:hAnsi="Arial" w:cs="Arial"/>
          <w:b/>
          <w:bCs/>
          <w:color w:val="000000" w:themeColor="text1"/>
        </w:rPr>
        <w:t>Price benefits and availability of skilled labour.</w:t>
      </w:r>
    </w:p>
    <w:p w14:paraId="06F6B61E" w14:textId="77777777" w:rsidR="00D60C04" w:rsidRDefault="00EF1449" w:rsidP="00EF1449">
      <w:pPr>
        <w:spacing w:line="360" w:lineRule="auto"/>
        <w:jc w:val="both"/>
        <w:rPr>
          <w:rFonts w:ascii="Arial" w:hAnsi="Arial" w:cs="Arial"/>
          <w:color w:val="000000" w:themeColor="text1"/>
        </w:rPr>
      </w:pPr>
      <w:r w:rsidRPr="00EF1449">
        <w:rPr>
          <w:rFonts w:ascii="Arial" w:hAnsi="Arial" w:cs="Arial"/>
          <w:color w:val="000000" w:themeColor="text1"/>
        </w:rPr>
        <w:lastRenderedPageBreak/>
        <w:t>Thailand has established a powerful car manufacturing sector, and labour expenses are quite inexpensive, and there are skilled technical employees, as well as industrial districts that are promoted by the government (Thailand Board of Investment, 2023). These benefits render local production as more cost-effective as compared to the exportation of Japan. According to Dunning and Lundan (2008), production-based FDI is more appealing than other modes of entry when cost advantages are concentrated in a host country.</w:t>
      </w:r>
    </w:p>
    <w:p w14:paraId="1785F6D3" w14:textId="09959700" w:rsidR="00D60C04" w:rsidRDefault="00EF1449" w:rsidP="00EF1449">
      <w:pPr>
        <w:spacing w:line="360" w:lineRule="auto"/>
        <w:jc w:val="both"/>
        <w:rPr>
          <w:rFonts w:ascii="Arial" w:hAnsi="Arial" w:cs="Arial"/>
          <w:color w:val="000000" w:themeColor="text1"/>
        </w:rPr>
      </w:pPr>
      <w:r w:rsidRPr="00EF1449">
        <w:rPr>
          <w:rFonts w:ascii="Arial" w:hAnsi="Arial" w:cs="Arial"/>
          <w:color w:val="000000" w:themeColor="text1"/>
        </w:rPr>
        <w:t xml:space="preserve">Also, the supplier networks in Thailand facilitate parts localisation and, in turn, lower procurement costs. Toyota took advantage of these strengths by setting up </w:t>
      </w:r>
      <w:r w:rsidR="00D60C04" w:rsidRPr="00EF1449">
        <w:rPr>
          <w:rFonts w:ascii="Arial" w:hAnsi="Arial" w:cs="Arial"/>
          <w:color w:val="000000" w:themeColor="text1"/>
        </w:rPr>
        <w:t>localized</w:t>
      </w:r>
      <w:r w:rsidRPr="00EF1449">
        <w:rPr>
          <w:rFonts w:ascii="Arial" w:hAnsi="Arial" w:cs="Arial"/>
          <w:color w:val="000000" w:themeColor="text1"/>
        </w:rPr>
        <w:t xml:space="preserve"> manufacturing facilities instead of using exports.</w:t>
      </w:r>
    </w:p>
    <w:p w14:paraId="548DCFA3" w14:textId="77777777" w:rsidR="00D60C04" w:rsidRPr="00D60C04" w:rsidRDefault="00EF1449" w:rsidP="00EF1449">
      <w:pPr>
        <w:spacing w:line="360" w:lineRule="auto"/>
        <w:jc w:val="both"/>
        <w:rPr>
          <w:rFonts w:ascii="Arial" w:hAnsi="Arial" w:cs="Arial"/>
          <w:b/>
          <w:bCs/>
          <w:color w:val="000000" w:themeColor="text1"/>
        </w:rPr>
      </w:pPr>
      <w:r w:rsidRPr="00EF1449">
        <w:rPr>
          <w:rFonts w:ascii="Arial" w:hAnsi="Arial" w:cs="Arial"/>
          <w:b/>
          <w:bCs/>
          <w:color w:val="000000" w:themeColor="text1"/>
        </w:rPr>
        <w:t>Strategic Geographic Location at ASEAN.</w:t>
      </w:r>
    </w:p>
    <w:p w14:paraId="2EDC3DE0" w14:textId="26A7CF88" w:rsidR="00D60C04" w:rsidRDefault="00EF1449" w:rsidP="00EF1449">
      <w:pPr>
        <w:spacing w:line="360" w:lineRule="auto"/>
        <w:jc w:val="both"/>
        <w:rPr>
          <w:rFonts w:ascii="Arial" w:hAnsi="Arial" w:cs="Arial"/>
          <w:color w:val="000000" w:themeColor="text1"/>
        </w:rPr>
      </w:pPr>
      <w:r w:rsidRPr="00EF1449">
        <w:rPr>
          <w:rFonts w:ascii="Arial" w:hAnsi="Arial" w:cs="Arial"/>
          <w:color w:val="000000" w:themeColor="text1"/>
        </w:rPr>
        <w:t>Thailand is a good export hub because of its strategic centrality in Southeast Asia. Being a member of the ASEAN Free Trade Area, Thailand provides tariff-free access to regional markets, including Indonesia, Vietnam and Malaysia (ASEAN, 2022). The advantages of FDI are increased by this regional integration. In the case of Toyota, setting up the production plants in Thailand will enable the company to serve the regional markets effectively, and this will support economies of scale. It would have been costly and less competitive to export out of Japan.</w:t>
      </w:r>
    </w:p>
    <w:p w14:paraId="0A2B1CB1" w14:textId="5AC4DC83" w:rsidR="00875312" w:rsidRPr="00875312" w:rsidRDefault="00875312" w:rsidP="00EF1449">
      <w:pPr>
        <w:spacing w:line="360" w:lineRule="auto"/>
        <w:jc w:val="both"/>
        <w:rPr>
          <w:rFonts w:asciiTheme="majorHAnsi" w:hAnsiTheme="majorHAnsi" w:cstheme="majorHAnsi"/>
          <w:i/>
          <w:iCs/>
          <w:color w:val="4472C4" w:themeColor="accent1"/>
          <w:sz w:val="22"/>
          <w:szCs w:val="22"/>
        </w:rPr>
      </w:pPr>
      <w:r>
        <w:rPr>
          <w:rFonts w:ascii="Arial" w:hAnsi="Arial" w:cs="Arial"/>
          <w:noProof/>
          <w:color w:val="000000" w:themeColor="text1"/>
        </w:rPr>
        <w:drawing>
          <wp:anchor distT="0" distB="0" distL="114300" distR="114300" simplePos="0" relativeHeight="251658240" behindDoc="0" locked="0" layoutInCell="1" allowOverlap="1" wp14:anchorId="14C3D5FB" wp14:editId="54DEEC5D">
            <wp:simplePos x="0" y="0"/>
            <wp:positionH relativeFrom="margin">
              <wp:posOffset>954157</wp:posOffset>
            </wp:positionH>
            <wp:positionV relativeFrom="page">
              <wp:posOffset>6400469</wp:posOffset>
            </wp:positionV>
            <wp:extent cx="4046855" cy="3209925"/>
            <wp:effectExtent l="0" t="0" r="0" b="9525"/>
            <wp:wrapSquare wrapText="bothSides"/>
            <wp:docPr id="9755220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522071" name="Picture 97552207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46855" cy="3209925"/>
                    </a:xfrm>
                    <a:prstGeom prst="rect">
                      <a:avLst/>
                    </a:prstGeom>
                  </pic:spPr>
                </pic:pic>
              </a:graphicData>
            </a:graphic>
            <wp14:sizeRelH relativeFrom="margin">
              <wp14:pctWidth>0</wp14:pctWidth>
            </wp14:sizeRelH>
            <wp14:sizeRelV relativeFrom="margin">
              <wp14:pctHeight>0</wp14:pctHeight>
            </wp14:sizeRelV>
          </wp:anchor>
        </w:drawing>
      </w:r>
      <w:r w:rsidRPr="00875312">
        <w:rPr>
          <w:rFonts w:asciiTheme="majorHAnsi" w:hAnsiTheme="majorHAnsi" w:cstheme="majorHAnsi"/>
          <w:i/>
          <w:iCs/>
          <w:color w:val="4472C4" w:themeColor="accent1"/>
          <w:sz w:val="22"/>
          <w:szCs w:val="22"/>
        </w:rPr>
        <w:t>Figure 6: ASEAN Emblem</w:t>
      </w:r>
    </w:p>
    <w:p w14:paraId="410ACB2A" w14:textId="68748FFD" w:rsidR="00875312" w:rsidRDefault="00875312" w:rsidP="00EF1449">
      <w:pPr>
        <w:spacing w:line="360" w:lineRule="auto"/>
        <w:jc w:val="both"/>
        <w:rPr>
          <w:rFonts w:ascii="Arial" w:hAnsi="Arial" w:cs="Arial"/>
          <w:color w:val="000000" w:themeColor="text1"/>
        </w:rPr>
      </w:pPr>
    </w:p>
    <w:p w14:paraId="058BAE3C" w14:textId="77777777" w:rsidR="00875312" w:rsidRDefault="00875312" w:rsidP="0085488D">
      <w:pPr>
        <w:spacing w:line="360" w:lineRule="auto"/>
        <w:jc w:val="both"/>
        <w:rPr>
          <w:rFonts w:ascii="Arial" w:hAnsi="Arial" w:cs="Arial"/>
          <w:color w:val="000000" w:themeColor="text1"/>
        </w:rPr>
      </w:pPr>
    </w:p>
    <w:p w14:paraId="7720D16F" w14:textId="77777777" w:rsidR="00875312" w:rsidRDefault="00875312" w:rsidP="0085488D">
      <w:pPr>
        <w:spacing w:line="360" w:lineRule="auto"/>
        <w:jc w:val="both"/>
        <w:rPr>
          <w:rFonts w:ascii="Arial" w:hAnsi="Arial" w:cs="Arial"/>
          <w:color w:val="000000" w:themeColor="text1"/>
        </w:rPr>
      </w:pPr>
    </w:p>
    <w:p w14:paraId="0BCE6D8E" w14:textId="77777777" w:rsidR="00875312" w:rsidRDefault="00875312" w:rsidP="0085488D">
      <w:pPr>
        <w:spacing w:line="360" w:lineRule="auto"/>
        <w:jc w:val="both"/>
        <w:rPr>
          <w:rFonts w:ascii="Arial" w:hAnsi="Arial" w:cs="Arial"/>
          <w:color w:val="000000" w:themeColor="text1"/>
        </w:rPr>
      </w:pPr>
    </w:p>
    <w:p w14:paraId="02FBFB8B" w14:textId="77777777" w:rsidR="00875312" w:rsidRDefault="00875312" w:rsidP="0085488D">
      <w:pPr>
        <w:spacing w:line="360" w:lineRule="auto"/>
        <w:jc w:val="both"/>
        <w:rPr>
          <w:rFonts w:ascii="Arial" w:hAnsi="Arial" w:cs="Arial"/>
          <w:color w:val="000000" w:themeColor="text1"/>
        </w:rPr>
      </w:pPr>
    </w:p>
    <w:p w14:paraId="182F0200" w14:textId="77777777" w:rsidR="00875312" w:rsidRDefault="00875312" w:rsidP="0085488D">
      <w:pPr>
        <w:spacing w:line="360" w:lineRule="auto"/>
        <w:jc w:val="both"/>
        <w:rPr>
          <w:rFonts w:ascii="Arial" w:hAnsi="Arial" w:cs="Arial"/>
          <w:color w:val="000000" w:themeColor="text1"/>
        </w:rPr>
      </w:pPr>
    </w:p>
    <w:p w14:paraId="313424D5" w14:textId="77777777" w:rsidR="00875312" w:rsidRDefault="00875312" w:rsidP="0085488D">
      <w:pPr>
        <w:spacing w:line="360" w:lineRule="auto"/>
        <w:jc w:val="both"/>
        <w:rPr>
          <w:rFonts w:ascii="Arial" w:hAnsi="Arial" w:cs="Arial"/>
          <w:color w:val="000000" w:themeColor="text1"/>
        </w:rPr>
      </w:pPr>
    </w:p>
    <w:p w14:paraId="268A0585" w14:textId="32E62363" w:rsidR="00875312" w:rsidRPr="00A86DA1" w:rsidRDefault="00A86DA1" w:rsidP="00A86DA1">
      <w:pPr>
        <w:spacing w:line="360" w:lineRule="auto"/>
        <w:jc w:val="center"/>
        <w:rPr>
          <w:rFonts w:asciiTheme="majorHAnsi" w:hAnsiTheme="majorHAnsi" w:cstheme="majorHAnsi"/>
          <w:i/>
          <w:iCs/>
          <w:sz w:val="22"/>
          <w:szCs w:val="22"/>
        </w:rPr>
      </w:pPr>
      <w:r w:rsidRPr="00A86DA1">
        <w:rPr>
          <w:rFonts w:asciiTheme="majorHAnsi" w:hAnsiTheme="majorHAnsi" w:cstheme="majorHAnsi"/>
          <w:i/>
          <w:iCs/>
          <w:sz w:val="22"/>
          <w:szCs w:val="22"/>
        </w:rPr>
        <w:lastRenderedPageBreak/>
        <w:t>Source: The ASEAN Main Portal</w:t>
      </w:r>
    </w:p>
    <w:p w14:paraId="3CEA7016" w14:textId="7138AE77" w:rsidR="0085488D" w:rsidRDefault="00EF1449" w:rsidP="0085488D">
      <w:pPr>
        <w:spacing w:line="360" w:lineRule="auto"/>
        <w:jc w:val="both"/>
        <w:rPr>
          <w:rFonts w:ascii="Arial" w:hAnsi="Arial" w:cs="Arial"/>
          <w:color w:val="000000" w:themeColor="text1"/>
        </w:rPr>
      </w:pPr>
      <w:r w:rsidRPr="00EF1449">
        <w:rPr>
          <w:rFonts w:ascii="Arial" w:hAnsi="Arial" w:cs="Arial"/>
          <w:color w:val="000000" w:themeColor="text1"/>
        </w:rPr>
        <w:t>Therefore, optimal local trade policies had a powerful influence on the outcome in the choice of the entry mode when Toyota decided to pursue FDI.</w:t>
      </w:r>
    </w:p>
    <w:p w14:paraId="2FE2DE55" w14:textId="77777777" w:rsidR="0085488D" w:rsidRPr="0085488D" w:rsidRDefault="0085488D" w:rsidP="0085488D">
      <w:pPr>
        <w:spacing w:line="360" w:lineRule="auto"/>
        <w:jc w:val="both"/>
        <w:rPr>
          <w:rFonts w:ascii="Arial" w:hAnsi="Arial" w:cs="Arial"/>
          <w:b/>
          <w:bCs/>
          <w:color w:val="000000" w:themeColor="text1"/>
        </w:rPr>
      </w:pPr>
      <w:r w:rsidRPr="0085488D">
        <w:rPr>
          <w:rFonts w:ascii="Arial" w:hAnsi="Arial" w:cs="Arial"/>
          <w:b/>
          <w:bCs/>
          <w:color w:val="000000" w:themeColor="text1"/>
        </w:rPr>
        <w:t>Policy Support and Government Incentives.</w:t>
      </w:r>
    </w:p>
    <w:p w14:paraId="1FF5D163" w14:textId="0D411909" w:rsidR="0085488D" w:rsidRDefault="0085488D" w:rsidP="0085488D">
      <w:pPr>
        <w:spacing w:line="360" w:lineRule="auto"/>
        <w:jc w:val="both"/>
        <w:rPr>
          <w:rFonts w:ascii="Arial" w:hAnsi="Arial" w:cs="Arial"/>
          <w:color w:val="000000" w:themeColor="text1"/>
        </w:rPr>
      </w:pPr>
      <w:r w:rsidRPr="0085488D">
        <w:rPr>
          <w:rFonts w:ascii="Arial" w:hAnsi="Arial" w:cs="Arial"/>
          <w:color w:val="000000" w:themeColor="text1"/>
        </w:rPr>
        <w:t>The Thai government actively encourages investment in the automotive industry by providing tax incentives and subsidies and by developing favorable regulations, in particular those related to environmentally friendly cars (BOI, 2023). Duty policies on the importation of machinery and corporate tax holidays are highly encouraging to foreign automobiles to set up production units. Hill (2023) holds that host country policies play a broad role in the choice of firm entry modes.</w:t>
      </w:r>
    </w:p>
    <w:p w14:paraId="278CD5A3" w14:textId="156A2BCA" w:rsidR="0085488D" w:rsidRPr="005D205A" w:rsidRDefault="0085488D" w:rsidP="005D205A">
      <w:pPr>
        <w:spacing w:line="360" w:lineRule="auto"/>
        <w:jc w:val="both"/>
        <w:rPr>
          <w:rFonts w:ascii="Arial" w:hAnsi="Arial" w:cs="Arial"/>
          <w:color w:val="000000" w:themeColor="text1"/>
        </w:rPr>
      </w:pPr>
      <w:r w:rsidRPr="0085488D">
        <w:rPr>
          <w:rFonts w:ascii="Arial" w:hAnsi="Arial" w:cs="Arial"/>
          <w:color w:val="000000" w:themeColor="text1"/>
        </w:rPr>
        <w:t>The move by Toyota to move into the hybrid vehicle manufacturing business in Thailand portrays the congruence of its global sustainability policy and the investment incentives of Thailand.</w:t>
      </w:r>
    </w:p>
    <w:p w14:paraId="2D0ABCBF" w14:textId="2C6961EF" w:rsidR="005D205A" w:rsidRPr="005D205A" w:rsidRDefault="005D205A" w:rsidP="005D205A">
      <w:pPr>
        <w:pStyle w:val="Heading2"/>
      </w:pPr>
      <w:bookmarkStart w:id="18" w:name="_Toc215577616"/>
      <w:bookmarkStart w:id="19" w:name="_Toc216121781"/>
      <w:r>
        <w:t xml:space="preserve">3.3 </w:t>
      </w:r>
      <w:r w:rsidRPr="005D205A">
        <w:t>Internalisation Advantages and Their Impact on Entry Mode</w:t>
      </w:r>
      <w:bookmarkEnd w:id="18"/>
      <w:bookmarkEnd w:id="19"/>
    </w:p>
    <w:p w14:paraId="2C9C9290" w14:textId="256B80BC" w:rsidR="0086614F" w:rsidRDefault="0085488D" w:rsidP="0085488D">
      <w:pPr>
        <w:spacing w:line="360" w:lineRule="auto"/>
        <w:jc w:val="both"/>
        <w:rPr>
          <w:rFonts w:ascii="Arial" w:hAnsi="Arial" w:cs="Arial"/>
          <w:color w:val="000000" w:themeColor="text1"/>
        </w:rPr>
      </w:pPr>
      <w:r w:rsidRPr="0085488D">
        <w:rPr>
          <w:rFonts w:ascii="Arial" w:hAnsi="Arial" w:cs="Arial"/>
          <w:color w:val="000000" w:themeColor="text1"/>
        </w:rPr>
        <w:t xml:space="preserve">Internalisation benefits refer to the advantages that a firm will get by </w:t>
      </w:r>
      <w:r w:rsidR="0086614F" w:rsidRPr="0085488D">
        <w:rPr>
          <w:rFonts w:ascii="Arial" w:hAnsi="Arial" w:cs="Arial"/>
          <w:color w:val="000000" w:themeColor="text1"/>
        </w:rPr>
        <w:t>internalizing</w:t>
      </w:r>
      <w:r w:rsidRPr="0085488D">
        <w:rPr>
          <w:rFonts w:ascii="Arial" w:hAnsi="Arial" w:cs="Arial"/>
          <w:color w:val="000000" w:themeColor="text1"/>
        </w:rPr>
        <w:t xml:space="preserve"> the operations instead of outsourcing them by licensing or contracting. These are the benefits that are essential in the entry mode of Toyota in Thailand.</w:t>
      </w:r>
    </w:p>
    <w:p w14:paraId="107FB32E" w14:textId="77777777" w:rsidR="0086614F" w:rsidRPr="0086614F" w:rsidRDefault="0085488D" w:rsidP="0085488D">
      <w:pPr>
        <w:spacing w:line="360" w:lineRule="auto"/>
        <w:jc w:val="both"/>
        <w:rPr>
          <w:rFonts w:ascii="Arial" w:hAnsi="Arial" w:cs="Arial"/>
          <w:b/>
          <w:bCs/>
          <w:color w:val="000000" w:themeColor="text1"/>
        </w:rPr>
      </w:pPr>
      <w:r w:rsidRPr="0085488D">
        <w:rPr>
          <w:rFonts w:ascii="Arial" w:hAnsi="Arial" w:cs="Arial"/>
          <w:b/>
          <w:bCs/>
          <w:color w:val="000000" w:themeColor="text1"/>
        </w:rPr>
        <w:t>Guarantee of Trading Operations.</w:t>
      </w:r>
    </w:p>
    <w:p w14:paraId="7FECFEA5" w14:textId="7927FDC6" w:rsidR="0086614F" w:rsidRDefault="0085488D" w:rsidP="0085488D">
      <w:pPr>
        <w:spacing w:line="360" w:lineRule="auto"/>
        <w:jc w:val="both"/>
        <w:rPr>
          <w:rFonts w:ascii="Arial" w:hAnsi="Arial" w:cs="Arial"/>
          <w:color w:val="000000" w:themeColor="text1"/>
        </w:rPr>
      </w:pPr>
      <w:r w:rsidRPr="0085488D">
        <w:rPr>
          <w:rFonts w:ascii="Arial" w:hAnsi="Arial" w:cs="Arial"/>
          <w:color w:val="000000" w:themeColor="text1"/>
        </w:rPr>
        <w:t xml:space="preserve">The best manufacturing processes of Toyota, such as TPS, lean manufacturing, Kaizen and integration techniques in suppliers, are the key parts in its </w:t>
      </w:r>
      <w:r w:rsidR="0086614F" w:rsidRPr="0085488D">
        <w:rPr>
          <w:rFonts w:ascii="Arial" w:hAnsi="Arial" w:cs="Arial"/>
          <w:color w:val="000000" w:themeColor="text1"/>
        </w:rPr>
        <w:t>globalized</w:t>
      </w:r>
      <w:r w:rsidRPr="0085488D">
        <w:rPr>
          <w:rFonts w:ascii="Arial" w:hAnsi="Arial" w:cs="Arial"/>
          <w:color w:val="000000" w:themeColor="text1"/>
        </w:rPr>
        <w:t xml:space="preserve"> competitive strategy (Ohno, 1988). Allowing the processes to be licensed to the Thai companies would pose a risk of duplication and loss of competitive advantage. Wholly owned subsidiaries are also a way of </w:t>
      </w:r>
      <w:r w:rsidR="0086614F" w:rsidRPr="0085488D">
        <w:rPr>
          <w:rFonts w:ascii="Arial" w:hAnsi="Arial" w:cs="Arial"/>
          <w:color w:val="000000" w:themeColor="text1"/>
        </w:rPr>
        <w:t>internalizing</w:t>
      </w:r>
      <w:r w:rsidRPr="0085488D">
        <w:rPr>
          <w:rFonts w:ascii="Arial" w:hAnsi="Arial" w:cs="Arial"/>
          <w:color w:val="000000" w:themeColor="text1"/>
        </w:rPr>
        <w:t xml:space="preserve"> production, and in this case, quality,</w:t>
      </w:r>
      <w:r w:rsidR="0086614F">
        <w:rPr>
          <w:rFonts w:ascii="Arial" w:hAnsi="Arial" w:cs="Arial"/>
          <w:color w:val="000000" w:themeColor="text1"/>
        </w:rPr>
        <w:t xml:space="preserve"> </w:t>
      </w:r>
      <w:r w:rsidRPr="0085488D">
        <w:rPr>
          <w:rFonts w:ascii="Arial" w:hAnsi="Arial" w:cs="Arial"/>
          <w:color w:val="000000" w:themeColor="text1"/>
        </w:rPr>
        <w:t>technology, and management practices are tightened.</w:t>
      </w:r>
    </w:p>
    <w:p w14:paraId="61135EDC" w14:textId="725DD83F" w:rsidR="0086614F" w:rsidRPr="0086614F" w:rsidRDefault="0086614F" w:rsidP="0085488D">
      <w:pPr>
        <w:spacing w:line="360" w:lineRule="auto"/>
        <w:jc w:val="both"/>
        <w:rPr>
          <w:rFonts w:ascii="Arial" w:hAnsi="Arial" w:cs="Arial"/>
          <w:b/>
          <w:bCs/>
          <w:color w:val="000000" w:themeColor="text1"/>
        </w:rPr>
      </w:pPr>
      <w:r w:rsidRPr="0085488D">
        <w:rPr>
          <w:rFonts w:ascii="Arial" w:hAnsi="Arial" w:cs="Arial"/>
          <w:b/>
          <w:bCs/>
          <w:color w:val="000000" w:themeColor="text1"/>
        </w:rPr>
        <w:t>Minimization</w:t>
      </w:r>
      <w:r w:rsidR="0085488D" w:rsidRPr="0085488D">
        <w:rPr>
          <w:rFonts w:ascii="Arial" w:hAnsi="Arial" w:cs="Arial"/>
          <w:b/>
          <w:bCs/>
          <w:color w:val="000000" w:themeColor="text1"/>
        </w:rPr>
        <w:t xml:space="preserve"> of Transaction Costs.</w:t>
      </w:r>
    </w:p>
    <w:p w14:paraId="2DE15CEB" w14:textId="77777777" w:rsidR="0086614F" w:rsidRDefault="0085488D" w:rsidP="0085488D">
      <w:pPr>
        <w:spacing w:line="360" w:lineRule="auto"/>
        <w:jc w:val="both"/>
        <w:rPr>
          <w:rFonts w:ascii="Arial" w:hAnsi="Arial" w:cs="Arial"/>
          <w:color w:val="000000" w:themeColor="text1"/>
        </w:rPr>
      </w:pPr>
      <w:r w:rsidRPr="0085488D">
        <w:rPr>
          <w:rFonts w:ascii="Arial" w:hAnsi="Arial" w:cs="Arial"/>
          <w:color w:val="000000" w:themeColor="text1"/>
        </w:rPr>
        <w:t xml:space="preserve">Collaborating with external partners enhances the cost of transactions in terms of monitoring, enforcing contracts and coordination (Williamson, 1985). These costs are </w:t>
      </w:r>
      <w:r w:rsidRPr="0085488D">
        <w:rPr>
          <w:rFonts w:ascii="Arial" w:hAnsi="Arial" w:cs="Arial"/>
          <w:color w:val="000000" w:themeColor="text1"/>
        </w:rPr>
        <w:lastRenderedPageBreak/>
        <w:t>reduced through internalisation of operations to enhance efficiency. The global production system at Toyota needs high coordination and uniformity; hence, the concept of internalisation offers easier integration of the global standards with the local production.</w:t>
      </w:r>
    </w:p>
    <w:p w14:paraId="6A07C3A3" w14:textId="77777777" w:rsidR="0086614F" w:rsidRPr="0086614F" w:rsidRDefault="0085488D" w:rsidP="0085488D">
      <w:pPr>
        <w:spacing w:line="360" w:lineRule="auto"/>
        <w:jc w:val="both"/>
        <w:rPr>
          <w:rFonts w:ascii="Arial" w:hAnsi="Arial" w:cs="Arial"/>
          <w:b/>
          <w:bCs/>
          <w:color w:val="000000" w:themeColor="text1"/>
        </w:rPr>
      </w:pPr>
      <w:r w:rsidRPr="0085488D">
        <w:rPr>
          <w:rFonts w:ascii="Arial" w:hAnsi="Arial" w:cs="Arial"/>
          <w:b/>
          <w:bCs/>
          <w:color w:val="000000" w:themeColor="text1"/>
        </w:rPr>
        <w:t>Supply Chain Control and Reliability.</w:t>
      </w:r>
    </w:p>
    <w:p w14:paraId="0348E5B5" w14:textId="2B516AE6" w:rsidR="0086614F" w:rsidRDefault="0085488D" w:rsidP="0085488D">
      <w:pPr>
        <w:spacing w:line="360" w:lineRule="auto"/>
        <w:jc w:val="both"/>
        <w:rPr>
          <w:rFonts w:ascii="Arial" w:hAnsi="Arial" w:cs="Arial"/>
          <w:color w:val="000000" w:themeColor="text1"/>
        </w:rPr>
      </w:pPr>
      <w:r w:rsidRPr="0085488D">
        <w:rPr>
          <w:rFonts w:ascii="Arial" w:hAnsi="Arial" w:cs="Arial"/>
          <w:color w:val="000000" w:themeColor="text1"/>
        </w:rPr>
        <w:t xml:space="preserve">The automobile sector demands strong dependability of delivery, quality and cost management. </w:t>
      </w:r>
      <w:r w:rsidR="0086614F" w:rsidRPr="0085488D">
        <w:rPr>
          <w:rFonts w:ascii="Arial" w:hAnsi="Arial" w:cs="Arial"/>
          <w:color w:val="000000" w:themeColor="text1"/>
        </w:rPr>
        <w:t>Internalizing</w:t>
      </w:r>
      <w:r w:rsidRPr="0085488D">
        <w:rPr>
          <w:rFonts w:ascii="Arial" w:hAnsi="Arial" w:cs="Arial"/>
          <w:color w:val="000000" w:themeColor="text1"/>
        </w:rPr>
        <w:t xml:space="preserve"> operations in Thailand, Toyota will be able to plan the coordination and </w:t>
      </w:r>
      <w:r w:rsidR="0086614F" w:rsidRPr="0085488D">
        <w:rPr>
          <w:rFonts w:ascii="Arial" w:hAnsi="Arial" w:cs="Arial"/>
          <w:color w:val="000000" w:themeColor="text1"/>
        </w:rPr>
        <w:t>organize</w:t>
      </w:r>
      <w:r w:rsidRPr="0085488D">
        <w:rPr>
          <w:rFonts w:ascii="Arial" w:hAnsi="Arial" w:cs="Arial"/>
          <w:color w:val="000000" w:themeColor="text1"/>
        </w:rPr>
        <w:t xml:space="preserve"> the component flows closely and </w:t>
      </w:r>
      <w:r w:rsidR="0086614F" w:rsidRPr="0085488D">
        <w:rPr>
          <w:rFonts w:ascii="Arial" w:hAnsi="Arial" w:cs="Arial"/>
          <w:color w:val="000000" w:themeColor="text1"/>
        </w:rPr>
        <w:t>minimize</w:t>
      </w:r>
      <w:r w:rsidRPr="0085488D">
        <w:rPr>
          <w:rFonts w:ascii="Arial" w:hAnsi="Arial" w:cs="Arial"/>
          <w:color w:val="000000" w:themeColor="text1"/>
        </w:rPr>
        <w:t xml:space="preserve"> the uncertainties. Hunnert (2010) suggests that </w:t>
      </w:r>
      <w:r w:rsidR="0086614F" w:rsidRPr="0085488D">
        <w:rPr>
          <w:rFonts w:ascii="Arial" w:hAnsi="Arial" w:cs="Arial"/>
          <w:color w:val="000000" w:themeColor="text1"/>
        </w:rPr>
        <w:t>internalized</w:t>
      </w:r>
      <w:r w:rsidRPr="0085488D">
        <w:rPr>
          <w:rFonts w:ascii="Arial" w:hAnsi="Arial" w:cs="Arial"/>
          <w:color w:val="000000" w:themeColor="text1"/>
        </w:rPr>
        <w:t xml:space="preserve"> structures are especially useful in the industry with complex supply chains and high asset specificity.</w:t>
      </w:r>
    </w:p>
    <w:p w14:paraId="2E4C9B56" w14:textId="2FE0E7BC" w:rsidR="006531B2" w:rsidRPr="006531B2" w:rsidRDefault="006531B2" w:rsidP="0085488D">
      <w:pPr>
        <w:spacing w:line="360" w:lineRule="auto"/>
        <w:jc w:val="both"/>
        <w:rPr>
          <w:rFonts w:asciiTheme="majorHAnsi" w:hAnsiTheme="majorHAnsi" w:cstheme="majorHAnsi"/>
          <w:i/>
          <w:iCs/>
          <w:color w:val="4472C4" w:themeColor="accent1"/>
          <w:sz w:val="22"/>
          <w:szCs w:val="22"/>
        </w:rPr>
      </w:pPr>
      <w:r w:rsidRPr="006531B2">
        <w:rPr>
          <w:rFonts w:asciiTheme="majorHAnsi" w:hAnsiTheme="majorHAnsi" w:cstheme="majorHAnsi"/>
          <w:i/>
          <w:iCs/>
          <w:color w:val="4472C4" w:themeColor="accent1"/>
          <w:sz w:val="22"/>
          <w:szCs w:val="22"/>
        </w:rPr>
        <w:t>Figure 7: Supply-Chain Operations Reference (SCOR) Model</w:t>
      </w:r>
    </w:p>
    <w:p w14:paraId="087562A7" w14:textId="7F81C31B" w:rsidR="006531B2" w:rsidRDefault="006531B2" w:rsidP="006531B2">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3026E58F" wp14:editId="63A5EBE2">
            <wp:extent cx="2679092" cy="2679092"/>
            <wp:effectExtent l="0" t="0" r="6985" b="6985"/>
            <wp:docPr id="25579443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794432" name="Picture 25579443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87939" cy="2687939"/>
                    </a:xfrm>
                    <a:prstGeom prst="rect">
                      <a:avLst/>
                    </a:prstGeom>
                  </pic:spPr>
                </pic:pic>
              </a:graphicData>
            </a:graphic>
          </wp:inline>
        </w:drawing>
      </w:r>
    </w:p>
    <w:p w14:paraId="6C78EF3A" w14:textId="764ED517" w:rsidR="006531B2" w:rsidRPr="006531B2" w:rsidRDefault="006531B2" w:rsidP="006531B2">
      <w:pPr>
        <w:spacing w:line="360" w:lineRule="auto"/>
        <w:jc w:val="center"/>
        <w:rPr>
          <w:rFonts w:asciiTheme="majorHAnsi" w:hAnsiTheme="majorHAnsi" w:cstheme="majorHAnsi"/>
          <w:i/>
          <w:iCs/>
          <w:color w:val="000000" w:themeColor="text1"/>
          <w:sz w:val="22"/>
          <w:szCs w:val="22"/>
        </w:rPr>
      </w:pPr>
      <w:r w:rsidRPr="006531B2">
        <w:rPr>
          <w:rFonts w:asciiTheme="majorHAnsi" w:hAnsiTheme="majorHAnsi" w:cstheme="majorHAnsi"/>
          <w:i/>
          <w:iCs/>
          <w:color w:val="000000" w:themeColor="text1"/>
          <w:sz w:val="22"/>
          <w:szCs w:val="22"/>
        </w:rPr>
        <w:t>Source: Developed by the Supply-Chain Council (SCC)</w:t>
      </w:r>
    </w:p>
    <w:p w14:paraId="0D97BD14" w14:textId="77777777" w:rsidR="0086614F" w:rsidRPr="0086614F" w:rsidRDefault="0085488D" w:rsidP="0085488D">
      <w:pPr>
        <w:spacing w:line="360" w:lineRule="auto"/>
        <w:jc w:val="both"/>
        <w:rPr>
          <w:rFonts w:ascii="Arial" w:hAnsi="Arial" w:cs="Arial"/>
          <w:b/>
          <w:bCs/>
          <w:color w:val="000000" w:themeColor="text1"/>
        </w:rPr>
      </w:pPr>
      <w:r w:rsidRPr="0085488D">
        <w:rPr>
          <w:rFonts w:ascii="Arial" w:hAnsi="Arial" w:cs="Arial"/>
          <w:b/>
          <w:bCs/>
          <w:color w:val="000000" w:themeColor="text1"/>
        </w:rPr>
        <w:t>Internalisation and JVs</w:t>
      </w:r>
    </w:p>
    <w:p w14:paraId="45E3D601" w14:textId="77777777" w:rsidR="0086614F" w:rsidRDefault="0085488D" w:rsidP="0085488D">
      <w:pPr>
        <w:spacing w:line="360" w:lineRule="auto"/>
        <w:jc w:val="both"/>
        <w:rPr>
          <w:rFonts w:ascii="Arial" w:hAnsi="Arial" w:cs="Arial"/>
          <w:color w:val="000000" w:themeColor="text1"/>
        </w:rPr>
      </w:pPr>
      <w:r w:rsidRPr="0085488D">
        <w:rPr>
          <w:rFonts w:ascii="Arial" w:hAnsi="Arial" w:cs="Arial"/>
          <w:color w:val="000000" w:themeColor="text1"/>
        </w:rPr>
        <w:t>Despite majority ownership by Toyota in Thailand, a few of the operations can be a collaboration with the local partners. Nonetheless, the internalisation aspect is still prevailing, as Toyota has retained the power in the hands of major technologies and processes and has outsourced non-core operations selectively.</w:t>
      </w:r>
    </w:p>
    <w:p w14:paraId="471E7014" w14:textId="5095B223" w:rsidR="0085488D" w:rsidRPr="005D205A" w:rsidRDefault="0085488D" w:rsidP="005D205A">
      <w:pPr>
        <w:spacing w:line="360" w:lineRule="auto"/>
        <w:jc w:val="both"/>
        <w:rPr>
          <w:rFonts w:ascii="Arial" w:hAnsi="Arial" w:cs="Arial"/>
          <w:color w:val="000000" w:themeColor="text1"/>
        </w:rPr>
      </w:pPr>
      <w:r w:rsidRPr="0085488D">
        <w:rPr>
          <w:rFonts w:ascii="Arial" w:hAnsi="Arial" w:cs="Arial"/>
          <w:color w:val="000000" w:themeColor="text1"/>
        </w:rPr>
        <w:t>Therefore, the internalisation benefits can support the selection of FDI as the mode of entry Toyota should use to enter Thailand.</w:t>
      </w:r>
    </w:p>
    <w:p w14:paraId="1B99132A" w14:textId="117D5E45" w:rsidR="005D205A" w:rsidRPr="005D205A" w:rsidRDefault="005D205A" w:rsidP="005D205A">
      <w:pPr>
        <w:pStyle w:val="Heading2"/>
      </w:pPr>
      <w:bookmarkStart w:id="20" w:name="_Toc215577617"/>
      <w:bookmarkStart w:id="21" w:name="_Toc216121782"/>
      <w:r>
        <w:lastRenderedPageBreak/>
        <w:t xml:space="preserve">3.4 </w:t>
      </w:r>
      <w:r w:rsidRPr="005D205A">
        <w:t>Integrating OLI Factors: Why FDI Is Toyota’s Dominant Mode of Entry in Thailand</w:t>
      </w:r>
      <w:bookmarkEnd w:id="20"/>
      <w:bookmarkEnd w:id="21"/>
    </w:p>
    <w:p w14:paraId="01F04884" w14:textId="77777777" w:rsidR="0086614F" w:rsidRDefault="0086614F" w:rsidP="0086614F">
      <w:pPr>
        <w:spacing w:line="360" w:lineRule="auto"/>
        <w:jc w:val="both"/>
        <w:rPr>
          <w:rFonts w:ascii="Arial" w:hAnsi="Arial" w:cs="Arial"/>
          <w:color w:val="000000" w:themeColor="text1"/>
        </w:rPr>
      </w:pPr>
      <w:r w:rsidRPr="0086614F">
        <w:rPr>
          <w:rFonts w:ascii="Arial" w:hAnsi="Arial" w:cs="Arial"/>
          <w:color w:val="000000" w:themeColor="text1"/>
        </w:rPr>
        <w:t>The combination of ownership, location and internalisation of benefits clearly shows that a high-control, investment-intensive entry mode is very strong.</w:t>
      </w:r>
    </w:p>
    <w:tbl>
      <w:tblPr>
        <w:tblStyle w:val="GridTable1Light"/>
        <w:tblW w:w="0" w:type="auto"/>
        <w:tblLook w:val="04A0" w:firstRow="1" w:lastRow="0" w:firstColumn="1" w:lastColumn="0" w:noHBand="0" w:noVBand="1"/>
      </w:tblPr>
      <w:tblGrid>
        <w:gridCol w:w="1708"/>
        <w:gridCol w:w="7642"/>
      </w:tblGrid>
      <w:tr w:rsidR="00B546A1" w:rsidRPr="00C43D37" w14:paraId="7E81B03D" w14:textId="77777777" w:rsidTr="00C43D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vAlign w:val="center"/>
          </w:tcPr>
          <w:p w14:paraId="4597DB9C" w14:textId="6B3EB43D" w:rsidR="00B546A1" w:rsidRPr="00C43D37" w:rsidRDefault="00B546A1" w:rsidP="00C43D37">
            <w:pPr>
              <w:spacing w:line="360" w:lineRule="auto"/>
              <w:jc w:val="center"/>
              <w:rPr>
                <w:rFonts w:ascii="Arial" w:hAnsi="Arial" w:cs="Arial"/>
                <w:color w:val="000000" w:themeColor="text1"/>
                <w:sz w:val="22"/>
                <w:szCs w:val="22"/>
              </w:rPr>
            </w:pPr>
            <w:r w:rsidRPr="00C43D37">
              <w:rPr>
                <w:rFonts w:ascii="Arial" w:hAnsi="Arial" w:cs="Arial"/>
                <w:color w:val="000000" w:themeColor="text1"/>
                <w:sz w:val="22"/>
                <w:szCs w:val="22"/>
              </w:rPr>
              <w:t>OLI Factor</w:t>
            </w:r>
          </w:p>
        </w:tc>
        <w:tc>
          <w:tcPr>
            <w:tcW w:w="7645" w:type="dxa"/>
            <w:vAlign w:val="center"/>
          </w:tcPr>
          <w:p w14:paraId="6DD0CE27" w14:textId="09A4469F" w:rsidR="00B546A1" w:rsidRPr="00C43D37" w:rsidRDefault="00B546A1" w:rsidP="00C43D3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C43D37">
              <w:rPr>
                <w:rFonts w:ascii="Arial" w:hAnsi="Arial" w:cs="Arial"/>
                <w:color w:val="000000" w:themeColor="text1"/>
                <w:sz w:val="22"/>
                <w:szCs w:val="22"/>
              </w:rPr>
              <w:t>Explanation</w:t>
            </w:r>
          </w:p>
        </w:tc>
      </w:tr>
      <w:tr w:rsidR="00B546A1" w:rsidRPr="00C43D37" w14:paraId="1DB39066" w14:textId="77777777" w:rsidTr="00C43D37">
        <w:tc>
          <w:tcPr>
            <w:cnfStyle w:val="001000000000" w:firstRow="0" w:lastRow="0" w:firstColumn="1" w:lastColumn="0" w:oddVBand="0" w:evenVBand="0" w:oddHBand="0" w:evenHBand="0" w:firstRowFirstColumn="0" w:firstRowLastColumn="0" w:lastRowFirstColumn="0" w:lastRowLastColumn="0"/>
            <w:tcW w:w="1705" w:type="dxa"/>
            <w:vAlign w:val="center"/>
          </w:tcPr>
          <w:p w14:paraId="505320F3" w14:textId="7B909BBA" w:rsidR="00B546A1" w:rsidRPr="00C43D37" w:rsidRDefault="00B546A1" w:rsidP="00C43D37">
            <w:pPr>
              <w:spacing w:line="360" w:lineRule="auto"/>
              <w:rPr>
                <w:rFonts w:ascii="Arial" w:hAnsi="Arial" w:cs="Arial"/>
                <w:color w:val="000000" w:themeColor="text1"/>
                <w:sz w:val="22"/>
                <w:szCs w:val="22"/>
              </w:rPr>
            </w:pPr>
            <w:r w:rsidRPr="00C43D37">
              <w:rPr>
                <w:rFonts w:ascii="Arial" w:hAnsi="Arial" w:cs="Arial"/>
                <w:color w:val="000000" w:themeColor="text1"/>
                <w:sz w:val="22"/>
                <w:szCs w:val="22"/>
              </w:rPr>
              <w:t>Ownership</w:t>
            </w:r>
          </w:p>
        </w:tc>
        <w:tc>
          <w:tcPr>
            <w:tcW w:w="7645" w:type="dxa"/>
            <w:vAlign w:val="center"/>
          </w:tcPr>
          <w:p w14:paraId="2023EFCF" w14:textId="7837477C" w:rsidR="00B546A1" w:rsidRPr="00C43D37" w:rsidRDefault="00C43D37" w:rsidP="00C43D3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C43D37">
              <w:rPr>
                <w:rFonts w:ascii="Arial" w:hAnsi="Arial" w:cs="Arial"/>
                <w:b/>
                <w:bCs/>
                <w:color w:val="000000" w:themeColor="text1"/>
                <w:sz w:val="22"/>
                <w:szCs w:val="22"/>
              </w:rPr>
              <w:t>Ownership</w:t>
            </w:r>
            <w:r w:rsidRPr="00C43D37">
              <w:rPr>
                <w:rFonts w:ascii="Arial" w:hAnsi="Arial" w:cs="Arial"/>
                <w:color w:val="000000" w:themeColor="text1"/>
                <w:sz w:val="22"/>
                <w:szCs w:val="22"/>
              </w:rPr>
              <w:t xml:space="preserve"> (technology, brand strength, TPS) factors make Toyota unwilling to license and to gain strategic control.</w:t>
            </w:r>
          </w:p>
        </w:tc>
      </w:tr>
      <w:tr w:rsidR="00B546A1" w:rsidRPr="00C43D37" w14:paraId="3B2CDAC1" w14:textId="77777777" w:rsidTr="00C43D37">
        <w:tc>
          <w:tcPr>
            <w:cnfStyle w:val="001000000000" w:firstRow="0" w:lastRow="0" w:firstColumn="1" w:lastColumn="0" w:oddVBand="0" w:evenVBand="0" w:oddHBand="0" w:evenHBand="0" w:firstRowFirstColumn="0" w:firstRowLastColumn="0" w:lastRowFirstColumn="0" w:lastRowLastColumn="0"/>
            <w:tcW w:w="1705" w:type="dxa"/>
            <w:vAlign w:val="center"/>
          </w:tcPr>
          <w:p w14:paraId="0CB75560" w14:textId="10B0939A" w:rsidR="00B546A1" w:rsidRPr="00C43D37" w:rsidRDefault="00B546A1" w:rsidP="00C43D37">
            <w:pPr>
              <w:spacing w:line="360" w:lineRule="auto"/>
              <w:rPr>
                <w:rFonts w:ascii="Arial" w:hAnsi="Arial" w:cs="Arial"/>
                <w:color w:val="000000" w:themeColor="text1"/>
                <w:sz w:val="22"/>
                <w:szCs w:val="22"/>
              </w:rPr>
            </w:pPr>
            <w:r w:rsidRPr="00C43D37">
              <w:rPr>
                <w:rFonts w:ascii="Arial" w:hAnsi="Arial" w:cs="Arial"/>
                <w:color w:val="000000" w:themeColor="text1"/>
                <w:sz w:val="22"/>
                <w:szCs w:val="22"/>
              </w:rPr>
              <w:t>Location</w:t>
            </w:r>
          </w:p>
        </w:tc>
        <w:tc>
          <w:tcPr>
            <w:tcW w:w="7645" w:type="dxa"/>
            <w:vAlign w:val="center"/>
          </w:tcPr>
          <w:p w14:paraId="7052FFD1" w14:textId="7BBE4B91" w:rsidR="00B546A1" w:rsidRPr="00C43D37" w:rsidRDefault="00C43D37" w:rsidP="00C43D3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C43D37">
              <w:rPr>
                <w:rFonts w:ascii="Arial" w:hAnsi="Arial" w:cs="Arial"/>
                <w:b/>
                <w:bCs/>
                <w:color w:val="000000" w:themeColor="text1"/>
                <w:sz w:val="22"/>
                <w:szCs w:val="22"/>
              </w:rPr>
              <w:t>Local production</w:t>
            </w:r>
            <w:r w:rsidRPr="00C43D37">
              <w:rPr>
                <w:rFonts w:ascii="Arial" w:hAnsi="Arial" w:cs="Arial"/>
                <w:color w:val="000000" w:themeColor="text1"/>
                <w:sz w:val="22"/>
                <w:szCs w:val="22"/>
              </w:rPr>
              <w:t xml:space="preserve"> is more successful than export due to the location factors (labour costs, supplier networks, AFTA, incentives) that contribute to the advantages.</w:t>
            </w:r>
          </w:p>
        </w:tc>
      </w:tr>
      <w:tr w:rsidR="00B546A1" w:rsidRPr="00C43D37" w14:paraId="191AEFC4" w14:textId="77777777" w:rsidTr="00C43D37">
        <w:tc>
          <w:tcPr>
            <w:cnfStyle w:val="001000000000" w:firstRow="0" w:lastRow="0" w:firstColumn="1" w:lastColumn="0" w:oddVBand="0" w:evenVBand="0" w:oddHBand="0" w:evenHBand="0" w:firstRowFirstColumn="0" w:firstRowLastColumn="0" w:lastRowFirstColumn="0" w:lastRowLastColumn="0"/>
            <w:tcW w:w="1705" w:type="dxa"/>
            <w:vAlign w:val="center"/>
          </w:tcPr>
          <w:p w14:paraId="42D0F242" w14:textId="53D5DA8E" w:rsidR="00B546A1" w:rsidRPr="00C43D37" w:rsidRDefault="00B546A1" w:rsidP="00C43D37">
            <w:pPr>
              <w:spacing w:line="360" w:lineRule="auto"/>
              <w:rPr>
                <w:rFonts w:ascii="Arial" w:hAnsi="Arial" w:cs="Arial"/>
                <w:color w:val="000000" w:themeColor="text1"/>
                <w:sz w:val="22"/>
                <w:szCs w:val="22"/>
              </w:rPr>
            </w:pPr>
            <w:r w:rsidRPr="00C43D37">
              <w:rPr>
                <w:rFonts w:ascii="Arial" w:hAnsi="Arial" w:cs="Arial"/>
                <w:color w:val="000000" w:themeColor="text1"/>
                <w:sz w:val="22"/>
                <w:szCs w:val="22"/>
              </w:rPr>
              <w:t>Internalization</w:t>
            </w:r>
          </w:p>
        </w:tc>
        <w:tc>
          <w:tcPr>
            <w:tcW w:w="7645" w:type="dxa"/>
            <w:vAlign w:val="center"/>
          </w:tcPr>
          <w:p w14:paraId="64EAA724" w14:textId="4E65ECB1" w:rsidR="00B546A1" w:rsidRPr="00C43D37" w:rsidRDefault="00C43D37" w:rsidP="00C43D3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C43D37">
              <w:rPr>
                <w:rFonts w:ascii="Arial" w:hAnsi="Arial" w:cs="Arial"/>
                <w:b/>
                <w:bCs/>
                <w:color w:val="000000" w:themeColor="text1"/>
                <w:sz w:val="22"/>
                <w:szCs w:val="22"/>
              </w:rPr>
              <w:t>Internalisation</w:t>
            </w:r>
            <w:r w:rsidRPr="00C43D37">
              <w:rPr>
                <w:rFonts w:ascii="Arial" w:hAnsi="Arial" w:cs="Arial"/>
                <w:color w:val="000000" w:themeColor="text1"/>
                <w:sz w:val="22"/>
                <w:szCs w:val="22"/>
              </w:rPr>
              <w:t xml:space="preserve"> (knowledge protection, supply chain coordination) is also another reason why wholly owned subsidiaries are justified.</w:t>
            </w:r>
          </w:p>
        </w:tc>
      </w:tr>
    </w:tbl>
    <w:p w14:paraId="469F8AE6" w14:textId="27E6C0D3" w:rsidR="0086614F" w:rsidRDefault="0086614F" w:rsidP="00C43D37">
      <w:pPr>
        <w:spacing w:before="240" w:line="360" w:lineRule="auto"/>
        <w:jc w:val="both"/>
        <w:rPr>
          <w:rFonts w:ascii="Arial" w:hAnsi="Arial" w:cs="Arial"/>
          <w:color w:val="000000" w:themeColor="text1"/>
        </w:rPr>
      </w:pPr>
      <w:r w:rsidRPr="0086614F">
        <w:rPr>
          <w:rFonts w:ascii="Arial" w:hAnsi="Arial" w:cs="Arial"/>
          <w:color w:val="000000" w:themeColor="text1"/>
        </w:rPr>
        <w:t>A combination of these aspects justifies why Toyota entered Thailand by FDI with majority ownership, setting up manufacturing facilities and full-scale operations.</w:t>
      </w:r>
    </w:p>
    <w:p w14:paraId="17E42C12" w14:textId="27E6C0D3" w:rsidR="00465EE4" w:rsidRPr="00465EE4" w:rsidRDefault="00465EE4" w:rsidP="00076864">
      <w:pPr>
        <w:pStyle w:val="Heading1"/>
      </w:pPr>
      <w:bookmarkStart w:id="22" w:name="_Toc215577618"/>
      <w:bookmarkStart w:id="23" w:name="_Toc216121783"/>
      <w:r w:rsidRPr="00465EE4">
        <w:t>4. Critical Evaluation of Cultural Differences Between Japan and Thailand and Their Impact on Toyota’s Market Entry Strategy and Success</w:t>
      </w:r>
      <w:bookmarkEnd w:id="22"/>
      <w:bookmarkEnd w:id="23"/>
      <w:r w:rsidRPr="00465EE4">
        <w:t xml:space="preserve"> </w:t>
      </w:r>
    </w:p>
    <w:p w14:paraId="656A214F" w14:textId="0BDA6992" w:rsidR="00A930F8" w:rsidRPr="00465EE4" w:rsidRDefault="00A930F8" w:rsidP="00465EE4">
      <w:pPr>
        <w:spacing w:line="360" w:lineRule="auto"/>
        <w:jc w:val="both"/>
        <w:rPr>
          <w:rFonts w:ascii="Arial" w:hAnsi="Arial" w:cs="Arial"/>
          <w:color w:val="000000" w:themeColor="text1"/>
        </w:rPr>
      </w:pPr>
      <w:r w:rsidRPr="00A930F8">
        <w:rPr>
          <w:rFonts w:ascii="Arial" w:hAnsi="Arial" w:cs="Arial"/>
          <w:color w:val="000000" w:themeColor="text1"/>
        </w:rPr>
        <w:t>The cultural differences are important in entering strategies and ensuring long-term success of multinational enterprises in other markets. In the case of Toyota, a Japanese carmaker with well-integrated organisational value and managerial philosophies, it would be essential to approach Thailand as an emerging economy with unique cultural characteristics carefully. Using the cultural dimensions developed by Hofstede, the GLOBE study, and the high-context/low-context theory founded by Hall, one may critically comprehend the impact of Japanese and Thai cultural differences on strategic decision-making, management styles, and the performance of Toyota.</w:t>
      </w:r>
    </w:p>
    <w:p w14:paraId="2C0C5EC3" w14:textId="0B85953A" w:rsidR="00465EE4" w:rsidRPr="00465EE4" w:rsidRDefault="00076864" w:rsidP="00076864">
      <w:pPr>
        <w:pStyle w:val="Heading2"/>
      </w:pPr>
      <w:bookmarkStart w:id="24" w:name="_Toc215577619"/>
      <w:bookmarkStart w:id="25" w:name="_Toc216121784"/>
      <w:r>
        <w:t xml:space="preserve">4.1 </w:t>
      </w:r>
      <w:r w:rsidR="00465EE4" w:rsidRPr="00465EE4">
        <w:t>Key Cultural Differences Between Japan and Thailand</w:t>
      </w:r>
      <w:bookmarkEnd w:id="24"/>
      <w:bookmarkEnd w:id="25"/>
    </w:p>
    <w:tbl>
      <w:tblPr>
        <w:tblStyle w:val="GridTable1Light"/>
        <w:tblW w:w="0" w:type="auto"/>
        <w:tblLook w:val="04A0" w:firstRow="1" w:lastRow="0" w:firstColumn="1" w:lastColumn="0" w:noHBand="0" w:noVBand="1"/>
      </w:tblPr>
      <w:tblGrid>
        <w:gridCol w:w="2245"/>
        <w:gridCol w:w="7105"/>
      </w:tblGrid>
      <w:tr w:rsidR="00572B0D" w:rsidRPr="001A6AF3" w14:paraId="45AC73A0" w14:textId="77777777" w:rsidTr="001A6A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vAlign w:val="center"/>
          </w:tcPr>
          <w:p w14:paraId="2F52A934" w14:textId="71A1AD7B" w:rsidR="00572B0D" w:rsidRPr="001A6AF3" w:rsidRDefault="00572B0D" w:rsidP="001A6AF3">
            <w:pPr>
              <w:spacing w:line="360" w:lineRule="auto"/>
              <w:jc w:val="center"/>
              <w:rPr>
                <w:rFonts w:ascii="Arial" w:hAnsi="Arial" w:cs="Arial"/>
                <w:b w:val="0"/>
                <w:bCs w:val="0"/>
                <w:color w:val="000000" w:themeColor="text1"/>
                <w:sz w:val="22"/>
                <w:szCs w:val="22"/>
              </w:rPr>
            </w:pPr>
            <w:r w:rsidRPr="001A6AF3">
              <w:rPr>
                <w:rFonts w:ascii="Arial" w:hAnsi="Arial" w:cs="Arial"/>
                <w:color w:val="000000" w:themeColor="text1"/>
                <w:sz w:val="22"/>
                <w:szCs w:val="22"/>
              </w:rPr>
              <w:t>Cultural Dimension</w:t>
            </w:r>
          </w:p>
        </w:tc>
        <w:tc>
          <w:tcPr>
            <w:tcW w:w="7105" w:type="dxa"/>
            <w:vAlign w:val="center"/>
          </w:tcPr>
          <w:p w14:paraId="1131FC65" w14:textId="0F8D8472" w:rsidR="00572B0D" w:rsidRPr="001A6AF3" w:rsidRDefault="00572B0D" w:rsidP="001A6AF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2"/>
                <w:szCs w:val="22"/>
              </w:rPr>
            </w:pPr>
            <w:r w:rsidRPr="001A6AF3">
              <w:rPr>
                <w:rFonts w:ascii="Arial" w:hAnsi="Arial" w:cs="Arial"/>
                <w:color w:val="000000" w:themeColor="text1"/>
                <w:sz w:val="22"/>
                <w:szCs w:val="22"/>
              </w:rPr>
              <w:t>Japan vs Thailand</w:t>
            </w:r>
          </w:p>
        </w:tc>
      </w:tr>
      <w:tr w:rsidR="00572B0D" w:rsidRPr="001A6AF3" w14:paraId="4D22BDAF" w14:textId="77777777" w:rsidTr="00D23066">
        <w:tc>
          <w:tcPr>
            <w:cnfStyle w:val="001000000000" w:firstRow="0" w:lastRow="0" w:firstColumn="1" w:lastColumn="0" w:oddVBand="0" w:evenVBand="0" w:oddHBand="0" w:evenHBand="0" w:firstRowFirstColumn="0" w:firstRowLastColumn="0" w:lastRowFirstColumn="0" w:lastRowLastColumn="0"/>
            <w:tcW w:w="2245" w:type="dxa"/>
            <w:vAlign w:val="center"/>
          </w:tcPr>
          <w:p w14:paraId="03DC9F2A" w14:textId="509A348C" w:rsidR="00572B0D" w:rsidRPr="001A6AF3" w:rsidRDefault="00572B0D" w:rsidP="00D23066">
            <w:pPr>
              <w:spacing w:line="360" w:lineRule="auto"/>
              <w:jc w:val="center"/>
              <w:rPr>
                <w:rFonts w:ascii="Arial" w:hAnsi="Arial" w:cs="Arial"/>
                <w:b w:val="0"/>
                <w:bCs w:val="0"/>
                <w:color w:val="000000" w:themeColor="text1"/>
                <w:sz w:val="22"/>
                <w:szCs w:val="22"/>
              </w:rPr>
            </w:pPr>
            <w:r w:rsidRPr="001A6AF3">
              <w:rPr>
                <w:rFonts w:ascii="Arial" w:hAnsi="Arial" w:cs="Arial"/>
                <w:color w:val="000000" w:themeColor="text1"/>
                <w:sz w:val="22"/>
                <w:szCs w:val="22"/>
              </w:rPr>
              <w:t>Power Distance</w:t>
            </w:r>
          </w:p>
        </w:tc>
        <w:tc>
          <w:tcPr>
            <w:tcW w:w="7105" w:type="dxa"/>
            <w:vAlign w:val="center"/>
          </w:tcPr>
          <w:p w14:paraId="41D2C029" w14:textId="6F7C5450" w:rsidR="00572B0D" w:rsidRPr="001A6AF3" w:rsidRDefault="00572B0D" w:rsidP="001A6AF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2"/>
                <w:szCs w:val="22"/>
              </w:rPr>
            </w:pPr>
            <w:r w:rsidRPr="001A6AF3">
              <w:rPr>
                <w:rFonts w:ascii="Arial" w:hAnsi="Arial" w:cs="Arial"/>
                <w:color w:val="000000" w:themeColor="text1"/>
                <w:sz w:val="22"/>
                <w:szCs w:val="22"/>
              </w:rPr>
              <w:t xml:space="preserve">Japan and Thailand have a relatively high-power distance, which, however, is much higher in Thailand. The social network in Thailand is characterized by the hierarchy, which puts less focus on individualism </w:t>
            </w:r>
            <w:r w:rsidRPr="001A6AF3">
              <w:rPr>
                <w:rFonts w:ascii="Arial" w:hAnsi="Arial" w:cs="Arial"/>
                <w:color w:val="000000" w:themeColor="text1"/>
                <w:sz w:val="22"/>
                <w:szCs w:val="22"/>
              </w:rPr>
              <w:lastRenderedPageBreak/>
              <w:t>and more focus on respect, obedience, and centralized decision-making (Hofstede Insights, 2023). On the contrary, Japanese organisations are hierarchical and focus on collective decision-making (ringers) and consensus building (Nemoto, 2016). This variation influences organisational dynamics, communication and negotiation styles in Thai operations of Toyota.</w:t>
            </w:r>
          </w:p>
        </w:tc>
      </w:tr>
      <w:tr w:rsidR="00572B0D" w:rsidRPr="001A6AF3" w14:paraId="53A5726F" w14:textId="77777777" w:rsidTr="00D23066">
        <w:tc>
          <w:tcPr>
            <w:cnfStyle w:val="001000000000" w:firstRow="0" w:lastRow="0" w:firstColumn="1" w:lastColumn="0" w:oddVBand="0" w:evenVBand="0" w:oddHBand="0" w:evenHBand="0" w:firstRowFirstColumn="0" w:firstRowLastColumn="0" w:lastRowFirstColumn="0" w:lastRowLastColumn="0"/>
            <w:tcW w:w="2245" w:type="dxa"/>
            <w:vAlign w:val="center"/>
          </w:tcPr>
          <w:p w14:paraId="48D3C5C7" w14:textId="3D967884" w:rsidR="00572B0D" w:rsidRPr="001A6AF3" w:rsidRDefault="00572B0D" w:rsidP="00D23066">
            <w:pPr>
              <w:spacing w:line="360" w:lineRule="auto"/>
              <w:jc w:val="center"/>
              <w:rPr>
                <w:rFonts w:ascii="Arial" w:hAnsi="Arial" w:cs="Arial"/>
                <w:b w:val="0"/>
                <w:bCs w:val="0"/>
                <w:color w:val="000000" w:themeColor="text1"/>
                <w:sz w:val="22"/>
                <w:szCs w:val="22"/>
              </w:rPr>
            </w:pPr>
            <w:r w:rsidRPr="001A6AF3">
              <w:rPr>
                <w:rFonts w:ascii="Arial" w:hAnsi="Arial" w:cs="Arial"/>
                <w:color w:val="000000" w:themeColor="text1"/>
                <w:sz w:val="22"/>
                <w:szCs w:val="22"/>
              </w:rPr>
              <w:t>Uncertainty Avoidance</w:t>
            </w:r>
          </w:p>
        </w:tc>
        <w:tc>
          <w:tcPr>
            <w:tcW w:w="7105" w:type="dxa"/>
            <w:vAlign w:val="center"/>
          </w:tcPr>
          <w:p w14:paraId="7F575003" w14:textId="73EEB412" w:rsidR="00572B0D" w:rsidRPr="001A6AF3" w:rsidRDefault="00572B0D" w:rsidP="001A6AF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1A6AF3">
              <w:rPr>
                <w:rFonts w:ascii="Arial" w:hAnsi="Arial" w:cs="Arial"/>
                <w:color w:val="000000" w:themeColor="text1"/>
                <w:sz w:val="22"/>
                <w:szCs w:val="22"/>
              </w:rPr>
              <w:t>Japan is among the countries with the highest levels of uncertainty avoidance scores and focuses on structured processes, minimization of risk, and a high level of compliance with the rule (Hahira, 2011). Thailand is moderate in uncertainty avoidance and is less rigid and permits more flexibility and discretion. This cultural difference applies to the application of the Toyota Production System (TPS) by Toyota, which is based on a high level of standardisation and continuous improvement cycles (Kaizen).</w:t>
            </w:r>
          </w:p>
        </w:tc>
      </w:tr>
      <w:tr w:rsidR="00572B0D" w:rsidRPr="001A6AF3" w14:paraId="7846BA39" w14:textId="77777777" w:rsidTr="00D23066">
        <w:tc>
          <w:tcPr>
            <w:cnfStyle w:val="001000000000" w:firstRow="0" w:lastRow="0" w:firstColumn="1" w:lastColumn="0" w:oddVBand="0" w:evenVBand="0" w:oddHBand="0" w:evenHBand="0" w:firstRowFirstColumn="0" w:firstRowLastColumn="0" w:lastRowFirstColumn="0" w:lastRowLastColumn="0"/>
            <w:tcW w:w="2245" w:type="dxa"/>
            <w:vAlign w:val="center"/>
          </w:tcPr>
          <w:p w14:paraId="0D23E32B" w14:textId="25CA0660" w:rsidR="00572B0D" w:rsidRPr="001A6AF3" w:rsidRDefault="00572B0D" w:rsidP="00D23066">
            <w:pPr>
              <w:spacing w:line="360" w:lineRule="auto"/>
              <w:jc w:val="center"/>
              <w:rPr>
                <w:rFonts w:ascii="Arial" w:hAnsi="Arial" w:cs="Arial"/>
                <w:b w:val="0"/>
                <w:bCs w:val="0"/>
                <w:color w:val="000000" w:themeColor="text1"/>
                <w:sz w:val="22"/>
                <w:szCs w:val="22"/>
              </w:rPr>
            </w:pPr>
            <w:r w:rsidRPr="001A6AF3">
              <w:rPr>
                <w:rFonts w:ascii="Arial" w:hAnsi="Arial" w:cs="Arial"/>
                <w:color w:val="000000" w:themeColor="text1"/>
                <w:sz w:val="22"/>
                <w:szCs w:val="22"/>
              </w:rPr>
              <w:t>Collectivism vs Individualism.</w:t>
            </w:r>
          </w:p>
        </w:tc>
        <w:tc>
          <w:tcPr>
            <w:tcW w:w="7105" w:type="dxa"/>
            <w:vAlign w:val="center"/>
          </w:tcPr>
          <w:p w14:paraId="34CEB01B" w14:textId="32EB9994" w:rsidR="00572B0D" w:rsidRPr="001A6AF3" w:rsidRDefault="00572B0D" w:rsidP="001A6AF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1A6AF3">
              <w:rPr>
                <w:rFonts w:ascii="Arial" w:hAnsi="Arial" w:cs="Arial"/>
                <w:color w:val="000000" w:themeColor="text1"/>
                <w:sz w:val="22"/>
                <w:szCs w:val="22"/>
              </w:rPr>
              <w:t>Japan is moderately collectivist, which values harmony in a group and long-term relations. Thailand is collectivist to a greater degree, focusing on good interpersonal networks (guanxi-like relationships), family, and group loyalty (Hall and Yuen, 2020). These variations impact management practices, HR policies and supplier relations.</w:t>
            </w:r>
          </w:p>
        </w:tc>
      </w:tr>
      <w:tr w:rsidR="00572B0D" w:rsidRPr="001A6AF3" w14:paraId="2F306DA2" w14:textId="77777777" w:rsidTr="00D23066">
        <w:tc>
          <w:tcPr>
            <w:cnfStyle w:val="001000000000" w:firstRow="0" w:lastRow="0" w:firstColumn="1" w:lastColumn="0" w:oddVBand="0" w:evenVBand="0" w:oddHBand="0" w:evenHBand="0" w:firstRowFirstColumn="0" w:firstRowLastColumn="0" w:lastRowFirstColumn="0" w:lastRowLastColumn="0"/>
            <w:tcW w:w="2245" w:type="dxa"/>
            <w:vAlign w:val="center"/>
          </w:tcPr>
          <w:p w14:paraId="4C63024F" w14:textId="7CA21241" w:rsidR="00572B0D" w:rsidRPr="001A6AF3" w:rsidRDefault="00572B0D" w:rsidP="00D23066">
            <w:pPr>
              <w:spacing w:line="360" w:lineRule="auto"/>
              <w:jc w:val="center"/>
              <w:rPr>
                <w:rFonts w:ascii="Arial" w:hAnsi="Arial" w:cs="Arial"/>
                <w:b w:val="0"/>
                <w:bCs w:val="0"/>
                <w:color w:val="000000" w:themeColor="text1"/>
                <w:sz w:val="22"/>
                <w:szCs w:val="22"/>
              </w:rPr>
            </w:pPr>
            <w:r w:rsidRPr="001A6AF3">
              <w:rPr>
                <w:rFonts w:ascii="Arial" w:hAnsi="Arial" w:cs="Arial"/>
                <w:color w:val="000000" w:themeColor="text1"/>
                <w:sz w:val="22"/>
                <w:szCs w:val="22"/>
              </w:rPr>
              <w:t>Masculinity vs Femininity</w:t>
            </w:r>
          </w:p>
        </w:tc>
        <w:tc>
          <w:tcPr>
            <w:tcW w:w="7105" w:type="dxa"/>
            <w:vAlign w:val="center"/>
          </w:tcPr>
          <w:p w14:paraId="0D5C763B" w14:textId="308616D3" w:rsidR="00572B0D" w:rsidRPr="001A6AF3" w:rsidRDefault="00572B0D" w:rsidP="001A6AF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1A6AF3">
              <w:rPr>
                <w:rFonts w:ascii="Arial" w:hAnsi="Arial" w:cs="Arial"/>
                <w:color w:val="000000" w:themeColor="text1"/>
                <w:sz w:val="22"/>
                <w:szCs w:val="22"/>
              </w:rPr>
              <w:t>Japan is very masculine, which is indicative of competitiveness, achievement orientation and work intensity. However, Thailand is a feminine culture, and it values harmony, quality of life, and collaboration (Hofstede Insights, 2023). The difference may cause conflict in performance expectations, leadership style, and negotiation behaviour.</w:t>
            </w:r>
          </w:p>
        </w:tc>
      </w:tr>
      <w:tr w:rsidR="00572B0D" w:rsidRPr="001A6AF3" w14:paraId="47E80CED" w14:textId="77777777" w:rsidTr="00D23066">
        <w:tc>
          <w:tcPr>
            <w:cnfStyle w:val="001000000000" w:firstRow="0" w:lastRow="0" w:firstColumn="1" w:lastColumn="0" w:oddVBand="0" w:evenVBand="0" w:oddHBand="0" w:evenHBand="0" w:firstRowFirstColumn="0" w:firstRowLastColumn="0" w:lastRowFirstColumn="0" w:lastRowLastColumn="0"/>
            <w:tcW w:w="2245" w:type="dxa"/>
            <w:vAlign w:val="center"/>
          </w:tcPr>
          <w:p w14:paraId="6FEA9C2B" w14:textId="54A1EB55" w:rsidR="00572B0D" w:rsidRPr="001A6AF3" w:rsidRDefault="00572B0D" w:rsidP="00D23066">
            <w:pPr>
              <w:spacing w:line="360" w:lineRule="auto"/>
              <w:jc w:val="center"/>
              <w:rPr>
                <w:rFonts w:ascii="Arial" w:hAnsi="Arial" w:cs="Arial"/>
                <w:b w:val="0"/>
                <w:bCs w:val="0"/>
                <w:color w:val="000000" w:themeColor="text1"/>
                <w:sz w:val="22"/>
                <w:szCs w:val="22"/>
              </w:rPr>
            </w:pPr>
            <w:r w:rsidRPr="001A6AF3">
              <w:rPr>
                <w:rFonts w:ascii="Arial" w:hAnsi="Arial" w:cs="Arial"/>
                <w:color w:val="000000" w:themeColor="text1"/>
                <w:sz w:val="22"/>
                <w:szCs w:val="22"/>
              </w:rPr>
              <w:t>High-Context Communication</w:t>
            </w:r>
          </w:p>
        </w:tc>
        <w:tc>
          <w:tcPr>
            <w:tcW w:w="7105" w:type="dxa"/>
            <w:vAlign w:val="center"/>
          </w:tcPr>
          <w:p w14:paraId="1675FFEE" w14:textId="0BDF38FF" w:rsidR="00572B0D" w:rsidRPr="001A6AF3" w:rsidRDefault="00572B0D" w:rsidP="001A6AF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1A6AF3">
              <w:rPr>
                <w:rFonts w:ascii="Arial" w:hAnsi="Arial" w:cs="Arial"/>
                <w:color w:val="000000" w:themeColor="text1"/>
                <w:sz w:val="22"/>
                <w:szCs w:val="22"/>
              </w:rPr>
              <w:t>Both Thailand and Japan are high-context cultures, which surround themselves with implied communication, non-verbal communication and relationships (Hall, 1976). Nevertheless, the Thai communication is even less direct and more focused on saving face and no confrontationality.</w:t>
            </w:r>
          </w:p>
        </w:tc>
      </w:tr>
    </w:tbl>
    <w:p w14:paraId="08A2E3EA" w14:textId="77777777" w:rsidR="001A6AF3" w:rsidRPr="00CD1DC7" w:rsidRDefault="001A6AF3" w:rsidP="00A930F8">
      <w:pPr>
        <w:spacing w:line="360" w:lineRule="auto"/>
        <w:jc w:val="both"/>
        <w:rPr>
          <w:rFonts w:ascii="Arial" w:hAnsi="Arial" w:cs="Arial"/>
          <w:b/>
          <w:bCs/>
          <w:color w:val="000000" w:themeColor="text1"/>
        </w:rPr>
      </w:pPr>
    </w:p>
    <w:p w14:paraId="026E327E" w14:textId="08A15A06" w:rsidR="00465EE4" w:rsidRPr="00465EE4" w:rsidRDefault="00076864" w:rsidP="00076864">
      <w:pPr>
        <w:pStyle w:val="Heading2"/>
      </w:pPr>
      <w:bookmarkStart w:id="26" w:name="_Toc215577620"/>
      <w:bookmarkStart w:id="27" w:name="_Toc216121785"/>
      <w:r>
        <w:t xml:space="preserve">4.2 </w:t>
      </w:r>
      <w:r w:rsidR="00465EE4" w:rsidRPr="00465EE4">
        <w:t>Impact of Cultural Differences on Toyota’s Market Entry Strategy</w:t>
      </w:r>
      <w:bookmarkEnd w:id="26"/>
      <w:bookmarkEnd w:id="27"/>
    </w:p>
    <w:p w14:paraId="298FCCAC" w14:textId="77777777" w:rsidR="0032735E" w:rsidRDefault="00465EE4" w:rsidP="00281AF5">
      <w:pPr>
        <w:spacing w:line="360" w:lineRule="auto"/>
        <w:jc w:val="both"/>
        <w:rPr>
          <w:rFonts w:ascii="Arial" w:hAnsi="Arial" w:cs="Arial"/>
          <w:color w:val="000000" w:themeColor="text1"/>
        </w:rPr>
      </w:pPr>
      <w:r w:rsidRPr="00465EE4">
        <w:rPr>
          <w:rFonts w:ascii="Arial" w:hAnsi="Arial" w:cs="Arial"/>
          <w:b/>
          <w:bCs/>
          <w:color w:val="000000" w:themeColor="text1"/>
        </w:rPr>
        <w:t>Entry Mode Selection and Control Structures</w:t>
      </w:r>
    </w:p>
    <w:p w14:paraId="56546867" w14:textId="30398428" w:rsidR="0032735E" w:rsidRDefault="00C5356C" w:rsidP="00281AF5">
      <w:pPr>
        <w:spacing w:line="360" w:lineRule="auto"/>
        <w:jc w:val="both"/>
        <w:rPr>
          <w:rFonts w:ascii="Arial" w:hAnsi="Arial" w:cs="Arial"/>
          <w:color w:val="000000" w:themeColor="text1"/>
        </w:rPr>
      </w:pPr>
      <w:r w:rsidRPr="00C5356C">
        <w:rPr>
          <w:rFonts w:ascii="Arial" w:hAnsi="Arial" w:cs="Arial"/>
          <w:color w:val="000000" w:themeColor="text1"/>
        </w:rPr>
        <w:lastRenderedPageBreak/>
        <w:t>Cultural factors played a great role in the move of Toyota to venture into Thailand via FDI and a majority-owned subsidiary as opposed to licensing and franchising. Since Thailand has a high-power distance and is collectivist-orientated, Toyota realized the need to create good and long-term relationships with government bodies, suppliers and the communities in Thailand. Direct investment also enabled Toyota to develop strong cultural relationships, which were not based on arm's-length relationships, which is in line with research by Hill (2023) that relationships-based modes of entry are more prevalent in collectivist markets.</w:t>
      </w:r>
    </w:p>
    <w:p w14:paraId="1551FB5D" w14:textId="4DCC9E88" w:rsidR="00A72BFE" w:rsidRPr="00A72BFE" w:rsidRDefault="00A72BFE" w:rsidP="00281AF5">
      <w:pPr>
        <w:spacing w:line="360" w:lineRule="auto"/>
        <w:jc w:val="both"/>
        <w:rPr>
          <w:rFonts w:asciiTheme="majorHAnsi" w:hAnsiTheme="majorHAnsi" w:cstheme="majorHAnsi"/>
          <w:i/>
          <w:iCs/>
          <w:color w:val="000000" w:themeColor="text1"/>
          <w:sz w:val="22"/>
          <w:szCs w:val="22"/>
        </w:rPr>
      </w:pPr>
      <w:r w:rsidRPr="00A72BFE">
        <w:rPr>
          <w:rFonts w:asciiTheme="majorHAnsi" w:hAnsiTheme="majorHAnsi" w:cstheme="majorHAnsi"/>
          <w:i/>
          <w:iCs/>
          <w:color w:val="4472C4" w:themeColor="accent1"/>
          <w:sz w:val="22"/>
          <w:szCs w:val="22"/>
        </w:rPr>
        <w:t xml:space="preserve">Figure </w:t>
      </w:r>
      <w:r w:rsidR="00E9174F">
        <w:rPr>
          <w:rFonts w:asciiTheme="majorHAnsi" w:hAnsiTheme="majorHAnsi" w:cstheme="majorHAnsi"/>
          <w:i/>
          <w:iCs/>
          <w:color w:val="4472C4" w:themeColor="accent1"/>
          <w:sz w:val="22"/>
          <w:szCs w:val="22"/>
        </w:rPr>
        <w:t>8</w:t>
      </w:r>
      <w:r w:rsidRPr="00A72BFE">
        <w:rPr>
          <w:rFonts w:asciiTheme="majorHAnsi" w:hAnsiTheme="majorHAnsi" w:cstheme="majorHAnsi"/>
          <w:i/>
          <w:iCs/>
          <w:color w:val="4472C4" w:themeColor="accent1"/>
          <w:sz w:val="22"/>
          <w:szCs w:val="22"/>
        </w:rPr>
        <w:t>. Impact of Cultural Differences on Toyota's Market Entry Strategy in Thailand</w:t>
      </w:r>
    </w:p>
    <w:p w14:paraId="39AD684A" w14:textId="692F8E71" w:rsidR="00A72BFE" w:rsidRDefault="00A72BFE" w:rsidP="00A72BFE">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607885DA" wp14:editId="4D4B88DF">
            <wp:extent cx="3993329" cy="3768918"/>
            <wp:effectExtent l="0" t="0" r="7620" b="3175"/>
            <wp:docPr id="2141530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530927" name="Picture 2141530927"/>
                    <pic:cNvPicPr/>
                  </pic:nvPicPr>
                  <pic:blipFill>
                    <a:blip r:embed="rId17">
                      <a:extLst>
                        <a:ext uri="{28A0092B-C50C-407E-A947-70E740481C1C}">
                          <a14:useLocalDpi xmlns:a14="http://schemas.microsoft.com/office/drawing/2010/main" val="0"/>
                        </a:ext>
                      </a:extLst>
                    </a:blip>
                    <a:stretch>
                      <a:fillRect/>
                    </a:stretch>
                  </pic:blipFill>
                  <pic:spPr>
                    <a:xfrm>
                      <a:off x="0" y="0"/>
                      <a:ext cx="4005307" cy="3780223"/>
                    </a:xfrm>
                    <a:prstGeom prst="rect">
                      <a:avLst/>
                    </a:prstGeom>
                  </pic:spPr>
                </pic:pic>
              </a:graphicData>
            </a:graphic>
          </wp:inline>
        </w:drawing>
      </w:r>
    </w:p>
    <w:p w14:paraId="5E9C0E03" w14:textId="77777777" w:rsidR="0032735E" w:rsidRDefault="00C5356C" w:rsidP="00281AF5">
      <w:pPr>
        <w:spacing w:line="360" w:lineRule="auto"/>
        <w:jc w:val="both"/>
        <w:rPr>
          <w:rFonts w:ascii="Arial" w:hAnsi="Arial" w:cs="Arial"/>
          <w:color w:val="000000" w:themeColor="text1"/>
        </w:rPr>
      </w:pPr>
      <w:r w:rsidRPr="00C5356C">
        <w:rPr>
          <w:rFonts w:ascii="Arial" w:hAnsi="Arial" w:cs="Arial"/>
          <w:color w:val="000000" w:themeColor="text1"/>
        </w:rPr>
        <w:t>In addition, Thai culture is hierarchical, and this supports the adoption of formal organisational systems, and the formal leadership structure of Toyota is culturally fitting.</w:t>
      </w:r>
    </w:p>
    <w:p w14:paraId="27129056" w14:textId="77777777" w:rsidR="0032735E" w:rsidRDefault="00281AF5" w:rsidP="00281AF5">
      <w:pPr>
        <w:spacing w:line="360" w:lineRule="auto"/>
        <w:jc w:val="both"/>
        <w:rPr>
          <w:rFonts w:ascii="Arial" w:hAnsi="Arial" w:cs="Arial"/>
          <w:color w:val="000000" w:themeColor="text1"/>
        </w:rPr>
      </w:pPr>
      <w:r w:rsidRPr="00281AF5">
        <w:rPr>
          <w:rFonts w:ascii="Arial" w:hAnsi="Arial" w:cs="Arial"/>
          <w:b/>
          <w:bCs/>
          <w:color w:val="000000" w:themeColor="text1"/>
        </w:rPr>
        <w:t>HR Management and Organisational Culture Integration.</w:t>
      </w:r>
    </w:p>
    <w:p w14:paraId="6B2E894B" w14:textId="58B15B90" w:rsidR="0032735E" w:rsidRDefault="00281AF5" w:rsidP="00281AF5">
      <w:pPr>
        <w:spacing w:line="360" w:lineRule="auto"/>
        <w:jc w:val="both"/>
        <w:rPr>
          <w:rFonts w:ascii="Arial" w:hAnsi="Arial" w:cs="Arial"/>
          <w:color w:val="000000" w:themeColor="text1"/>
        </w:rPr>
      </w:pPr>
      <w:r w:rsidRPr="00281AF5">
        <w:rPr>
          <w:rFonts w:ascii="Arial" w:hAnsi="Arial" w:cs="Arial"/>
          <w:color w:val="000000" w:themeColor="text1"/>
        </w:rPr>
        <w:t>The transfer of the TPS model is impossible without cultural compatibility. Whereas</w:t>
      </w:r>
      <w:r>
        <w:rPr>
          <w:rFonts w:ascii="Arial" w:hAnsi="Arial" w:cs="Arial"/>
          <w:color w:val="000000" w:themeColor="text1"/>
        </w:rPr>
        <w:t xml:space="preserve"> </w:t>
      </w:r>
      <w:r w:rsidRPr="00281AF5">
        <w:rPr>
          <w:rFonts w:ascii="Arial" w:hAnsi="Arial" w:cs="Arial"/>
          <w:color w:val="000000" w:themeColor="text1"/>
        </w:rPr>
        <w:t xml:space="preserve">Japanese work environments embrace harmony and teamwork, Thai employees embrace interpersonal harmony instead of operational discipline (Haghirian, 2011). This </w:t>
      </w:r>
      <w:r w:rsidRPr="00281AF5">
        <w:rPr>
          <w:rFonts w:ascii="Arial" w:hAnsi="Arial" w:cs="Arial"/>
          <w:color w:val="000000" w:themeColor="text1"/>
        </w:rPr>
        <w:lastRenderedPageBreak/>
        <w:t>stress demands that Toyota realigns its training programmes to focus on team bonding, communication and motivation and then deploys them in the Kaizen and JIT practice.</w:t>
      </w:r>
      <w:r w:rsidRPr="00281AF5">
        <w:rPr>
          <w:rFonts w:ascii="Arial" w:hAnsi="Arial" w:cs="Arial"/>
          <w:color w:val="000000" w:themeColor="text1"/>
        </w:rPr>
        <w:br/>
        <w:t>For example:</w:t>
      </w:r>
    </w:p>
    <w:p w14:paraId="24A8D1A5" w14:textId="77777777" w:rsidR="0032735E" w:rsidRDefault="00281AF5" w:rsidP="00281AF5">
      <w:pPr>
        <w:pStyle w:val="ListParagraph"/>
        <w:numPr>
          <w:ilvl w:val="0"/>
          <w:numId w:val="68"/>
        </w:numPr>
        <w:spacing w:line="360" w:lineRule="auto"/>
        <w:jc w:val="both"/>
        <w:rPr>
          <w:rFonts w:ascii="Arial" w:hAnsi="Arial" w:cs="Arial"/>
          <w:color w:val="000000" w:themeColor="text1"/>
        </w:rPr>
      </w:pPr>
      <w:r w:rsidRPr="0032735E">
        <w:rPr>
          <w:rFonts w:ascii="Arial" w:hAnsi="Arial" w:cs="Arial"/>
          <w:color w:val="000000" w:themeColor="text1"/>
        </w:rPr>
        <w:t>Toyota Thailand puts a lot of emphasis on cultural sensitization and training of local leaders.</w:t>
      </w:r>
    </w:p>
    <w:p w14:paraId="0B78D553" w14:textId="2E0F8688" w:rsidR="00281AF5" w:rsidRPr="0032735E" w:rsidRDefault="00281AF5" w:rsidP="00281AF5">
      <w:pPr>
        <w:pStyle w:val="ListParagraph"/>
        <w:numPr>
          <w:ilvl w:val="0"/>
          <w:numId w:val="68"/>
        </w:numPr>
        <w:spacing w:line="360" w:lineRule="auto"/>
        <w:jc w:val="both"/>
        <w:rPr>
          <w:rFonts w:ascii="Arial" w:hAnsi="Arial" w:cs="Arial"/>
          <w:color w:val="000000" w:themeColor="text1"/>
        </w:rPr>
      </w:pPr>
      <w:r w:rsidRPr="0032735E">
        <w:rPr>
          <w:rFonts w:ascii="Arial" w:hAnsi="Arial" w:cs="Arial"/>
          <w:color w:val="000000" w:themeColor="text1"/>
        </w:rPr>
        <w:t>Management recruits’ Thai supervisors to overcome the language barrier between expatriates and local workers (Japanese) in the country.</w:t>
      </w:r>
    </w:p>
    <w:p w14:paraId="305418BF" w14:textId="77777777" w:rsidR="0032735E" w:rsidRDefault="00281AF5" w:rsidP="00281AF5">
      <w:pPr>
        <w:spacing w:line="360" w:lineRule="auto"/>
        <w:jc w:val="both"/>
        <w:rPr>
          <w:rFonts w:ascii="Arial" w:hAnsi="Arial" w:cs="Arial"/>
          <w:color w:val="000000" w:themeColor="text1"/>
        </w:rPr>
      </w:pPr>
      <w:r w:rsidRPr="00281AF5">
        <w:rPr>
          <w:rFonts w:ascii="Arial" w:hAnsi="Arial" w:cs="Arial"/>
          <w:color w:val="000000" w:themeColor="text1"/>
        </w:rPr>
        <w:t>Therefore, the issue of cultural alignment influences the internalisation strategy of Toyota, which lowers the chances of managerial conflict and inefficiencies in production.</w:t>
      </w:r>
    </w:p>
    <w:p w14:paraId="0564524A" w14:textId="7B275E28" w:rsidR="00281AF5" w:rsidRPr="0032735E" w:rsidRDefault="00281AF5" w:rsidP="00281AF5">
      <w:pPr>
        <w:spacing w:line="360" w:lineRule="auto"/>
        <w:jc w:val="both"/>
        <w:rPr>
          <w:rFonts w:ascii="Arial" w:hAnsi="Arial" w:cs="Arial"/>
          <w:color w:val="000000" w:themeColor="text1"/>
        </w:rPr>
      </w:pPr>
      <w:r w:rsidRPr="00281AF5">
        <w:rPr>
          <w:rFonts w:ascii="Arial" w:hAnsi="Arial" w:cs="Arial"/>
          <w:b/>
          <w:bCs/>
          <w:color w:val="000000" w:themeColor="text1"/>
        </w:rPr>
        <w:t>Relationships with Suppliers and Dealerships.</w:t>
      </w:r>
    </w:p>
    <w:p w14:paraId="61003997" w14:textId="77777777" w:rsidR="00281AF5" w:rsidRDefault="00281AF5" w:rsidP="00281AF5">
      <w:pPr>
        <w:spacing w:line="360" w:lineRule="auto"/>
        <w:jc w:val="both"/>
        <w:rPr>
          <w:rFonts w:ascii="Arial" w:hAnsi="Arial" w:cs="Arial"/>
          <w:color w:val="000000" w:themeColor="text1"/>
        </w:rPr>
      </w:pPr>
      <w:r w:rsidRPr="00281AF5">
        <w:rPr>
          <w:rFonts w:ascii="Arial" w:hAnsi="Arial" w:cs="Arial"/>
          <w:color w:val="000000" w:themeColor="text1"/>
        </w:rPr>
        <w:t>Thai collectivism highlights long-term relations, personal trust and informal communication networks. The keiretsu-style supplier model used by Toyota complements these cultural demands and thus good integration of the local suppliers. The Japanese focus on perfection and precision, however, might not fit the loose work culture of Thailand.</w:t>
      </w:r>
    </w:p>
    <w:p w14:paraId="5183B59F" w14:textId="77777777" w:rsidR="00281AF5" w:rsidRDefault="00281AF5" w:rsidP="00281AF5">
      <w:pPr>
        <w:spacing w:line="360" w:lineRule="auto"/>
        <w:jc w:val="both"/>
        <w:rPr>
          <w:rFonts w:ascii="Arial" w:hAnsi="Arial" w:cs="Arial"/>
          <w:color w:val="000000" w:themeColor="text1"/>
        </w:rPr>
      </w:pPr>
      <w:r w:rsidRPr="00281AF5">
        <w:rPr>
          <w:rFonts w:ascii="Arial" w:hAnsi="Arial" w:cs="Arial"/>
          <w:color w:val="000000" w:themeColor="text1"/>
        </w:rPr>
        <w:t>Toyota dealt with this by:</w:t>
      </w:r>
    </w:p>
    <w:p w14:paraId="095AA812" w14:textId="77777777" w:rsidR="00281AF5" w:rsidRDefault="00281AF5" w:rsidP="00281AF5">
      <w:pPr>
        <w:pStyle w:val="ListParagraph"/>
        <w:numPr>
          <w:ilvl w:val="0"/>
          <w:numId w:val="61"/>
        </w:numPr>
        <w:spacing w:line="360" w:lineRule="auto"/>
        <w:jc w:val="both"/>
        <w:rPr>
          <w:rFonts w:ascii="Arial" w:hAnsi="Arial" w:cs="Arial"/>
          <w:color w:val="000000" w:themeColor="text1"/>
        </w:rPr>
      </w:pPr>
      <w:r w:rsidRPr="00281AF5">
        <w:rPr>
          <w:rFonts w:ascii="Arial" w:hAnsi="Arial" w:cs="Arial"/>
          <w:color w:val="000000" w:themeColor="text1"/>
        </w:rPr>
        <w:t>Long-term supplier development programmes,</w:t>
      </w:r>
    </w:p>
    <w:p w14:paraId="60B02A45" w14:textId="77777777" w:rsidR="00281AF5" w:rsidRDefault="00281AF5" w:rsidP="00281AF5">
      <w:pPr>
        <w:pStyle w:val="ListParagraph"/>
        <w:numPr>
          <w:ilvl w:val="0"/>
          <w:numId w:val="61"/>
        </w:numPr>
        <w:spacing w:line="360" w:lineRule="auto"/>
        <w:jc w:val="both"/>
        <w:rPr>
          <w:rFonts w:ascii="Arial" w:hAnsi="Arial" w:cs="Arial"/>
          <w:color w:val="000000" w:themeColor="text1"/>
        </w:rPr>
      </w:pPr>
      <w:r w:rsidRPr="00281AF5">
        <w:rPr>
          <w:rFonts w:ascii="Arial" w:hAnsi="Arial" w:cs="Arial"/>
          <w:color w:val="000000" w:themeColor="text1"/>
        </w:rPr>
        <w:t>Expert assistance and intellectual communication,</w:t>
      </w:r>
    </w:p>
    <w:p w14:paraId="7927BB0D" w14:textId="7EF03863" w:rsidR="00281AF5" w:rsidRPr="00281AF5" w:rsidRDefault="00281AF5" w:rsidP="00281AF5">
      <w:pPr>
        <w:pStyle w:val="ListParagraph"/>
        <w:numPr>
          <w:ilvl w:val="0"/>
          <w:numId w:val="61"/>
        </w:numPr>
        <w:spacing w:line="360" w:lineRule="auto"/>
        <w:jc w:val="both"/>
        <w:rPr>
          <w:rFonts w:ascii="Arial" w:hAnsi="Arial" w:cs="Arial"/>
          <w:color w:val="000000" w:themeColor="text1"/>
        </w:rPr>
      </w:pPr>
      <w:r w:rsidRPr="00281AF5">
        <w:rPr>
          <w:rFonts w:ascii="Arial" w:hAnsi="Arial" w:cs="Arial"/>
          <w:color w:val="000000" w:themeColor="text1"/>
        </w:rPr>
        <w:t>Integrating Japanese production gurus (sensei) to coach teams of Thai suppliers.</w:t>
      </w:r>
    </w:p>
    <w:p w14:paraId="02FD88CD" w14:textId="77777777" w:rsidR="0032735E" w:rsidRDefault="00281AF5" w:rsidP="00281AF5">
      <w:pPr>
        <w:spacing w:line="360" w:lineRule="auto"/>
        <w:jc w:val="both"/>
        <w:rPr>
          <w:rFonts w:ascii="Arial" w:hAnsi="Arial" w:cs="Arial"/>
          <w:color w:val="000000" w:themeColor="text1"/>
        </w:rPr>
      </w:pPr>
      <w:r w:rsidRPr="00281AF5">
        <w:rPr>
          <w:rFonts w:ascii="Arial" w:hAnsi="Arial" w:cs="Arial"/>
          <w:color w:val="000000" w:themeColor="text1"/>
        </w:rPr>
        <w:t>Therefore, the cultural factors played a significant role in affecting the decision by Toyota to embrace high internal control and deep local connections.</w:t>
      </w:r>
    </w:p>
    <w:p w14:paraId="22C25E06" w14:textId="60BB0D63" w:rsidR="00281AF5" w:rsidRPr="0032735E" w:rsidRDefault="00281AF5" w:rsidP="00281AF5">
      <w:pPr>
        <w:spacing w:line="360" w:lineRule="auto"/>
        <w:jc w:val="both"/>
        <w:rPr>
          <w:rFonts w:ascii="Arial" w:hAnsi="Arial" w:cs="Arial"/>
          <w:color w:val="000000" w:themeColor="text1"/>
        </w:rPr>
      </w:pPr>
      <w:r w:rsidRPr="00281AF5">
        <w:rPr>
          <w:rFonts w:ascii="Arial" w:hAnsi="Arial" w:cs="Arial"/>
          <w:b/>
          <w:bCs/>
          <w:color w:val="000000" w:themeColor="text1"/>
        </w:rPr>
        <w:t>Consumer Behaviour and Marketing Strategy.</w:t>
      </w:r>
    </w:p>
    <w:p w14:paraId="31E6D9CA" w14:textId="77777777" w:rsidR="00281AF5" w:rsidRDefault="00281AF5" w:rsidP="00281AF5">
      <w:pPr>
        <w:spacing w:line="360" w:lineRule="auto"/>
        <w:jc w:val="both"/>
        <w:rPr>
          <w:rFonts w:ascii="Arial" w:hAnsi="Arial" w:cs="Arial"/>
          <w:color w:val="000000" w:themeColor="text1"/>
        </w:rPr>
      </w:pPr>
      <w:r w:rsidRPr="00281AF5">
        <w:rPr>
          <w:rFonts w:ascii="Arial" w:hAnsi="Arial" w:cs="Arial"/>
          <w:color w:val="000000" w:themeColor="text1"/>
        </w:rPr>
        <w:t>Brand perceptions, consumer attitudes and purchase motivations are subject to cultural values. The Thai consumers enjoy reliability, status, and harmony qualities that have a strong association with the Toyota brand image (Kotler and Keller, 2020). In Thailand, Toyota focused on the quality, low maintenance, and suitability for a family in its marketing campaigns, which do not go against the cultural expectations.</w:t>
      </w:r>
    </w:p>
    <w:p w14:paraId="7152F6B3" w14:textId="6C58DE6E" w:rsidR="00281AF5" w:rsidRPr="00465EE4" w:rsidRDefault="00281AF5" w:rsidP="00465EE4">
      <w:pPr>
        <w:spacing w:line="360" w:lineRule="auto"/>
        <w:jc w:val="both"/>
        <w:rPr>
          <w:rFonts w:ascii="Arial" w:hAnsi="Arial" w:cs="Arial"/>
          <w:color w:val="000000" w:themeColor="text1"/>
        </w:rPr>
      </w:pPr>
      <w:r w:rsidRPr="00281AF5">
        <w:rPr>
          <w:rFonts w:ascii="Arial" w:hAnsi="Arial" w:cs="Arial"/>
          <w:color w:val="000000" w:themeColor="text1"/>
        </w:rPr>
        <w:lastRenderedPageBreak/>
        <w:t>Moreover, Thais like personal communication; this factor promoted expansion of the dealer network of Toyota and provision of relationship-orientated aftersales services. This cultural adjustment helps in penetration and success in the long term.</w:t>
      </w:r>
    </w:p>
    <w:p w14:paraId="2C6E0268" w14:textId="236F95EE" w:rsidR="00465EE4" w:rsidRPr="00465EE4" w:rsidRDefault="00076864" w:rsidP="00076864">
      <w:pPr>
        <w:pStyle w:val="Heading2"/>
      </w:pPr>
      <w:bookmarkStart w:id="28" w:name="_Toc215577621"/>
      <w:bookmarkStart w:id="29" w:name="_Toc216121786"/>
      <w:r>
        <w:t xml:space="preserve">4.3 </w:t>
      </w:r>
      <w:r w:rsidR="00465EE4" w:rsidRPr="00465EE4">
        <w:t>Impact of Cultural Differences on Toyota’s Potential for Success in Thailand</w:t>
      </w:r>
      <w:bookmarkEnd w:id="28"/>
      <w:bookmarkEnd w:id="29"/>
    </w:p>
    <w:p w14:paraId="0C80AE6A" w14:textId="77777777" w:rsidR="00EF6B94" w:rsidRDefault="00281AF5" w:rsidP="00281AF5">
      <w:pPr>
        <w:spacing w:line="360" w:lineRule="auto"/>
        <w:jc w:val="both"/>
        <w:rPr>
          <w:rFonts w:ascii="Arial" w:hAnsi="Arial" w:cs="Arial"/>
          <w:color w:val="000000" w:themeColor="text1"/>
        </w:rPr>
      </w:pPr>
      <w:bookmarkStart w:id="30" w:name="_Toc216121787"/>
      <w:r w:rsidRPr="00281AF5">
        <w:rPr>
          <w:rStyle w:val="Heading2Char"/>
        </w:rPr>
        <w:t>Fit of Organisational Value System</w:t>
      </w:r>
      <w:bookmarkEnd w:id="30"/>
      <w:r w:rsidR="00EF6B94">
        <w:rPr>
          <w:rFonts w:ascii="Arial" w:hAnsi="Arial" w:cs="Arial"/>
          <w:color w:val="000000" w:themeColor="text1"/>
        </w:rPr>
        <w:t xml:space="preserve">: </w:t>
      </w:r>
      <w:r w:rsidRPr="00281AF5">
        <w:rPr>
          <w:rFonts w:ascii="Arial" w:hAnsi="Arial" w:cs="Arial"/>
          <w:color w:val="000000" w:themeColor="text1"/>
        </w:rPr>
        <w:t>Both cultures believe in harmony, respect and group orientation, and this brings harmony between the cultures. This fit increases the capability of Toyota to instill TPS norms in Thai operations and curb resistance to workplace standardisation. The common respect of hierarchy also enables well-established authority lines, leading to operational efficiency.</w:t>
      </w:r>
    </w:p>
    <w:p w14:paraId="784AA0FD" w14:textId="5673CC25" w:rsidR="000F2EB7" w:rsidRPr="000F2EB7" w:rsidRDefault="000F2EB7" w:rsidP="000F2EB7">
      <w:pPr>
        <w:spacing w:line="360" w:lineRule="auto"/>
        <w:jc w:val="both"/>
        <w:rPr>
          <w:rFonts w:asciiTheme="majorHAnsi" w:hAnsiTheme="majorHAnsi" w:cstheme="majorHAnsi"/>
          <w:i/>
          <w:iCs/>
          <w:color w:val="4472C4" w:themeColor="accent1"/>
          <w:sz w:val="22"/>
          <w:szCs w:val="22"/>
        </w:rPr>
      </w:pPr>
      <w:r w:rsidRPr="000F2EB7">
        <w:rPr>
          <w:rFonts w:asciiTheme="majorHAnsi" w:hAnsiTheme="majorHAnsi" w:cstheme="majorHAnsi"/>
          <w:i/>
          <w:iCs/>
          <w:color w:val="4472C4" w:themeColor="accent1"/>
          <w:sz w:val="22"/>
          <w:szCs w:val="22"/>
        </w:rPr>
        <w:t xml:space="preserve">Figure 9: </w:t>
      </w:r>
      <w:r w:rsidRPr="000F2EB7">
        <w:rPr>
          <w:rFonts w:asciiTheme="majorHAnsi" w:hAnsiTheme="majorHAnsi" w:cstheme="majorHAnsi"/>
          <w:i/>
          <w:iCs/>
          <w:color w:val="4472C4" w:themeColor="accent1"/>
          <w:sz w:val="22"/>
          <w:szCs w:val="22"/>
        </w:rPr>
        <w:t>The impact of cultural differences on Toyota’s potential for success in Thailand.</w:t>
      </w:r>
    </w:p>
    <w:p w14:paraId="7FEF765B" w14:textId="313FA042" w:rsidR="000F2EB7" w:rsidRDefault="000F2EB7" w:rsidP="000F2EB7">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70F3CC5B" wp14:editId="0F18859C">
            <wp:extent cx="3867586" cy="3434963"/>
            <wp:effectExtent l="0" t="0" r="0" b="0"/>
            <wp:docPr id="10323455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345570" name="Picture 1032345570"/>
                    <pic:cNvPicPr/>
                  </pic:nvPicPr>
                  <pic:blipFill>
                    <a:blip r:embed="rId18">
                      <a:extLst>
                        <a:ext uri="{28A0092B-C50C-407E-A947-70E740481C1C}">
                          <a14:useLocalDpi xmlns:a14="http://schemas.microsoft.com/office/drawing/2010/main" val="0"/>
                        </a:ext>
                      </a:extLst>
                    </a:blip>
                    <a:stretch>
                      <a:fillRect/>
                    </a:stretch>
                  </pic:blipFill>
                  <pic:spPr>
                    <a:xfrm>
                      <a:off x="0" y="0"/>
                      <a:ext cx="3885359" cy="3450748"/>
                    </a:xfrm>
                    <a:prstGeom prst="rect">
                      <a:avLst/>
                    </a:prstGeom>
                  </pic:spPr>
                </pic:pic>
              </a:graphicData>
            </a:graphic>
          </wp:inline>
        </w:drawing>
      </w:r>
    </w:p>
    <w:p w14:paraId="3963BCB7" w14:textId="77777777" w:rsidR="00EF6B94" w:rsidRDefault="00281AF5" w:rsidP="00281AF5">
      <w:pPr>
        <w:spacing w:line="360" w:lineRule="auto"/>
        <w:jc w:val="both"/>
        <w:rPr>
          <w:rFonts w:ascii="Arial" w:hAnsi="Arial" w:cs="Arial"/>
          <w:color w:val="000000" w:themeColor="text1"/>
        </w:rPr>
      </w:pPr>
      <w:r w:rsidRPr="00281AF5">
        <w:rPr>
          <w:rFonts w:ascii="Arial" w:hAnsi="Arial" w:cs="Arial"/>
          <w:b/>
          <w:bCs/>
          <w:color w:val="000000" w:themeColor="text1"/>
        </w:rPr>
        <w:t>Difficulties in Communication and Decision-Making</w:t>
      </w:r>
      <w:r w:rsidR="00EF6B94">
        <w:rPr>
          <w:rFonts w:ascii="Arial" w:hAnsi="Arial" w:cs="Arial"/>
          <w:b/>
          <w:bCs/>
          <w:color w:val="000000" w:themeColor="text1"/>
        </w:rPr>
        <w:t>:</w:t>
      </w:r>
      <w:r w:rsidR="00EF6B94">
        <w:rPr>
          <w:rFonts w:ascii="Arial" w:hAnsi="Arial" w:cs="Arial"/>
          <w:color w:val="000000" w:themeColor="text1"/>
        </w:rPr>
        <w:t xml:space="preserve"> </w:t>
      </w:r>
      <w:r w:rsidRPr="00281AF5">
        <w:rPr>
          <w:rFonts w:ascii="Arial" w:hAnsi="Arial" w:cs="Arial"/>
          <w:color w:val="000000" w:themeColor="text1"/>
        </w:rPr>
        <w:t>Even though they are similar, there are challenges in differences in the way of communication.</w:t>
      </w:r>
      <w:r>
        <w:rPr>
          <w:rFonts w:ascii="Arial" w:hAnsi="Arial" w:cs="Arial"/>
          <w:color w:val="000000" w:themeColor="text1"/>
        </w:rPr>
        <w:t xml:space="preserve"> </w:t>
      </w:r>
    </w:p>
    <w:p w14:paraId="2414BD79" w14:textId="77777777" w:rsidR="00EF6B94" w:rsidRDefault="00281AF5" w:rsidP="00281AF5">
      <w:pPr>
        <w:pStyle w:val="ListParagraph"/>
        <w:numPr>
          <w:ilvl w:val="0"/>
          <w:numId w:val="69"/>
        </w:numPr>
        <w:spacing w:line="360" w:lineRule="auto"/>
        <w:jc w:val="both"/>
        <w:rPr>
          <w:rFonts w:ascii="Arial" w:hAnsi="Arial" w:cs="Arial"/>
          <w:color w:val="000000" w:themeColor="text1"/>
        </w:rPr>
      </w:pPr>
      <w:r w:rsidRPr="00EF6B94">
        <w:rPr>
          <w:rFonts w:ascii="Arial" w:hAnsi="Arial" w:cs="Arial"/>
          <w:color w:val="000000" w:themeColor="text1"/>
        </w:rPr>
        <w:t>Thai employees can not share the problems to avoid confrontation.</w:t>
      </w:r>
    </w:p>
    <w:p w14:paraId="7E4EE75E" w14:textId="77777777" w:rsidR="00EF6B94" w:rsidRDefault="00281AF5" w:rsidP="00281AF5">
      <w:pPr>
        <w:pStyle w:val="ListParagraph"/>
        <w:numPr>
          <w:ilvl w:val="0"/>
          <w:numId w:val="69"/>
        </w:numPr>
        <w:spacing w:line="360" w:lineRule="auto"/>
        <w:jc w:val="both"/>
        <w:rPr>
          <w:rFonts w:ascii="Arial" w:hAnsi="Arial" w:cs="Arial"/>
          <w:color w:val="000000" w:themeColor="text1"/>
        </w:rPr>
      </w:pPr>
      <w:r w:rsidRPr="00EF6B94">
        <w:rPr>
          <w:rFonts w:ascii="Arial" w:hAnsi="Arial" w:cs="Arial"/>
          <w:color w:val="000000" w:themeColor="text1"/>
        </w:rPr>
        <w:t>Japanese managers can perceive silence in a way that it is acceptance.</w:t>
      </w:r>
    </w:p>
    <w:p w14:paraId="4E2D45B9" w14:textId="66EF1D96" w:rsidR="00281AF5" w:rsidRPr="00EF6B94" w:rsidRDefault="00281AF5" w:rsidP="00281AF5">
      <w:pPr>
        <w:pStyle w:val="ListParagraph"/>
        <w:numPr>
          <w:ilvl w:val="0"/>
          <w:numId w:val="69"/>
        </w:numPr>
        <w:spacing w:line="360" w:lineRule="auto"/>
        <w:jc w:val="both"/>
        <w:rPr>
          <w:rFonts w:ascii="Arial" w:hAnsi="Arial" w:cs="Arial"/>
          <w:color w:val="000000" w:themeColor="text1"/>
        </w:rPr>
      </w:pPr>
      <w:r w:rsidRPr="00EF6B94">
        <w:rPr>
          <w:rFonts w:ascii="Arial" w:hAnsi="Arial" w:cs="Arial"/>
          <w:color w:val="000000" w:themeColor="text1"/>
        </w:rPr>
        <w:t>The Japanese decision-making is based on consensus, which can be slower than Thai managers anticipate.</w:t>
      </w:r>
    </w:p>
    <w:p w14:paraId="7C8454FD" w14:textId="77777777" w:rsidR="00EF6B94" w:rsidRDefault="00281AF5" w:rsidP="00465EE4">
      <w:pPr>
        <w:spacing w:line="360" w:lineRule="auto"/>
        <w:jc w:val="both"/>
        <w:rPr>
          <w:rFonts w:ascii="Arial" w:hAnsi="Arial" w:cs="Arial"/>
          <w:color w:val="000000" w:themeColor="text1"/>
        </w:rPr>
      </w:pPr>
      <w:r w:rsidRPr="00281AF5">
        <w:rPr>
          <w:rFonts w:ascii="Arial" w:hAnsi="Arial" w:cs="Arial"/>
          <w:color w:val="000000" w:themeColor="text1"/>
        </w:rPr>
        <w:lastRenderedPageBreak/>
        <w:t>Otherwise, all these problems can cripple the problem-solving and safety reporting as well as Kaizen processes.</w:t>
      </w:r>
    </w:p>
    <w:p w14:paraId="767A6D84" w14:textId="6F4D1DFD" w:rsidR="003F02AB" w:rsidRPr="00EF6B94" w:rsidRDefault="00281AF5" w:rsidP="00465EE4">
      <w:pPr>
        <w:spacing w:line="360" w:lineRule="auto"/>
        <w:jc w:val="both"/>
        <w:rPr>
          <w:rFonts w:ascii="Arial" w:hAnsi="Arial" w:cs="Arial"/>
          <w:color w:val="000000" w:themeColor="text1"/>
        </w:rPr>
      </w:pPr>
      <w:r w:rsidRPr="00281AF5">
        <w:rPr>
          <w:rFonts w:ascii="Arial" w:hAnsi="Arial" w:cs="Arial"/>
          <w:b/>
          <w:bCs/>
          <w:color w:val="000000" w:themeColor="text1"/>
        </w:rPr>
        <w:t>Effects of Cultural Femininity on Performance Expectations</w:t>
      </w:r>
      <w:r w:rsidR="00EF6B94">
        <w:rPr>
          <w:rFonts w:ascii="Arial" w:hAnsi="Arial" w:cs="Arial"/>
          <w:b/>
          <w:bCs/>
          <w:color w:val="000000" w:themeColor="text1"/>
        </w:rPr>
        <w:t xml:space="preserve">: </w:t>
      </w:r>
      <w:r w:rsidRPr="00281AF5">
        <w:rPr>
          <w:rFonts w:ascii="Arial" w:hAnsi="Arial" w:cs="Arial"/>
          <w:color w:val="000000" w:themeColor="text1"/>
        </w:rPr>
        <w:t>The feminine culture of Thailand focuses on work-life balance and interrelationship, which can be incompatible with the Japanese production systems that are demanding. Toyota thus has to realign managerial expectations, stress management systems and reward structures to keep the workers motivated and minimize turnover.</w:t>
      </w:r>
    </w:p>
    <w:p w14:paraId="50315173" w14:textId="77777777" w:rsidR="00EF6B94" w:rsidRDefault="00465EE4" w:rsidP="00465EE4">
      <w:pPr>
        <w:spacing w:line="360" w:lineRule="auto"/>
        <w:jc w:val="both"/>
        <w:rPr>
          <w:rFonts w:ascii="Arial" w:hAnsi="Arial" w:cs="Arial"/>
          <w:color w:val="000000" w:themeColor="text1"/>
        </w:rPr>
      </w:pPr>
      <w:r w:rsidRPr="00465EE4">
        <w:rPr>
          <w:rFonts w:ascii="Arial" w:hAnsi="Arial" w:cs="Arial"/>
          <w:b/>
          <w:bCs/>
          <w:color w:val="000000" w:themeColor="text1"/>
        </w:rPr>
        <w:t>Consumer Culture and Market Growth</w:t>
      </w:r>
      <w:r w:rsidR="00EF6B94">
        <w:rPr>
          <w:rFonts w:ascii="Arial" w:hAnsi="Arial" w:cs="Arial"/>
          <w:b/>
          <w:bCs/>
          <w:color w:val="000000" w:themeColor="text1"/>
        </w:rPr>
        <w:t>:</w:t>
      </w:r>
      <w:r w:rsidR="00EF6B94">
        <w:rPr>
          <w:rFonts w:ascii="Arial" w:hAnsi="Arial" w:cs="Arial"/>
          <w:color w:val="000000" w:themeColor="text1"/>
        </w:rPr>
        <w:t xml:space="preserve"> </w:t>
      </w:r>
      <w:r w:rsidR="003F02AB" w:rsidRPr="003F02AB">
        <w:rPr>
          <w:rFonts w:ascii="Arial" w:hAnsi="Arial" w:cs="Arial"/>
          <w:color w:val="000000" w:themeColor="text1"/>
        </w:rPr>
        <w:t>The culture of social status and brand loyalty that the Thai culture places put Toyota at an advantage in its competition. The Toyota cars are viewed as strong, dependable and acceptable in society, which increases customer retention in the long run.</w:t>
      </w:r>
    </w:p>
    <w:p w14:paraId="09F184F7" w14:textId="73098B48" w:rsidR="002F6B6F" w:rsidRDefault="003F02AB" w:rsidP="00465EE4">
      <w:pPr>
        <w:spacing w:line="360" w:lineRule="auto"/>
        <w:jc w:val="both"/>
        <w:rPr>
          <w:rFonts w:ascii="Arial" w:hAnsi="Arial" w:cs="Arial"/>
          <w:color w:val="000000" w:themeColor="text1"/>
        </w:rPr>
      </w:pPr>
      <w:r w:rsidRPr="003F02AB">
        <w:rPr>
          <w:rFonts w:ascii="Arial" w:hAnsi="Arial" w:cs="Arial"/>
          <w:color w:val="000000" w:themeColor="text1"/>
        </w:rPr>
        <w:t>Nevertheless, younger Thai consumers are more and more inclined to aesthetics, technologies and lifestyle branding, which necessitates Toyota changing its offerings to be relevant.</w:t>
      </w:r>
    </w:p>
    <w:p w14:paraId="43A12782" w14:textId="0E39A1F6" w:rsidR="002F6B6F" w:rsidRDefault="002F6B6F" w:rsidP="00465EE4">
      <w:pPr>
        <w:spacing w:line="360" w:lineRule="auto"/>
        <w:jc w:val="both"/>
        <w:rPr>
          <w:rFonts w:ascii="Arial" w:hAnsi="Arial" w:cs="Arial"/>
          <w:color w:val="000000" w:themeColor="text1"/>
        </w:rPr>
      </w:pPr>
      <w:r w:rsidRPr="002F6B6F">
        <w:rPr>
          <w:rFonts w:ascii="Arial" w:hAnsi="Arial" w:cs="Arial"/>
          <w:b/>
          <w:bCs/>
          <w:color w:val="000000" w:themeColor="text1"/>
        </w:rPr>
        <w:t>Overall,</w:t>
      </w:r>
      <w:r>
        <w:rPr>
          <w:rFonts w:ascii="Arial" w:hAnsi="Arial" w:cs="Arial"/>
          <w:color w:val="000000" w:themeColor="text1"/>
        </w:rPr>
        <w:t xml:space="preserve"> </w:t>
      </w:r>
      <w:r w:rsidRPr="002F6B6F">
        <w:rPr>
          <w:rFonts w:ascii="Arial" w:hAnsi="Arial" w:cs="Arial"/>
          <w:color w:val="000000" w:themeColor="text1"/>
        </w:rPr>
        <w:t>Cultural variations between Japan and Thailand have an effect on Toyota's advertising and marketing method. While the similarities help, Toyota embraces communique patterns, gender roles and uncertainty. Their localized practice ensures success in Thailand's automobile marketplace.</w:t>
      </w:r>
    </w:p>
    <w:p w14:paraId="133988D6" w14:textId="7CD35D6B" w:rsidR="00076864" w:rsidRPr="00076864" w:rsidRDefault="00076864" w:rsidP="00F833BC">
      <w:pPr>
        <w:pStyle w:val="Heading1"/>
      </w:pPr>
      <w:bookmarkStart w:id="31" w:name="_Toc215577623"/>
      <w:bookmarkStart w:id="32" w:name="_Toc216121788"/>
      <w:r w:rsidRPr="00076864">
        <w:t>5. Critical Discussion and Recommendations: SOP Adjustments for Toyota in Thailand</w:t>
      </w:r>
      <w:bookmarkEnd w:id="31"/>
      <w:bookmarkEnd w:id="32"/>
      <w:r w:rsidRPr="00076864">
        <w:t xml:space="preserve"> </w:t>
      </w:r>
    </w:p>
    <w:p w14:paraId="6EA5CBF7" w14:textId="77777777" w:rsidR="00C04400" w:rsidRDefault="00A444D5" w:rsidP="00076864">
      <w:pPr>
        <w:spacing w:line="360" w:lineRule="auto"/>
        <w:jc w:val="both"/>
        <w:rPr>
          <w:rFonts w:ascii="Arial" w:hAnsi="Arial" w:cs="Arial"/>
          <w:color w:val="000000" w:themeColor="text1"/>
        </w:rPr>
      </w:pPr>
      <w:r w:rsidRPr="00A444D5">
        <w:rPr>
          <w:rFonts w:ascii="Arial" w:hAnsi="Arial" w:cs="Arial"/>
          <w:color w:val="000000" w:themeColor="text1"/>
        </w:rPr>
        <w:t xml:space="preserve">Toyota has a long history in the global market, and this shows that it can modify its functioning systems to various institutional settings. Expanding or entering more into an emerging economy like Thailand must, however, have the Standard Operating Procedures (SOPs) recalibrated to fit within the Ownership Location Internalisation (OLI) benefits and the cultural differences which are realized above. </w:t>
      </w:r>
    </w:p>
    <w:p w14:paraId="4FE734F4" w14:textId="77777777" w:rsidR="00096D01" w:rsidRDefault="00A444D5" w:rsidP="00076864">
      <w:pPr>
        <w:spacing w:line="360" w:lineRule="auto"/>
        <w:jc w:val="both"/>
        <w:rPr>
          <w:rFonts w:ascii="Arial" w:hAnsi="Arial" w:cs="Arial"/>
          <w:color w:val="000000" w:themeColor="text1"/>
        </w:rPr>
      </w:pPr>
      <w:r w:rsidRPr="00A444D5">
        <w:rPr>
          <w:rFonts w:ascii="Arial" w:hAnsi="Arial" w:cs="Arial"/>
          <w:color w:val="000000" w:themeColor="text1"/>
        </w:rPr>
        <w:t>The local institutional environments, labour markets and Thai culture demand that Toyota take a more localized approach to operations but keep the efficiency and standardisation</w:t>
      </w:r>
    </w:p>
    <w:p w14:paraId="1FA37ABE" w14:textId="5DD11B96" w:rsidR="00096D01" w:rsidRPr="00096D01" w:rsidRDefault="00096D01" w:rsidP="00096D01">
      <w:pPr>
        <w:spacing w:line="360" w:lineRule="auto"/>
        <w:jc w:val="both"/>
        <w:rPr>
          <w:rFonts w:asciiTheme="majorHAnsi" w:hAnsiTheme="majorHAnsi" w:cstheme="majorHAnsi"/>
          <w:i/>
          <w:iCs/>
          <w:color w:val="4472C4" w:themeColor="accent1"/>
          <w:sz w:val="22"/>
          <w:szCs w:val="22"/>
        </w:rPr>
      </w:pPr>
      <w:r w:rsidRPr="00096D01">
        <w:rPr>
          <w:rFonts w:asciiTheme="majorHAnsi" w:hAnsiTheme="majorHAnsi" w:cstheme="majorHAnsi"/>
          <w:i/>
          <w:iCs/>
          <w:color w:val="4472C4" w:themeColor="accent1"/>
          <w:sz w:val="22"/>
          <w:szCs w:val="22"/>
        </w:rPr>
        <w:t xml:space="preserve">Figure </w:t>
      </w:r>
      <w:r>
        <w:rPr>
          <w:rFonts w:asciiTheme="majorHAnsi" w:hAnsiTheme="majorHAnsi" w:cstheme="majorHAnsi"/>
          <w:i/>
          <w:iCs/>
          <w:color w:val="4472C4" w:themeColor="accent1"/>
          <w:sz w:val="22"/>
          <w:szCs w:val="22"/>
        </w:rPr>
        <w:t>10</w:t>
      </w:r>
      <w:r w:rsidRPr="00096D01">
        <w:rPr>
          <w:rFonts w:asciiTheme="majorHAnsi" w:hAnsiTheme="majorHAnsi" w:cstheme="majorHAnsi"/>
          <w:i/>
          <w:iCs/>
          <w:color w:val="4472C4" w:themeColor="accent1"/>
          <w:sz w:val="22"/>
          <w:szCs w:val="22"/>
        </w:rPr>
        <w:t>: Conceptual Illustration of Toyota's Localized Operations in Thailand</w:t>
      </w:r>
    </w:p>
    <w:p w14:paraId="18EEF897" w14:textId="0AE5DFEE" w:rsidR="00AE0876" w:rsidRDefault="00096D01" w:rsidP="00076864">
      <w:pPr>
        <w:spacing w:line="360" w:lineRule="auto"/>
        <w:jc w:val="both"/>
        <w:rPr>
          <w:rFonts w:ascii="Arial" w:hAnsi="Arial" w:cs="Arial"/>
          <w:color w:val="000000" w:themeColor="text1"/>
        </w:rPr>
      </w:pPr>
      <w:r>
        <w:rPr>
          <w:rFonts w:ascii="Arial" w:hAnsi="Arial" w:cs="Arial"/>
          <w:noProof/>
          <w:color w:val="000000" w:themeColor="text1"/>
        </w:rPr>
        <w:lastRenderedPageBreak/>
        <w:drawing>
          <wp:inline distT="0" distB="0" distL="0" distR="0" wp14:anchorId="2FCC5E8A" wp14:editId="231516D4">
            <wp:extent cx="5943600" cy="4300855"/>
            <wp:effectExtent l="0" t="0" r="0" b="4445"/>
            <wp:docPr id="1217605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60592" name="Picture 121760592"/>
                    <pic:cNvPicPr/>
                  </pic:nvPicPr>
                  <pic:blipFill>
                    <a:blip r:embed="rId19">
                      <a:extLst>
                        <a:ext uri="{28A0092B-C50C-407E-A947-70E740481C1C}">
                          <a14:useLocalDpi xmlns:a14="http://schemas.microsoft.com/office/drawing/2010/main" val="0"/>
                        </a:ext>
                      </a:extLst>
                    </a:blip>
                    <a:stretch>
                      <a:fillRect/>
                    </a:stretch>
                  </pic:blipFill>
                  <pic:spPr>
                    <a:xfrm>
                      <a:off x="0" y="0"/>
                      <a:ext cx="5943600" cy="4300855"/>
                    </a:xfrm>
                    <a:prstGeom prst="rect">
                      <a:avLst/>
                    </a:prstGeom>
                  </pic:spPr>
                </pic:pic>
              </a:graphicData>
            </a:graphic>
          </wp:inline>
        </w:drawing>
      </w:r>
      <w:r w:rsidR="00A444D5" w:rsidRPr="00A444D5">
        <w:rPr>
          <w:rFonts w:ascii="Arial" w:hAnsi="Arial" w:cs="Arial"/>
          <w:color w:val="000000" w:themeColor="text1"/>
        </w:rPr>
        <w:t xml:space="preserve"> of its global production system. </w:t>
      </w:r>
      <w:r w:rsidR="00AE0876">
        <w:rPr>
          <w:rFonts w:ascii="Arial" w:hAnsi="Arial" w:cs="Arial"/>
          <w:color w:val="000000" w:themeColor="text1"/>
        </w:rPr>
        <w:t>Five</w:t>
      </w:r>
      <w:r w:rsidR="00A444D5" w:rsidRPr="00A444D5">
        <w:rPr>
          <w:rFonts w:ascii="Arial" w:hAnsi="Arial" w:cs="Arial"/>
          <w:color w:val="000000" w:themeColor="text1"/>
        </w:rPr>
        <w:t xml:space="preserve"> key SOP changes discussed and recommended in this section are</w:t>
      </w:r>
      <w:r w:rsidR="00AE0876">
        <w:rPr>
          <w:rFonts w:ascii="Arial" w:hAnsi="Arial" w:cs="Arial"/>
          <w:color w:val="000000" w:themeColor="text1"/>
        </w:rPr>
        <w:t>:</w:t>
      </w:r>
    </w:p>
    <w:tbl>
      <w:tblPr>
        <w:tblStyle w:val="GridTable1Light"/>
        <w:tblW w:w="0" w:type="auto"/>
        <w:tblLook w:val="04A0" w:firstRow="1" w:lastRow="0" w:firstColumn="1" w:lastColumn="0" w:noHBand="0" w:noVBand="1"/>
      </w:tblPr>
      <w:tblGrid>
        <w:gridCol w:w="805"/>
        <w:gridCol w:w="8545"/>
      </w:tblGrid>
      <w:tr w:rsidR="00AE0876" w:rsidRPr="008C3B6B" w14:paraId="77EA1CDD" w14:textId="77777777" w:rsidTr="008C3B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5" w:type="dxa"/>
            <w:vAlign w:val="center"/>
          </w:tcPr>
          <w:p w14:paraId="6302B8A0" w14:textId="77777777" w:rsidR="00AE0876" w:rsidRPr="008C3B6B" w:rsidRDefault="00AE0876" w:rsidP="008C3B6B">
            <w:pPr>
              <w:spacing w:line="360" w:lineRule="auto"/>
              <w:jc w:val="center"/>
              <w:rPr>
                <w:rFonts w:ascii="Arial" w:hAnsi="Arial" w:cs="Arial"/>
              </w:rPr>
            </w:pPr>
            <w:r w:rsidRPr="008C3B6B">
              <w:rPr>
                <w:rFonts w:ascii="Arial" w:hAnsi="Arial" w:cs="Arial"/>
              </w:rPr>
              <w:t>#</w:t>
            </w:r>
          </w:p>
        </w:tc>
        <w:tc>
          <w:tcPr>
            <w:tcW w:w="8545" w:type="dxa"/>
            <w:vAlign w:val="center"/>
          </w:tcPr>
          <w:p w14:paraId="7A71B999" w14:textId="77777777" w:rsidR="00AE0876" w:rsidRPr="008C3B6B" w:rsidRDefault="00AE0876" w:rsidP="008C3B6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8C3B6B">
              <w:rPr>
                <w:rFonts w:ascii="Arial" w:hAnsi="Arial" w:cs="Arial"/>
              </w:rPr>
              <w:t>Area of Change</w:t>
            </w:r>
          </w:p>
        </w:tc>
      </w:tr>
      <w:tr w:rsidR="00AE0876" w:rsidRPr="008C3B6B" w14:paraId="2C0E1174" w14:textId="77777777" w:rsidTr="008C3B6B">
        <w:tc>
          <w:tcPr>
            <w:cnfStyle w:val="001000000000" w:firstRow="0" w:lastRow="0" w:firstColumn="1" w:lastColumn="0" w:oddVBand="0" w:evenVBand="0" w:oddHBand="0" w:evenHBand="0" w:firstRowFirstColumn="0" w:firstRowLastColumn="0" w:lastRowFirstColumn="0" w:lastRowLastColumn="0"/>
            <w:tcW w:w="805" w:type="dxa"/>
            <w:vAlign w:val="center"/>
          </w:tcPr>
          <w:p w14:paraId="6B6234E8" w14:textId="77777777" w:rsidR="00AE0876" w:rsidRPr="008C3B6B" w:rsidRDefault="00AE0876" w:rsidP="008C3B6B">
            <w:pPr>
              <w:spacing w:line="360" w:lineRule="auto"/>
              <w:jc w:val="center"/>
              <w:rPr>
                <w:rFonts w:ascii="Arial" w:hAnsi="Arial" w:cs="Arial"/>
              </w:rPr>
            </w:pPr>
            <w:r w:rsidRPr="008C3B6B">
              <w:rPr>
                <w:rFonts w:ascii="Arial" w:hAnsi="Arial" w:cs="Arial"/>
              </w:rPr>
              <w:t>1</w:t>
            </w:r>
          </w:p>
        </w:tc>
        <w:tc>
          <w:tcPr>
            <w:tcW w:w="8545" w:type="dxa"/>
            <w:vAlign w:val="center"/>
          </w:tcPr>
          <w:p w14:paraId="31949467" w14:textId="78CBACF8" w:rsidR="00AE0876" w:rsidRPr="008C3B6B" w:rsidRDefault="00AE0876" w:rsidP="008C3B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C3B6B">
              <w:rPr>
                <w:rFonts w:ascii="Arial" w:hAnsi="Arial" w:cs="Arial"/>
              </w:rPr>
              <w:t>Localized Workforce Development and Management SOPs</w:t>
            </w:r>
          </w:p>
        </w:tc>
      </w:tr>
      <w:tr w:rsidR="00AE0876" w:rsidRPr="008C3B6B" w14:paraId="6AE6993E" w14:textId="77777777" w:rsidTr="008C3B6B">
        <w:tc>
          <w:tcPr>
            <w:cnfStyle w:val="001000000000" w:firstRow="0" w:lastRow="0" w:firstColumn="1" w:lastColumn="0" w:oddVBand="0" w:evenVBand="0" w:oddHBand="0" w:evenHBand="0" w:firstRowFirstColumn="0" w:firstRowLastColumn="0" w:lastRowFirstColumn="0" w:lastRowLastColumn="0"/>
            <w:tcW w:w="805" w:type="dxa"/>
            <w:vAlign w:val="center"/>
          </w:tcPr>
          <w:p w14:paraId="32C06768" w14:textId="77777777" w:rsidR="00AE0876" w:rsidRPr="008C3B6B" w:rsidRDefault="00AE0876" w:rsidP="008C3B6B">
            <w:pPr>
              <w:spacing w:line="360" w:lineRule="auto"/>
              <w:jc w:val="center"/>
              <w:rPr>
                <w:rFonts w:ascii="Arial" w:hAnsi="Arial" w:cs="Arial"/>
              </w:rPr>
            </w:pPr>
            <w:r w:rsidRPr="008C3B6B">
              <w:rPr>
                <w:rFonts w:ascii="Arial" w:hAnsi="Arial" w:cs="Arial"/>
              </w:rPr>
              <w:t>2</w:t>
            </w:r>
          </w:p>
        </w:tc>
        <w:tc>
          <w:tcPr>
            <w:tcW w:w="8545" w:type="dxa"/>
            <w:vAlign w:val="center"/>
          </w:tcPr>
          <w:p w14:paraId="1A4BD993" w14:textId="4294FEAB" w:rsidR="00AE0876" w:rsidRPr="008C3B6B" w:rsidRDefault="00AE0876" w:rsidP="008C3B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C3B6B">
              <w:rPr>
                <w:rFonts w:ascii="Arial" w:hAnsi="Arial" w:cs="Arial"/>
              </w:rPr>
              <w:t>Culturally Sensitive Supplier Integration and Quality Assurance SOPs</w:t>
            </w:r>
          </w:p>
        </w:tc>
      </w:tr>
      <w:tr w:rsidR="00AE0876" w:rsidRPr="008C3B6B" w14:paraId="4BCEDC36" w14:textId="77777777" w:rsidTr="008C3B6B">
        <w:tc>
          <w:tcPr>
            <w:cnfStyle w:val="001000000000" w:firstRow="0" w:lastRow="0" w:firstColumn="1" w:lastColumn="0" w:oddVBand="0" w:evenVBand="0" w:oddHBand="0" w:evenHBand="0" w:firstRowFirstColumn="0" w:firstRowLastColumn="0" w:lastRowFirstColumn="0" w:lastRowLastColumn="0"/>
            <w:tcW w:w="805" w:type="dxa"/>
            <w:vAlign w:val="center"/>
          </w:tcPr>
          <w:p w14:paraId="2B91CC3F" w14:textId="77777777" w:rsidR="00AE0876" w:rsidRPr="008C3B6B" w:rsidRDefault="00AE0876" w:rsidP="008C3B6B">
            <w:pPr>
              <w:spacing w:line="360" w:lineRule="auto"/>
              <w:jc w:val="center"/>
              <w:rPr>
                <w:rFonts w:ascii="Arial" w:hAnsi="Arial" w:cs="Arial"/>
              </w:rPr>
            </w:pPr>
            <w:r w:rsidRPr="008C3B6B">
              <w:rPr>
                <w:rFonts w:ascii="Arial" w:hAnsi="Arial" w:cs="Arial"/>
              </w:rPr>
              <w:t>3</w:t>
            </w:r>
          </w:p>
        </w:tc>
        <w:tc>
          <w:tcPr>
            <w:tcW w:w="8545" w:type="dxa"/>
            <w:vAlign w:val="center"/>
          </w:tcPr>
          <w:p w14:paraId="135555F2" w14:textId="2E35919C" w:rsidR="00AE0876" w:rsidRPr="008C3B6B" w:rsidRDefault="00AE0876" w:rsidP="008C3B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C3B6B">
              <w:rPr>
                <w:rFonts w:ascii="Arial" w:hAnsi="Arial" w:cs="Arial"/>
              </w:rPr>
              <w:t>Customized Customer Experience and After-Sales Service SOPs</w:t>
            </w:r>
          </w:p>
        </w:tc>
      </w:tr>
      <w:tr w:rsidR="00AE0876" w:rsidRPr="008C3B6B" w14:paraId="1CE58FE6" w14:textId="77777777" w:rsidTr="008C3B6B">
        <w:tc>
          <w:tcPr>
            <w:cnfStyle w:val="001000000000" w:firstRow="0" w:lastRow="0" w:firstColumn="1" w:lastColumn="0" w:oddVBand="0" w:evenVBand="0" w:oddHBand="0" w:evenHBand="0" w:firstRowFirstColumn="0" w:firstRowLastColumn="0" w:lastRowFirstColumn="0" w:lastRowLastColumn="0"/>
            <w:tcW w:w="805" w:type="dxa"/>
            <w:vAlign w:val="center"/>
          </w:tcPr>
          <w:p w14:paraId="59E2DF67" w14:textId="77777777" w:rsidR="00AE0876" w:rsidRPr="008C3B6B" w:rsidRDefault="00AE0876" w:rsidP="008C3B6B">
            <w:pPr>
              <w:spacing w:line="360" w:lineRule="auto"/>
              <w:jc w:val="center"/>
              <w:rPr>
                <w:rFonts w:ascii="Arial" w:hAnsi="Arial" w:cs="Arial"/>
              </w:rPr>
            </w:pPr>
            <w:r w:rsidRPr="008C3B6B">
              <w:rPr>
                <w:rFonts w:ascii="Arial" w:hAnsi="Arial" w:cs="Arial"/>
              </w:rPr>
              <w:t>4</w:t>
            </w:r>
          </w:p>
        </w:tc>
        <w:tc>
          <w:tcPr>
            <w:tcW w:w="8545" w:type="dxa"/>
            <w:vAlign w:val="center"/>
          </w:tcPr>
          <w:p w14:paraId="6FA15FD0" w14:textId="329A5D37" w:rsidR="00AE0876" w:rsidRPr="008C3B6B" w:rsidRDefault="00AE0876" w:rsidP="008C3B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C3B6B">
              <w:rPr>
                <w:rFonts w:ascii="Arial" w:hAnsi="Arial" w:cs="Arial"/>
              </w:rPr>
              <w:t>Localized</w:t>
            </w:r>
            <w:r w:rsidRPr="004E5C75">
              <w:rPr>
                <w:rFonts w:ascii="Arial" w:hAnsi="Arial" w:cs="Arial"/>
              </w:rPr>
              <w:t xml:space="preserve"> Sustainability and Environmental Compliance Procedures</w:t>
            </w:r>
          </w:p>
        </w:tc>
      </w:tr>
      <w:tr w:rsidR="00AE0876" w:rsidRPr="008C3B6B" w14:paraId="32341BC8" w14:textId="77777777" w:rsidTr="008C3B6B">
        <w:tc>
          <w:tcPr>
            <w:cnfStyle w:val="001000000000" w:firstRow="0" w:lastRow="0" w:firstColumn="1" w:lastColumn="0" w:oddVBand="0" w:evenVBand="0" w:oddHBand="0" w:evenHBand="0" w:firstRowFirstColumn="0" w:firstRowLastColumn="0" w:lastRowFirstColumn="0" w:lastRowLastColumn="0"/>
            <w:tcW w:w="805" w:type="dxa"/>
            <w:vAlign w:val="center"/>
          </w:tcPr>
          <w:p w14:paraId="2DCE1C3C" w14:textId="77777777" w:rsidR="00AE0876" w:rsidRPr="008C3B6B" w:rsidRDefault="00AE0876" w:rsidP="008C3B6B">
            <w:pPr>
              <w:spacing w:line="360" w:lineRule="auto"/>
              <w:jc w:val="center"/>
              <w:rPr>
                <w:rFonts w:ascii="Arial" w:hAnsi="Arial" w:cs="Arial"/>
              </w:rPr>
            </w:pPr>
            <w:r w:rsidRPr="008C3B6B">
              <w:rPr>
                <w:rFonts w:ascii="Arial" w:hAnsi="Arial" w:cs="Arial"/>
              </w:rPr>
              <w:t>5</w:t>
            </w:r>
          </w:p>
        </w:tc>
        <w:tc>
          <w:tcPr>
            <w:tcW w:w="8545" w:type="dxa"/>
            <w:vAlign w:val="center"/>
          </w:tcPr>
          <w:p w14:paraId="571DEDAE" w14:textId="063ED9C5" w:rsidR="00AE0876" w:rsidRPr="008C3B6B" w:rsidRDefault="00AE0876" w:rsidP="008C3B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E3496">
              <w:rPr>
                <w:rFonts w:ascii="Arial" w:hAnsi="Arial" w:cs="Arial"/>
              </w:rPr>
              <w:t>Culturally Adapted Leadership and Decision-Making Protocols</w:t>
            </w:r>
          </w:p>
        </w:tc>
      </w:tr>
    </w:tbl>
    <w:p w14:paraId="609E48BC" w14:textId="4DF8C954" w:rsidR="00076864" w:rsidRPr="00076864" w:rsidRDefault="00076864" w:rsidP="00F833BC">
      <w:pPr>
        <w:pStyle w:val="Heading2"/>
      </w:pPr>
      <w:bookmarkStart w:id="33" w:name="_Toc215577624"/>
      <w:bookmarkStart w:id="34" w:name="_Toc216121789"/>
      <w:r w:rsidRPr="00076864">
        <w:t xml:space="preserve">5.1 </w:t>
      </w:r>
      <w:r w:rsidR="00CA0015">
        <w:t xml:space="preserve">SOP </w:t>
      </w:r>
      <w:r w:rsidRPr="00076864">
        <w:t xml:space="preserve">Adjustment 1: </w:t>
      </w:r>
      <w:r w:rsidR="00F833BC" w:rsidRPr="00076864">
        <w:t>Localized</w:t>
      </w:r>
      <w:r w:rsidRPr="00076864">
        <w:t xml:space="preserve"> Workforce Development and Management SOPs</w:t>
      </w:r>
      <w:bookmarkEnd w:id="33"/>
      <w:bookmarkEnd w:id="34"/>
    </w:p>
    <w:p w14:paraId="353A58D0" w14:textId="77777777" w:rsidR="003618E2" w:rsidRDefault="00A444D5" w:rsidP="003618E2">
      <w:pPr>
        <w:spacing w:line="360" w:lineRule="auto"/>
        <w:jc w:val="both"/>
        <w:rPr>
          <w:rFonts w:ascii="Arial" w:hAnsi="Arial" w:cs="Arial"/>
          <w:color w:val="000000" w:themeColor="text1"/>
        </w:rPr>
      </w:pPr>
      <w:r w:rsidRPr="00A444D5">
        <w:rPr>
          <w:rFonts w:ascii="Arial" w:hAnsi="Arial" w:cs="Arial"/>
          <w:color w:val="000000" w:themeColor="text1"/>
        </w:rPr>
        <w:t>A fundamental ownership benefit of Toyota is the capabilities based on human capital, especially the Toyota Production System (TPS), which focuses on kaizen</w:t>
      </w:r>
      <w:r w:rsidR="00866894">
        <w:rPr>
          <w:rFonts w:ascii="Arial" w:hAnsi="Arial" w:cs="Arial"/>
          <w:color w:val="000000" w:themeColor="text1"/>
        </w:rPr>
        <w:t xml:space="preserve">, </w:t>
      </w:r>
      <w:r w:rsidRPr="00A444D5">
        <w:rPr>
          <w:rFonts w:ascii="Arial" w:hAnsi="Arial" w:cs="Arial"/>
          <w:color w:val="000000" w:themeColor="text1"/>
        </w:rPr>
        <w:t xml:space="preserve">teamwork, problem-solving and lean philosophy (Liker and Convis, 2012). But to move these in-built routines to Thailand, they must be culturally readjusted. Thailand is a nation with high </w:t>
      </w:r>
      <w:r w:rsidRPr="00A444D5">
        <w:rPr>
          <w:rFonts w:ascii="Arial" w:hAnsi="Arial" w:cs="Arial"/>
          <w:color w:val="000000" w:themeColor="text1"/>
        </w:rPr>
        <w:lastRenderedPageBreak/>
        <w:t xml:space="preserve">power distance, collectivism, and a harmony-loving culture localized as 'Kreng Jai', which translates to deference and non-confrontation (Hofstede Insights, 2023). </w:t>
      </w:r>
    </w:p>
    <w:p w14:paraId="7F4F29E1" w14:textId="1B415A85" w:rsidR="003618E2" w:rsidRDefault="003618E2" w:rsidP="003618E2">
      <w:pPr>
        <w:spacing w:line="360" w:lineRule="auto"/>
        <w:jc w:val="both"/>
        <w:rPr>
          <w:rFonts w:ascii="Arial" w:hAnsi="Arial" w:cs="Arial"/>
          <w:color w:val="000000" w:themeColor="text1"/>
        </w:rPr>
      </w:pPr>
      <w:r w:rsidRPr="003618E2">
        <w:rPr>
          <w:rFonts w:ascii="Arial" w:hAnsi="Arial" w:cs="Arial"/>
          <w:color w:val="000000" w:themeColor="text1"/>
        </w:rPr>
        <w:t>These cultural elements can prevent the open communication and bottom-up suggestion structures that Toyota is predicated on for its non-stop improvement.</w:t>
      </w:r>
    </w:p>
    <w:p w14:paraId="0313C1C8" w14:textId="7F8C98E1" w:rsidR="00402028" w:rsidRPr="00402028" w:rsidRDefault="00402028" w:rsidP="003618E2">
      <w:pPr>
        <w:spacing w:line="360" w:lineRule="auto"/>
        <w:jc w:val="both"/>
        <w:rPr>
          <w:rFonts w:asciiTheme="majorHAnsi" w:hAnsiTheme="majorHAnsi" w:cstheme="majorHAnsi"/>
          <w:i/>
          <w:iCs/>
          <w:color w:val="4472C4" w:themeColor="accent1"/>
          <w:sz w:val="22"/>
          <w:szCs w:val="22"/>
        </w:rPr>
      </w:pPr>
      <w:r w:rsidRPr="00402028">
        <w:rPr>
          <w:rFonts w:asciiTheme="majorHAnsi" w:hAnsiTheme="majorHAnsi" w:cstheme="majorHAnsi"/>
          <w:i/>
          <w:iCs/>
          <w:color w:val="4472C4" w:themeColor="accent1"/>
          <w:sz w:val="22"/>
          <w:szCs w:val="22"/>
        </w:rPr>
        <w:t xml:space="preserve">Figure </w:t>
      </w:r>
      <w:r w:rsidRPr="00402028">
        <w:rPr>
          <w:rFonts w:asciiTheme="majorHAnsi" w:hAnsiTheme="majorHAnsi" w:cstheme="majorHAnsi"/>
          <w:i/>
          <w:iCs/>
          <w:color w:val="4472C4" w:themeColor="accent1"/>
          <w:sz w:val="22"/>
          <w:szCs w:val="22"/>
        </w:rPr>
        <w:t>11</w:t>
      </w:r>
      <w:r w:rsidRPr="00402028">
        <w:rPr>
          <w:rFonts w:asciiTheme="majorHAnsi" w:hAnsiTheme="majorHAnsi" w:cstheme="majorHAnsi"/>
          <w:i/>
          <w:iCs/>
          <w:color w:val="4472C4" w:themeColor="accent1"/>
          <w:sz w:val="22"/>
          <w:szCs w:val="22"/>
        </w:rPr>
        <w:t>: Conceptual Illustration of Strategic Collaboration and Localized SOPs at Toyota Thailand</w:t>
      </w:r>
    </w:p>
    <w:p w14:paraId="29241DD3" w14:textId="2C3D2312" w:rsidR="00402028" w:rsidRPr="003618E2" w:rsidRDefault="00402028" w:rsidP="00402028">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40772E8C" wp14:editId="39C314DE">
            <wp:extent cx="4496113" cy="2775005"/>
            <wp:effectExtent l="0" t="0" r="0" b="6350"/>
            <wp:docPr id="13387380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738011" name="Picture 1338738011"/>
                    <pic:cNvPicPr/>
                  </pic:nvPicPr>
                  <pic:blipFill>
                    <a:blip r:embed="rId20">
                      <a:extLst>
                        <a:ext uri="{28A0092B-C50C-407E-A947-70E740481C1C}">
                          <a14:useLocalDpi xmlns:a14="http://schemas.microsoft.com/office/drawing/2010/main" val="0"/>
                        </a:ext>
                      </a:extLst>
                    </a:blip>
                    <a:stretch>
                      <a:fillRect/>
                    </a:stretch>
                  </pic:blipFill>
                  <pic:spPr>
                    <a:xfrm>
                      <a:off x="0" y="0"/>
                      <a:ext cx="4503249" cy="2779410"/>
                    </a:xfrm>
                    <a:prstGeom prst="rect">
                      <a:avLst/>
                    </a:prstGeom>
                  </pic:spPr>
                </pic:pic>
              </a:graphicData>
            </a:graphic>
          </wp:inline>
        </w:drawing>
      </w:r>
    </w:p>
    <w:p w14:paraId="12717B0C" w14:textId="77777777" w:rsidR="00A444D5" w:rsidRPr="00A444D5" w:rsidRDefault="00A444D5" w:rsidP="00A444D5">
      <w:pPr>
        <w:spacing w:line="360" w:lineRule="auto"/>
        <w:jc w:val="both"/>
        <w:rPr>
          <w:rFonts w:ascii="Arial" w:hAnsi="Arial" w:cs="Arial"/>
          <w:b/>
          <w:bCs/>
          <w:color w:val="000000" w:themeColor="text1"/>
        </w:rPr>
      </w:pPr>
      <w:r w:rsidRPr="00A444D5">
        <w:rPr>
          <w:rFonts w:ascii="Arial" w:hAnsi="Arial" w:cs="Arial"/>
          <w:b/>
          <w:bCs/>
          <w:color w:val="000000" w:themeColor="text1"/>
        </w:rPr>
        <w:t>Critical Argument</w:t>
      </w:r>
    </w:p>
    <w:p w14:paraId="65C5CD1F" w14:textId="77777777" w:rsidR="00866894" w:rsidRDefault="00A444D5" w:rsidP="00064FA0">
      <w:pPr>
        <w:spacing w:line="360" w:lineRule="auto"/>
        <w:jc w:val="both"/>
        <w:rPr>
          <w:rFonts w:ascii="Arial" w:hAnsi="Arial" w:cs="Arial"/>
          <w:color w:val="000000" w:themeColor="text1"/>
        </w:rPr>
      </w:pPr>
      <w:r w:rsidRPr="00A444D5">
        <w:rPr>
          <w:rFonts w:ascii="Arial" w:hAnsi="Arial" w:cs="Arial"/>
          <w:color w:val="000000" w:themeColor="text1"/>
        </w:rPr>
        <w:t xml:space="preserve">Although TPS motivates workers to question the inefficiencies, Thai employees might be shy about speaking up about the processes and suggesting how to make them better because of hierarchical cultural values (Bamber et al., 2014). This has a direct impact on the internalisation advantage of Toyota since the transfer of knowledge might be limited when employees are afraid to participate in kaizen processes fully. </w:t>
      </w:r>
    </w:p>
    <w:p w14:paraId="1162D513" w14:textId="3B026412" w:rsidR="00064FA0" w:rsidRDefault="00A444D5" w:rsidP="00064FA0">
      <w:pPr>
        <w:spacing w:line="360" w:lineRule="auto"/>
        <w:jc w:val="both"/>
        <w:rPr>
          <w:rFonts w:ascii="Arial" w:hAnsi="Arial" w:cs="Arial"/>
          <w:color w:val="000000" w:themeColor="text1"/>
        </w:rPr>
      </w:pPr>
      <w:r w:rsidRPr="00A444D5">
        <w:rPr>
          <w:rFonts w:ascii="Arial" w:hAnsi="Arial" w:cs="Arial"/>
          <w:color w:val="000000" w:themeColor="text1"/>
        </w:rPr>
        <w:t>In addition, the global SOPs of Toyota tend to presuppose egalitarian communication patterns that might not fit well in Thai plants or corporate offices.</w:t>
      </w:r>
    </w:p>
    <w:p w14:paraId="725F43FE" w14:textId="77777777" w:rsidR="00064FA0" w:rsidRPr="00064FA0" w:rsidRDefault="00064FA0" w:rsidP="00064FA0">
      <w:pPr>
        <w:spacing w:line="360" w:lineRule="auto"/>
        <w:jc w:val="both"/>
        <w:rPr>
          <w:rFonts w:ascii="Arial" w:hAnsi="Arial" w:cs="Arial"/>
          <w:b/>
          <w:bCs/>
          <w:color w:val="000000" w:themeColor="text1"/>
        </w:rPr>
      </w:pPr>
      <w:r w:rsidRPr="00064FA0">
        <w:rPr>
          <w:rFonts w:ascii="Arial" w:hAnsi="Arial" w:cs="Arial"/>
          <w:b/>
          <w:bCs/>
          <w:color w:val="000000" w:themeColor="text1"/>
        </w:rPr>
        <w:t>SOP modification is recommended.</w:t>
      </w:r>
    </w:p>
    <w:p w14:paraId="78DD812C" w14:textId="77777777" w:rsidR="00064FA0" w:rsidRDefault="00064FA0" w:rsidP="00064FA0">
      <w:pPr>
        <w:spacing w:line="360" w:lineRule="auto"/>
        <w:jc w:val="both"/>
        <w:rPr>
          <w:rFonts w:ascii="Arial" w:hAnsi="Arial" w:cs="Arial"/>
          <w:color w:val="000000" w:themeColor="text1"/>
        </w:rPr>
      </w:pPr>
      <w:r w:rsidRPr="00064FA0">
        <w:rPr>
          <w:rFonts w:ascii="Arial" w:hAnsi="Arial" w:cs="Arial"/>
          <w:color w:val="000000" w:themeColor="text1"/>
        </w:rPr>
        <w:t>Toyota is recommended to have a localized workforce development SOP that centres on:</w:t>
      </w:r>
    </w:p>
    <w:p w14:paraId="7BC64BAB" w14:textId="77777777" w:rsidR="00064FA0" w:rsidRDefault="00064FA0" w:rsidP="00064FA0">
      <w:pPr>
        <w:pStyle w:val="ListParagraph"/>
        <w:numPr>
          <w:ilvl w:val="0"/>
          <w:numId w:val="62"/>
        </w:numPr>
        <w:spacing w:line="360" w:lineRule="auto"/>
        <w:jc w:val="both"/>
        <w:rPr>
          <w:rFonts w:ascii="Arial" w:hAnsi="Arial" w:cs="Arial"/>
          <w:color w:val="000000" w:themeColor="text1"/>
        </w:rPr>
      </w:pPr>
      <w:r w:rsidRPr="00064FA0">
        <w:rPr>
          <w:rFonts w:ascii="Arial" w:hAnsi="Arial" w:cs="Arial"/>
          <w:color w:val="000000" w:themeColor="text1"/>
        </w:rPr>
        <w:t>Training on cultural mediation for Japanese expatriate managers to understand Thai norms of the workplace better.</w:t>
      </w:r>
    </w:p>
    <w:p w14:paraId="7D3E531E" w14:textId="77777777" w:rsidR="00064FA0" w:rsidRDefault="00064FA0" w:rsidP="00064FA0">
      <w:pPr>
        <w:pStyle w:val="ListParagraph"/>
        <w:numPr>
          <w:ilvl w:val="0"/>
          <w:numId w:val="62"/>
        </w:numPr>
        <w:spacing w:line="360" w:lineRule="auto"/>
        <w:jc w:val="both"/>
        <w:rPr>
          <w:rFonts w:ascii="Arial" w:hAnsi="Arial" w:cs="Arial"/>
          <w:color w:val="000000" w:themeColor="text1"/>
        </w:rPr>
      </w:pPr>
      <w:r w:rsidRPr="00064FA0">
        <w:rPr>
          <w:rFonts w:ascii="Arial" w:hAnsi="Arial" w:cs="Arial"/>
          <w:color w:val="000000" w:themeColor="text1"/>
        </w:rPr>
        <w:lastRenderedPageBreak/>
        <w:t>Altered employee suggestion systems where individual employees will submit suggestions anonymously and through groups, aiming at enhancing the situation and non-confrontational reporting methods.</w:t>
      </w:r>
    </w:p>
    <w:p w14:paraId="66432856" w14:textId="50117E77" w:rsidR="00064FA0" w:rsidRPr="00064FA0" w:rsidRDefault="00064FA0" w:rsidP="00064FA0">
      <w:pPr>
        <w:pStyle w:val="ListParagraph"/>
        <w:numPr>
          <w:ilvl w:val="0"/>
          <w:numId w:val="62"/>
        </w:numPr>
        <w:spacing w:line="360" w:lineRule="auto"/>
        <w:jc w:val="both"/>
        <w:rPr>
          <w:rFonts w:ascii="Arial" w:hAnsi="Arial" w:cs="Arial"/>
          <w:color w:val="000000" w:themeColor="text1"/>
        </w:rPr>
      </w:pPr>
      <w:r w:rsidRPr="00064FA0">
        <w:rPr>
          <w:rFonts w:ascii="Arial" w:hAnsi="Arial" w:cs="Arial"/>
          <w:color w:val="000000" w:themeColor="text1"/>
        </w:rPr>
        <w:t>Increased localized leadership training of local workers to lessen the excessive dependence on expatriates as well as to maximise location benefits by means of establishing local talent.</w:t>
      </w:r>
    </w:p>
    <w:p w14:paraId="39A538D0" w14:textId="77777777" w:rsidR="00064FA0" w:rsidRDefault="00064FA0" w:rsidP="00064FA0">
      <w:pPr>
        <w:spacing w:line="360" w:lineRule="auto"/>
        <w:jc w:val="both"/>
        <w:rPr>
          <w:rFonts w:ascii="Arial" w:hAnsi="Arial" w:cs="Arial"/>
          <w:b/>
          <w:bCs/>
          <w:color w:val="000000" w:themeColor="text1"/>
        </w:rPr>
      </w:pPr>
      <w:r w:rsidRPr="00064FA0">
        <w:rPr>
          <w:rFonts w:ascii="Arial" w:hAnsi="Arial" w:cs="Arial"/>
          <w:b/>
          <w:bCs/>
          <w:color w:val="000000" w:themeColor="text1"/>
        </w:rPr>
        <w:t>Justification Using OLI</w:t>
      </w:r>
    </w:p>
    <w:tbl>
      <w:tblPr>
        <w:tblStyle w:val="GridTable1Light"/>
        <w:tblW w:w="0" w:type="auto"/>
        <w:tblLook w:val="04A0" w:firstRow="1" w:lastRow="0" w:firstColumn="1" w:lastColumn="0" w:noHBand="0" w:noVBand="1"/>
      </w:tblPr>
      <w:tblGrid>
        <w:gridCol w:w="1708"/>
        <w:gridCol w:w="7642"/>
      </w:tblGrid>
      <w:tr w:rsidR="00C92618" w:rsidRPr="00885CB9" w14:paraId="2A291FDF" w14:textId="77777777" w:rsidTr="00885C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vAlign w:val="center"/>
          </w:tcPr>
          <w:p w14:paraId="2B7EDEDA" w14:textId="5ED5F85C" w:rsidR="00C92618" w:rsidRPr="00885CB9" w:rsidRDefault="00C92618" w:rsidP="00885CB9">
            <w:pPr>
              <w:spacing w:line="360" w:lineRule="auto"/>
              <w:jc w:val="center"/>
              <w:rPr>
                <w:rFonts w:ascii="Arial" w:hAnsi="Arial" w:cs="Arial"/>
                <w:b w:val="0"/>
                <w:bCs w:val="0"/>
                <w:color w:val="000000" w:themeColor="text1"/>
                <w:sz w:val="22"/>
                <w:szCs w:val="22"/>
              </w:rPr>
            </w:pPr>
            <w:r w:rsidRPr="00885CB9">
              <w:rPr>
                <w:rFonts w:ascii="Arial" w:hAnsi="Arial" w:cs="Arial"/>
                <w:color w:val="000000" w:themeColor="text1"/>
                <w:sz w:val="22"/>
                <w:szCs w:val="22"/>
              </w:rPr>
              <w:t>OLI Factor</w:t>
            </w:r>
          </w:p>
        </w:tc>
        <w:tc>
          <w:tcPr>
            <w:tcW w:w="7645" w:type="dxa"/>
            <w:vAlign w:val="center"/>
          </w:tcPr>
          <w:p w14:paraId="3D380BCA" w14:textId="07E971E4" w:rsidR="00C92618" w:rsidRPr="00885CB9" w:rsidRDefault="00185653" w:rsidP="00885CB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2"/>
                <w:szCs w:val="22"/>
              </w:rPr>
            </w:pPr>
            <w:r w:rsidRPr="00885CB9">
              <w:rPr>
                <w:rFonts w:ascii="Arial" w:hAnsi="Arial" w:cs="Arial"/>
                <w:color w:val="000000" w:themeColor="text1"/>
                <w:sz w:val="22"/>
                <w:szCs w:val="22"/>
              </w:rPr>
              <w:t>Justification</w:t>
            </w:r>
          </w:p>
        </w:tc>
      </w:tr>
      <w:tr w:rsidR="00C92618" w:rsidRPr="00885CB9" w14:paraId="26213F2D" w14:textId="77777777" w:rsidTr="00885CB9">
        <w:tc>
          <w:tcPr>
            <w:cnfStyle w:val="001000000000" w:firstRow="0" w:lastRow="0" w:firstColumn="1" w:lastColumn="0" w:oddVBand="0" w:evenVBand="0" w:oddHBand="0" w:evenHBand="0" w:firstRowFirstColumn="0" w:firstRowLastColumn="0" w:lastRowFirstColumn="0" w:lastRowLastColumn="0"/>
            <w:tcW w:w="1705" w:type="dxa"/>
            <w:vAlign w:val="center"/>
          </w:tcPr>
          <w:p w14:paraId="06B87F8A" w14:textId="62D0BBAA" w:rsidR="00C92618" w:rsidRPr="00885CB9" w:rsidRDefault="00C92618" w:rsidP="00885CB9">
            <w:pPr>
              <w:spacing w:line="360" w:lineRule="auto"/>
              <w:jc w:val="center"/>
              <w:rPr>
                <w:rFonts w:ascii="Arial" w:hAnsi="Arial" w:cs="Arial"/>
                <w:b w:val="0"/>
                <w:bCs w:val="0"/>
                <w:color w:val="000000" w:themeColor="text1"/>
                <w:sz w:val="22"/>
                <w:szCs w:val="22"/>
              </w:rPr>
            </w:pPr>
            <w:r w:rsidRPr="00885CB9">
              <w:rPr>
                <w:rFonts w:ascii="Arial" w:hAnsi="Arial" w:cs="Arial"/>
                <w:color w:val="000000" w:themeColor="text1"/>
                <w:sz w:val="22"/>
                <w:szCs w:val="22"/>
              </w:rPr>
              <w:t>Ownership</w:t>
            </w:r>
          </w:p>
        </w:tc>
        <w:tc>
          <w:tcPr>
            <w:tcW w:w="7645" w:type="dxa"/>
            <w:vAlign w:val="center"/>
          </w:tcPr>
          <w:p w14:paraId="6F017638" w14:textId="203336C0" w:rsidR="00C92618" w:rsidRPr="00885CB9" w:rsidRDefault="00885CB9" w:rsidP="00885C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885CB9">
              <w:rPr>
                <w:rFonts w:ascii="Arial" w:hAnsi="Arial" w:cs="Arial"/>
                <w:color w:val="000000" w:themeColor="text1"/>
                <w:sz w:val="22"/>
                <w:szCs w:val="22"/>
              </w:rPr>
              <w:t>Customized training will allow Toyota to transfer company-specific tacit knowledge more successfully.</w:t>
            </w:r>
          </w:p>
        </w:tc>
      </w:tr>
      <w:tr w:rsidR="00C92618" w:rsidRPr="00885CB9" w14:paraId="4257A2FE" w14:textId="77777777" w:rsidTr="00885CB9">
        <w:tc>
          <w:tcPr>
            <w:cnfStyle w:val="001000000000" w:firstRow="0" w:lastRow="0" w:firstColumn="1" w:lastColumn="0" w:oddVBand="0" w:evenVBand="0" w:oddHBand="0" w:evenHBand="0" w:firstRowFirstColumn="0" w:firstRowLastColumn="0" w:lastRowFirstColumn="0" w:lastRowLastColumn="0"/>
            <w:tcW w:w="1705" w:type="dxa"/>
            <w:vAlign w:val="center"/>
          </w:tcPr>
          <w:p w14:paraId="64816C80" w14:textId="46D54776" w:rsidR="00C92618" w:rsidRPr="00885CB9" w:rsidRDefault="00C92618" w:rsidP="00885CB9">
            <w:pPr>
              <w:spacing w:line="360" w:lineRule="auto"/>
              <w:jc w:val="center"/>
              <w:rPr>
                <w:rFonts w:ascii="Arial" w:hAnsi="Arial" w:cs="Arial"/>
                <w:b w:val="0"/>
                <w:bCs w:val="0"/>
                <w:color w:val="000000" w:themeColor="text1"/>
                <w:sz w:val="22"/>
                <w:szCs w:val="22"/>
              </w:rPr>
            </w:pPr>
            <w:r w:rsidRPr="00885CB9">
              <w:rPr>
                <w:rFonts w:ascii="Arial" w:hAnsi="Arial" w:cs="Arial"/>
                <w:color w:val="000000" w:themeColor="text1"/>
                <w:sz w:val="22"/>
                <w:szCs w:val="22"/>
              </w:rPr>
              <w:t>Location</w:t>
            </w:r>
          </w:p>
        </w:tc>
        <w:tc>
          <w:tcPr>
            <w:tcW w:w="7645" w:type="dxa"/>
            <w:vAlign w:val="center"/>
          </w:tcPr>
          <w:p w14:paraId="542C4B75" w14:textId="59049775" w:rsidR="00C92618" w:rsidRPr="00885CB9" w:rsidRDefault="00885CB9" w:rsidP="00885C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2"/>
                <w:szCs w:val="22"/>
              </w:rPr>
            </w:pPr>
            <w:r w:rsidRPr="00885CB9">
              <w:rPr>
                <w:rFonts w:ascii="Arial" w:hAnsi="Arial" w:cs="Arial"/>
                <w:color w:val="000000" w:themeColor="text1"/>
                <w:sz w:val="22"/>
                <w:szCs w:val="22"/>
              </w:rPr>
              <w:t>Workforce expectations in Thailand: Local workforce support (productivity and retention) is enhanced in the competitive Thai automotive labour market.</w:t>
            </w:r>
          </w:p>
        </w:tc>
      </w:tr>
      <w:tr w:rsidR="00C92618" w:rsidRPr="00885CB9" w14:paraId="7C0706C7" w14:textId="77777777" w:rsidTr="00885CB9">
        <w:tc>
          <w:tcPr>
            <w:cnfStyle w:val="001000000000" w:firstRow="0" w:lastRow="0" w:firstColumn="1" w:lastColumn="0" w:oddVBand="0" w:evenVBand="0" w:oddHBand="0" w:evenHBand="0" w:firstRowFirstColumn="0" w:firstRowLastColumn="0" w:lastRowFirstColumn="0" w:lastRowLastColumn="0"/>
            <w:tcW w:w="1705" w:type="dxa"/>
            <w:vAlign w:val="center"/>
          </w:tcPr>
          <w:p w14:paraId="3714BBCC" w14:textId="14E35640" w:rsidR="00C92618" w:rsidRPr="00885CB9" w:rsidRDefault="00C92618" w:rsidP="00885CB9">
            <w:pPr>
              <w:spacing w:line="360" w:lineRule="auto"/>
              <w:jc w:val="center"/>
              <w:rPr>
                <w:rFonts w:ascii="Arial" w:hAnsi="Arial" w:cs="Arial"/>
                <w:b w:val="0"/>
                <w:bCs w:val="0"/>
                <w:color w:val="000000" w:themeColor="text1"/>
                <w:sz w:val="22"/>
                <w:szCs w:val="22"/>
              </w:rPr>
            </w:pPr>
            <w:r w:rsidRPr="00885CB9">
              <w:rPr>
                <w:rFonts w:ascii="Arial" w:hAnsi="Arial" w:cs="Arial"/>
                <w:color w:val="000000" w:themeColor="text1"/>
                <w:sz w:val="22"/>
                <w:szCs w:val="22"/>
              </w:rPr>
              <w:t>Internalization</w:t>
            </w:r>
          </w:p>
        </w:tc>
        <w:tc>
          <w:tcPr>
            <w:tcW w:w="7645" w:type="dxa"/>
            <w:vAlign w:val="center"/>
          </w:tcPr>
          <w:p w14:paraId="31754C90" w14:textId="51BE49E5" w:rsidR="00C92618" w:rsidRPr="00885CB9" w:rsidRDefault="00885CB9" w:rsidP="00885C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885CB9">
              <w:rPr>
                <w:rFonts w:ascii="Arial" w:hAnsi="Arial" w:cs="Arial"/>
                <w:color w:val="000000" w:themeColor="text1"/>
                <w:sz w:val="22"/>
                <w:szCs w:val="22"/>
              </w:rPr>
              <w:t>Improved intra-firm communication will lead to the high-performance work systems of Toyota being more successful, eliminating the necessity of external intermediaries.</w:t>
            </w:r>
          </w:p>
        </w:tc>
      </w:tr>
    </w:tbl>
    <w:p w14:paraId="22C6A090" w14:textId="1514F84C" w:rsidR="00064FA0" w:rsidRPr="00076864" w:rsidRDefault="00064FA0" w:rsidP="00885CB9">
      <w:pPr>
        <w:spacing w:before="240" w:line="360" w:lineRule="auto"/>
        <w:jc w:val="both"/>
        <w:rPr>
          <w:rFonts w:ascii="Arial" w:hAnsi="Arial" w:cs="Arial"/>
          <w:color w:val="000000" w:themeColor="text1"/>
        </w:rPr>
      </w:pPr>
      <w:r w:rsidRPr="00064FA0">
        <w:rPr>
          <w:rFonts w:ascii="Arial" w:hAnsi="Arial" w:cs="Arial"/>
          <w:color w:val="000000" w:themeColor="text1"/>
        </w:rPr>
        <w:t>Localisation of workforce-relevant SOPs, therefore, enhances the synergy between the operational excellence of Toyota and the cultural background of the Thais, which is more likely to trigger their long-term sustainable performance.</w:t>
      </w:r>
    </w:p>
    <w:p w14:paraId="1DA339BE" w14:textId="2365DC8C" w:rsidR="00076864" w:rsidRPr="00076864" w:rsidRDefault="00076864" w:rsidP="00F833BC">
      <w:pPr>
        <w:pStyle w:val="Heading2"/>
      </w:pPr>
      <w:bookmarkStart w:id="35" w:name="_Toc215577625"/>
      <w:bookmarkStart w:id="36" w:name="_Toc216121790"/>
      <w:r w:rsidRPr="00076864">
        <w:t xml:space="preserve">5.2 </w:t>
      </w:r>
      <w:r w:rsidR="00246091">
        <w:t xml:space="preserve">SOP </w:t>
      </w:r>
      <w:r w:rsidRPr="00076864">
        <w:t>Adjustment 2: Culturally Sensitive Supplier Integration and Quality Assurance SOPs</w:t>
      </w:r>
      <w:bookmarkEnd w:id="35"/>
      <w:bookmarkEnd w:id="36"/>
    </w:p>
    <w:p w14:paraId="6BA06AC7" w14:textId="5B6418E7" w:rsidR="005E4BB4" w:rsidRPr="005E4BB4" w:rsidRDefault="005E4BB4" w:rsidP="005E4BB4">
      <w:pPr>
        <w:spacing w:line="360" w:lineRule="auto"/>
        <w:jc w:val="both"/>
        <w:rPr>
          <w:rFonts w:asciiTheme="majorHAnsi" w:hAnsiTheme="majorHAnsi" w:cstheme="majorHAnsi"/>
          <w:i/>
          <w:iCs/>
          <w:color w:val="4472C4" w:themeColor="accent1"/>
          <w:sz w:val="22"/>
          <w:szCs w:val="22"/>
        </w:rPr>
      </w:pPr>
      <w:r>
        <w:rPr>
          <w:rFonts w:ascii="Arial" w:hAnsi="Arial" w:cs="Arial"/>
          <w:noProof/>
          <w:color w:val="000000" w:themeColor="text1"/>
        </w:rPr>
        <w:drawing>
          <wp:anchor distT="0" distB="0" distL="114300" distR="114300" simplePos="0" relativeHeight="251659264" behindDoc="0" locked="0" layoutInCell="1" allowOverlap="1" wp14:anchorId="576B2778" wp14:editId="5192B5FC">
            <wp:simplePos x="0" y="0"/>
            <wp:positionH relativeFrom="margin">
              <wp:posOffset>1160780</wp:posOffset>
            </wp:positionH>
            <wp:positionV relativeFrom="page">
              <wp:posOffset>7093889</wp:posOffset>
            </wp:positionV>
            <wp:extent cx="3622675" cy="2440940"/>
            <wp:effectExtent l="0" t="0" r="0" b="0"/>
            <wp:wrapSquare wrapText="bothSides"/>
            <wp:docPr id="7614422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442268" name="Picture 76144226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22675" cy="2440940"/>
                    </a:xfrm>
                    <a:prstGeom prst="rect">
                      <a:avLst/>
                    </a:prstGeom>
                  </pic:spPr>
                </pic:pic>
              </a:graphicData>
            </a:graphic>
            <wp14:sizeRelH relativeFrom="margin">
              <wp14:pctWidth>0</wp14:pctWidth>
            </wp14:sizeRelH>
            <wp14:sizeRelV relativeFrom="margin">
              <wp14:pctHeight>0</wp14:pctHeight>
            </wp14:sizeRelV>
          </wp:anchor>
        </w:drawing>
      </w:r>
      <w:r w:rsidRPr="005E4BB4">
        <w:rPr>
          <w:rFonts w:asciiTheme="majorHAnsi" w:hAnsiTheme="majorHAnsi" w:cstheme="majorHAnsi"/>
          <w:i/>
          <w:iCs/>
          <w:color w:val="4472C4" w:themeColor="accent1"/>
          <w:sz w:val="22"/>
          <w:szCs w:val="22"/>
        </w:rPr>
        <w:t>Figure 12: Supplier integration and SOP adjustments.</w:t>
      </w:r>
    </w:p>
    <w:p w14:paraId="59152C21" w14:textId="644237D0" w:rsidR="005E4BB4" w:rsidRDefault="005E4BB4" w:rsidP="009F347E">
      <w:pPr>
        <w:spacing w:line="360" w:lineRule="auto"/>
        <w:jc w:val="both"/>
        <w:rPr>
          <w:rFonts w:ascii="Arial" w:hAnsi="Arial" w:cs="Arial"/>
          <w:color w:val="000000" w:themeColor="text1"/>
        </w:rPr>
      </w:pPr>
    </w:p>
    <w:p w14:paraId="5EE4B6FC" w14:textId="6AE5ACE5" w:rsidR="005E4BB4" w:rsidRDefault="005E4BB4" w:rsidP="005E4BB4">
      <w:pPr>
        <w:spacing w:line="360" w:lineRule="auto"/>
        <w:jc w:val="center"/>
        <w:rPr>
          <w:rFonts w:ascii="Arial" w:hAnsi="Arial" w:cs="Arial"/>
          <w:color w:val="000000" w:themeColor="text1"/>
        </w:rPr>
      </w:pPr>
    </w:p>
    <w:p w14:paraId="5993C35E" w14:textId="77777777" w:rsidR="005E4BB4" w:rsidRDefault="005E4BB4" w:rsidP="009F347E">
      <w:pPr>
        <w:spacing w:line="360" w:lineRule="auto"/>
        <w:jc w:val="both"/>
        <w:rPr>
          <w:rFonts w:ascii="Arial" w:hAnsi="Arial" w:cs="Arial"/>
          <w:color w:val="000000" w:themeColor="text1"/>
        </w:rPr>
      </w:pPr>
    </w:p>
    <w:p w14:paraId="041D50D0" w14:textId="77777777" w:rsidR="005E4BB4" w:rsidRDefault="005E4BB4" w:rsidP="009F347E">
      <w:pPr>
        <w:spacing w:line="360" w:lineRule="auto"/>
        <w:jc w:val="both"/>
        <w:rPr>
          <w:rFonts w:ascii="Arial" w:hAnsi="Arial" w:cs="Arial"/>
          <w:color w:val="000000" w:themeColor="text1"/>
        </w:rPr>
      </w:pPr>
    </w:p>
    <w:p w14:paraId="35C7EB18" w14:textId="77777777" w:rsidR="005E4BB4" w:rsidRDefault="005E4BB4" w:rsidP="009F347E">
      <w:pPr>
        <w:spacing w:line="360" w:lineRule="auto"/>
        <w:jc w:val="both"/>
        <w:rPr>
          <w:rFonts w:ascii="Arial" w:hAnsi="Arial" w:cs="Arial"/>
          <w:color w:val="000000" w:themeColor="text1"/>
        </w:rPr>
      </w:pPr>
    </w:p>
    <w:p w14:paraId="63516E03" w14:textId="3C9EDE6E" w:rsidR="000F1BF1" w:rsidRDefault="009F347E" w:rsidP="009F347E">
      <w:pPr>
        <w:spacing w:line="360" w:lineRule="auto"/>
        <w:jc w:val="both"/>
        <w:rPr>
          <w:rFonts w:ascii="Arial" w:hAnsi="Arial" w:cs="Arial"/>
          <w:color w:val="000000" w:themeColor="text1"/>
        </w:rPr>
      </w:pPr>
      <w:r w:rsidRPr="009F347E">
        <w:rPr>
          <w:rFonts w:ascii="Arial" w:hAnsi="Arial" w:cs="Arial"/>
          <w:color w:val="000000" w:themeColor="text1"/>
        </w:rPr>
        <w:lastRenderedPageBreak/>
        <w:t xml:space="preserve">The key factor to the success of Toyota internationally would be its well-knitted supply-chain networks and quality-assuring regimes. The firm has customary close supplier affiliations called keiretsu, </w:t>
      </w:r>
      <w:r w:rsidR="006168D9" w:rsidRPr="009F347E">
        <w:rPr>
          <w:rFonts w:ascii="Arial" w:hAnsi="Arial" w:cs="Arial"/>
          <w:color w:val="000000" w:themeColor="text1"/>
        </w:rPr>
        <w:t>characterized</w:t>
      </w:r>
      <w:r w:rsidRPr="009F347E">
        <w:rPr>
          <w:rFonts w:ascii="Arial" w:hAnsi="Arial" w:cs="Arial"/>
          <w:color w:val="000000" w:themeColor="text1"/>
        </w:rPr>
        <w:t xml:space="preserve"> by long-term dedication, risk sharing, just-in-time logistics as well as profound technological cooperation (Dyer &amp; Nobeoka, 2000).</w:t>
      </w:r>
    </w:p>
    <w:p w14:paraId="076A9A03" w14:textId="37556D5E" w:rsidR="006168D9" w:rsidRDefault="009F347E" w:rsidP="009F347E">
      <w:pPr>
        <w:spacing w:line="360" w:lineRule="auto"/>
        <w:jc w:val="both"/>
        <w:rPr>
          <w:rFonts w:ascii="Arial" w:hAnsi="Arial" w:cs="Arial"/>
          <w:color w:val="000000" w:themeColor="text1"/>
        </w:rPr>
      </w:pPr>
      <w:r w:rsidRPr="009F347E">
        <w:rPr>
          <w:rFonts w:ascii="Arial" w:hAnsi="Arial" w:cs="Arial"/>
          <w:color w:val="000000" w:themeColor="text1"/>
        </w:rPr>
        <w:t>Nevertheless, Thailand has a disorganised supplier environment, where numerous SMEs are not technologically developed, lean managers, or able to finance (Fujita, 2016).</w:t>
      </w:r>
    </w:p>
    <w:p w14:paraId="7093DDEB" w14:textId="77777777" w:rsidR="006168D9" w:rsidRPr="006168D9" w:rsidRDefault="009F347E" w:rsidP="009F347E">
      <w:pPr>
        <w:spacing w:line="360" w:lineRule="auto"/>
        <w:jc w:val="both"/>
        <w:rPr>
          <w:rFonts w:ascii="Arial" w:hAnsi="Arial" w:cs="Arial"/>
          <w:b/>
          <w:bCs/>
          <w:color w:val="000000" w:themeColor="text1"/>
        </w:rPr>
      </w:pPr>
      <w:r w:rsidRPr="009F347E">
        <w:rPr>
          <w:rFonts w:ascii="Arial" w:hAnsi="Arial" w:cs="Arial"/>
          <w:b/>
          <w:bCs/>
          <w:color w:val="000000" w:themeColor="text1"/>
        </w:rPr>
        <w:t>Critical Argument</w:t>
      </w:r>
    </w:p>
    <w:p w14:paraId="3AFF7535" w14:textId="77777777" w:rsidR="006168D9" w:rsidRDefault="009F347E" w:rsidP="009F347E">
      <w:pPr>
        <w:spacing w:line="360" w:lineRule="auto"/>
        <w:jc w:val="both"/>
        <w:rPr>
          <w:rFonts w:ascii="Arial" w:hAnsi="Arial" w:cs="Arial"/>
          <w:color w:val="000000" w:themeColor="text1"/>
        </w:rPr>
      </w:pPr>
      <w:r w:rsidRPr="009F347E">
        <w:rPr>
          <w:rFonts w:ascii="Arial" w:hAnsi="Arial" w:cs="Arial"/>
          <w:color w:val="000000" w:themeColor="text1"/>
        </w:rPr>
        <w:t>Toyota's standardised worldwide SOPs of supplier audits, capability evaluation, and lean integration might be excessively strict for the Thai suppliers and may exclude feasible ones. Meanwhile, over-localisation will cause Toyota to lose its internalisation strength through the loss of quality and reliability. Balancing the international standards with the local supplier restrictions is thus important.</w:t>
      </w:r>
    </w:p>
    <w:p w14:paraId="7076646C" w14:textId="77777777" w:rsidR="006168D9" w:rsidRPr="006168D9" w:rsidRDefault="009F347E" w:rsidP="009F347E">
      <w:pPr>
        <w:spacing w:line="360" w:lineRule="auto"/>
        <w:jc w:val="both"/>
        <w:rPr>
          <w:rFonts w:ascii="Arial" w:hAnsi="Arial" w:cs="Arial"/>
          <w:b/>
          <w:bCs/>
          <w:color w:val="000000" w:themeColor="text1"/>
        </w:rPr>
      </w:pPr>
      <w:r w:rsidRPr="009F347E">
        <w:rPr>
          <w:rFonts w:ascii="Arial" w:hAnsi="Arial" w:cs="Arial"/>
          <w:b/>
          <w:bCs/>
          <w:color w:val="000000" w:themeColor="text1"/>
        </w:rPr>
        <w:t>SOP modification is recommended.</w:t>
      </w:r>
    </w:p>
    <w:p w14:paraId="5103E39A" w14:textId="77777777" w:rsidR="006168D9" w:rsidRDefault="009F347E" w:rsidP="009F347E">
      <w:pPr>
        <w:spacing w:line="360" w:lineRule="auto"/>
        <w:jc w:val="both"/>
        <w:rPr>
          <w:rFonts w:ascii="Arial" w:hAnsi="Arial" w:cs="Arial"/>
          <w:color w:val="000000" w:themeColor="text1"/>
        </w:rPr>
      </w:pPr>
      <w:r w:rsidRPr="009F347E">
        <w:rPr>
          <w:rFonts w:ascii="Arial" w:hAnsi="Arial" w:cs="Arial"/>
          <w:color w:val="000000" w:themeColor="text1"/>
        </w:rPr>
        <w:t>Toyota is to implement a levelled supplier integration and quality assurance SOP that will involve:</w:t>
      </w:r>
    </w:p>
    <w:p w14:paraId="559A0D0A" w14:textId="77777777" w:rsidR="006168D9" w:rsidRDefault="009F347E" w:rsidP="009F347E">
      <w:pPr>
        <w:pStyle w:val="ListParagraph"/>
        <w:numPr>
          <w:ilvl w:val="0"/>
          <w:numId w:val="64"/>
        </w:numPr>
        <w:spacing w:line="360" w:lineRule="auto"/>
        <w:jc w:val="both"/>
        <w:rPr>
          <w:rFonts w:ascii="Arial" w:hAnsi="Arial" w:cs="Arial"/>
          <w:color w:val="000000" w:themeColor="text1"/>
        </w:rPr>
      </w:pPr>
      <w:r w:rsidRPr="006168D9">
        <w:rPr>
          <w:rFonts w:ascii="Arial" w:hAnsi="Arial" w:cs="Arial"/>
          <w:color w:val="000000" w:themeColor="text1"/>
        </w:rPr>
        <w:t>Adjusted auditing practices to understand the gradual capability-building requirements of Thai suppliers rather than subject them to global standards right away.</w:t>
      </w:r>
    </w:p>
    <w:p w14:paraId="78CD6609" w14:textId="77777777" w:rsidR="006168D9" w:rsidRDefault="009F347E" w:rsidP="009F347E">
      <w:pPr>
        <w:pStyle w:val="ListParagraph"/>
        <w:numPr>
          <w:ilvl w:val="0"/>
          <w:numId w:val="64"/>
        </w:numPr>
        <w:spacing w:line="360" w:lineRule="auto"/>
        <w:jc w:val="both"/>
        <w:rPr>
          <w:rFonts w:ascii="Arial" w:hAnsi="Arial" w:cs="Arial"/>
          <w:color w:val="000000" w:themeColor="text1"/>
        </w:rPr>
      </w:pPr>
      <w:r w:rsidRPr="006168D9">
        <w:rPr>
          <w:rFonts w:ascii="Arial" w:hAnsi="Arial" w:cs="Arial"/>
          <w:color w:val="000000" w:themeColor="text1"/>
        </w:rPr>
        <w:t xml:space="preserve">Embedded Toyota Supplier Support Centres (TSSC) in Thailand, which offer local SMEs training on TPS, waste </w:t>
      </w:r>
      <w:r w:rsidR="006168D9" w:rsidRPr="006168D9">
        <w:rPr>
          <w:rFonts w:ascii="Arial" w:hAnsi="Arial" w:cs="Arial"/>
          <w:color w:val="000000" w:themeColor="text1"/>
        </w:rPr>
        <w:t>minimization</w:t>
      </w:r>
      <w:r w:rsidRPr="006168D9">
        <w:rPr>
          <w:rFonts w:ascii="Arial" w:hAnsi="Arial" w:cs="Arial"/>
          <w:color w:val="000000" w:themeColor="text1"/>
        </w:rPr>
        <w:t xml:space="preserve"> and quality control.</w:t>
      </w:r>
    </w:p>
    <w:p w14:paraId="13FBEA83" w14:textId="58A6245A" w:rsidR="006168D9" w:rsidRPr="006168D9" w:rsidRDefault="006168D9" w:rsidP="009F347E">
      <w:pPr>
        <w:pStyle w:val="ListParagraph"/>
        <w:numPr>
          <w:ilvl w:val="0"/>
          <w:numId w:val="64"/>
        </w:numPr>
        <w:spacing w:line="360" w:lineRule="auto"/>
        <w:jc w:val="both"/>
        <w:rPr>
          <w:rFonts w:ascii="Arial" w:hAnsi="Arial" w:cs="Arial"/>
          <w:color w:val="000000" w:themeColor="text1"/>
        </w:rPr>
      </w:pPr>
      <w:r w:rsidRPr="006168D9">
        <w:rPr>
          <w:rFonts w:ascii="Arial" w:hAnsi="Arial" w:cs="Arial"/>
          <w:color w:val="000000" w:themeColor="text1"/>
        </w:rPr>
        <w:t>Localized</w:t>
      </w:r>
      <w:r w:rsidR="009F347E" w:rsidRPr="006168D9">
        <w:rPr>
          <w:rFonts w:ascii="Arial" w:hAnsi="Arial" w:cs="Arial"/>
          <w:color w:val="000000" w:themeColor="text1"/>
        </w:rPr>
        <w:t xml:space="preserve"> sourcing targets, which assist with industrial upgrading ambitions of the government of Thailand as a part of the Thailand 4.0 initiatives (Board of Investment Thailand, 2022).</w:t>
      </w:r>
    </w:p>
    <w:p w14:paraId="3CC98DBF" w14:textId="77777777" w:rsidR="006168D9" w:rsidRDefault="009F347E" w:rsidP="009F347E">
      <w:pPr>
        <w:spacing w:line="360" w:lineRule="auto"/>
        <w:jc w:val="both"/>
        <w:rPr>
          <w:rFonts w:ascii="Arial" w:hAnsi="Arial" w:cs="Arial"/>
          <w:b/>
          <w:bCs/>
          <w:color w:val="000000" w:themeColor="text1"/>
        </w:rPr>
      </w:pPr>
      <w:r w:rsidRPr="009F347E">
        <w:rPr>
          <w:rFonts w:ascii="Arial" w:hAnsi="Arial" w:cs="Arial"/>
          <w:b/>
          <w:bCs/>
          <w:color w:val="000000" w:themeColor="text1"/>
        </w:rPr>
        <w:t>Justification Using OLI</w:t>
      </w:r>
    </w:p>
    <w:tbl>
      <w:tblPr>
        <w:tblStyle w:val="GridTable1Light"/>
        <w:tblW w:w="0" w:type="auto"/>
        <w:tblLook w:val="04A0" w:firstRow="1" w:lastRow="0" w:firstColumn="1" w:lastColumn="0" w:noHBand="0" w:noVBand="1"/>
      </w:tblPr>
      <w:tblGrid>
        <w:gridCol w:w="1708"/>
        <w:gridCol w:w="7642"/>
      </w:tblGrid>
      <w:tr w:rsidR="000F1BF1" w:rsidRPr="00885CB9" w14:paraId="42EBA1BD" w14:textId="77777777" w:rsidTr="007D74D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vAlign w:val="center"/>
          </w:tcPr>
          <w:p w14:paraId="60A776D8" w14:textId="77777777" w:rsidR="000F1BF1" w:rsidRPr="00885CB9" w:rsidRDefault="000F1BF1" w:rsidP="007D74D9">
            <w:pPr>
              <w:spacing w:line="360" w:lineRule="auto"/>
              <w:jc w:val="center"/>
              <w:rPr>
                <w:rFonts w:ascii="Arial" w:hAnsi="Arial" w:cs="Arial"/>
                <w:b w:val="0"/>
                <w:bCs w:val="0"/>
                <w:color w:val="000000" w:themeColor="text1"/>
                <w:sz w:val="22"/>
                <w:szCs w:val="22"/>
              </w:rPr>
            </w:pPr>
            <w:r w:rsidRPr="00885CB9">
              <w:rPr>
                <w:rFonts w:ascii="Arial" w:hAnsi="Arial" w:cs="Arial"/>
                <w:color w:val="000000" w:themeColor="text1"/>
                <w:sz w:val="22"/>
                <w:szCs w:val="22"/>
              </w:rPr>
              <w:t>OLI Factor</w:t>
            </w:r>
          </w:p>
        </w:tc>
        <w:tc>
          <w:tcPr>
            <w:tcW w:w="7645" w:type="dxa"/>
            <w:vAlign w:val="center"/>
          </w:tcPr>
          <w:p w14:paraId="138726E4" w14:textId="77777777" w:rsidR="000F1BF1" w:rsidRPr="00885CB9" w:rsidRDefault="000F1BF1" w:rsidP="007D74D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2"/>
                <w:szCs w:val="22"/>
              </w:rPr>
            </w:pPr>
            <w:r w:rsidRPr="00885CB9">
              <w:rPr>
                <w:rFonts w:ascii="Arial" w:hAnsi="Arial" w:cs="Arial"/>
                <w:color w:val="000000" w:themeColor="text1"/>
                <w:sz w:val="22"/>
                <w:szCs w:val="22"/>
              </w:rPr>
              <w:t>Justification</w:t>
            </w:r>
          </w:p>
        </w:tc>
      </w:tr>
      <w:tr w:rsidR="000F1BF1" w:rsidRPr="00885CB9" w14:paraId="1EA65C89" w14:textId="77777777" w:rsidTr="007D74D9">
        <w:tc>
          <w:tcPr>
            <w:cnfStyle w:val="001000000000" w:firstRow="0" w:lastRow="0" w:firstColumn="1" w:lastColumn="0" w:oddVBand="0" w:evenVBand="0" w:oddHBand="0" w:evenHBand="0" w:firstRowFirstColumn="0" w:firstRowLastColumn="0" w:lastRowFirstColumn="0" w:lastRowLastColumn="0"/>
            <w:tcW w:w="1705" w:type="dxa"/>
            <w:vAlign w:val="center"/>
          </w:tcPr>
          <w:p w14:paraId="64A8B03E" w14:textId="77777777" w:rsidR="000F1BF1" w:rsidRPr="00885CB9" w:rsidRDefault="000F1BF1" w:rsidP="007D74D9">
            <w:pPr>
              <w:spacing w:line="360" w:lineRule="auto"/>
              <w:jc w:val="center"/>
              <w:rPr>
                <w:rFonts w:ascii="Arial" w:hAnsi="Arial" w:cs="Arial"/>
                <w:b w:val="0"/>
                <w:bCs w:val="0"/>
                <w:color w:val="000000" w:themeColor="text1"/>
                <w:sz w:val="22"/>
                <w:szCs w:val="22"/>
              </w:rPr>
            </w:pPr>
            <w:r w:rsidRPr="00885CB9">
              <w:rPr>
                <w:rFonts w:ascii="Arial" w:hAnsi="Arial" w:cs="Arial"/>
                <w:color w:val="000000" w:themeColor="text1"/>
                <w:sz w:val="22"/>
                <w:szCs w:val="22"/>
              </w:rPr>
              <w:t>Ownership</w:t>
            </w:r>
          </w:p>
        </w:tc>
        <w:tc>
          <w:tcPr>
            <w:tcW w:w="7645" w:type="dxa"/>
            <w:vAlign w:val="center"/>
          </w:tcPr>
          <w:p w14:paraId="367E1989" w14:textId="3B0447B1" w:rsidR="000F1BF1" w:rsidRPr="00885CB9" w:rsidRDefault="000F1BF1" w:rsidP="007D74D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6168D9">
              <w:rPr>
                <w:rFonts w:ascii="Arial" w:hAnsi="Arial" w:cs="Arial"/>
                <w:color w:val="000000" w:themeColor="text1"/>
              </w:rPr>
              <w:t>This modification safeguards the proprietary production techniques of Toyota but moves them gradually as per the local preparedness.</w:t>
            </w:r>
          </w:p>
        </w:tc>
      </w:tr>
      <w:tr w:rsidR="000F1BF1" w:rsidRPr="00885CB9" w14:paraId="12EE662A" w14:textId="77777777" w:rsidTr="007D74D9">
        <w:tc>
          <w:tcPr>
            <w:cnfStyle w:val="001000000000" w:firstRow="0" w:lastRow="0" w:firstColumn="1" w:lastColumn="0" w:oddVBand="0" w:evenVBand="0" w:oddHBand="0" w:evenHBand="0" w:firstRowFirstColumn="0" w:firstRowLastColumn="0" w:lastRowFirstColumn="0" w:lastRowLastColumn="0"/>
            <w:tcW w:w="1705" w:type="dxa"/>
            <w:vAlign w:val="center"/>
          </w:tcPr>
          <w:p w14:paraId="6F38BD59" w14:textId="77777777" w:rsidR="000F1BF1" w:rsidRPr="00885CB9" w:rsidRDefault="000F1BF1" w:rsidP="007D74D9">
            <w:pPr>
              <w:spacing w:line="360" w:lineRule="auto"/>
              <w:jc w:val="center"/>
              <w:rPr>
                <w:rFonts w:ascii="Arial" w:hAnsi="Arial" w:cs="Arial"/>
                <w:b w:val="0"/>
                <w:bCs w:val="0"/>
                <w:color w:val="000000" w:themeColor="text1"/>
                <w:sz w:val="22"/>
                <w:szCs w:val="22"/>
              </w:rPr>
            </w:pPr>
            <w:r w:rsidRPr="00885CB9">
              <w:rPr>
                <w:rFonts w:ascii="Arial" w:hAnsi="Arial" w:cs="Arial"/>
                <w:color w:val="000000" w:themeColor="text1"/>
                <w:sz w:val="22"/>
                <w:szCs w:val="22"/>
              </w:rPr>
              <w:t>Location</w:t>
            </w:r>
          </w:p>
        </w:tc>
        <w:tc>
          <w:tcPr>
            <w:tcW w:w="7645" w:type="dxa"/>
            <w:vAlign w:val="center"/>
          </w:tcPr>
          <w:p w14:paraId="6EC4E768" w14:textId="52097D79" w:rsidR="000F1BF1" w:rsidRPr="00885CB9" w:rsidRDefault="000F1BF1" w:rsidP="007D74D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2"/>
                <w:szCs w:val="22"/>
              </w:rPr>
            </w:pPr>
            <w:r w:rsidRPr="006168D9">
              <w:rPr>
                <w:rFonts w:ascii="Arial" w:hAnsi="Arial" w:cs="Arial"/>
                <w:color w:val="000000" w:themeColor="text1"/>
              </w:rPr>
              <w:t>Utilising the growing parts-manufacturing ecosystem in Thailand saves money and increases operational stability.</w:t>
            </w:r>
          </w:p>
        </w:tc>
      </w:tr>
      <w:tr w:rsidR="000F1BF1" w:rsidRPr="00885CB9" w14:paraId="7ADCE1D2" w14:textId="77777777" w:rsidTr="007D74D9">
        <w:tc>
          <w:tcPr>
            <w:cnfStyle w:val="001000000000" w:firstRow="0" w:lastRow="0" w:firstColumn="1" w:lastColumn="0" w:oddVBand="0" w:evenVBand="0" w:oddHBand="0" w:evenHBand="0" w:firstRowFirstColumn="0" w:firstRowLastColumn="0" w:lastRowFirstColumn="0" w:lastRowLastColumn="0"/>
            <w:tcW w:w="1705" w:type="dxa"/>
            <w:vAlign w:val="center"/>
          </w:tcPr>
          <w:p w14:paraId="5ED20397" w14:textId="77777777" w:rsidR="000F1BF1" w:rsidRPr="00885CB9" w:rsidRDefault="000F1BF1" w:rsidP="007D74D9">
            <w:pPr>
              <w:spacing w:line="360" w:lineRule="auto"/>
              <w:jc w:val="center"/>
              <w:rPr>
                <w:rFonts w:ascii="Arial" w:hAnsi="Arial" w:cs="Arial"/>
                <w:b w:val="0"/>
                <w:bCs w:val="0"/>
                <w:color w:val="000000" w:themeColor="text1"/>
                <w:sz w:val="22"/>
                <w:szCs w:val="22"/>
              </w:rPr>
            </w:pPr>
            <w:r w:rsidRPr="00885CB9">
              <w:rPr>
                <w:rFonts w:ascii="Arial" w:hAnsi="Arial" w:cs="Arial"/>
                <w:color w:val="000000" w:themeColor="text1"/>
                <w:sz w:val="22"/>
                <w:szCs w:val="22"/>
              </w:rPr>
              <w:lastRenderedPageBreak/>
              <w:t>Internalization</w:t>
            </w:r>
          </w:p>
        </w:tc>
        <w:tc>
          <w:tcPr>
            <w:tcW w:w="7645" w:type="dxa"/>
            <w:vAlign w:val="center"/>
          </w:tcPr>
          <w:p w14:paraId="39E0A9BF" w14:textId="25594506" w:rsidR="000F1BF1" w:rsidRPr="000F1BF1" w:rsidRDefault="000F1BF1" w:rsidP="000F1BF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0F1BF1">
              <w:rPr>
                <w:rFonts w:ascii="Arial" w:hAnsi="Arial" w:cs="Arial"/>
                <w:color w:val="000000" w:themeColor="text1"/>
              </w:rPr>
              <w:t>Long-term relationships with suppliers help lower the transaction costs, enhance the consistency of quality, and assist the Toyota regional supply-chain domination.</w:t>
            </w:r>
          </w:p>
        </w:tc>
      </w:tr>
    </w:tbl>
    <w:p w14:paraId="1BDC0445" w14:textId="73E6FF38" w:rsidR="00064FA0" w:rsidRPr="00076864" w:rsidRDefault="009F347E" w:rsidP="00076864">
      <w:pPr>
        <w:spacing w:line="360" w:lineRule="auto"/>
        <w:jc w:val="both"/>
        <w:rPr>
          <w:rFonts w:ascii="Arial" w:hAnsi="Arial" w:cs="Arial"/>
          <w:color w:val="000000" w:themeColor="text1"/>
        </w:rPr>
      </w:pPr>
      <w:r w:rsidRPr="006168D9">
        <w:rPr>
          <w:rFonts w:ascii="Arial" w:hAnsi="Arial" w:cs="Arial"/>
          <w:color w:val="000000" w:themeColor="text1"/>
        </w:rPr>
        <w:t>The reformulated SOP would allow Toyota to develop effective supplier networks in Thailand without losing quality and efficiency.</w:t>
      </w:r>
    </w:p>
    <w:p w14:paraId="79C05458" w14:textId="26E17A60" w:rsidR="00076864" w:rsidRPr="00076864" w:rsidRDefault="00076864" w:rsidP="00F833BC">
      <w:pPr>
        <w:pStyle w:val="Heading2"/>
      </w:pPr>
      <w:bookmarkStart w:id="37" w:name="_Toc215577626"/>
      <w:bookmarkStart w:id="38" w:name="_Toc216121791"/>
      <w:r w:rsidRPr="00076864">
        <w:t>5.3</w:t>
      </w:r>
      <w:r w:rsidR="0005615E">
        <w:t xml:space="preserve"> SOP</w:t>
      </w:r>
      <w:r w:rsidRPr="00076864">
        <w:t xml:space="preserve"> Adjustment 3: </w:t>
      </w:r>
      <w:r w:rsidR="00F833BC" w:rsidRPr="00076864">
        <w:t>Customized</w:t>
      </w:r>
      <w:r w:rsidRPr="00076864">
        <w:t xml:space="preserve"> Customer Experience and After-Sales Service SOPs</w:t>
      </w:r>
      <w:bookmarkEnd w:id="37"/>
      <w:bookmarkEnd w:id="38"/>
    </w:p>
    <w:p w14:paraId="35770B10" w14:textId="44196FEE" w:rsidR="0046186E" w:rsidRDefault="009007C6" w:rsidP="009007C6">
      <w:pPr>
        <w:spacing w:line="360" w:lineRule="auto"/>
        <w:jc w:val="both"/>
        <w:rPr>
          <w:rFonts w:ascii="Arial" w:hAnsi="Arial" w:cs="Arial"/>
          <w:color w:val="000000" w:themeColor="text1"/>
        </w:rPr>
      </w:pPr>
      <w:r w:rsidRPr="009007C6">
        <w:rPr>
          <w:rFonts w:ascii="Arial" w:hAnsi="Arial" w:cs="Arial"/>
          <w:color w:val="000000" w:themeColor="text1"/>
        </w:rPr>
        <w:t xml:space="preserve">There are cultural and behavioural peculiarities of Thai consumers which form their expectations of automotive brands. This is especially true of trust, brand reputation, perceived reliability, and the quality of after-sales service (Kongsompong et al., 2020). Long-term relationships, </w:t>
      </w:r>
      <w:r w:rsidR="0046186E" w:rsidRPr="009007C6">
        <w:rPr>
          <w:rFonts w:ascii="Arial" w:hAnsi="Arial" w:cs="Arial"/>
          <w:color w:val="000000" w:themeColor="text1"/>
        </w:rPr>
        <w:t>personalized</w:t>
      </w:r>
      <w:r w:rsidRPr="009007C6">
        <w:rPr>
          <w:rFonts w:ascii="Arial" w:hAnsi="Arial" w:cs="Arial"/>
          <w:color w:val="000000" w:themeColor="text1"/>
        </w:rPr>
        <w:t xml:space="preserve"> communication, and face-to-face interaction are also very important focuses of Thailand's collectivist culture. Toyota already has a good brand presence in Thailand, but increased competition by Chinese EV brands and Korean manufacturers requires increased localisation.</w:t>
      </w:r>
    </w:p>
    <w:p w14:paraId="306DF835" w14:textId="75240E3F" w:rsidR="003C4124" w:rsidRPr="003C4124" w:rsidRDefault="003C4124" w:rsidP="009007C6">
      <w:pPr>
        <w:spacing w:line="360" w:lineRule="auto"/>
        <w:jc w:val="both"/>
        <w:rPr>
          <w:rFonts w:asciiTheme="majorHAnsi" w:hAnsiTheme="majorHAnsi" w:cstheme="majorHAnsi"/>
          <w:i/>
          <w:iCs/>
          <w:color w:val="4472C4" w:themeColor="accent1"/>
          <w:sz w:val="22"/>
          <w:szCs w:val="22"/>
        </w:rPr>
      </w:pPr>
      <w:r w:rsidRPr="003C4124">
        <w:rPr>
          <w:rFonts w:asciiTheme="majorHAnsi" w:hAnsiTheme="majorHAnsi" w:cstheme="majorHAnsi"/>
          <w:i/>
          <w:iCs/>
          <w:color w:val="4472C4" w:themeColor="accent1"/>
          <w:sz w:val="22"/>
          <w:szCs w:val="22"/>
        </w:rPr>
        <w:t>Figure 13:</w:t>
      </w:r>
      <w:r>
        <w:rPr>
          <w:rFonts w:asciiTheme="majorHAnsi" w:hAnsiTheme="majorHAnsi" w:cstheme="majorHAnsi"/>
          <w:i/>
          <w:iCs/>
          <w:color w:val="4472C4" w:themeColor="accent1"/>
          <w:sz w:val="22"/>
          <w:szCs w:val="22"/>
        </w:rPr>
        <w:t xml:space="preserve"> </w:t>
      </w:r>
      <w:r w:rsidRPr="003C4124">
        <w:rPr>
          <w:rFonts w:asciiTheme="majorHAnsi" w:hAnsiTheme="majorHAnsi" w:cstheme="majorHAnsi"/>
          <w:i/>
          <w:iCs/>
          <w:color w:val="4472C4" w:themeColor="accent1"/>
          <w:sz w:val="22"/>
          <w:szCs w:val="22"/>
        </w:rPr>
        <w:t>Toyota Thailand: Customer Experience SOPs for the EV Era</w:t>
      </w:r>
    </w:p>
    <w:p w14:paraId="09B05A99" w14:textId="36BDA1E1" w:rsidR="003C4124" w:rsidRDefault="003C4124" w:rsidP="003C4124">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23F7FBD9" wp14:editId="67DBD091">
            <wp:extent cx="4580724" cy="2894274"/>
            <wp:effectExtent l="0" t="0" r="0" b="1905"/>
            <wp:docPr id="24301809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018096" name="Picture 243018096"/>
                    <pic:cNvPicPr/>
                  </pic:nvPicPr>
                  <pic:blipFill>
                    <a:blip r:embed="rId22">
                      <a:extLst>
                        <a:ext uri="{28A0092B-C50C-407E-A947-70E740481C1C}">
                          <a14:useLocalDpi xmlns:a14="http://schemas.microsoft.com/office/drawing/2010/main" val="0"/>
                        </a:ext>
                      </a:extLst>
                    </a:blip>
                    <a:stretch>
                      <a:fillRect/>
                    </a:stretch>
                  </pic:blipFill>
                  <pic:spPr>
                    <a:xfrm>
                      <a:off x="0" y="0"/>
                      <a:ext cx="4599812" cy="2906334"/>
                    </a:xfrm>
                    <a:prstGeom prst="rect">
                      <a:avLst/>
                    </a:prstGeom>
                  </pic:spPr>
                </pic:pic>
              </a:graphicData>
            </a:graphic>
          </wp:inline>
        </w:drawing>
      </w:r>
    </w:p>
    <w:p w14:paraId="2A9A3BDB" w14:textId="77777777" w:rsidR="0046186E" w:rsidRPr="0046186E" w:rsidRDefault="009007C6" w:rsidP="009007C6">
      <w:pPr>
        <w:spacing w:line="360" w:lineRule="auto"/>
        <w:jc w:val="both"/>
        <w:rPr>
          <w:rFonts w:ascii="Arial" w:hAnsi="Arial" w:cs="Arial"/>
          <w:b/>
          <w:bCs/>
          <w:color w:val="000000" w:themeColor="text1"/>
        </w:rPr>
      </w:pPr>
      <w:r w:rsidRPr="009007C6">
        <w:rPr>
          <w:rFonts w:ascii="Arial" w:hAnsi="Arial" w:cs="Arial"/>
          <w:b/>
          <w:bCs/>
          <w:color w:val="000000" w:themeColor="text1"/>
        </w:rPr>
        <w:t>Critical Argument</w:t>
      </w:r>
    </w:p>
    <w:p w14:paraId="5D26FCA3" w14:textId="77777777" w:rsidR="0046186E" w:rsidRDefault="009007C6" w:rsidP="009007C6">
      <w:pPr>
        <w:spacing w:line="360" w:lineRule="auto"/>
        <w:jc w:val="both"/>
        <w:rPr>
          <w:rFonts w:ascii="Arial" w:hAnsi="Arial" w:cs="Arial"/>
          <w:color w:val="000000" w:themeColor="text1"/>
        </w:rPr>
      </w:pPr>
      <w:r w:rsidRPr="009007C6">
        <w:rPr>
          <w:rFonts w:ascii="Arial" w:hAnsi="Arial" w:cs="Arial"/>
          <w:color w:val="000000" w:themeColor="text1"/>
        </w:rPr>
        <w:t xml:space="preserve">The current global SOPs of Toyota in customer engagement and showroom experience, as well as after-sales services, might not necessarily fit the cultural setting of Thailand. </w:t>
      </w:r>
      <w:r w:rsidRPr="009007C6">
        <w:rPr>
          <w:rFonts w:ascii="Arial" w:hAnsi="Arial" w:cs="Arial"/>
          <w:color w:val="000000" w:themeColor="text1"/>
        </w:rPr>
        <w:lastRenderedPageBreak/>
        <w:t>As an illustration, Japanese customer-service rules are based on formality and efficiency, whereas Thai customers require warmness, relationship-building, and high-touch service. Lack of adaptation can undermine the location-specific advantage of Toyota in one of the most competitive automotive markets in Asia.</w:t>
      </w:r>
    </w:p>
    <w:p w14:paraId="10D289B4" w14:textId="77777777" w:rsidR="0046186E" w:rsidRPr="0046186E" w:rsidRDefault="009007C6" w:rsidP="009007C6">
      <w:pPr>
        <w:spacing w:line="360" w:lineRule="auto"/>
        <w:jc w:val="both"/>
        <w:rPr>
          <w:rFonts w:ascii="Arial" w:hAnsi="Arial" w:cs="Arial"/>
          <w:b/>
          <w:bCs/>
          <w:color w:val="000000" w:themeColor="text1"/>
        </w:rPr>
      </w:pPr>
      <w:r w:rsidRPr="009007C6">
        <w:rPr>
          <w:rFonts w:ascii="Arial" w:hAnsi="Arial" w:cs="Arial"/>
          <w:b/>
          <w:bCs/>
          <w:color w:val="000000" w:themeColor="text1"/>
        </w:rPr>
        <w:t>SOP modification recommended.</w:t>
      </w:r>
    </w:p>
    <w:p w14:paraId="627C5F00" w14:textId="77777777" w:rsidR="0046186E" w:rsidRDefault="009007C6" w:rsidP="009007C6">
      <w:pPr>
        <w:spacing w:line="360" w:lineRule="auto"/>
        <w:jc w:val="both"/>
        <w:rPr>
          <w:rFonts w:ascii="Arial" w:hAnsi="Arial" w:cs="Arial"/>
          <w:color w:val="000000" w:themeColor="text1"/>
        </w:rPr>
      </w:pPr>
      <w:r w:rsidRPr="009007C6">
        <w:rPr>
          <w:rFonts w:ascii="Arial" w:hAnsi="Arial" w:cs="Arial"/>
          <w:color w:val="000000" w:themeColor="text1"/>
        </w:rPr>
        <w:t>Toyota needs to redefine customer-facing SOPs to incorporate:</w:t>
      </w:r>
    </w:p>
    <w:p w14:paraId="280FFBC6" w14:textId="77777777" w:rsidR="0046186E" w:rsidRDefault="0046186E" w:rsidP="009007C6">
      <w:pPr>
        <w:pStyle w:val="ListParagraph"/>
        <w:numPr>
          <w:ilvl w:val="0"/>
          <w:numId w:val="66"/>
        </w:numPr>
        <w:spacing w:line="360" w:lineRule="auto"/>
        <w:jc w:val="both"/>
        <w:rPr>
          <w:rFonts w:ascii="Arial" w:hAnsi="Arial" w:cs="Arial"/>
          <w:color w:val="000000" w:themeColor="text1"/>
        </w:rPr>
      </w:pPr>
      <w:r w:rsidRPr="0046186E">
        <w:rPr>
          <w:rFonts w:ascii="Arial" w:hAnsi="Arial" w:cs="Arial"/>
          <w:color w:val="000000" w:themeColor="text1"/>
        </w:rPr>
        <w:t>Localized</w:t>
      </w:r>
      <w:r w:rsidR="009007C6" w:rsidRPr="0046186E">
        <w:rPr>
          <w:rFonts w:ascii="Arial" w:hAnsi="Arial" w:cs="Arial"/>
          <w:color w:val="000000" w:themeColor="text1"/>
        </w:rPr>
        <w:t xml:space="preserve"> customer engagement procedures, in which salespeople are trained in cultural aspects of relationship-building and individual consultation styles that are popular in Thailand.</w:t>
      </w:r>
    </w:p>
    <w:p w14:paraId="5F07ADBD" w14:textId="77777777" w:rsidR="0046186E" w:rsidRDefault="009007C6" w:rsidP="009007C6">
      <w:pPr>
        <w:pStyle w:val="ListParagraph"/>
        <w:numPr>
          <w:ilvl w:val="0"/>
          <w:numId w:val="66"/>
        </w:numPr>
        <w:spacing w:line="360" w:lineRule="auto"/>
        <w:jc w:val="both"/>
        <w:rPr>
          <w:rFonts w:ascii="Arial" w:hAnsi="Arial" w:cs="Arial"/>
          <w:color w:val="000000" w:themeColor="text1"/>
        </w:rPr>
      </w:pPr>
      <w:r w:rsidRPr="0046186E">
        <w:rPr>
          <w:rFonts w:ascii="Arial" w:hAnsi="Arial" w:cs="Arial"/>
          <w:color w:val="000000" w:themeColor="text1"/>
        </w:rPr>
        <w:t>Improved after-sales services such as follow-up, extended maintenance contracts, and customer loyalty schemes that compensate long-term associations.</w:t>
      </w:r>
    </w:p>
    <w:p w14:paraId="76CC7E0E" w14:textId="17D84625" w:rsidR="0046186E" w:rsidRPr="0046186E" w:rsidRDefault="009007C6" w:rsidP="009007C6">
      <w:pPr>
        <w:pStyle w:val="ListParagraph"/>
        <w:numPr>
          <w:ilvl w:val="0"/>
          <w:numId w:val="66"/>
        </w:numPr>
        <w:spacing w:line="360" w:lineRule="auto"/>
        <w:jc w:val="both"/>
        <w:rPr>
          <w:rFonts w:ascii="Arial" w:hAnsi="Arial" w:cs="Arial"/>
          <w:color w:val="000000" w:themeColor="text1"/>
        </w:rPr>
      </w:pPr>
      <w:r w:rsidRPr="0046186E">
        <w:rPr>
          <w:rFonts w:ascii="Arial" w:hAnsi="Arial" w:cs="Arial"/>
          <w:color w:val="000000" w:themeColor="text1"/>
        </w:rPr>
        <w:t>Electric vehicle-</w:t>
      </w:r>
      <w:r w:rsidR="0046186E" w:rsidRPr="0046186E">
        <w:rPr>
          <w:rFonts w:ascii="Arial" w:hAnsi="Arial" w:cs="Arial"/>
          <w:color w:val="000000" w:themeColor="text1"/>
        </w:rPr>
        <w:t>cantered</w:t>
      </w:r>
      <w:r w:rsidRPr="0046186E">
        <w:rPr>
          <w:rFonts w:ascii="Arial" w:hAnsi="Arial" w:cs="Arial"/>
          <w:color w:val="000000" w:themeColor="text1"/>
        </w:rPr>
        <w:t xml:space="preserve"> customer education, based on the fact that Thailand is still in the process of EV transition and people may wish to know more about how to use the new technologies.</w:t>
      </w:r>
    </w:p>
    <w:p w14:paraId="349A6BD2" w14:textId="77777777" w:rsidR="0046186E" w:rsidRDefault="009007C6" w:rsidP="009007C6">
      <w:pPr>
        <w:spacing w:line="360" w:lineRule="auto"/>
        <w:jc w:val="both"/>
        <w:rPr>
          <w:rFonts w:ascii="Arial" w:hAnsi="Arial" w:cs="Arial"/>
          <w:b/>
          <w:bCs/>
          <w:color w:val="000000" w:themeColor="text1"/>
        </w:rPr>
      </w:pPr>
      <w:r w:rsidRPr="009007C6">
        <w:rPr>
          <w:rFonts w:ascii="Arial" w:hAnsi="Arial" w:cs="Arial"/>
          <w:b/>
          <w:bCs/>
          <w:color w:val="000000" w:themeColor="text1"/>
        </w:rPr>
        <w:t>Justification Using OLI</w:t>
      </w:r>
    </w:p>
    <w:tbl>
      <w:tblPr>
        <w:tblStyle w:val="GridTable1Light"/>
        <w:tblW w:w="0" w:type="auto"/>
        <w:tblLook w:val="04A0" w:firstRow="1" w:lastRow="0" w:firstColumn="1" w:lastColumn="0" w:noHBand="0" w:noVBand="1"/>
      </w:tblPr>
      <w:tblGrid>
        <w:gridCol w:w="1708"/>
        <w:gridCol w:w="7642"/>
      </w:tblGrid>
      <w:tr w:rsidR="00246706" w:rsidRPr="00885CB9" w14:paraId="72073DE5" w14:textId="77777777" w:rsidTr="007D74D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vAlign w:val="center"/>
          </w:tcPr>
          <w:p w14:paraId="62E043C4" w14:textId="77777777" w:rsidR="00246706" w:rsidRPr="00885CB9" w:rsidRDefault="00246706" w:rsidP="007D74D9">
            <w:pPr>
              <w:spacing w:line="360" w:lineRule="auto"/>
              <w:jc w:val="center"/>
              <w:rPr>
                <w:rFonts w:ascii="Arial" w:hAnsi="Arial" w:cs="Arial"/>
                <w:b w:val="0"/>
                <w:bCs w:val="0"/>
                <w:color w:val="000000" w:themeColor="text1"/>
                <w:sz w:val="22"/>
                <w:szCs w:val="22"/>
              </w:rPr>
            </w:pPr>
            <w:r w:rsidRPr="00885CB9">
              <w:rPr>
                <w:rFonts w:ascii="Arial" w:hAnsi="Arial" w:cs="Arial"/>
                <w:color w:val="000000" w:themeColor="text1"/>
                <w:sz w:val="22"/>
                <w:szCs w:val="22"/>
              </w:rPr>
              <w:t>OLI Factor</w:t>
            </w:r>
          </w:p>
        </w:tc>
        <w:tc>
          <w:tcPr>
            <w:tcW w:w="7645" w:type="dxa"/>
            <w:vAlign w:val="center"/>
          </w:tcPr>
          <w:p w14:paraId="5094A83E" w14:textId="77777777" w:rsidR="00246706" w:rsidRPr="00885CB9" w:rsidRDefault="00246706" w:rsidP="007D74D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2"/>
                <w:szCs w:val="22"/>
              </w:rPr>
            </w:pPr>
            <w:r w:rsidRPr="00885CB9">
              <w:rPr>
                <w:rFonts w:ascii="Arial" w:hAnsi="Arial" w:cs="Arial"/>
                <w:color w:val="000000" w:themeColor="text1"/>
                <w:sz w:val="22"/>
                <w:szCs w:val="22"/>
              </w:rPr>
              <w:t>Justification</w:t>
            </w:r>
          </w:p>
        </w:tc>
      </w:tr>
      <w:tr w:rsidR="00246706" w:rsidRPr="00885CB9" w14:paraId="1B6210DE" w14:textId="77777777" w:rsidTr="007D74D9">
        <w:tc>
          <w:tcPr>
            <w:cnfStyle w:val="001000000000" w:firstRow="0" w:lastRow="0" w:firstColumn="1" w:lastColumn="0" w:oddVBand="0" w:evenVBand="0" w:oddHBand="0" w:evenHBand="0" w:firstRowFirstColumn="0" w:firstRowLastColumn="0" w:lastRowFirstColumn="0" w:lastRowLastColumn="0"/>
            <w:tcW w:w="1705" w:type="dxa"/>
            <w:vAlign w:val="center"/>
          </w:tcPr>
          <w:p w14:paraId="1ADE5F33" w14:textId="77777777" w:rsidR="00246706" w:rsidRPr="00885CB9" w:rsidRDefault="00246706" w:rsidP="007D74D9">
            <w:pPr>
              <w:spacing w:line="360" w:lineRule="auto"/>
              <w:jc w:val="center"/>
              <w:rPr>
                <w:rFonts w:ascii="Arial" w:hAnsi="Arial" w:cs="Arial"/>
                <w:b w:val="0"/>
                <w:bCs w:val="0"/>
                <w:color w:val="000000" w:themeColor="text1"/>
                <w:sz w:val="22"/>
                <w:szCs w:val="22"/>
              </w:rPr>
            </w:pPr>
            <w:r w:rsidRPr="00885CB9">
              <w:rPr>
                <w:rFonts w:ascii="Arial" w:hAnsi="Arial" w:cs="Arial"/>
                <w:color w:val="000000" w:themeColor="text1"/>
                <w:sz w:val="22"/>
                <w:szCs w:val="22"/>
              </w:rPr>
              <w:t>Ownership</w:t>
            </w:r>
          </w:p>
        </w:tc>
        <w:tc>
          <w:tcPr>
            <w:tcW w:w="7645" w:type="dxa"/>
            <w:vAlign w:val="center"/>
          </w:tcPr>
          <w:p w14:paraId="5FF6D54F" w14:textId="7EB82A15" w:rsidR="00246706" w:rsidRPr="00246706" w:rsidRDefault="00246706" w:rsidP="002467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246706">
              <w:rPr>
                <w:rFonts w:ascii="Arial" w:hAnsi="Arial" w:cs="Arial"/>
                <w:color w:val="000000" w:themeColor="text1"/>
              </w:rPr>
              <w:t>Toyota has a good brand reputation that is coupled with customer-focused SOPs to boost loyalty.</w:t>
            </w:r>
          </w:p>
        </w:tc>
      </w:tr>
      <w:tr w:rsidR="00246706" w:rsidRPr="00885CB9" w14:paraId="4BDA9178" w14:textId="77777777" w:rsidTr="007D74D9">
        <w:tc>
          <w:tcPr>
            <w:cnfStyle w:val="001000000000" w:firstRow="0" w:lastRow="0" w:firstColumn="1" w:lastColumn="0" w:oddVBand="0" w:evenVBand="0" w:oddHBand="0" w:evenHBand="0" w:firstRowFirstColumn="0" w:firstRowLastColumn="0" w:lastRowFirstColumn="0" w:lastRowLastColumn="0"/>
            <w:tcW w:w="1705" w:type="dxa"/>
            <w:vAlign w:val="center"/>
          </w:tcPr>
          <w:p w14:paraId="1C2DCDF9" w14:textId="77777777" w:rsidR="00246706" w:rsidRPr="00885CB9" w:rsidRDefault="00246706" w:rsidP="007D74D9">
            <w:pPr>
              <w:spacing w:line="360" w:lineRule="auto"/>
              <w:jc w:val="center"/>
              <w:rPr>
                <w:rFonts w:ascii="Arial" w:hAnsi="Arial" w:cs="Arial"/>
                <w:b w:val="0"/>
                <w:bCs w:val="0"/>
                <w:color w:val="000000" w:themeColor="text1"/>
                <w:sz w:val="22"/>
                <w:szCs w:val="22"/>
              </w:rPr>
            </w:pPr>
            <w:r w:rsidRPr="00885CB9">
              <w:rPr>
                <w:rFonts w:ascii="Arial" w:hAnsi="Arial" w:cs="Arial"/>
                <w:color w:val="000000" w:themeColor="text1"/>
                <w:sz w:val="22"/>
                <w:szCs w:val="22"/>
              </w:rPr>
              <w:t>Location</w:t>
            </w:r>
          </w:p>
        </w:tc>
        <w:tc>
          <w:tcPr>
            <w:tcW w:w="7645" w:type="dxa"/>
            <w:vAlign w:val="center"/>
          </w:tcPr>
          <w:p w14:paraId="24437B36" w14:textId="3B411FA1" w:rsidR="00246706" w:rsidRPr="00246706" w:rsidRDefault="00246706" w:rsidP="002467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246706">
              <w:rPr>
                <w:rFonts w:ascii="Arial" w:hAnsi="Arial" w:cs="Arial"/>
                <w:color w:val="000000" w:themeColor="text1"/>
              </w:rPr>
              <w:t>Slotting into Thai consumer tastes gives the market share a booster in a culturally different setting.</w:t>
            </w:r>
          </w:p>
        </w:tc>
      </w:tr>
      <w:tr w:rsidR="00246706" w:rsidRPr="00885CB9" w14:paraId="479E1D55" w14:textId="77777777" w:rsidTr="007D74D9">
        <w:tc>
          <w:tcPr>
            <w:cnfStyle w:val="001000000000" w:firstRow="0" w:lastRow="0" w:firstColumn="1" w:lastColumn="0" w:oddVBand="0" w:evenVBand="0" w:oddHBand="0" w:evenHBand="0" w:firstRowFirstColumn="0" w:firstRowLastColumn="0" w:lastRowFirstColumn="0" w:lastRowLastColumn="0"/>
            <w:tcW w:w="1705" w:type="dxa"/>
            <w:vAlign w:val="center"/>
          </w:tcPr>
          <w:p w14:paraId="1B0B940B" w14:textId="77777777" w:rsidR="00246706" w:rsidRPr="00885CB9" w:rsidRDefault="00246706" w:rsidP="007D74D9">
            <w:pPr>
              <w:spacing w:line="360" w:lineRule="auto"/>
              <w:jc w:val="center"/>
              <w:rPr>
                <w:rFonts w:ascii="Arial" w:hAnsi="Arial" w:cs="Arial"/>
                <w:b w:val="0"/>
                <w:bCs w:val="0"/>
                <w:color w:val="000000" w:themeColor="text1"/>
                <w:sz w:val="22"/>
                <w:szCs w:val="22"/>
              </w:rPr>
            </w:pPr>
            <w:r w:rsidRPr="00885CB9">
              <w:rPr>
                <w:rFonts w:ascii="Arial" w:hAnsi="Arial" w:cs="Arial"/>
                <w:color w:val="000000" w:themeColor="text1"/>
                <w:sz w:val="22"/>
                <w:szCs w:val="22"/>
              </w:rPr>
              <w:t>Internalization</w:t>
            </w:r>
          </w:p>
        </w:tc>
        <w:tc>
          <w:tcPr>
            <w:tcW w:w="7645" w:type="dxa"/>
            <w:vAlign w:val="center"/>
          </w:tcPr>
          <w:p w14:paraId="263B2F9B" w14:textId="0F372AF8" w:rsidR="00246706" w:rsidRPr="000F1BF1" w:rsidRDefault="00246706" w:rsidP="007D74D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246706">
              <w:rPr>
                <w:rFonts w:ascii="Arial" w:hAnsi="Arial" w:cs="Arial"/>
                <w:color w:val="000000" w:themeColor="text1"/>
              </w:rPr>
              <w:t>The internal control of the quality of services as opposed to franchising will give Toyota the brand integrity throughout Thailand.</w:t>
            </w:r>
          </w:p>
        </w:tc>
      </w:tr>
    </w:tbl>
    <w:p w14:paraId="3D3AE01B" w14:textId="018E4B07" w:rsidR="004E5C75" w:rsidRDefault="0046186E" w:rsidP="009B24DE">
      <w:pPr>
        <w:spacing w:before="240" w:line="360" w:lineRule="auto"/>
        <w:jc w:val="both"/>
        <w:rPr>
          <w:rFonts w:ascii="Arial" w:hAnsi="Arial" w:cs="Arial"/>
          <w:color w:val="000000" w:themeColor="text1"/>
        </w:rPr>
      </w:pPr>
      <w:r w:rsidRPr="00246706">
        <w:rPr>
          <w:rFonts w:ascii="Arial" w:hAnsi="Arial" w:cs="Arial"/>
          <w:color w:val="000000" w:themeColor="text1"/>
        </w:rPr>
        <w:t>Individualized</w:t>
      </w:r>
      <w:r w:rsidR="009007C6" w:rsidRPr="00246706">
        <w:rPr>
          <w:rFonts w:ascii="Arial" w:hAnsi="Arial" w:cs="Arial"/>
          <w:color w:val="000000" w:themeColor="text1"/>
        </w:rPr>
        <w:t xml:space="preserve"> customer-experience SOPs, hence, will align the global standards of Toyota with the local expectations and help it grow going forward, particularly in the EV market.</w:t>
      </w:r>
    </w:p>
    <w:p w14:paraId="5C70E6B6" w14:textId="79F8F1D2" w:rsidR="00547971" w:rsidRDefault="004E5C75" w:rsidP="00682FA9">
      <w:pPr>
        <w:pStyle w:val="Heading2"/>
      </w:pPr>
      <w:bookmarkStart w:id="39" w:name="_Toc216121792"/>
      <w:r w:rsidRPr="004E5C75">
        <w:t xml:space="preserve">5.4 SOP Adjustment 4: </w:t>
      </w:r>
      <w:r w:rsidR="00547971" w:rsidRPr="004E5C75">
        <w:t>Localized</w:t>
      </w:r>
      <w:r w:rsidRPr="004E5C75">
        <w:t xml:space="preserve"> Sustainability and Environmental Compliance Procedures</w:t>
      </w:r>
      <w:bookmarkEnd w:id="39"/>
    </w:p>
    <w:p w14:paraId="7B05E2CE" w14:textId="77777777" w:rsidR="00547971" w:rsidRDefault="004E5C75" w:rsidP="00547971">
      <w:pPr>
        <w:spacing w:line="360" w:lineRule="auto"/>
        <w:jc w:val="both"/>
        <w:rPr>
          <w:rFonts w:ascii="Arial" w:hAnsi="Arial" w:cs="Arial"/>
          <w:b/>
          <w:bCs/>
          <w:color w:val="000000" w:themeColor="text1"/>
        </w:rPr>
      </w:pPr>
      <w:r w:rsidRPr="004E5C75">
        <w:rPr>
          <w:rFonts w:ascii="Arial" w:hAnsi="Arial" w:cs="Arial"/>
          <w:b/>
          <w:bCs/>
          <w:color w:val="000000" w:themeColor="text1"/>
        </w:rPr>
        <w:t>Strategic Rationale</w:t>
      </w:r>
    </w:p>
    <w:p w14:paraId="6DA82D8F" w14:textId="0CA05EA5" w:rsidR="00552E08" w:rsidRDefault="00547971" w:rsidP="00552E08">
      <w:pPr>
        <w:spacing w:line="360" w:lineRule="auto"/>
        <w:jc w:val="both"/>
        <w:rPr>
          <w:rFonts w:ascii="Arial" w:hAnsi="Arial" w:cs="Arial"/>
          <w:color w:val="000000" w:themeColor="text1"/>
        </w:rPr>
      </w:pPr>
      <w:r w:rsidRPr="00547971">
        <w:rPr>
          <w:rFonts w:ascii="Arial" w:hAnsi="Arial" w:cs="Arial"/>
          <w:color w:val="000000" w:themeColor="text1"/>
        </w:rPr>
        <w:lastRenderedPageBreak/>
        <w:t xml:space="preserve">The national development strategy of Thailand pays major focus to environmental sustainability, especially the Thailand 4.0 policy and the national EV Roadmap, which aim to make Thailand a regional Centre of electric and low-emission vehicles (BOI, 2022). </w:t>
      </w:r>
      <w:r w:rsidR="00552E08" w:rsidRPr="00552E08">
        <w:rPr>
          <w:rFonts w:ascii="Arial" w:hAnsi="Arial" w:cs="Arial"/>
          <w:color w:val="000000" w:themeColor="text1"/>
        </w:rPr>
        <w:t>Environmental regulation is turning stricter when it comes to the manipulation of pollution, waste and energy use. Toyota has robust worldwide systems for sustainability, but they have to adapt to regulations and social expectancies in Thailand. In addition, Thailand's lifestyle, prompted via Buddhist values, specializes in environmental balance and social duty. This means that companies ought to show suitable overall environmental performance in an effort to gain acceptance as true and approval from the general public and other essential corporations.</w:t>
      </w:r>
    </w:p>
    <w:p w14:paraId="03DF7146" w14:textId="734BF70B" w:rsidR="0021075A" w:rsidRPr="0021075A" w:rsidRDefault="0021075A" w:rsidP="00552E08">
      <w:pPr>
        <w:spacing w:line="360" w:lineRule="auto"/>
        <w:jc w:val="both"/>
        <w:rPr>
          <w:rFonts w:asciiTheme="majorHAnsi" w:hAnsiTheme="majorHAnsi" w:cstheme="majorHAnsi"/>
          <w:i/>
          <w:iCs/>
          <w:color w:val="4472C4" w:themeColor="accent1"/>
          <w:sz w:val="22"/>
          <w:szCs w:val="22"/>
        </w:rPr>
      </w:pPr>
      <w:r w:rsidRPr="0021075A">
        <w:rPr>
          <w:rFonts w:asciiTheme="majorHAnsi" w:hAnsiTheme="majorHAnsi" w:cstheme="majorHAnsi"/>
          <w:i/>
          <w:iCs/>
          <w:color w:val="4472C4" w:themeColor="accent1"/>
          <w:sz w:val="22"/>
          <w:szCs w:val="22"/>
        </w:rPr>
        <w:t xml:space="preserve">Figure </w:t>
      </w:r>
      <w:r w:rsidRPr="0021075A">
        <w:rPr>
          <w:rFonts w:asciiTheme="majorHAnsi" w:hAnsiTheme="majorHAnsi" w:cstheme="majorHAnsi"/>
          <w:i/>
          <w:iCs/>
          <w:color w:val="4472C4" w:themeColor="accent1"/>
          <w:sz w:val="22"/>
          <w:szCs w:val="22"/>
        </w:rPr>
        <w:t>14</w:t>
      </w:r>
      <w:r w:rsidRPr="0021075A">
        <w:rPr>
          <w:rFonts w:asciiTheme="majorHAnsi" w:hAnsiTheme="majorHAnsi" w:cstheme="majorHAnsi"/>
          <w:i/>
          <w:iCs/>
          <w:color w:val="4472C4" w:themeColor="accent1"/>
          <w:sz w:val="22"/>
          <w:szCs w:val="22"/>
        </w:rPr>
        <w:t>: Localized Sustainability and Environmental Compliance Strategy for Toyota Thailand</w:t>
      </w:r>
    </w:p>
    <w:p w14:paraId="16C6ED19" w14:textId="7205CC11" w:rsidR="0021075A" w:rsidRDefault="0021075A" w:rsidP="0021075A">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6372AE85" wp14:editId="73D95201">
            <wp:extent cx="4016819" cy="2965837"/>
            <wp:effectExtent l="0" t="0" r="3175" b="6350"/>
            <wp:docPr id="137073516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735160" name="Picture 1370735160"/>
                    <pic:cNvPicPr/>
                  </pic:nvPicPr>
                  <pic:blipFill>
                    <a:blip r:embed="rId23">
                      <a:extLst>
                        <a:ext uri="{28A0092B-C50C-407E-A947-70E740481C1C}">
                          <a14:useLocalDpi xmlns:a14="http://schemas.microsoft.com/office/drawing/2010/main" val="0"/>
                        </a:ext>
                      </a:extLst>
                    </a:blip>
                    <a:stretch>
                      <a:fillRect/>
                    </a:stretch>
                  </pic:blipFill>
                  <pic:spPr>
                    <a:xfrm>
                      <a:off x="0" y="0"/>
                      <a:ext cx="4030708" cy="2976092"/>
                    </a:xfrm>
                    <a:prstGeom prst="rect">
                      <a:avLst/>
                    </a:prstGeom>
                  </pic:spPr>
                </pic:pic>
              </a:graphicData>
            </a:graphic>
          </wp:inline>
        </w:drawing>
      </w:r>
    </w:p>
    <w:p w14:paraId="11CC61FB" w14:textId="14F4877F" w:rsidR="0021075A" w:rsidRPr="0021075A" w:rsidRDefault="0021075A" w:rsidP="0021075A">
      <w:pPr>
        <w:spacing w:line="360" w:lineRule="auto"/>
        <w:jc w:val="center"/>
        <w:rPr>
          <w:rFonts w:asciiTheme="majorHAnsi" w:hAnsiTheme="majorHAnsi" w:cstheme="majorHAnsi"/>
          <w:i/>
          <w:iCs/>
          <w:color w:val="000000" w:themeColor="text1"/>
          <w:sz w:val="22"/>
          <w:szCs w:val="22"/>
        </w:rPr>
      </w:pPr>
      <w:r w:rsidRPr="0021075A">
        <w:rPr>
          <w:rFonts w:asciiTheme="majorHAnsi" w:hAnsiTheme="majorHAnsi" w:cstheme="majorHAnsi"/>
          <w:i/>
          <w:iCs/>
          <w:color w:val="000000" w:themeColor="text1"/>
          <w:sz w:val="22"/>
          <w:szCs w:val="22"/>
        </w:rPr>
        <w:t>Source: BOI (2022) (Board of Investment, Thailand) and Dunning (2001) (OLI Framework).</w:t>
      </w:r>
    </w:p>
    <w:p w14:paraId="4E048744" w14:textId="67E8C62D" w:rsidR="004E5C75" w:rsidRPr="004E5C75" w:rsidRDefault="004E5C75" w:rsidP="004E5C75">
      <w:pPr>
        <w:spacing w:line="360" w:lineRule="auto"/>
        <w:jc w:val="both"/>
        <w:rPr>
          <w:rFonts w:ascii="Arial" w:hAnsi="Arial" w:cs="Arial"/>
          <w:b/>
          <w:bCs/>
          <w:color w:val="000000" w:themeColor="text1"/>
        </w:rPr>
      </w:pPr>
      <w:r w:rsidRPr="004E5C75">
        <w:rPr>
          <w:rFonts w:ascii="Arial" w:hAnsi="Arial" w:cs="Arial"/>
          <w:b/>
          <w:bCs/>
          <w:color w:val="000000" w:themeColor="text1"/>
        </w:rPr>
        <w:t>Key SOP Modifications</w:t>
      </w:r>
    </w:p>
    <w:p w14:paraId="6DD721B7" w14:textId="1672A590" w:rsidR="00547971" w:rsidRDefault="00547971" w:rsidP="004E5C75">
      <w:pPr>
        <w:spacing w:line="360" w:lineRule="auto"/>
        <w:jc w:val="both"/>
        <w:rPr>
          <w:rFonts w:ascii="Arial" w:hAnsi="Arial" w:cs="Arial"/>
          <w:color w:val="000000" w:themeColor="text1"/>
        </w:rPr>
      </w:pPr>
      <w:r w:rsidRPr="00547971">
        <w:rPr>
          <w:rFonts w:ascii="Arial" w:hAnsi="Arial" w:cs="Arial"/>
          <w:color w:val="000000" w:themeColor="text1"/>
        </w:rPr>
        <w:t>The Toyota needs to update its environmental SOPs to require quarterly environmental performance audits, including emissions, water use, waste recycling, and energy efficiency. Supplier SOPs should contain mandatory carbon compliance requirements,</w:t>
      </w:r>
      <w:r w:rsidR="00682FA9">
        <w:rPr>
          <w:rFonts w:ascii="Arial" w:hAnsi="Arial" w:cs="Arial"/>
          <w:color w:val="000000" w:themeColor="text1"/>
        </w:rPr>
        <w:t xml:space="preserve"> </w:t>
      </w:r>
      <w:r w:rsidRPr="00547971">
        <w:rPr>
          <w:rFonts w:ascii="Arial" w:hAnsi="Arial" w:cs="Arial"/>
          <w:color w:val="000000" w:themeColor="text1"/>
        </w:rPr>
        <w:t xml:space="preserve">ISO 14001 certification and sustainability annual reporting. Also, Toyota ought to adopt real-time digital emissions monitoring systems in all its Thai manufacturing plants. An </w:t>
      </w:r>
      <w:r w:rsidRPr="00547971">
        <w:rPr>
          <w:rFonts w:ascii="Arial" w:hAnsi="Arial" w:cs="Arial"/>
          <w:color w:val="000000" w:themeColor="text1"/>
        </w:rPr>
        <w:lastRenderedPageBreak/>
        <w:t>Environmental Control Unit (ECU) must be created in Thailand to enforce compliance and sustainability reporting and make contact with Thai environmental officials.</w:t>
      </w:r>
    </w:p>
    <w:p w14:paraId="3331E4C5" w14:textId="02A0CCA2" w:rsidR="004E5C75" w:rsidRPr="004E5C75" w:rsidRDefault="004E5C75" w:rsidP="004E5C75">
      <w:pPr>
        <w:spacing w:line="360" w:lineRule="auto"/>
        <w:jc w:val="both"/>
        <w:rPr>
          <w:rFonts w:ascii="Arial" w:hAnsi="Arial" w:cs="Arial"/>
          <w:color w:val="000000" w:themeColor="text1"/>
        </w:rPr>
      </w:pPr>
      <w:r w:rsidRPr="004E5C75">
        <w:rPr>
          <w:rFonts w:ascii="Arial" w:hAnsi="Arial" w:cs="Arial"/>
          <w:b/>
          <w:bCs/>
          <w:color w:val="000000" w:themeColor="text1"/>
        </w:rPr>
        <w:t>Link to OLI Framework</w:t>
      </w:r>
    </w:p>
    <w:p w14:paraId="0DF057D8" w14:textId="77777777" w:rsidR="007E3496" w:rsidRDefault="00547971" w:rsidP="004E5C75">
      <w:pPr>
        <w:spacing w:line="360" w:lineRule="auto"/>
        <w:jc w:val="both"/>
        <w:rPr>
          <w:rFonts w:ascii="Arial" w:hAnsi="Arial" w:cs="Arial"/>
          <w:color w:val="000000" w:themeColor="text1"/>
        </w:rPr>
      </w:pPr>
      <w:r w:rsidRPr="00547971">
        <w:rPr>
          <w:rFonts w:ascii="Arial" w:hAnsi="Arial" w:cs="Arial"/>
          <w:color w:val="000000" w:themeColor="text1"/>
        </w:rPr>
        <w:t>This modification maximizes the internalisation strength of Toyota, as sensitive environmental technologies, reporting systems, and compliance mechanisms will not be outsourced but kept in the direct control of the corporation. Concurrently, it enhances the capability of Toyota to leverage Thailand's location advantages, specifically government incentives, tax exemptions, and subsidies related to EV and eco-car manufacturing (Dunning, 2001; BOI, 2022).</w:t>
      </w:r>
    </w:p>
    <w:p w14:paraId="63BC9540" w14:textId="66A974BD" w:rsidR="004E5C75" w:rsidRPr="004E5C75" w:rsidRDefault="004E5C75" w:rsidP="004E5C75">
      <w:pPr>
        <w:spacing w:line="360" w:lineRule="auto"/>
        <w:jc w:val="both"/>
        <w:rPr>
          <w:rFonts w:ascii="Arial" w:hAnsi="Arial" w:cs="Arial"/>
          <w:color w:val="000000" w:themeColor="text1"/>
        </w:rPr>
      </w:pPr>
      <w:r w:rsidRPr="004E5C75">
        <w:rPr>
          <w:rFonts w:ascii="Arial" w:hAnsi="Arial" w:cs="Arial"/>
          <w:b/>
          <w:bCs/>
          <w:color w:val="000000" w:themeColor="text1"/>
        </w:rPr>
        <w:t>Expected Outcomes</w:t>
      </w:r>
    </w:p>
    <w:p w14:paraId="79C79E10" w14:textId="5866C37F" w:rsidR="004E5C75" w:rsidRPr="00076864" w:rsidRDefault="007E3496" w:rsidP="00076864">
      <w:pPr>
        <w:spacing w:line="360" w:lineRule="auto"/>
        <w:jc w:val="both"/>
        <w:rPr>
          <w:rFonts w:ascii="Arial" w:hAnsi="Arial" w:cs="Arial"/>
          <w:color w:val="000000" w:themeColor="text1"/>
        </w:rPr>
      </w:pPr>
      <w:r w:rsidRPr="007E3496">
        <w:rPr>
          <w:rFonts w:ascii="Arial" w:hAnsi="Arial" w:cs="Arial"/>
          <w:color w:val="000000" w:themeColor="text1"/>
        </w:rPr>
        <w:t>These SOP changes are likely to guarantee complete conformity to regulations, lessen both environmental and legal exposures, improve the corporate image of Toyota, and increase access to green financing. It will also assist Toyota in a long-term strategic shift to sustainable mobility as well as reinforce the stakeholder trust and competitive stance in the fast-changing automobile market in Thailand.</w:t>
      </w:r>
    </w:p>
    <w:p w14:paraId="154B4D27" w14:textId="77777777" w:rsidR="00191574" w:rsidRDefault="007E3496" w:rsidP="00682FA9">
      <w:pPr>
        <w:pStyle w:val="Heading2"/>
      </w:pPr>
      <w:bookmarkStart w:id="40" w:name="_Toc216121793"/>
      <w:r w:rsidRPr="007E3496">
        <w:t>5.5 SOP Adjustment 5: Culturally Adapted Leadership and Decision-Making Protocols</w:t>
      </w:r>
      <w:bookmarkEnd w:id="40"/>
    </w:p>
    <w:p w14:paraId="6D886541" w14:textId="322A2146" w:rsidR="007E3496" w:rsidRPr="007E3496" w:rsidRDefault="007E3496" w:rsidP="007E3496">
      <w:pPr>
        <w:spacing w:line="360" w:lineRule="auto"/>
        <w:jc w:val="both"/>
        <w:rPr>
          <w:rFonts w:ascii="Arial" w:hAnsi="Arial" w:cs="Arial"/>
          <w:b/>
          <w:bCs/>
          <w:color w:val="000000" w:themeColor="text1"/>
        </w:rPr>
      </w:pPr>
      <w:r w:rsidRPr="007E3496">
        <w:rPr>
          <w:rFonts w:ascii="Arial" w:hAnsi="Arial" w:cs="Arial"/>
          <w:b/>
          <w:bCs/>
          <w:color w:val="000000" w:themeColor="text1"/>
        </w:rPr>
        <w:t>Strategic Rationale</w:t>
      </w:r>
    </w:p>
    <w:p w14:paraId="21DCEF30" w14:textId="77777777" w:rsidR="00552E08" w:rsidRDefault="00191574" w:rsidP="007E3496">
      <w:pPr>
        <w:spacing w:line="360" w:lineRule="auto"/>
        <w:jc w:val="both"/>
        <w:rPr>
          <w:rFonts w:ascii="Arial" w:hAnsi="Arial" w:cs="Arial"/>
          <w:color w:val="000000" w:themeColor="text1"/>
        </w:rPr>
      </w:pPr>
      <w:r w:rsidRPr="00191574">
        <w:rPr>
          <w:rFonts w:ascii="Arial" w:hAnsi="Arial" w:cs="Arial"/>
          <w:color w:val="000000" w:themeColor="text1"/>
        </w:rPr>
        <w:t>The leadership and management philosophy of Toyota is based on Japanese organisational culture, which values order of command, formal decision-making (ring system) and long-term orientation at work and discipline on the job. Conversely, the Thai leadership culture is high-context-based, emotional intelligence, interpersonal</w:t>
      </w:r>
      <w:r w:rsidR="00682FA9">
        <w:rPr>
          <w:rFonts w:ascii="Arial" w:hAnsi="Arial" w:cs="Arial"/>
          <w:color w:val="000000" w:themeColor="text1"/>
        </w:rPr>
        <w:t xml:space="preserve"> </w:t>
      </w:r>
      <w:r w:rsidRPr="00191574">
        <w:rPr>
          <w:rFonts w:ascii="Arial" w:hAnsi="Arial" w:cs="Arial"/>
          <w:color w:val="000000" w:themeColor="text1"/>
        </w:rPr>
        <w:t xml:space="preserve">relationships and indirect communication and conflict avoidance (Hampden-Turner, 2012). </w:t>
      </w:r>
    </w:p>
    <w:p w14:paraId="226F519C" w14:textId="1CEF42A8" w:rsidR="00191574" w:rsidRDefault="00191574" w:rsidP="007E3496">
      <w:pPr>
        <w:spacing w:line="360" w:lineRule="auto"/>
        <w:jc w:val="both"/>
        <w:rPr>
          <w:rFonts w:ascii="Arial" w:hAnsi="Arial" w:cs="Arial"/>
          <w:color w:val="000000" w:themeColor="text1"/>
        </w:rPr>
      </w:pPr>
      <w:r w:rsidRPr="00191574">
        <w:rPr>
          <w:rFonts w:ascii="Arial" w:hAnsi="Arial" w:cs="Arial"/>
          <w:color w:val="000000" w:themeColor="text1"/>
        </w:rPr>
        <w:t>Although both cultures have high power distance, the manner of exercising power varies greatly. Unless Toyota adapts its Japanese leadership SOPs into Thai culture, it runs a risk of miscommunication, decreased employee engagement and organisational lack of trust in its Thai business.</w:t>
      </w:r>
    </w:p>
    <w:p w14:paraId="5D6A9906" w14:textId="440F8508" w:rsidR="007E3496" w:rsidRPr="007E3496" w:rsidRDefault="007E3496" w:rsidP="007E3496">
      <w:pPr>
        <w:spacing w:line="360" w:lineRule="auto"/>
        <w:jc w:val="both"/>
        <w:rPr>
          <w:rFonts w:ascii="Arial" w:hAnsi="Arial" w:cs="Arial"/>
          <w:color w:val="000000" w:themeColor="text1"/>
        </w:rPr>
      </w:pPr>
      <w:r w:rsidRPr="007E3496">
        <w:rPr>
          <w:rFonts w:ascii="Arial" w:hAnsi="Arial" w:cs="Arial"/>
          <w:b/>
          <w:bCs/>
          <w:color w:val="000000" w:themeColor="text1"/>
        </w:rPr>
        <w:lastRenderedPageBreak/>
        <w:t>Key SOP Modifications</w:t>
      </w:r>
    </w:p>
    <w:p w14:paraId="062CBBCB" w14:textId="77777777" w:rsidR="00304B23" w:rsidRDefault="00191574" w:rsidP="007E3496">
      <w:pPr>
        <w:spacing w:line="360" w:lineRule="auto"/>
        <w:jc w:val="both"/>
        <w:rPr>
          <w:rFonts w:ascii="Arial" w:hAnsi="Arial" w:cs="Arial"/>
          <w:color w:val="000000" w:themeColor="text1"/>
        </w:rPr>
      </w:pPr>
      <w:r w:rsidRPr="00191574">
        <w:rPr>
          <w:rFonts w:ascii="Arial" w:hAnsi="Arial" w:cs="Arial"/>
          <w:color w:val="000000" w:themeColor="text1"/>
        </w:rPr>
        <w:t>Toyota needs to establish compulsory SOPs for cross-cultural leadership training for all Japanese expatriate managers before they are deployed in Thailand. Thai communication norms, emotional intelligence, managing through relationships and avoiding conflicts need to be discussed in these programmes. Thai advisory leadership committees should also be formally incorporated into operational decision-making structures at Toyota to provide culturally based strategic input. Moreover, the performance evaluation SOPs should be culturalized to emphasise team-based results, harmony and indirect feedback systems as opposed to open conflict or individual performance evaluation, which is counterproductive in the Thai culture.</w:t>
      </w:r>
    </w:p>
    <w:p w14:paraId="668D0034" w14:textId="4B15EF41" w:rsidR="00E23A25" w:rsidRDefault="00E23A25" w:rsidP="007E3496">
      <w:pPr>
        <w:spacing w:line="360" w:lineRule="auto"/>
        <w:jc w:val="both"/>
        <w:rPr>
          <w:rFonts w:asciiTheme="majorHAnsi" w:hAnsiTheme="majorHAnsi" w:cstheme="majorHAnsi"/>
          <w:i/>
          <w:iCs/>
          <w:color w:val="4472C4" w:themeColor="accent1"/>
          <w:sz w:val="22"/>
          <w:szCs w:val="22"/>
        </w:rPr>
      </w:pPr>
      <w:r w:rsidRPr="00E23A25">
        <w:rPr>
          <w:rFonts w:asciiTheme="majorHAnsi" w:hAnsiTheme="majorHAnsi" w:cstheme="majorHAnsi"/>
          <w:i/>
          <w:iCs/>
          <w:color w:val="4472C4" w:themeColor="accent1"/>
          <w:sz w:val="22"/>
          <w:szCs w:val="22"/>
        </w:rPr>
        <w:t xml:space="preserve">Figure </w:t>
      </w:r>
      <w:r w:rsidRPr="00E23A25">
        <w:rPr>
          <w:rFonts w:asciiTheme="majorHAnsi" w:hAnsiTheme="majorHAnsi" w:cstheme="majorHAnsi"/>
          <w:i/>
          <w:iCs/>
          <w:color w:val="4472C4" w:themeColor="accent1"/>
          <w:sz w:val="22"/>
          <w:szCs w:val="22"/>
        </w:rPr>
        <w:t>15</w:t>
      </w:r>
      <w:r w:rsidRPr="00E23A25">
        <w:rPr>
          <w:rFonts w:asciiTheme="majorHAnsi" w:hAnsiTheme="majorHAnsi" w:cstheme="majorHAnsi"/>
          <w:i/>
          <w:iCs/>
          <w:color w:val="4472C4" w:themeColor="accent1"/>
          <w:sz w:val="22"/>
          <w:szCs w:val="22"/>
        </w:rPr>
        <w:t>: Bridging Japanese and Thai Management Cultures in Toyota's SOPs</w:t>
      </w:r>
    </w:p>
    <w:p w14:paraId="0AFD0CC5" w14:textId="278D5454" w:rsidR="00E23A25" w:rsidRPr="00E23A25" w:rsidRDefault="00E23A25" w:rsidP="00E23A25">
      <w:pPr>
        <w:spacing w:line="360" w:lineRule="auto"/>
        <w:jc w:val="center"/>
        <w:rPr>
          <w:rFonts w:asciiTheme="majorHAnsi" w:hAnsiTheme="majorHAnsi" w:cstheme="majorHAnsi"/>
          <w:i/>
          <w:iCs/>
          <w:color w:val="4472C4" w:themeColor="accent1"/>
          <w:sz w:val="22"/>
          <w:szCs w:val="22"/>
        </w:rPr>
      </w:pPr>
      <w:r>
        <w:rPr>
          <w:rFonts w:asciiTheme="majorHAnsi" w:hAnsiTheme="majorHAnsi" w:cstheme="majorHAnsi"/>
          <w:i/>
          <w:iCs/>
          <w:noProof/>
          <w:color w:val="4472C4" w:themeColor="accent1"/>
          <w:sz w:val="22"/>
          <w:szCs w:val="22"/>
        </w:rPr>
        <w:drawing>
          <wp:inline distT="0" distB="0" distL="0" distR="0" wp14:anchorId="73E8ECC9" wp14:editId="79FCC30F">
            <wp:extent cx="3744997" cy="2941983"/>
            <wp:effectExtent l="0" t="0" r="8255" b="0"/>
            <wp:docPr id="121647617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476174" name="Picture 121647617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776731" cy="2966913"/>
                    </a:xfrm>
                    <a:prstGeom prst="rect">
                      <a:avLst/>
                    </a:prstGeom>
                  </pic:spPr>
                </pic:pic>
              </a:graphicData>
            </a:graphic>
          </wp:inline>
        </w:drawing>
      </w:r>
    </w:p>
    <w:p w14:paraId="2CBA8C69" w14:textId="048BE715" w:rsidR="007E3496" w:rsidRPr="007E3496" w:rsidRDefault="007E3496" w:rsidP="007E3496">
      <w:pPr>
        <w:spacing w:line="360" w:lineRule="auto"/>
        <w:jc w:val="both"/>
        <w:rPr>
          <w:rFonts w:ascii="Arial" w:hAnsi="Arial" w:cs="Arial"/>
          <w:color w:val="000000" w:themeColor="text1"/>
        </w:rPr>
      </w:pPr>
      <w:r w:rsidRPr="007E3496">
        <w:rPr>
          <w:rFonts w:ascii="Arial" w:hAnsi="Arial" w:cs="Arial"/>
          <w:b/>
          <w:bCs/>
          <w:color w:val="000000" w:themeColor="text1"/>
        </w:rPr>
        <w:t>Link to OLI Framework</w:t>
      </w:r>
    </w:p>
    <w:p w14:paraId="2E069E25" w14:textId="77777777" w:rsidR="00682FA9" w:rsidRDefault="00304B23" w:rsidP="007E3496">
      <w:pPr>
        <w:spacing w:line="360" w:lineRule="auto"/>
        <w:jc w:val="both"/>
        <w:rPr>
          <w:rFonts w:ascii="Arial" w:hAnsi="Arial" w:cs="Arial"/>
          <w:color w:val="000000" w:themeColor="text1"/>
        </w:rPr>
      </w:pPr>
      <w:r w:rsidRPr="00304B23">
        <w:rPr>
          <w:rFonts w:ascii="Arial" w:hAnsi="Arial" w:cs="Arial"/>
          <w:color w:val="000000" w:themeColor="text1"/>
        </w:rPr>
        <w:t>This SOP modification is necessary so that the ownership advantage of Toyota in managerial experience, operational discipline, and organisational learning can be passed and incorporated in the cultural environment of Thailand. The internalisation of a culturally aligned leadership system gives Toyota an improved internalisation advantage, as it mitigates agency problems and enhances internal control and knowledge transfer between Japanese and Thai managerial teams.</w:t>
      </w:r>
    </w:p>
    <w:p w14:paraId="7E2D8639" w14:textId="5276AE39" w:rsidR="007E3496" w:rsidRPr="007E3496" w:rsidRDefault="007E3496" w:rsidP="007E3496">
      <w:pPr>
        <w:spacing w:line="360" w:lineRule="auto"/>
        <w:jc w:val="both"/>
        <w:rPr>
          <w:rFonts w:ascii="Arial" w:hAnsi="Arial" w:cs="Arial"/>
          <w:color w:val="000000" w:themeColor="text1"/>
        </w:rPr>
      </w:pPr>
      <w:r w:rsidRPr="007E3496">
        <w:rPr>
          <w:rFonts w:ascii="Arial" w:hAnsi="Arial" w:cs="Arial"/>
          <w:b/>
          <w:bCs/>
          <w:color w:val="000000" w:themeColor="text1"/>
        </w:rPr>
        <w:lastRenderedPageBreak/>
        <w:t>Expected Outcomes</w:t>
      </w:r>
    </w:p>
    <w:p w14:paraId="777981F8" w14:textId="7F5BA1F3" w:rsidR="007E3496" w:rsidRDefault="00304B23" w:rsidP="00076864">
      <w:pPr>
        <w:spacing w:line="360" w:lineRule="auto"/>
        <w:jc w:val="both"/>
        <w:rPr>
          <w:rFonts w:ascii="Arial" w:hAnsi="Arial" w:cs="Arial"/>
          <w:color w:val="000000" w:themeColor="text1"/>
        </w:rPr>
      </w:pPr>
      <w:r w:rsidRPr="00304B23">
        <w:rPr>
          <w:rFonts w:ascii="Arial" w:hAnsi="Arial" w:cs="Arial"/>
          <w:color w:val="000000" w:themeColor="text1"/>
        </w:rPr>
        <w:t>These leadership SOP changes should result in an improvement in cross-cultural communication, employee turnover, leadership legitimacy, and employee-management trust. It will increase workforce participation, operational efficiency and strategic responsiveness in the competitive automotive market in Thailand in the long term, and this will solidify the sustainable competitive advantage of Toyota in the host economy.</w:t>
      </w:r>
    </w:p>
    <w:p w14:paraId="072351F9" w14:textId="7F5BA1F3" w:rsidR="0090777F" w:rsidRPr="0090777F" w:rsidRDefault="0090777F" w:rsidP="0090777F">
      <w:pPr>
        <w:pStyle w:val="Heading1"/>
      </w:pPr>
      <w:bookmarkStart w:id="41" w:name="_Toc215577628"/>
      <w:bookmarkStart w:id="42" w:name="_Toc216121794"/>
      <w:r w:rsidRPr="0090777F">
        <w:t>6. Conclusion</w:t>
      </w:r>
      <w:bookmarkEnd w:id="41"/>
      <w:bookmarkEnd w:id="42"/>
    </w:p>
    <w:p w14:paraId="71AA087D" w14:textId="6A7F2839" w:rsidR="007B471A" w:rsidRDefault="007B471A" w:rsidP="007B471A">
      <w:pPr>
        <w:spacing w:line="360" w:lineRule="auto"/>
        <w:jc w:val="both"/>
        <w:rPr>
          <w:rFonts w:ascii="Arial" w:hAnsi="Arial" w:cs="Arial"/>
          <w:color w:val="000000" w:themeColor="text1"/>
        </w:rPr>
      </w:pPr>
      <w:r w:rsidRPr="007B471A">
        <w:rPr>
          <w:rFonts w:ascii="Arial" w:hAnsi="Arial" w:cs="Arial"/>
          <w:color w:val="000000" w:themeColor="text1"/>
        </w:rPr>
        <w:t>This report has looked at the international activities of Toyota and its entry into the emerging economy of Thailand based on a critical examination of the international business theory. The multinational corporation position of Toyota is also supported by its globally integrated value chain, diversified entry modes, and substantial economies of scale, knowledge sharing, and diversification of its markets across the globe. The OLI framework established that the Ownership benefits of Toyota, comprising of its technological strengths, strong brand, and Toyota Production System, as well as the Location benefits of Thailand, such as the high-skilled workforce, strategic location, and favorable industrial policy, come to bear. The benefits of internalisation further explain why Toyota prefers wholly owned subsidiaries and joint ventures in order to exercise quality and operation control.</w:t>
      </w:r>
    </w:p>
    <w:p w14:paraId="68EC6180" w14:textId="77777777" w:rsidR="007B471A" w:rsidRDefault="007B471A" w:rsidP="007B471A">
      <w:pPr>
        <w:spacing w:line="360" w:lineRule="auto"/>
        <w:jc w:val="both"/>
        <w:rPr>
          <w:rFonts w:ascii="Arial" w:hAnsi="Arial" w:cs="Arial"/>
          <w:color w:val="000000" w:themeColor="text1"/>
        </w:rPr>
      </w:pPr>
      <w:r w:rsidRPr="007B471A">
        <w:rPr>
          <w:rFonts w:ascii="Arial" w:hAnsi="Arial" w:cs="Arial"/>
          <w:color w:val="000000" w:themeColor="text1"/>
        </w:rPr>
        <w:t>The cultural analysis indicated that the gap between Japan and Thailand, especially in terms of hierarchy, communication patterns, and relationship orientation, has strategic consequences for the market entry and success of Toyota in Thailand. The report, therefore, suggested three SOP changes: localized workforce management, culturally adjusted supplier integration, and customer-experience processes. These changes are necessary to adjust the global competencies of Toyota to the institutional and cultural setting of Thailand.</w:t>
      </w:r>
    </w:p>
    <w:p w14:paraId="180B5A18" w14:textId="4E27D392" w:rsidR="007B471A" w:rsidRPr="007B471A" w:rsidRDefault="007B471A" w:rsidP="007B471A">
      <w:pPr>
        <w:spacing w:line="360" w:lineRule="auto"/>
        <w:jc w:val="both"/>
        <w:rPr>
          <w:rFonts w:ascii="Arial" w:hAnsi="Arial" w:cs="Arial"/>
          <w:color w:val="000000" w:themeColor="text1"/>
        </w:rPr>
      </w:pPr>
      <w:r w:rsidRPr="007B471A">
        <w:rPr>
          <w:rFonts w:ascii="Arial" w:hAnsi="Arial" w:cs="Arial"/>
          <w:color w:val="000000" w:themeColor="text1"/>
        </w:rPr>
        <w:t>In all, the long-term performance of Toyota in Thailand will depend on its success in adopting global standardisation over strategic localisation, operational efficiency, and responding to local expectations and market forces.</w:t>
      </w:r>
    </w:p>
    <w:p w14:paraId="409470FF" w14:textId="77777777" w:rsidR="00896DDE" w:rsidRDefault="00896DDE" w:rsidP="00076864">
      <w:pPr>
        <w:spacing w:line="360" w:lineRule="auto"/>
        <w:jc w:val="both"/>
        <w:rPr>
          <w:rFonts w:ascii="Arial" w:hAnsi="Arial" w:cs="Arial"/>
          <w:color w:val="000000" w:themeColor="text1"/>
        </w:rPr>
      </w:pPr>
    </w:p>
    <w:p w14:paraId="711E0A18" w14:textId="06023EE1" w:rsidR="00D576BC" w:rsidRPr="00D576BC" w:rsidRDefault="00D576BC" w:rsidP="004573DF">
      <w:pPr>
        <w:pStyle w:val="Heading1"/>
      </w:pPr>
      <w:bookmarkStart w:id="43" w:name="_Toc215577629"/>
      <w:bookmarkStart w:id="44" w:name="_Toc216121795"/>
      <w:r w:rsidRPr="00D576BC">
        <w:lastRenderedPageBreak/>
        <w:t>References</w:t>
      </w:r>
      <w:bookmarkEnd w:id="43"/>
      <w:bookmarkEnd w:id="44"/>
      <w:r w:rsidRPr="00D576BC">
        <w:t xml:space="preserve"> </w:t>
      </w:r>
    </w:p>
    <w:p w14:paraId="48169F26" w14:textId="5DFDA3BD"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Aguinis, H. and Solorio, A.M., 2019. </w:t>
      </w:r>
      <w:r w:rsidRPr="00D576BC">
        <w:rPr>
          <w:rFonts w:ascii="Arial" w:hAnsi="Arial" w:cs="Arial"/>
          <w:i/>
          <w:iCs/>
          <w:color w:val="000000" w:themeColor="text1"/>
        </w:rPr>
        <w:t>Transparency and replicability in qualitative research:</w:t>
      </w:r>
      <w:r>
        <w:rPr>
          <w:rFonts w:ascii="Arial" w:hAnsi="Arial" w:cs="Arial"/>
          <w:i/>
          <w:iCs/>
          <w:color w:val="000000" w:themeColor="text1"/>
        </w:rPr>
        <w:t xml:space="preserve"> </w:t>
      </w:r>
      <w:r w:rsidRPr="00D576BC">
        <w:rPr>
          <w:rFonts w:ascii="Arial" w:hAnsi="Arial" w:cs="Arial"/>
          <w:color w:val="000000" w:themeColor="text1"/>
        </w:rPr>
        <w:t>Strategic Management Journal, 40(8), pp.1291–1315.</w:t>
      </w:r>
    </w:p>
    <w:p w14:paraId="6FCC5ADD"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Bamber, G.J., Fujimoto, Y., Huo, M. and Soares, A., 2014. </w:t>
      </w:r>
      <w:r w:rsidRPr="00D576BC">
        <w:rPr>
          <w:rFonts w:ascii="Arial" w:hAnsi="Arial" w:cs="Arial"/>
          <w:i/>
          <w:iCs/>
          <w:color w:val="000000" w:themeColor="text1"/>
        </w:rPr>
        <w:t>International and Comparative Employment Relations</w:t>
      </w:r>
      <w:r w:rsidRPr="00D576BC">
        <w:rPr>
          <w:rFonts w:ascii="Arial" w:hAnsi="Arial" w:cs="Arial"/>
          <w:color w:val="000000" w:themeColor="text1"/>
        </w:rPr>
        <w:t>. 6th ed. London: SAGE.</w:t>
      </w:r>
    </w:p>
    <w:p w14:paraId="3064579C"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Barney, J., 1991. </w:t>
      </w:r>
      <w:r w:rsidRPr="00D576BC">
        <w:rPr>
          <w:rFonts w:ascii="Arial" w:hAnsi="Arial" w:cs="Arial"/>
          <w:i/>
          <w:iCs/>
          <w:color w:val="000000" w:themeColor="text1"/>
        </w:rPr>
        <w:t>Firm resources and sustained competitive advantage</w:t>
      </w:r>
      <w:r w:rsidRPr="00D576BC">
        <w:rPr>
          <w:rFonts w:ascii="Arial" w:hAnsi="Arial" w:cs="Arial"/>
          <w:color w:val="000000" w:themeColor="text1"/>
        </w:rPr>
        <w:t>. Journal of Management, 17(1), pp.99–120.</w:t>
      </w:r>
    </w:p>
    <w:p w14:paraId="323F69AD"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Board of Investment Thailand, 2022. </w:t>
      </w:r>
      <w:r w:rsidRPr="00D576BC">
        <w:rPr>
          <w:rFonts w:ascii="Arial" w:hAnsi="Arial" w:cs="Arial"/>
          <w:i/>
          <w:iCs/>
          <w:color w:val="000000" w:themeColor="text1"/>
        </w:rPr>
        <w:t>Thailand Automotive Industry Outlook</w:t>
      </w:r>
      <w:r w:rsidRPr="00D576BC">
        <w:rPr>
          <w:rFonts w:ascii="Arial" w:hAnsi="Arial" w:cs="Arial"/>
          <w:color w:val="000000" w:themeColor="text1"/>
        </w:rPr>
        <w:t>. Bangkok: BOI.</w:t>
      </w:r>
    </w:p>
    <w:p w14:paraId="45DE8EAD"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Buckley, P.J. and Casson, M., 1976. </w:t>
      </w:r>
      <w:r w:rsidRPr="00D576BC">
        <w:rPr>
          <w:rFonts w:ascii="Arial" w:hAnsi="Arial" w:cs="Arial"/>
          <w:i/>
          <w:iCs/>
          <w:color w:val="000000" w:themeColor="text1"/>
        </w:rPr>
        <w:t>The Future of the Multinational Enterprise</w:t>
      </w:r>
      <w:r w:rsidRPr="00D576BC">
        <w:rPr>
          <w:rFonts w:ascii="Arial" w:hAnsi="Arial" w:cs="Arial"/>
          <w:color w:val="000000" w:themeColor="text1"/>
        </w:rPr>
        <w:t>. London: Macmillan.</w:t>
      </w:r>
    </w:p>
    <w:p w14:paraId="004C91FF"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Cavusgil, S.T., Knight, G. and Riesenberger, J., 2023. </w:t>
      </w:r>
      <w:r w:rsidRPr="00D576BC">
        <w:rPr>
          <w:rFonts w:ascii="Arial" w:hAnsi="Arial" w:cs="Arial"/>
          <w:i/>
          <w:iCs/>
          <w:color w:val="000000" w:themeColor="text1"/>
        </w:rPr>
        <w:t>International Business: Strategy, Management and the New Realities</w:t>
      </w:r>
      <w:r w:rsidRPr="00D576BC">
        <w:rPr>
          <w:rFonts w:ascii="Arial" w:hAnsi="Arial" w:cs="Arial"/>
          <w:color w:val="000000" w:themeColor="text1"/>
        </w:rPr>
        <w:t>. 5th ed. Pearson.</w:t>
      </w:r>
    </w:p>
    <w:p w14:paraId="4B6C0994"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Dunning, J.H., 1993. </w:t>
      </w:r>
      <w:r w:rsidRPr="00D576BC">
        <w:rPr>
          <w:rFonts w:ascii="Arial" w:hAnsi="Arial" w:cs="Arial"/>
          <w:i/>
          <w:iCs/>
          <w:color w:val="000000" w:themeColor="text1"/>
        </w:rPr>
        <w:t>Multinational Enterprises and the Global Economy</w:t>
      </w:r>
      <w:r w:rsidRPr="00D576BC">
        <w:rPr>
          <w:rFonts w:ascii="Arial" w:hAnsi="Arial" w:cs="Arial"/>
          <w:color w:val="000000" w:themeColor="text1"/>
        </w:rPr>
        <w:t>. Wokingham: Addison-Wesley.</w:t>
      </w:r>
    </w:p>
    <w:p w14:paraId="00128925"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Dunning, J.H. and Lundan, S.M., 2008. </w:t>
      </w:r>
      <w:r w:rsidRPr="00D576BC">
        <w:rPr>
          <w:rFonts w:ascii="Arial" w:hAnsi="Arial" w:cs="Arial"/>
          <w:i/>
          <w:iCs/>
          <w:color w:val="000000" w:themeColor="text1"/>
        </w:rPr>
        <w:t>Multinational Enterprises and the Global Economy</w:t>
      </w:r>
      <w:r w:rsidRPr="00D576BC">
        <w:rPr>
          <w:rFonts w:ascii="Arial" w:hAnsi="Arial" w:cs="Arial"/>
          <w:color w:val="000000" w:themeColor="text1"/>
        </w:rPr>
        <w:t>. 2nd ed. Cheltenham: Edward Elgar.</w:t>
      </w:r>
    </w:p>
    <w:p w14:paraId="6846A2A6" w14:textId="5780A7FB"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Dyer, J.H. and Nobeoka, K., 2000. </w:t>
      </w:r>
      <w:r w:rsidRPr="00D576BC">
        <w:rPr>
          <w:rFonts w:ascii="Arial" w:hAnsi="Arial" w:cs="Arial"/>
          <w:i/>
          <w:iCs/>
          <w:color w:val="000000" w:themeColor="text1"/>
        </w:rPr>
        <w:t>Creating and managing a high-performance knowledge-sharing network:</w:t>
      </w:r>
      <w:r>
        <w:rPr>
          <w:rFonts w:ascii="Arial" w:hAnsi="Arial" w:cs="Arial"/>
          <w:i/>
          <w:iCs/>
          <w:color w:val="000000" w:themeColor="text1"/>
        </w:rPr>
        <w:t xml:space="preserve"> </w:t>
      </w:r>
      <w:r w:rsidRPr="00D576BC">
        <w:rPr>
          <w:rFonts w:ascii="Arial" w:hAnsi="Arial" w:cs="Arial"/>
          <w:color w:val="000000" w:themeColor="text1"/>
        </w:rPr>
        <w:t>21(3), pp.345–367.</w:t>
      </w:r>
    </w:p>
    <w:p w14:paraId="72F72446"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Fang, T., 2012. </w:t>
      </w:r>
      <w:r w:rsidRPr="00D576BC">
        <w:rPr>
          <w:rFonts w:ascii="Arial" w:hAnsi="Arial" w:cs="Arial"/>
          <w:i/>
          <w:iCs/>
          <w:color w:val="000000" w:themeColor="text1"/>
        </w:rPr>
        <w:t>Yin Yang: A new perspective on culture</w:t>
      </w:r>
      <w:r w:rsidRPr="00D576BC">
        <w:rPr>
          <w:rFonts w:ascii="Arial" w:hAnsi="Arial" w:cs="Arial"/>
          <w:color w:val="000000" w:themeColor="text1"/>
        </w:rPr>
        <w:t>. Management and Organization Review, 8(1), pp.25–50.</w:t>
      </w:r>
    </w:p>
    <w:p w14:paraId="725105DA"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Ghemawat, P., 2007. </w:t>
      </w:r>
      <w:r w:rsidRPr="00D576BC">
        <w:rPr>
          <w:rFonts w:ascii="Arial" w:hAnsi="Arial" w:cs="Arial"/>
          <w:i/>
          <w:iCs/>
          <w:color w:val="000000" w:themeColor="text1"/>
        </w:rPr>
        <w:t>Redefining Global Strategy</w:t>
      </w:r>
      <w:r w:rsidRPr="00D576BC">
        <w:rPr>
          <w:rFonts w:ascii="Arial" w:hAnsi="Arial" w:cs="Arial"/>
          <w:color w:val="000000" w:themeColor="text1"/>
        </w:rPr>
        <w:t>. Boston: Harvard Business School Press.</w:t>
      </w:r>
    </w:p>
    <w:p w14:paraId="09CD2D39"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Hunnert, J.F., 2009. </w:t>
      </w:r>
      <w:r w:rsidRPr="00D576BC">
        <w:rPr>
          <w:rFonts w:ascii="Arial" w:hAnsi="Arial" w:cs="Arial"/>
          <w:i/>
          <w:iCs/>
          <w:color w:val="000000" w:themeColor="text1"/>
        </w:rPr>
        <w:t>Down with MNE-centric theories! Market entry and expansion as the bundling of MNE and local assets</w:t>
      </w:r>
      <w:r w:rsidRPr="00D576BC">
        <w:rPr>
          <w:rFonts w:ascii="Arial" w:hAnsi="Arial" w:cs="Arial"/>
          <w:color w:val="000000" w:themeColor="text1"/>
        </w:rPr>
        <w:t>. Journal of International Business Studies, 40(9), pp.1432–1454.</w:t>
      </w:r>
    </w:p>
    <w:p w14:paraId="210C01D2"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Hill, C.W.L. and Hult, G.T.M., 2022. </w:t>
      </w:r>
      <w:r w:rsidRPr="00D576BC">
        <w:rPr>
          <w:rFonts w:ascii="Arial" w:hAnsi="Arial" w:cs="Arial"/>
          <w:i/>
          <w:iCs/>
          <w:color w:val="000000" w:themeColor="text1"/>
        </w:rPr>
        <w:t>International Business: Competing in the Global Marketplace</w:t>
      </w:r>
      <w:r w:rsidRPr="00D576BC">
        <w:rPr>
          <w:rFonts w:ascii="Arial" w:hAnsi="Arial" w:cs="Arial"/>
          <w:color w:val="000000" w:themeColor="text1"/>
        </w:rPr>
        <w:t>. 14th ed. McGraw-Hill.</w:t>
      </w:r>
    </w:p>
    <w:p w14:paraId="50072835" w14:textId="5402C716"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Hitt, M.A., Ireland, R.D. and Huskisson, R.E., 2020. </w:t>
      </w:r>
      <w:r w:rsidRPr="00D576BC">
        <w:rPr>
          <w:rFonts w:ascii="Arial" w:hAnsi="Arial" w:cs="Arial"/>
          <w:i/>
          <w:iCs/>
          <w:color w:val="000000" w:themeColor="text1"/>
        </w:rPr>
        <w:t>Strategic Management: Competitiveness and Globalisation</w:t>
      </w:r>
      <w:r w:rsidRPr="00D576BC">
        <w:rPr>
          <w:rFonts w:ascii="Arial" w:hAnsi="Arial" w:cs="Arial"/>
          <w:color w:val="000000" w:themeColor="text1"/>
        </w:rPr>
        <w:t>. 14th ed. Cengage Learning.</w:t>
      </w:r>
    </w:p>
    <w:p w14:paraId="420E5677" w14:textId="3D48A650"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lastRenderedPageBreak/>
        <w:t xml:space="preserve">Hofstede Insights, 2023. </w:t>
      </w:r>
      <w:r w:rsidRPr="00D576BC">
        <w:rPr>
          <w:rFonts w:ascii="Arial" w:hAnsi="Arial" w:cs="Arial"/>
          <w:i/>
          <w:iCs/>
          <w:color w:val="000000" w:themeColor="text1"/>
        </w:rPr>
        <w:t>Country Comparison: Japan and Thailand</w:t>
      </w:r>
      <w:r w:rsidRPr="00D576BC">
        <w:rPr>
          <w:rFonts w:ascii="Arial" w:hAnsi="Arial" w:cs="Arial"/>
          <w:color w:val="000000" w:themeColor="text1"/>
        </w:rPr>
        <w:t>. Available at: www.hofstede-insights.com.</w:t>
      </w:r>
    </w:p>
    <w:p w14:paraId="4384ABB0"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Holmes, H. and Antinavy, S., 1997. </w:t>
      </w:r>
      <w:r w:rsidRPr="00D576BC">
        <w:rPr>
          <w:rFonts w:ascii="Arial" w:hAnsi="Arial" w:cs="Arial"/>
          <w:i/>
          <w:iCs/>
          <w:color w:val="000000" w:themeColor="text1"/>
        </w:rPr>
        <w:t>Working with the Thais: A Guide to Managing in Thailand</w:t>
      </w:r>
      <w:r w:rsidRPr="00D576BC">
        <w:rPr>
          <w:rFonts w:ascii="Arial" w:hAnsi="Arial" w:cs="Arial"/>
          <w:color w:val="000000" w:themeColor="text1"/>
        </w:rPr>
        <w:t>. Bangkok: White Lotus.</w:t>
      </w:r>
    </w:p>
    <w:p w14:paraId="46198513"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Intragender, P. and Fujita, M., 2016. </w:t>
      </w:r>
      <w:r w:rsidRPr="00D576BC">
        <w:rPr>
          <w:rFonts w:ascii="Arial" w:hAnsi="Arial" w:cs="Arial"/>
          <w:i/>
          <w:iCs/>
          <w:color w:val="000000" w:themeColor="text1"/>
        </w:rPr>
        <w:t>Innovation policies in Thailand: Towards a system approach?</w:t>
      </w:r>
      <w:r w:rsidRPr="00D576BC">
        <w:rPr>
          <w:rFonts w:ascii="Arial" w:hAnsi="Arial" w:cs="Arial"/>
          <w:color w:val="000000" w:themeColor="text1"/>
        </w:rPr>
        <w:t xml:space="preserve"> Science, Technology and Society, 21(2), pp.211–233.</w:t>
      </w:r>
    </w:p>
    <w:p w14:paraId="07F45C48"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Johanson, J. and Vahlne, J.E., 2009. </w:t>
      </w:r>
      <w:r w:rsidRPr="00D576BC">
        <w:rPr>
          <w:rFonts w:ascii="Arial" w:hAnsi="Arial" w:cs="Arial"/>
          <w:i/>
          <w:iCs/>
          <w:color w:val="000000" w:themeColor="text1"/>
        </w:rPr>
        <w:t>The Uppsala internationalization process model revisited</w:t>
      </w:r>
      <w:r w:rsidRPr="00D576BC">
        <w:rPr>
          <w:rFonts w:ascii="Arial" w:hAnsi="Arial" w:cs="Arial"/>
          <w:color w:val="000000" w:themeColor="text1"/>
        </w:rPr>
        <w:t>. Journal of International Business Studies, 40(9), pp.1411–1431.</w:t>
      </w:r>
    </w:p>
    <w:p w14:paraId="44683439" w14:textId="36DE1762"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Kongsompong, K., Green, R. and Patterson, P., 2020. </w:t>
      </w:r>
      <w:r w:rsidRPr="00D576BC">
        <w:rPr>
          <w:rFonts w:ascii="Arial" w:hAnsi="Arial" w:cs="Arial"/>
          <w:i/>
          <w:iCs/>
          <w:color w:val="000000" w:themeColor="text1"/>
        </w:rPr>
        <w:t>Understanding Thai consumer behaviour in the automotive industry</w:t>
      </w:r>
      <w:r w:rsidRPr="00D576BC">
        <w:rPr>
          <w:rFonts w:ascii="Arial" w:hAnsi="Arial" w:cs="Arial"/>
          <w:color w:val="000000" w:themeColor="text1"/>
        </w:rPr>
        <w:t>.</w:t>
      </w:r>
      <w:r>
        <w:rPr>
          <w:rFonts w:ascii="Arial" w:hAnsi="Arial" w:cs="Arial"/>
          <w:color w:val="000000" w:themeColor="text1"/>
        </w:rPr>
        <w:t xml:space="preserve"> </w:t>
      </w:r>
      <w:r w:rsidRPr="00D576BC">
        <w:rPr>
          <w:rFonts w:ascii="Arial" w:hAnsi="Arial" w:cs="Arial"/>
          <w:color w:val="000000" w:themeColor="text1"/>
        </w:rPr>
        <w:t>32(5), pp.1131–1150.</w:t>
      </w:r>
    </w:p>
    <w:p w14:paraId="07971DA1"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Kotabe, M. and Helsen, K., 2022. </w:t>
      </w:r>
      <w:r w:rsidRPr="00D576BC">
        <w:rPr>
          <w:rFonts w:ascii="Arial" w:hAnsi="Arial" w:cs="Arial"/>
          <w:i/>
          <w:iCs/>
          <w:color w:val="000000" w:themeColor="text1"/>
        </w:rPr>
        <w:t>Global Marketing Management</w:t>
      </w:r>
      <w:r w:rsidRPr="00D576BC">
        <w:rPr>
          <w:rFonts w:ascii="Arial" w:hAnsi="Arial" w:cs="Arial"/>
          <w:color w:val="000000" w:themeColor="text1"/>
        </w:rPr>
        <w:t>. 9th ed. Wiley.</w:t>
      </w:r>
    </w:p>
    <w:p w14:paraId="2C7DD4F2"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Liker, J.K. and Convis, G.L., 2012. </w:t>
      </w:r>
      <w:r w:rsidRPr="00D576BC">
        <w:rPr>
          <w:rFonts w:ascii="Arial" w:hAnsi="Arial" w:cs="Arial"/>
          <w:i/>
          <w:iCs/>
          <w:color w:val="000000" w:themeColor="text1"/>
        </w:rPr>
        <w:t>The Toyota Way to Lean Leadership</w:t>
      </w:r>
      <w:r w:rsidRPr="00D576BC">
        <w:rPr>
          <w:rFonts w:ascii="Arial" w:hAnsi="Arial" w:cs="Arial"/>
          <w:color w:val="000000" w:themeColor="text1"/>
        </w:rPr>
        <w:t>. New York: McGraw Hill.</w:t>
      </w:r>
    </w:p>
    <w:p w14:paraId="153423DD"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Meyer, K.E. and Peng, M.W., 2016. </w:t>
      </w:r>
      <w:r w:rsidRPr="00D576BC">
        <w:rPr>
          <w:rFonts w:ascii="Arial" w:hAnsi="Arial" w:cs="Arial"/>
          <w:i/>
          <w:iCs/>
          <w:color w:val="000000" w:themeColor="text1"/>
        </w:rPr>
        <w:t>Theoretical foundations of emerging economy business research</w:t>
      </w:r>
      <w:r w:rsidRPr="00D576BC">
        <w:rPr>
          <w:rFonts w:ascii="Arial" w:hAnsi="Arial" w:cs="Arial"/>
          <w:color w:val="000000" w:themeColor="text1"/>
        </w:rPr>
        <w:t>. Journal of International Business Studies, 47(1), pp.3–22.</w:t>
      </w:r>
    </w:p>
    <w:p w14:paraId="128BB267" w14:textId="7B453A58"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Schuler, R.S. and Tarique, I., 2007. </w:t>
      </w:r>
      <w:r w:rsidRPr="00D576BC">
        <w:rPr>
          <w:rFonts w:ascii="Arial" w:hAnsi="Arial" w:cs="Arial"/>
          <w:i/>
          <w:iCs/>
          <w:color w:val="000000" w:themeColor="text1"/>
        </w:rPr>
        <w:t>International human resource management: A North American perspective</w:t>
      </w:r>
      <w:r w:rsidRPr="00D576BC">
        <w:rPr>
          <w:rFonts w:ascii="Arial" w:hAnsi="Arial" w:cs="Arial"/>
          <w:color w:val="000000" w:themeColor="text1"/>
        </w:rPr>
        <w:t>.18(2), pp.262–276.</w:t>
      </w:r>
    </w:p>
    <w:p w14:paraId="7377B475" w14:textId="180BCD25"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Statista, 2023. </w:t>
      </w:r>
      <w:r w:rsidRPr="00D576BC">
        <w:rPr>
          <w:rFonts w:ascii="Arial" w:hAnsi="Arial" w:cs="Arial"/>
          <w:i/>
          <w:iCs/>
          <w:color w:val="000000" w:themeColor="text1"/>
        </w:rPr>
        <w:t>Toyota Motor Corporation – Global Sales and Production Data</w:t>
      </w:r>
      <w:r w:rsidRPr="00D576BC">
        <w:rPr>
          <w:rFonts w:ascii="Arial" w:hAnsi="Arial" w:cs="Arial"/>
          <w:color w:val="000000" w:themeColor="text1"/>
        </w:rPr>
        <w:t>. Available at: www.statista.com.</w:t>
      </w:r>
    </w:p>
    <w:p w14:paraId="13656AF7"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Toyota Motor Corporation, 2023. </w:t>
      </w:r>
      <w:r w:rsidRPr="00D576BC">
        <w:rPr>
          <w:rFonts w:ascii="Arial" w:hAnsi="Arial" w:cs="Arial"/>
          <w:i/>
          <w:iCs/>
          <w:color w:val="000000" w:themeColor="text1"/>
        </w:rPr>
        <w:t>Annual Report 2023</w:t>
      </w:r>
      <w:r w:rsidRPr="00D576BC">
        <w:rPr>
          <w:rFonts w:ascii="Arial" w:hAnsi="Arial" w:cs="Arial"/>
          <w:color w:val="000000" w:themeColor="text1"/>
        </w:rPr>
        <w:t>. Toyota City: Toyota Global.</w:t>
      </w:r>
    </w:p>
    <w:p w14:paraId="3958994D"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UNCTAD, 2023. </w:t>
      </w:r>
      <w:r w:rsidRPr="00D576BC">
        <w:rPr>
          <w:rFonts w:ascii="Arial" w:hAnsi="Arial" w:cs="Arial"/>
          <w:i/>
          <w:iCs/>
          <w:color w:val="000000" w:themeColor="text1"/>
        </w:rPr>
        <w:t>World Investment Report 2023</w:t>
      </w:r>
      <w:r w:rsidRPr="00D576BC">
        <w:rPr>
          <w:rFonts w:ascii="Arial" w:hAnsi="Arial" w:cs="Arial"/>
          <w:color w:val="000000" w:themeColor="text1"/>
        </w:rPr>
        <w:t>. Geneva: United Nations.</w:t>
      </w:r>
    </w:p>
    <w:p w14:paraId="2C302C6F"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VDA, 2022. </w:t>
      </w:r>
      <w:r w:rsidRPr="00D576BC">
        <w:rPr>
          <w:rFonts w:ascii="Arial" w:hAnsi="Arial" w:cs="Arial"/>
          <w:i/>
          <w:iCs/>
          <w:color w:val="000000" w:themeColor="text1"/>
        </w:rPr>
        <w:t>Global Automotive Market Overview</w:t>
      </w:r>
      <w:r w:rsidRPr="00D576BC">
        <w:rPr>
          <w:rFonts w:ascii="Arial" w:hAnsi="Arial" w:cs="Arial"/>
          <w:color w:val="000000" w:themeColor="text1"/>
        </w:rPr>
        <w:t>. Berlin: German Association of the Automotive Industry.</w:t>
      </w:r>
    </w:p>
    <w:p w14:paraId="41CAFFCD" w14:textId="77777777" w:rsid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Yin, R.K., 2018. </w:t>
      </w:r>
      <w:r w:rsidRPr="00D576BC">
        <w:rPr>
          <w:rFonts w:ascii="Arial" w:hAnsi="Arial" w:cs="Arial"/>
          <w:i/>
          <w:iCs/>
          <w:color w:val="000000" w:themeColor="text1"/>
        </w:rPr>
        <w:t>Case Study Research and Applications: Design and Methods</w:t>
      </w:r>
      <w:r w:rsidRPr="00D576BC">
        <w:rPr>
          <w:rFonts w:ascii="Arial" w:hAnsi="Arial" w:cs="Arial"/>
          <w:color w:val="000000" w:themeColor="text1"/>
        </w:rPr>
        <w:t>. 6th ed. Thousand Oaks: SAGE.</w:t>
      </w:r>
    </w:p>
    <w:p w14:paraId="70AEF14A" w14:textId="51479279" w:rsidR="00D576BC" w:rsidRPr="00D576BC" w:rsidRDefault="00D576BC" w:rsidP="004573DF">
      <w:pPr>
        <w:pStyle w:val="ListParagraph"/>
        <w:numPr>
          <w:ilvl w:val="0"/>
          <w:numId w:val="59"/>
        </w:numPr>
        <w:spacing w:line="360" w:lineRule="auto"/>
        <w:jc w:val="both"/>
        <w:rPr>
          <w:rFonts w:ascii="Arial" w:hAnsi="Arial" w:cs="Arial"/>
          <w:color w:val="000000" w:themeColor="text1"/>
        </w:rPr>
      </w:pPr>
      <w:r w:rsidRPr="00D576BC">
        <w:rPr>
          <w:rFonts w:ascii="Arial" w:hAnsi="Arial" w:cs="Arial"/>
          <w:color w:val="000000" w:themeColor="text1"/>
        </w:rPr>
        <w:t xml:space="preserve">Zaheer, S., 1995. </w:t>
      </w:r>
      <w:r w:rsidRPr="00D576BC">
        <w:rPr>
          <w:rFonts w:ascii="Arial" w:hAnsi="Arial" w:cs="Arial"/>
          <w:i/>
          <w:iCs/>
          <w:color w:val="000000" w:themeColor="text1"/>
        </w:rPr>
        <w:t>Overcoming the liability of foreignness</w:t>
      </w:r>
      <w:r w:rsidRPr="00D576BC">
        <w:rPr>
          <w:rFonts w:ascii="Arial" w:hAnsi="Arial" w:cs="Arial"/>
          <w:color w:val="000000" w:themeColor="text1"/>
        </w:rPr>
        <w:t>. Academy of Management Journal, 38(2), pp.341–363.</w:t>
      </w:r>
    </w:p>
    <w:p w14:paraId="64EC24D5" w14:textId="77777777" w:rsidR="00D576BC" w:rsidRPr="00076864" w:rsidRDefault="00D576BC" w:rsidP="004573DF">
      <w:pPr>
        <w:spacing w:line="360" w:lineRule="auto"/>
        <w:jc w:val="both"/>
        <w:rPr>
          <w:rFonts w:ascii="Arial" w:hAnsi="Arial" w:cs="Arial"/>
          <w:color w:val="000000" w:themeColor="text1"/>
        </w:rPr>
      </w:pPr>
    </w:p>
    <w:p w14:paraId="1E6EA028" w14:textId="77777777" w:rsidR="00076864" w:rsidRPr="00465EE4" w:rsidRDefault="00076864" w:rsidP="00465EE4">
      <w:pPr>
        <w:spacing w:line="360" w:lineRule="auto"/>
        <w:jc w:val="both"/>
        <w:rPr>
          <w:rFonts w:ascii="Arial" w:hAnsi="Arial" w:cs="Arial"/>
          <w:color w:val="000000" w:themeColor="text1"/>
        </w:rPr>
      </w:pPr>
    </w:p>
    <w:p w14:paraId="3BD5F515" w14:textId="33BDA725" w:rsidR="004573DF" w:rsidRPr="004573DF" w:rsidRDefault="004573DF" w:rsidP="004C4FAE">
      <w:pPr>
        <w:pStyle w:val="Heading1"/>
      </w:pPr>
      <w:bookmarkStart w:id="45" w:name="_Toc215577630"/>
      <w:bookmarkStart w:id="46" w:name="_Toc216121796"/>
      <w:r w:rsidRPr="004573DF">
        <w:lastRenderedPageBreak/>
        <w:t>Appendices</w:t>
      </w:r>
      <w:bookmarkEnd w:id="45"/>
      <w:bookmarkEnd w:id="46"/>
    </w:p>
    <w:p w14:paraId="1A280D95" w14:textId="77777777" w:rsidR="004573DF" w:rsidRPr="004573DF" w:rsidRDefault="004573DF" w:rsidP="004C4FAE">
      <w:pPr>
        <w:pStyle w:val="Heading2"/>
      </w:pPr>
      <w:bookmarkStart w:id="47" w:name="_Toc215577631"/>
      <w:bookmarkStart w:id="48" w:name="_Toc216121797"/>
      <w:r w:rsidRPr="004573DF">
        <w:t>Appendix A: Gantt Chart for Report Development</w:t>
      </w:r>
      <w:bookmarkEnd w:id="47"/>
      <w:bookmarkEnd w:id="48"/>
    </w:p>
    <w:tbl>
      <w:tblPr>
        <w:tblStyle w:val="GridTable1Light"/>
        <w:tblW w:w="9765" w:type="dxa"/>
        <w:tblLook w:val="04A0" w:firstRow="1" w:lastRow="0" w:firstColumn="1" w:lastColumn="0" w:noHBand="0" w:noVBand="1"/>
      </w:tblPr>
      <w:tblGrid>
        <w:gridCol w:w="5213"/>
        <w:gridCol w:w="1138"/>
        <w:gridCol w:w="1138"/>
        <w:gridCol w:w="1138"/>
        <w:gridCol w:w="1138"/>
      </w:tblGrid>
      <w:tr w:rsidR="004C4FAE" w:rsidRPr="004C4FAE" w14:paraId="7D12A035" w14:textId="77777777" w:rsidTr="004C4FAE">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A742578" w14:textId="77777777" w:rsidR="004C4FAE" w:rsidRPr="004C4FAE" w:rsidRDefault="004C4FAE" w:rsidP="004C4FAE">
            <w:pPr>
              <w:spacing w:line="360" w:lineRule="auto"/>
              <w:jc w:val="center"/>
              <w:rPr>
                <w:rFonts w:ascii="Arial" w:hAnsi="Arial" w:cs="Arial"/>
                <w:sz w:val="22"/>
                <w:szCs w:val="22"/>
              </w:rPr>
            </w:pPr>
            <w:r w:rsidRPr="004C4FAE">
              <w:rPr>
                <w:rFonts w:ascii="Arial" w:hAnsi="Arial" w:cs="Arial"/>
                <w:sz w:val="22"/>
                <w:szCs w:val="22"/>
              </w:rPr>
              <w:t>Task</w:t>
            </w:r>
          </w:p>
        </w:tc>
        <w:tc>
          <w:tcPr>
            <w:tcW w:w="0" w:type="auto"/>
            <w:vAlign w:val="center"/>
            <w:hideMark/>
          </w:tcPr>
          <w:p w14:paraId="74CE3832" w14:textId="77777777" w:rsidR="004C4FAE" w:rsidRPr="004C4FAE" w:rsidRDefault="004C4FAE" w:rsidP="004C4FA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Week 1</w:t>
            </w:r>
          </w:p>
        </w:tc>
        <w:tc>
          <w:tcPr>
            <w:tcW w:w="0" w:type="auto"/>
            <w:vAlign w:val="center"/>
            <w:hideMark/>
          </w:tcPr>
          <w:p w14:paraId="264EBA92" w14:textId="77777777" w:rsidR="004C4FAE" w:rsidRPr="004C4FAE" w:rsidRDefault="004C4FAE" w:rsidP="004C4FA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Week 2</w:t>
            </w:r>
          </w:p>
        </w:tc>
        <w:tc>
          <w:tcPr>
            <w:tcW w:w="0" w:type="auto"/>
            <w:vAlign w:val="center"/>
            <w:hideMark/>
          </w:tcPr>
          <w:p w14:paraId="355835CD" w14:textId="77777777" w:rsidR="004C4FAE" w:rsidRPr="004C4FAE" w:rsidRDefault="004C4FAE" w:rsidP="004C4FA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Week 3</w:t>
            </w:r>
          </w:p>
        </w:tc>
        <w:tc>
          <w:tcPr>
            <w:tcW w:w="0" w:type="auto"/>
            <w:vAlign w:val="center"/>
            <w:hideMark/>
          </w:tcPr>
          <w:p w14:paraId="1414CD3F" w14:textId="77777777" w:rsidR="004C4FAE" w:rsidRPr="004C4FAE" w:rsidRDefault="004C4FAE" w:rsidP="004C4FA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Week 4</w:t>
            </w:r>
          </w:p>
        </w:tc>
      </w:tr>
      <w:tr w:rsidR="004C4FAE" w:rsidRPr="004C4FAE" w14:paraId="24E57C33" w14:textId="77777777" w:rsidTr="004C4FAE">
        <w:trPr>
          <w:trHeight w:val="464"/>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99058B" w14:textId="77777777" w:rsidR="004C4FAE" w:rsidRPr="004C4FAE" w:rsidRDefault="004C4FAE" w:rsidP="004C4FAE">
            <w:pPr>
              <w:spacing w:line="360" w:lineRule="auto"/>
              <w:rPr>
                <w:rFonts w:ascii="Arial" w:hAnsi="Arial" w:cs="Arial"/>
                <w:sz w:val="22"/>
                <w:szCs w:val="22"/>
              </w:rPr>
            </w:pPr>
            <w:r w:rsidRPr="004C4FAE">
              <w:rPr>
                <w:rFonts w:ascii="Arial" w:hAnsi="Arial" w:cs="Arial"/>
                <w:sz w:val="22"/>
                <w:szCs w:val="22"/>
              </w:rPr>
              <w:t>Choose Company &amp; Confirm Topic</w:t>
            </w:r>
          </w:p>
        </w:tc>
        <w:tc>
          <w:tcPr>
            <w:tcW w:w="0" w:type="auto"/>
            <w:vAlign w:val="center"/>
            <w:hideMark/>
          </w:tcPr>
          <w:p w14:paraId="5F767BBD"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w:t>
            </w:r>
          </w:p>
        </w:tc>
        <w:tc>
          <w:tcPr>
            <w:tcW w:w="0" w:type="auto"/>
            <w:vAlign w:val="center"/>
            <w:hideMark/>
          </w:tcPr>
          <w:p w14:paraId="5F75DE1F"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0" w:type="auto"/>
            <w:vAlign w:val="center"/>
            <w:hideMark/>
          </w:tcPr>
          <w:p w14:paraId="47D72AA5"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0" w:type="auto"/>
            <w:vAlign w:val="center"/>
            <w:hideMark/>
          </w:tcPr>
          <w:p w14:paraId="248BDE8D"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4C4FAE" w:rsidRPr="004C4FAE" w14:paraId="3A8B76D1" w14:textId="77777777" w:rsidTr="004C4FAE">
        <w:trPr>
          <w:trHeight w:val="44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2DA741E" w14:textId="77777777" w:rsidR="004C4FAE" w:rsidRPr="004C4FAE" w:rsidRDefault="004C4FAE" w:rsidP="004C4FAE">
            <w:pPr>
              <w:spacing w:line="360" w:lineRule="auto"/>
              <w:rPr>
                <w:rFonts w:ascii="Arial" w:hAnsi="Arial" w:cs="Arial"/>
                <w:sz w:val="22"/>
                <w:szCs w:val="22"/>
              </w:rPr>
            </w:pPr>
            <w:r w:rsidRPr="004C4FAE">
              <w:rPr>
                <w:rFonts w:ascii="Arial" w:hAnsi="Arial" w:cs="Arial"/>
                <w:sz w:val="22"/>
                <w:szCs w:val="22"/>
              </w:rPr>
              <w:t>Research on Toyota’s Global Operations</w:t>
            </w:r>
          </w:p>
        </w:tc>
        <w:tc>
          <w:tcPr>
            <w:tcW w:w="0" w:type="auto"/>
            <w:vAlign w:val="center"/>
            <w:hideMark/>
          </w:tcPr>
          <w:p w14:paraId="61A5503A"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w:t>
            </w:r>
          </w:p>
        </w:tc>
        <w:tc>
          <w:tcPr>
            <w:tcW w:w="0" w:type="auto"/>
            <w:vAlign w:val="center"/>
            <w:hideMark/>
          </w:tcPr>
          <w:p w14:paraId="1E03BD27"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w:t>
            </w:r>
          </w:p>
        </w:tc>
        <w:tc>
          <w:tcPr>
            <w:tcW w:w="0" w:type="auto"/>
            <w:vAlign w:val="center"/>
            <w:hideMark/>
          </w:tcPr>
          <w:p w14:paraId="107C5338"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0" w:type="auto"/>
            <w:vAlign w:val="center"/>
            <w:hideMark/>
          </w:tcPr>
          <w:p w14:paraId="0C913ADA"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4C4FAE" w:rsidRPr="004C4FAE" w14:paraId="118B297E" w14:textId="77777777" w:rsidTr="004C4FAE">
        <w:trPr>
          <w:trHeight w:val="44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359FD8E" w14:textId="77777777" w:rsidR="004C4FAE" w:rsidRPr="004C4FAE" w:rsidRDefault="004C4FAE" w:rsidP="004C4FAE">
            <w:pPr>
              <w:spacing w:line="360" w:lineRule="auto"/>
              <w:rPr>
                <w:rFonts w:ascii="Arial" w:hAnsi="Arial" w:cs="Arial"/>
                <w:sz w:val="22"/>
                <w:szCs w:val="22"/>
              </w:rPr>
            </w:pPr>
            <w:r w:rsidRPr="004C4FAE">
              <w:rPr>
                <w:rFonts w:ascii="Arial" w:hAnsi="Arial" w:cs="Arial"/>
                <w:sz w:val="22"/>
                <w:szCs w:val="22"/>
              </w:rPr>
              <w:t>OLI Analysis &amp; Cultural Research</w:t>
            </w:r>
          </w:p>
        </w:tc>
        <w:tc>
          <w:tcPr>
            <w:tcW w:w="0" w:type="auto"/>
            <w:vAlign w:val="center"/>
            <w:hideMark/>
          </w:tcPr>
          <w:p w14:paraId="7E60EAF4"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0" w:type="auto"/>
            <w:vAlign w:val="center"/>
            <w:hideMark/>
          </w:tcPr>
          <w:p w14:paraId="67227F96"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w:t>
            </w:r>
          </w:p>
        </w:tc>
        <w:tc>
          <w:tcPr>
            <w:tcW w:w="0" w:type="auto"/>
            <w:vAlign w:val="center"/>
            <w:hideMark/>
          </w:tcPr>
          <w:p w14:paraId="31857B87"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w:t>
            </w:r>
          </w:p>
        </w:tc>
        <w:tc>
          <w:tcPr>
            <w:tcW w:w="0" w:type="auto"/>
            <w:vAlign w:val="center"/>
            <w:hideMark/>
          </w:tcPr>
          <w:p w14:paraId="68E0C24E"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4C4FAE" w:rsidRPr="004C4FAE" w14:paraId="4B89CD8F" w14:textId="77777777" w:rsidTr="004C4FAE">
        <w:trPr>
          <w:trHeight w:val="44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2C3839E" w14:textId="77777777" w:rsidR="004C4FAE" w:rsidRPr="004C4FAE" w:rsidRDefault="004C4FAE" w:rsidP="004C4FAE">
            <w:pPr>
              <w:spacing w:line="360" w:lineRule="auto"/>
              <w:rPr>
                <w:rFonts w:ascii="Arial" w:hAnsi="Arial" w:cs="Arial"/>
                <w:sz w:val="22"/>
                <w:szCs w:val="22"/>
              </w:rPr>
            </w:pPr>
            <w:r w:rsidRPr="004C4FAE">
              <w:rPr>
                <w:rFonts w:ascii="Arial" w:hAnsi="Arial" w:cs="Arial"/>
                <w:sz w:val="22"/>
                <w:szCs w:val="22"/>
              </w:rPr>
              <w:t>Write Report Sections</w:t>
            </w:r>
          </w:p>
        </w:tc>
        <w:tc>
          <w:tcPr>
            <w:tcW w:w="0" w:type="auto"/>
            <w:vAlign w:val="center"/>
            <w:hideMark/>
          </w:tcPr>
          <w:p w14:paraId="419D0AC2"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0" w:type="auto"/>
            <w:vAlign w:val="center"/>
            <w:hideMark/>
          </w:tcPr>
          <w:p w14:paraId="40B27D75"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0" w:type="auto"/>
            <w:vAlign w:val="center"/>
            <w:hideMark/>
          </w:tcPr>
          <w:p w14:paraId="1A83C833"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w:t>
            </w:r>
          </w:p>
        </w:tc>
        <w:tc>
          <w:tcPr>
            <w:tcW w:w="0" w:type="auto"/>
            <w:vAlign w:val="center"/>
            <w:hideMark/>
          </w:tcPr>
          <w:p w14:paraId="4CA40612"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w:t>
            </w:r>
          </w:p>
        </w:tc>
      </w:tr>
      <w:tr w:rsidR="004C4FAE" w:rsidRPr="004C4FAE" w14:paraId="48142190" w14:textId="77777777" w:rsidTr="004C4FAE">
        <w:trPr>
          <w:trHeight w:val="44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09FCBCF" w14:textId="77777777" w:rsidR="004C4FAE" w:rsidRPr="004C4FAE" w:rsidRDefault="004C4FAE" w:rsidP="004C4FAE">
            <w:pPr>
              <w:spacing w:line="360" w:lineRule="auto"/>
              <w:rPr>
                <w:rFonts w:ascii="Arial" w:hAnsi="Arial" w:cs="Arial"/>
                <w:sz w:val="22"/>
                <w:szCs w:val="22"/>
              </w:rPr>
            </w:pPr>
            <w:r w:rsidRPr="004C4FAE">
              <w:rPr>
                <w:rFonts w:ascii="Arial" w:hAnsi="Arial" w:cs="Arial"/>
                <w:sz w:val="22"/>
                <w:szCs w:val="22"/>
              </w:rPr>
              <w:t>Edit, Add References &amp; Final Touches</w:t>
            </w:r>
          </w:p>
        </w:tc>
        <w:tc>
          <w:tcPr>
            <w:tcW w:w="0" w:type="auto"/>
            <w:vAlign w:val="center"/>
            <w:hideMark/>
          </w:tcPr>
          <w:p w14:paraId="0D5A640C"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0" w:type="auto"/>
            <w:vAlign w:val="center"/>
            <w:hideMark/>
          </w:tcPr>
          <w:p w14:paraId="5FBCDB67"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0" w:type="auto"/>
            <w:vAlign w:val="center"/>
            <w:hideMark/>
          </w:tcPr>
          <w:p w14:paraId="6B39E8DA"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0" w:type="auto"/>
            <w:vAlign w:val="center"/>
            <w:hideMark/>
          </w:tcPr>
          <w:p w14:paraId="27A6E10B"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w:t>
            </w:r>
          </w:p>
        </w:tc>
      </w:tr>
    </w:tbl>
    <w:p w14:paraId="732AD99C" w14:textId="77777777" w:rsidR="00465EE4" w:rsidRPr="005D205A" w:rsidRDefault="00465EE4" w:rsidP="005D205A">
      <w:pPr>
        <w:spacing w:line="360" w:lineRule="auto"/>
        <w:jc w:val="both"/>
        <w:rPr>
          <w:rFonts w:ascii="Arial" w:hAnsi="Arial" w:cs="Arial"/>
          <w:color w:val="000000" w:themeColor="text1"/>
        </w:rPr>
      </w:pPr>
    </w:p>
    <w:p w14:paraId="76F59360" w14:textId="72E6D1F6" w:rsidR="005D205A" w:rsidRDefault="004C4FAE" w:rsidP="00894515">
      <w:pPr>
        <w:pStyle w:val="Heading2"/>
      </w:pPr>
      <w:bookmarkStart w:id="49" w:name="_Toc215577632"/>
      <w:bookmarkStart w:id="50" w:name="_Toc216121798"/>
      <w:r w:rsidRPr="004C4FAE">
        <w:t>Appendix B: Communication Records with Client / Supervisor</w:t>
      </w:r>
      <w:bookmarkEnd w:id="49"/>
      <w:bookmarkEnd w:id="50"/>
    </w:p>
    <w:tbl>
      <w:tblPr>
        <w:tblStyle w:val="GridTable1Light"/>
        <w:tblW w:w="0" w:type="auto"/>
        <w:tblLook w:val="04A0" w:firstRow="1" w:lastRow="0" w:firstColumn="1" w:lastColumn="0" w:noHBand="0" w:noVBand="1"/>
      </w:tblPr>
      <w:tblGrid>
        <w:gridCol w:w="1305"/>
        <w:gridCol w:w="2560"/>
        <w:gridCol w:w="2610"/>
        <w:gridCol w:w="2875"/>
      </w:tblGrid>
      <w:tr w:rsidR="004C4FAE" w:rsidRPr="004C4FAE" w14:paraId="08BD8A8A" w14:textId="77777777" w:rsidTr="008945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A7894A" w14:textId="77777777" w:rsidR="004C4FAE" w:rsidRPr="004C4FAE" w:rsidRDefault="004C4FAE" w:rsidP="004C4FAE">
            <w:pPr>
              <w:spacing w:line="360" w:lineRule="auto"/>
              <w:jc w:val="center"/>
              <w:rPr>
                <w:rFonts w:ascii="Arial" w:hAnsi="Arial" w:cs="Arial"/>
                <w:sz w:val="22"/>
                <w:szCs w:val="22"/>
              </w:rPr>
            </w:pPr>
            <w:r w:rsidRPr="004C4FAE">
              <w:rPr>
                <w:rFonts w:ascii="Arial" w:hAnsi="Arial" w:cs="Arial"/>
                <w:sz w:val="22"/>
                <w:szCs w:val="22"/>
              </w:rPr>
              <w:t>Date</w:t>
            </w:r>
          </w:p>
        </w:tc>
        <w:tc>
          <w:tcPr>
            <w:tcW w:w="2560" w:type="dxa"/>
            <w:vAlign w:val="center"/>
            <w:hideMark/>
          </w:tcPr>
          <w:p w14:paraId="0C4AB3A1" w14:textId="77777777" w:rsidR="004C4FAE" w:rsidRPr="004C4FAE" w:rsidRDefault="004C4FAE" w:rsidP="004C4FA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Communication Type</w:t>
            </w:r>
          </w:p>
        </w:tc>
        <w:tc>
          <w:tcPr>
            <w:tcW w:w="2610" w:type="dxa"/>
            <w:vAlign w:val="center"/>
            <w:hideMark/>
          </w:tcPr>
          <w:p w14:paraId="28D9CF80" w14:textId="77777777" w:rsidR="004C4FAE" w:rsidRPr="004C4FAE" w:rsidRDefault="004C4FAE" w:rsidP="004C4FA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Key Discussion Points</w:t>
            </w:r>
          </w:p>
        </w:tc>
        <w:tc>
          <w:tcPr>
            <w:tcW w:w="2875" w:type="dxa"/>
            <w:vAlign w:val="center"/>
            <w:hideMark/>
          </w:tcPr>
          <w:p w14:paraId="46FA3B30" w14:textId="77777777" w:rsidR="004C4FAE" w:rsidRPr="004C4FAE" w:rsidRDefault="004C4FAE" w:rsidP="004C4FA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Actions Agreed</w:t>
            </w:r>
          </w:p>
        </w:tc>
      </w:tr>
      <w:tr w:rsidR="004C4FAE" w:rsidRPr="004C4FAE" w14:paraId="1C83036F" w14:textId="77777777" w:rsidTr="0089451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A788B66" w14:textId="77777777" w:rsidR="004C4FAE" w:rsidRPr="004C4FAE" w:rsidRDefault="004C4FAE" w:rsidP="004C4FAE">
            <w:pPr>
              <w:spacing w:line="360" w:lineRule="auto"/>
              <w:jc w:val="center"/>
              <w:rPr>
                <w:rFonts w:ascii="Arial" w:hAnsi="Arial" w:cs="Arial"/>
                <w:sz w:val="22"/>
                <w:szCs w:val="22"/>
              </w:rPr>
            </w:pPr>
            <w:r w:rsidRPr="004C4FAE">
              <w:rPr>
                <w:rFonts w:ascii="Arial" w:hAnsi="Arial" w:cs="Arial"/>
                <w:sz w:val="22"/>
                <w:szCs w:val="22"/>
              </w:rPr>
              <w:t>03/11/2025</w:t>
            </w:r>
          </w:p>
        </w:tc>
        <w:tc>
          <w:tcPr>
            <w:tcW w:w="2560" w:type="dxa"/>
            <w:vAlign w:val="center"/>
            <w:hideMark/>
          </w:tcPr>
          <w:p w14:paraId="2D88BBE5"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Email</w:t>
            </w:r>
          </w:p>
        </w:tc>
        <w:tc>
          <w:tcPr>
            <w:tcW w:w="2610" w:type="dxa"/>
            <w:vAlign w:val="center"/>
            <w:hideMark/>
          </w:tcPr>
          <w:p w14:paraId="719D12FC" w14:textId="77777777" w:rsidR="004C4FAE" w:rsidRPr="004C4FAE" w:rsidRDefault="004C4FAE" w:rsidP="0089451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Clarified choice of company and market</w:t>
            </w:r>
          </w:p>
        </w:tc>
        <w:tc>
          <w:tcPr>
            <w:tcW w:w="2875" w:type="dxa"/>
            <w:vAlign w:val="center"/>
            <w:hideMark/>
          </w:tcPr>
          <w:p w14:paraId="31EE42BC" w14:textId="77777777" w:rsidR="004C4FAE" w:rsidRPr="004C4FAE" w:rsidRDefault="004C4FAE" w:rsidP="0089451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Continue with Toyota and Thailand</w:t>
            </w:r>
          </w:p>
        </w:tc>
      </w:tr>
      <w:tr w:rsidR="004C4FAE" w:rsidRPr="004C4FAE" w14:paraId="631A494A" w14:textId="77777777" w:rsidTr="0089451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9278AB2" w14:textId="77777777" w:rsidR="004C4FAE" w:rsidRPr="004C4FAE" w:rsidRDefault="004C4FAE" w:rsidP="004C4FAE">
            <w:pPr>
              <w:spacing w:line="360" w:lineRule="auto"/>
              <w:jc w:val="center"/>
              <w:rPr>
                <w:rFonts w:ascii="Arial" w:hAnsi="Arial" w:cs="Arial"/>
                <w:sz w:val="22"/>
                <w:szCs w:val="22"/>
              </w:rPr>
            </w:pPr>
            <w:r w:rsidRPr="004C4FAE">
              <w:rPr>
                <w:rFonts w:ascii="Arial" w:hAnsi="Arial" w:cs="Arial"/>
                <w:sz w:val="22"/>
                <w:szCs w:val="22"/>
              </w:rPr>
              <w:t>07/11/2025</w:t>
            </w:r>
          </w:p>
        </w:tc>
        <w:tc>
          <w:tcPr>
            <w:tcW w:w="2560" w:type="dxa"/>
            <w:vAlign w:val="center"/>
            <w:hideMark/>
          </w:tcPr>
          <w:p w14:paraId="2D00B28C"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Meeting</w:t>
            </w:r>
          </w:p>
        </w:tc>
        <w:tc>
          <w:tcPr>
            <w:tcW w:w="2610" w:type="dxa"/>
            <w:vAlign w:val="center"/>
            <w:hideMark/>
          </w:tcPr>
          <w:p w14:paraId="0ECE5D35" w14:textId="77777777" w:rsidR="004C4FAE" w:rsidRPr="004C4FAE" w:rsidRDefault="004C4FAE" w:rsidP="0089451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Talked about data sources and models</w:t>
            </w:r>
          </w:p>
        </w:tc>
        <w:tc>
          <w:tcPr>
            <w:tcW w:w="2875" w:type="dxa"/>
            <w:vAlign w:val="center"/>
            <w:hideMark/>
          </w:tcPr>
          <w:p w14:paraId="1DDA8483" w14:textId="77777777" w:rsidR="004C4FAE" w:rsidRPr="004C4FAE" w:rsidRDefault="004C4FAE" w:rsidP="0089451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Use OLI and cultural models</w:t>
            </w:r>
          </w:p>
        </w:tc>
      </w:tr>
      <w:tr w:rsidR="004C4FAE" w:rsidRPr="004C4FAE" w14:paraId="418D56C2" w14:textId="77777777" w:rsidTr="0089451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27A8277" w14:textId="77777777" w:rsidR="004C4FAE" w:rsidRPr="004C4FAE" w:rsidRDefault="004C4FAE" w:rsidP="004C4FAE">
            <w:pPr>
              <w:spacing w:line="360" w:lineRule="auto"/>
              <w:jc w:val="center"/>
              <w:rPr>
                <w:rFonts w:ascii="Arial" w:hAnsi="Arial" w:cs="Arial"/>
                <w:sz w:val="22"/>
                <w:szCs w:val="22"/>
              </w:rPr>
            </w:pPr>
            <w:r w:rsidRPr="004C4FAE">
              <w:rPr>
                <w:rFonts w:ascii="Arial" w:hAnsi="Arial" w:cs="Arial"/>
                <w:sz w:val="22"/>
                <w:szCs w:val="22"/>
              </w:rPr>
              <w:t>12/11/2025</w:t>
            </w:r>
          </w:p>
        </w:tc>
        <w:tc>
          <w:tcPr>
            <w:tcW w:w="2560" w:type="dxa"/>
            <w:vAlign w:val="center"/>
            <w:hideMark/>
          </w:tcPr>
          <w:p w14:paraId="30EBB5E5"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Email</w:t>
            </w:r>
          </w:p>
        </w:tc>
        <w:tc>
          <w:tcPr>
            <w:tcW w:w="2610" w:type="dxa"/>
            <w:vAlign w:val="center"/>
            <w:hideMark/>
          </w:tcPr>
          <w:p w14:paraId="5DADE18B" w14:textId="77777777" w:rsidR="004C4FAE" w:rsidRPr="004C4FAE" w:rsidRDefault="004C4FAE" w:rsidP="0089451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Feedback on initial report structure</w:t>
            </w:r>
          </w:p>
        </w:tc>
        <w:tc>
          <w:tcPr>
            <w:tcW w:w="2875" w:type="dxa"/>
            <w:vAlign w:val="center"/>
            <w:hideMark/>
          </w:tcPr>
          <w:p w14:paraId="72B269AF" w14:textId="77777777" w:rsidR="004C4FAE" w:rsidRPr="004C4FAE" w:rsidRDefault="004C4FAE" w:rsidP="0089451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Change layout and add more references</w:t>
            </w:r>
          </w:p>
        </w:tc>
      </w:tr>
      <w:tr w:rsidR="004C4FAE" w:rsidRPr="004C4FAE" w14:paraId="0E5AE040" w14:textId="77777777" w:rsidTr="0089451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64637CD" w14:textId="77777777" w:rsidR="004C4FAE" w:rsidRPr="004C4FAE" w:rsidRDefault="004C4FAE" w:rsidP="004C4FAE">
            <w:pPr>
              <w:spacing w:line="360" w:lineRule="auto"/>
              <w:jc w:val="center"/>
              <w:rPr>
                <w:rFonts w:ascii="Arial" w:hAnsi="Arial" w:cs="Arial"/>
                <w:sz w:val="22"/>
                <w:szCs w:val="22"/>
              </w:rPr>
            </w:pPr>
            <w:r w:rsidRPr="004C4FAE">
              <w:rPr>
                <w:rFonts w:ascii="Arial" w:hAnsi="Arial" w:cs="Arial"/>
                <w:sz w:val="22"/>
                <w:szCs w:val="22"/>
              </w:rPr>
              <w:t>18/11/2025</w:t>
            </w:r>
          </w:p>
        </w:tc>
        <w:tc>
          <w:tcPr>
            <w:tcW w:w="2560" w:type="dxa"/>
            <w:vAlign w:val="center"/>
            <w:hideMark/>
          </w:tcPr>
          <w:p w14:paraId="2ED79FD2"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Online consultation</w:t>
            </w:r>
          </w:p>
        </w:tc>
        <w:tc>
          <w:tcPr>
            <w:tcW w:w="2610" w:type="dxa"/>
            <w:vAlign w:val="center"/>
            <w:hideMark/>
          </w:tcPr>
          <w:p w14:paraId="211B07CB" w14:textId="77777777" w:rsidR="004C4FAE" w:rsidRPr="004C4FAE" w:rsidRDefault="004C4FAE" w:rsidP="0089451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Reviewed Sections 2–4 of the draft</w:t>
            </w:r>
          </w:p>
        </w:tc>
        <w:tc>
          <w:tcPr>
            <w:tcW w:w="2875" w:type="dxa"/>
            <w:vAlign w:val="center"/>
            <w:hideMark/>
          </w:tcPr>
          <w:p w14:paraId="2506BBAF" w14:textId="77777777" w:rsidR="004C4FAE" w:rsidRPr="004C4FAE" w:rsidRDefault="004C4FAE" w:rsidP="0089451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Make the analysis more critical</w:t>
            </w:r>
          </w:p>
        </w:tc>
      </w:tr>
      <w:tr w:rsidR="004C4FAE" w:rsidRPr="004C4FAE" w14:paraId="1547DBCE" w14:textId="77777777" w:rsidTr="0089451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F59A927" w14:textId="77777777" w:rsidR="004C4FAE" w:rsidRPr="004C4FAE" w:rsidRDefault="004C4FAE" w:rsidP="004C4FAE">
            <w:pPr>
              <w:spacing w:line="360" w:lineRule="auto"/>
              <w:jc w:val="center"/>
              <w:rPr>
                <w:rFonts w:ascii="Arial" w:hAnsi="Arial" w:cs="Arial"/>
                <w:sz w:val="22"/>
                <w:szCs w:val="22"/>
              </w:rPr>
            </w:pPr>
            <w:r w:rsidRPr="004C4FAE">
              <w:rPr>
                <w:rFonts w:ascii="Arial" w:hAnsi="Arial" w:cs="Arial"/>
                <w:sz w:val="22"/>
                <w:szCs w:val="22"/>
              </w:rPr>
              <w:t>25/11/2025</w:t>
            </w:r>
          </w:p>
        </w:tc>
        <w:tc>
          <w:tcPr>
            <w:tcW w:w="2560" w:type="dxa"/>
            <w:vAlign w:val="center"/>
            <w:hideMark/>
          </w:tcPr>
          <w:p w14:paraId="3DBB15F5" w14:textId="77777777" w:rsidR="004C4FAE" w:rsidRPr="004C4FAE" w:rsidRDefault="004C4FAE" w:rsidP="004C4FA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Email</w:t>
            </w:r>
          </w:p>
        </w:tc>
        <w:tc>
          <w:tcPr>
            <w:tcW w:w="2610" w:type="dxa"/>
            <w:vAlign w:val="center"/>
            <w:hideMark/>
          </w:tcPr>
          <w:p w14:paraId="4D463B35" w14:textId="77777777" w:rsidR="004C4FAE" w:rsidRPr="004C4FAE" w:rsidRDefault="004C4FAE" w:rsidP="0089451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Final review and prep for submission</w:t>
            </w:r>
          </w:p>
        </w:tc>
        <w:tc>
          <w:tcPr>
            <w:tcW w:w="2875" w:type="dxa"/>
            <w:vAlign w:val="center"/>
            <w:hideMark/>
          </w:tcPr>
          <w:p w14:paraId="1A5A4CFA" w14:textId="77777777" w:rsidR="004C4FAE" w:rsidRPr="004C4FAE" w:rsidRDefault="004C4FAE" w:rsidP="0089451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C4FAE">
              <w:rPr>
                <w:rFonts w:ascii="Arial" w:hAnsi="Arial" w:cs="Arial"/>
                <w:sz w:val="22"/>
                <w:szCs w:val="22"/>
              </w:rPr>
              <w:t>Add appendices and check Harvard format</w:t>
            </w:r>
          </w:p>
        </w:tc>
      </w:tr>
    </w:tbl>
    <w:p w14:paraId="05E13205" w14:textId="77777777" w:rsidR="004C4FAE" w:rsidRPr="00004228" w:rsidRDefault="004C4FAE" w:rsidP="00004228">
      <w:pPr>
        <w:spacing w:line="360" w:lineRule="auto"/>
        <w:jc w:val="both"/>
        <w:rPr>
          <w:rFonts w:ascii="Arial" w:hAnsi="Arial" w:cs="Arial"/>
          <w:color w:val="000000" w:themeColor="text1"/>
        </w:rPr>
      </w:pPr>
    </w:p>
    <w:p w14:paraId="3ACB654D" w14:textId="74CDB5DB" w:rsidR="00004228" w:rsidRDefault="00A76CD0" w:rsidP="00A76CD0">
      <w:pPr>
        <w:pStyle w:val="Heading2"/>
      </w:pPr>
      <w:bookmarkStart w:id="51" w:name="_Toc215577633"/>
      <w:bookmarkStart w:id="52" w:name="_Toc216121799"/>
      <w:r w:rsidRPr="00A76CD0">
        <w:t>Appendix C: Models and Frameworks Used in the Report</w:t>
      </w:r>
      <w:bookmarkEnd w:id="51"/>
      <w:bookmarkEnd w:id="52"/>
    </w:p>
    <w:p w14:paraId="40363F50" w14:textId="439B6C00" w:rsidR="00A76CD0" w:rsidRDefault="00A76CD0" w:rsidP="00E32AD5">
      <w:pPr>
        <w:spacing w:line="360" w:lineRule="auto"/>
        <w:jc w:val="both"/>
        <w:rPr>
          <w:rFonts w:ascii="Arial" w:hAnsi="Arial" w:cs="Arial"/>
          <w:color w:val="000000" w:themeColor="text1"/>
        </w:rPr>
      </w:pPr>
      <w:r>
        <w:rPr>
          <w:rFonts w:ascii="Arial" w:hAnsi="Arial" w:cs="Arial"/>
          <w:color w:val="000000" w:themeColor="text1"/>
        </w:rPr>
        <w:t>1.</w:t>
      </w:r>
      <w:r w:rsidRPr="00A76CD0">
        <w:rPr>
          <w:rFonts w:ascii="Arial" w:hAnsi="Arial" w:cs="Arial"/>
          <w:color w:val="000000" w:themeColor="text1"/>
        </w:rPr>
        <w:t>Hofstede Cultural Dimension Scores (Japan vs Thailand)</w:t>
      </w:r>
    </w:p>
    <w:tbl>
      <w:tblPr>
        <w:tblStyle w:val="GridTable1Light"/>
        <w:tblW w:w="9988" w:type="dxa"/>
        <w:tblLook w:val="04A0" w:firstRow="1" w:lastRow="0" w:firstColumn="1" w:lastColumn="0" w:noHBand="0" w:noVBand="1"/>
      </w:tblPr>
      <w:tblGrid>
        <w:gridCol w:w="5664"/>
        <w:gridCol w:w="1867"/>
        <w:gridCol w:w="2457"/>
      </w:tblGrid>
      <w:tr w:rsidR="00A76CD0" w:rsidRPr="00A76CD0" w14:paraId="10C92AA1" w14:textId="77777777" w:rsidTr="00A76CD0">
        <w:trPr>
          <w:cnfStyle w:val="100000000000" w:firstRow="1" w:lastRow="0" w:firstColumn="0" w:lastColumn="0" w:oddVBand="0" w:evenVBand="0" w:oddHBand="0" w:evenHBand="0" w:firstRowFirstColumn="0" w:firstRowLastColumn="0" w:lastRowFirstColumn="0" w:lastRowLastColumn="0"/>
          <w:trHeight w:val="49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0D58CE8" w14:textId="77777777" w:rsidR="00A76CD0" w:rsidRPr="00A76CD0" w:rsidRDefault="00A76CD0" w:rsidP="00A76CD0">
            <w:pPr>
              <w:spacing w:line="360" w:lineRule="auto"/>
              <w:jc w:val="center"/>
              <w:rPr>
                <w:rFonts w:ascii="Arial" w:hAnsi="Arial" w:cs="Arial"/>
                <w:sz w:val="22"/>
                <w:szCs w:val="22"/>
              </w:rPr>
            </w:pPr>
            <w:r w:rsidRPr="00A76CD0">
              <w:rPr>
                <w:rFonts w:ascii="Arial" w:hAnsi="Arial" w:cs="Arial"/>
                <w:sz w:val="22"/>
                <w:szCs w:val="22"/>
              </w:rPr>
              <w:t>Dimension</w:t>
            </w:r>
          </w:p>
        </w:tc>
        <w:tc>
          <w:tcPr>
            <w:tcW w:w="0" w:type="auto"/>
            <w:vAlign w:val="center"/>
            <w:hideMark/>
          </w:tcPr>
          <w:p w14:paraId="5B8B8210" w14:textId="77777777" w:rsidR="00A76CD0" w:rsidRPr="00A76CD0" w:rsidRDefault="00A76CD0" w:rsidP="00A76CD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76CD0">
              <w:rPr>
                <w:rFonts w:ascii="Arial" w:hAnsi="Arial" w:cs="Arial"/>
                <w:sz w:val="22"/>
                <w:szCs w:val="22"/>
              </w:rPr>
              <w:t>Japan</w:t>
            </w:r>
          </w:p>
        </w:tc>
        <w:tc>
          <w:tcPr>
            <w:tcW w:w="0" w:type="auto"/>
            <w:vAlign w:val="center"/>
            <w:hideMark/>
          </w:tcPr>
          <w:p w14:paraId="12097B3A" w14:textId="77777777" w:rsidR="00A76CD0" w:rsidRPr="00A76CD0" w:rsidRDefault="00A76CD0" w:rsidP="00A76CD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76CD0">
              <w:rPr>
                <w:rFonts w:ascii="Arial" w:hAnsi="Arial" w:cs="Arial"/>
                <w:sz w:val="22"/>
                <w:szCs w:val="22"/>
              </w:rPr>
              <w:t>Thailand</w:t>
            </w:r>
          </w:p>
        </w:tc>
      </w:tr>
      <w:tr w:rsidR="00A76CD0" w:rsidRPr="00A76CD0" w14:paraId="0C5DB5A6" w14:textId="77777777" w:rsidTr="00A76CD0">
        <w:trPr>
          <w:trHeight w:val="515"/>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0750BB4" w14:textId="77777777" w:rsidR="00A76CD0" w:rsidRPr="00A76CD0" w:rsidRDefault="00A76CD0" w:rsidP="00A76CD0">
            <w:pPr>
              <w:spacing w:line="360" w:lineRule="auto"/>
              <w:rPr>
                <w:rFonts w:ascii="Arial" w:hAnsi="Arial" w:cs="Arial"/>
                <w:sz w:val="22"/>
                <w:szCs w:val="22"/>
              </w:rPr>
            </w:pPr>
            <w:r w:rsidRPr="00A76CD0">
              <w:rPr>
                <w:rFonts w:ascii="Arial" w:hAnsi="Arial" w:cs="Arial"/>
                <w:sz w:val="22"/>
                <w:szCs w:val="22"/>
              </w:rPr>
              <w:t>Power Distance</w:t>
            </w:r>
          </w:p>
        </w:tc>
        <w:tc>
          <w:tcPr>
            <w:tcW w:w="0" w:type="auto"/>
            <w:vAlign w:val="center"/>
            <w:hideMark/>
          </w:tcPr>
          <w:p w14:paraId="754EA81E" w14:textId="77777777" w:rsidR="00A76CD0" w:rsidRPr="00A76CD0" w:rsidRDefault="00A76CD0" w:rsidP="00A76CD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6CD0">
              <w:rPr>
                <w:rFonts w:ascii="Arial" w:hAnsi="Arial" w:cs="Arial"/>
                <w:sz w:val="22"/>
                <w:szCs w:val="22"/>
              </w:rPr>
              <w:t>54</w:t>
            </w:r>
          </w:p>
        </w:tc>
        <w:tc>
          <w:tcPr>
            <w:tcW w:w="0" w:type="auto"/>
            <w:vAlign w:val="center"/>
            <w:hideMark/>
          </w:tcPr>
          <w:p w14:paraId="65947BC9" w14:textId="77777777" w:rsidR="00A76CD0" w:rsidRPr="00A76CD0" w:rsidRDefault="00A76CD0" w:rsidP="00A76CD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6CD0">
              <w:rPr>
                <w:rFonts w:ascii="Arial" w:hAnsi="Arial" w:cs="Arial"/>
                <w:sz w:val="22"/>
                <w:szCs w:val="22"/>
              </w:rPr>
              <w:t>64</w:t>
            </w:r>
          </w:p>
        </w:tc>
      </w:tr>
      <w:tr w:rsidR="00A76CD0" w:rsidRPr="00A76CD0" w14:paraId="346EC048" w14:textId="77777777" w:rsidTr="00A76CD0">
        <w:trPr>
          <w:trHeight w:val="49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20E5CCD" w14:textId="77777777" w:rsidR="00A76CD0" w:rsidRPr="00A76CD0" w:rsidRDefault="00A76CD0" w:rsidP="00A76CD0">
            <w:pPr>
              <w:spacing w:line="360" w:lineRule="auto"/>
              <w:rPr>
                <w:rFonts w:ascii="Arial" w:hAnsi="Arial" w:cs="Arial"/>
                <w:sz w:val="22"/>
                <w:szCs w:val="22"/>
              </w:rPr>
            </w:pPr>
            <w:r w:rsidRPr="00A76CD0">
              <w:rPr>
                <w:rFonts w:ascii="Arial" w:hAnsi="Arial" w:cs="Arial"/>
                <w:sz w:val="22"/>
                <w:szCs w:val="22"/>
              </w:rPr>
              <w:t>Individualism</w:t>
            </w:r>
          </w:p>
        </w:tc>
        <w:tc>
          <w:tcPr>
            <w:tcW w:w="0" w:type="auto"/>
            <w:vAlign w:val="center"/>
            <w:hideMark/>
          </w:tcPr>
          <w:p w14:paraId="7C0AE07D" w14:textId="77777777" w:rsidR="00A76CD0" w:rsidRPr="00A76CD0" w:rsidRDefault="00A76CD0" w:rsidP="00A76CD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6CD0">
              <w:rPr>
                <w:rFonts w:ascii="Arial" w:hAnsi="Arial" w:cs="Arial"/>
                <w:sz w:val="22"/>
                <w:szCs w:val="22"/>
              </w:rPr>
              <w:t>46</w:t>
            </w:r>
          </w:p>
        </w:tc>
        <w:tc>
          <w:tcPr>
            <w:tcW w:w="0" w:type="auto"/>
            <w:vAlign w:val="center"/>
            <w:hideMark/>
          </w:tcPr>
          <w:p w14:paraId="48530835" w14:textId="77777777" w:rsidR="00A76CD0" w:rsidRPr="00A76CD0" w:rsidRDefault="00A76CD0" w:rsidP="00A76CD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6CD0">
              <w:rPr>
                <w:rFonts w:ascii="Arial" w:hAnsi="Arial" w:cs="Arial"/>
                <w:sz w:val="22"/>
                <w:szCs w:val="22"/>
              </w:rPr>
              <w:t>20</w:t>
            </w:r>
          </w:p>
        </w:tc>
      </w:tr>
      <w:tr w:rsidR="00A76CD0" w:rsidRPr="00A76CD0" w14:paraId="36573E3C" w14:textId="77777777" w:rsidTr="00A76CD0">
        <w:trPr>
          <w:trHeight w:val="49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7D35AA2" w14:textId="77777777" w:rsidR="00A76CD0" w:rsidRPr="00A76CD0" w:rsidRDefault="00A76CD0" w:rsidP="00A76CD0">
            <w:pPr>
              <w:spacing w:line="360" w:lineRule="auto"/>
              <w:rPr>
                <w:rFonts w:ascii="Arial" w:hAnsi="Arial" w:cs="Arial"/>
                <w:sz w:val="22"/>
                <w:szCs w:val="22"/>
              </w:rPr>
            </w:pPr>
            <w:r w:rsidRPr="00A76CD0">
              <w:rPr>
                <w:rFonts w:ascii="Arial" w:hAnsi="Arial" w:cs="Arial"/>
                <w:sz w:val="22"/>
                <w:szCs w:val="22"/>
              </w:rPr>
              <w:t>Uncertainty Avoidance</w:t>
            </w:r>
          </w:p>
        </w:tc>
        <w:tc>
          <w:tcPr>
            <w:tcW w:w="0" w:type="auto"/>
            <w:vAlign w:val="center"/>
            <w:hideMark/>
          </w:tcPr>
          <w:p w14:paraId="2248AF7A" w14:textId="77777777" w:rsidR="00A76CD0" w:rsidRPr="00A76CD0" w:rsidRDefault="00A76CD0" w:rsidP="00A76CD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6CD0">
              <w:rPr>
                <w:rFonts w:ascii="Arial" w:hAnsi="Arial" w:cs="Arial"/>
                <w:sz w:val="22"/>
                <w:szCs w:val="22"/>
              </w:rPr>
              <w:t>92</w:t>
            </w:r>
          </w:p>
        </w:tc>
        <w:tc>
          <w:tcPr>
            <w:tcW w:w="0" w:type="auto"/>
            <w:vAlign w:val="center"/>
            <w:hideMark/>
          </w:tcPr>
          <w:p w14:paraId="59809EC1" w14:textId="77777777" w:rsidR="00A76CD0" w:rsidRPr="00A76CD0" w:rsidRDefault="00A76CD0" w:rsidP="00A76CD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6CD0">
              <w:rPr>
                <w:rFonts w:ascii="Arial" w:hAnsi="Arial" w:cs="Arial"/>
                <w:sz w:val="22"/>
                <w:szCs w:val="22"/>
              </w:rPr>
              <w:t>64</w:t>
            </w:r>
          </w:p>
        </w:tc>
      </w:tr>
      <w:tr w:rsidR="00A76CD0" w:rsidRPr="00A76CD0" w14:paraId="39FBA2F0" w14:textId="77777777" w:rsidTr="00A76CD0">
        <w:trPr>
          <w:trHeight w:val="49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BFB61C2" w14:textId="77777777" w:rsidR="00A76CD0" w:rsidRPr="00A76CD0" w:rsidRDefault="00A76CD0" w:rsidP="00A76CD0">
            <w:pPr>
              <w:spacing w:line="360" w:lineRule="auto"/>
              <w:rPr>
                <w:rFonts w:ascii="Arial" w:hAnsi="Arial" w:cs="Arial"/>
                <w:sz w:val="22"/>
                <w:szCs w:val="22"/>
              </w:rPr>
            </w:pPr>
            <w:r w:rsidRPr="00A76CD0">
              <w:rPr>
                <w:rFonts w:ascii="Arial" w:hAnsi="Arial" w:cs="Arial"/>
                <w:sz w:val="22"/>
                <w:szCs w:val="22"/>
              </w:rPr>
              <w:lastRenderedPageBreak/>
              <w:t>Masculinity</w:t>
            </w:r>
          </w:p>
        </w:tc>
        <w:tc>
          <w:tcPr>
            <w:tcW w:w="0" w:type="auto"/>
            <w:vAlign w:val="center"/>
            <w:hideMark/>
          </w:tcPr>
          <w:p w14:paraId="05E220C7" w14:textId="77777777" w:rsidR="00A76CD0" w:rsidRPr="00A76CD0" w:rsidRDefault="00A76CD0" w:rsidP="00A76CD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6CD0">
              <w:rPr>
                <w:rFonts w:ascii="Arial" w:hAnsi="Arial" w:cs="Arial"/>
                <w:sz w:val="22"/>
                <w:szCs w:val="22"/>
              </w:rPr>
              <w:t>95</w:t>
            </w:r>
          </w:p>
        </w:tc>
        <w:tc>
          <w:tcPr>
            <w:tcW w:w="0" w:type="auto"/>
            <w:vAlign w:val="center"/>
            <w:hideMark/>
          </w:tcPr>
          <w:p w14:paraId="4F1028D7" w14:textId="77777777" w:rsidR="00A76CD0" w:rsidRPr="00A76CD0" w:rsidRDefault="00A76CD0" w:rsidP="00A76CD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6CD0">
              <w:rPr>
                <w:rFonts w:ascii="Arial" w:hAnsi="Arial" w:cs="Arial"/>
                <w:sz w:val="22"/>
                <w:szCs w:val="22"/>
              </w:rPr>
              <w:t>34</w:t>
            </w:r>
          </w:p>
        </w:tc>
      </w:tr>
      <w:tr w:rsidR="00A76CD0" w:rsidRPr="00A76CD0" w14:paraId="34524F8C" w14:textId="77777777" w:rsidTr="00A76CD0">
        <w:trPr>
          <w:trHeight w:val="49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5A69B12" w14:textId="77777777" w:rsidR="00A76CD0" w:rsidRPr="00A76CD0" w:rsidRDefault="00A76CD0" w:rsidP="00A76CD0">
            <w:pPr>
              <w:spacing w:line="360" w:lineRule="auto"/>
              <w:rPr>
                <w:rFonts w:ascii="Arial" w:hAnsi="Arial" w:cs="Arial"/>
                <w:sz w:val="22"/>
                <w:szCs w:val="22"/>
              </w:rPr>
            </w:pPr>
            <w:r w:rsidRPr="00A76CD0">
              <w:rPr>
                <w:rFonts w:ascii="Arial" w:hAnsi="Arial" w:cs="Arial"/>
                <w:sz w:val="22"/>
                <w:szCs w:val="22"/>
              </w:rPr>
              <w:t>Long-Term Orientation</w:t>
            </w:r>
          </w:p>
        </w:tc>
        <w:tc>
          <w:tcPr>
            <w:tcW w:w="0" w:type="auto"/>
            <w:vAlign w:val="center"/>
            <w:hideMark/>
          </w:tcPr>
          <w:p w14:paraId="6397B8C2" w14:textId="77777777" w:rsidR="00A76CD0" w:rsidRPr="00A76CD0" w:rsidRDefault="00A76CD0" w:rsidP="00A76CD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6CD0">
              <w:rPr>
                <w:rFonts w:ascii="Arial" w:hAnsi="Arial" w:cs="Arial"/>
                <w:sz w:val="22"/>
                <w:szCs w:val="22"/>
              </w:rPr>
              <w:t>88</w:t>
            </w:r>
          </w:p>
        </w:tc>
        <w:tc>
          <w:tcPr>
            <w:tcW w:w="0" w:type="auto"/>
            <w:vAlign w:val="center"/>
            <w:hideMark/>
          </w:tcPr>
          <w:p w14:paraId="4E97E5A8" w14:textId="77777777" w:rsidR="00A76CD0" w:rsidRPr="00A76CD0" w:rsidRDefault="00A76CD0" w:rsidP="00A76CD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6CD0">
              <w:rPr>
                <w:rFonts w:ascii="Arial" w:hAnsi="Arial" w:cs="Arial"/>
                <w:sz w:val="22"/>
                <w:szCs w:val="22"/>
              </w:rPr>
              <w:t>32</w:t>
            </w:r>
          </w:p>
        </w:tc>
      </w:tr>
    </w:tbl>
    <w:p w14:paraId="16CD2997" w14:textId="77777777" w:rsidR="00A76CD0" w:rsidRDefault="00A76CD0" w:rsidP="00E32AD5">
      <w:pPr>
        <w:spacing w:line="360" w:lineRule="auto"/>
        <w:jc w:val="both"/>
        <w:rPr>
          <w:rFonts w:ascii="Arial" w:hAnsi="Arial" w:cs="Arial"/>
          <w:color w:val="000000" w:themeColor="text1"/>
        </w:rPr>
      </w:pPr>
    </w:p>
    <w:p w14:paraId="20D6B0CF" w14:textId="15948701" w:rsidR="00A76CD0" w:rsidRDefault="00A76CD0" w:rsidP="00E32AD5">
      <w:pPr>
        <w:spacing w:line="360" w:lineRule="auto"/>
        <w:jc w:val="both"/>
        <w:rPr>
          <w:rFonts w:ascii="Arial" w:hAnsi="Arial" w:cs="Arial"/>
          <w:color w:val="000000" w:themeColor="text1"/>
        </w:rPr>
      </w:pPr>
      <w:r>
        <w:rPr>
          <w:rFonts w:ascii="Arial" w:hAnsi="Arial" w:cs="Arial"/>
          <w:color w:val="000000" w:themeColor="text1"/>
        </w:rPr>
        <w:t xml:space="preserve">2. </w:t>
      </w:r>
      <w:r w:rsidRPr="00A76CD0">
        <w:rPr>
          <w:rFonts w:ascii="Arial" w:hAnsi="Arial" w:cs="Arial"/>
          <w:color w:val="000000" w:themeColor="text1"/>
        </w:rPr>
        <w:t>OLI (Ownership–Location–Internalisation) Paradigm – Diagram</w:t>
      </w:r>
    </w:p>
    <w:p w14:paraId="2C2B3D30" w14:textId="078A5EA4" w:rsidR="00A76CD0" w:rsidRDefault="00A76CD0" w:rsidP="00A76CD0">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625D77FE" wp14:editId="3F395E6D">
            <wp:extent cx="4058506" cy="3312009"/>
            <wp:effectExtent l="0" t="0" r="0" b="3175"/>
            <wp:docPr id="3907737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773717" name="Picture 390773717"/>
                    <pic:cNvPicPr/>
                  </pic:nvPicPr>
                  <pic:blipFill rotWithShape="1">
                    <a:blip r:embed="rId25"/>
                    <a:srcRect t="8428" b="9965"/>
                    <a:stretch>
                      <a:fillRect/>
                    </a:stretch>
                  </pic:blipFill>
                  <pic:spPr bwMode="auto">
                    <a:xfrm>
                      <a:off x="0" y="0"/>
                      <a:ext cx="4062879" cy="3315578"/>
                    </a:xfrm>
                    <a:prstGeom prst="rect">
                      <a:avLst/>
                    </a:prstGeom>
                    <a:ln>
                      <a:noFill/>
                    </a:ln>
                    <a:extLst>
                      <a:ext uri="{53640926-AAD7-44D8-BBD7-CCE9431645EC}">
                        <a14:shadowObscured xmlns:a14="http://schemas.microsoft.com/office/drawing/2010/main"/>
                      </a:ext>
                    </a:extLst>
                  </pic:spPr>
                </pic:pic>
              </a:graphicData>
            </a:graphic>
          </wp:inline>
        </w:drawing>
      </w:r>
    </w:p>
    <w:p w14:paraId="11248EC7" w14:textId="77777777" w:rsidR="005E504D" w:rsidRDefault="005E504D" w:rsidP="00A76CD0">
      <w:pPr>
        <w:spacing w:line="360" w:lineRule="auto"/>
        <w:jc w:val="center"/>
        <w:rPr>
          <w:rFonts w:ascii="Arial" w:hAnsi="Arial" w:cs="Arial"/>
          <w:color w:val="000000" w:themeColor="text1"/>
        </w:rPr>
      </w:pPr>
    </w:p>
    <w:p w14:paraId="6113C40A" w14:textId="553672CC" w:rsidR="00B56819" w:rsidRDefault="005E504D" w:rsidP="005E504D">
      <w:pPr>
        <w:pStyle w:val="Heading2"/>
      </w:pPr>
      <w:bookmarkStart w:id="53" w:name="_Toc215577634"/>
      <w:bookmarkStart w:id="54" w:name="_Toc216121800"/>
      <w:r w:rsidRPr="005E504D">
        <w:t xml:space="preserve">Appendix </w:t>
      </w:r>
      <w:r>
        <w:t>D</w:t>
      </w:r>
      <w:r w:rsidRPr="005E504D">
        <w:t>: Summary of Toyota’s Global Value Chain Activities</w:t>
      </w:r>
      <w:bookmarkEnd w:id="53"/>
      <w:bookmarkEnd w:id="54"/>
    </w:p>
    <w:tbl>
      <w:tblPr>
        <w:tblStyle w:val="GridTable1Light"/>
        <w:tblW w:w="0" w:type="auto"/>
        <w:tblLook w:val="04A0" w:firstRow="1" w:lastRow="0" w:firstColumn="1" w:lastColumn="0" w:noHBand="0" w:noVBand="1"/>
      </w:tblPr>
      <w:tblGrid>
        <w:gridCol w:w="2257"/>
        <w:gridCol w:w="3865"/>
        <w:gridCol w:w="3228"/>
      </w:tblGrid>
      <w:tr w:rsidR="00B56819" w:rsidRPr="00B56819" w14:paraId="15977B4A" w14:textId="77777777" w:rsidTr="00EF52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00B9A12" w14:textId="77777777" w:rsidR="00B56819" w:rsidRPr="00B56819" w:rsidRDefault="00B56819" w:rsidP="00EF522C">
            <w:pPr>
              <w:spacing w:line="360" w:lineRule="auto"/>
              <w:jc w:val="center"/>
              <w:rPr>
                <w:rFonts w:ascii="Arial" w:hAnsi="Arial" w:cs="Arial"/>
                <w:sz w:val="22"/>
                <w:szCs w:val="22"/>
              </w:rPr>
            </w:pPr>
            <w:r w:rsidRPr="00B56819">
              <w:rPr>
                <w:rFonts w:ascii="Arial" w:hAnsi="Arial" w:cs="Arial"/>
                <w:sz w:val="22"/>
                <w:szCs w:val="22"/>
              </w:rPr>
              <w:t>Value Chain Stage</w:t>
            </w:r>
          </w:p>
        </w:tc>
        <w:tc>
          <w:tcPr>
            <w:tcW w:w="0" w:type="auto"/>
            <w:vAlign w:val="center"/>
            <w:hideMark/>
          </w:tcPr>
          <w:p w14:paraId="4822845F" w14:textId="77777777" w:rsidR="00B56819" w:rsidRPr="00B56819" w:rsidRDefault="00B56819" w:rsidP="00EF522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56819">
              <w:rPr>
                <w:rFonts w:ascii="Arial" w:hAnsi="Arial" w:cs="Arial"/>
                <w:sz w:val="22"/>
                <w:szCs w:val="22"/>
              </w:rPr>
              <w:t>Key Activities</w:t>
            </w:r>
          </w:p>
        </w:tc>
        <w:tc>
          <w:tcPr>
            <w:tcW w:w="0" w:type="auto"/>
            <w:vAlign w:val="center"/>
            <w:hideMark/>
          </w:tcPr>
          <w:p w14:paraId="6F3D1690" w14:textId="77777777" w:rsidR="00B56819" w:rsidRPr="00B56819" w:rsidRDefault="00B56819" w:rsidP="00EF522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56819">
              <w:rPr>
                <w:rFonts w:ascii="Arial" w:hAnsi="Arial" w:cs="Arial"/>
                <w:sz w:val="22"/>
                <w:szCs w:val="22"/>
              </w:rPr>
              <w:t>How it Relates to Thailand</w:t>
            </w:r>
          </w:p>
        </w:tc>
      </w:tr>
      <w:tr w:rsidR="00B56819" w:rsidRPr="00B56819" w14:paraId="2C0D8C47" w14:textId="77777777" w:rsidTr="00B56819">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F618BCA" w14:textId="77777777" w:rsidR="00B56819" w:rsidRPr="00B56819" w:rsidRDefault="00B56819" w:rsidP="00B56819">
            <w:pPr>
              <w:spacing w:line="360" w:lineRule="auto"/>
              <w:rPr>
                <w:rFonts w:ascii="Arial" w:hAnsi="Arial" w:cs="Arial"/>
                <w:sz w:val="22"/>
                <w:szCs w:val="22"/>
              </w:rPr>
            </w:pPr>
            <w:r w:rsidRPr="00B56819">
              <w:rPr>
                <w:rFonts w:ascii="Arial" w:hAnsi="Arial" w:cs="Arial"/>
                <w:sz w:val="22"/>
                <w:szCs w:val="22"/>
              </w:rPr>
              <w:t>Research &amp; Development</w:t>
            </w:r>
          </w:p>
        </w:tc>
        <w:tc>
          <w:tcPr>
            <w:tcW w:w="0" w:type="auto"/>
            <w:vAlign w:val="center"/>
            <w:hideMark/>
          </w:tcPr>
          <w:p w14:paraId="0C3CB048" w14:textId="77777777" w:rsidR="00B56819" w:rsidRPr="00B56819" w:rsidRDefault="00B56819" w:rsidP="00B5681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56819">
              <w:rPr>
                <w:rFonts w:ascii="Arial" w:hAnsi="Arial" w:cs="Arial"/>
                <w:sz w:val="22"/>
                <w:szCs w:val="22"/>
              </w:rPr>
              <w:t>Toyota's R&amp;D centres work on safety, hybrids, and electric cars</w:t>
            </w:r>
          </w:p>
        </w:tc>
        <w:tc>
          <w:tcPr>
            <w:tcW w:w="0" w:type="auto"/>
            <w:vAlign w:val="center"/>
            <w:hideMark/>
          </w:tcPr>
          <w:p w14:paraId="0F438337" w14:textId="77777777" w:rsidR="00B56819" w:rsidRPr="00B56819" w:rsidRDefault="00B56819" w:rsidP="00B5681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56819">
              <w:rPr>
                <w:rFonts w:ascii="Arial" w:hAnsi="Arial" w:cs="Arial"/>
                <w:sz w:val="22"/>
                <w:szCs w:val="22"/>
              </w:rPr>
              <w:t>Helps make hybrid and electric cars in Thailand</w:t>
            </w:r>
          </w:p>
        </w:tc>
      </w:tr>
      <w:tr w:rsidR="00B56819" w:rsidRPr="00B56819" w14:paraId="1C72B11D" w14:textId="77777777" w:rsidTr="00B56819">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CB5B95" w14:textId="77777777" w:rsidR="00B56819" w:rsidRPr="00B56819" w:rsidRDefault="00B56819" w:rsidP="00B56819">
            <w:pPr>
              <w:spacing w:line="360" w:lineRule="auto"/>
              <w:rPr>
                <w:rFonts w:ascii="Arial" w:hAnsi="Arial" w:cs="Arial"/>
                <w:sz w:val="22"/>
                <w:szCs w:val="22"/>
              </w:rPr>
            </w:pPr>
            <w:r w:rsidRPr="00B56819">
              <w:rPr>
                <w:rFonts w:ascii="Arial" w:hAnsi="Arial" w:cs="Arial"/>
                <w:sz w:val="22"/>
                <w:szCs w:val="22"/>
              </w:rPr>
              <w:t>Sourcing</w:t>
            </w:r>
          </w:p>
        </w:tc>
        <w:tc>
          <w:tcPr>
            <w:tcW w:w="0" w:type="auto"/>
            <w:vAlign w:val="center"/>
            <w:hideMark/>
          </w:tcPr>
          <w:p w14:paraId="7A852A28" w14:textId="77777777" w:rsidR="00B56819" w:rsidRPr="00B56819" w:rsidRDefault="00B56819" w:rsidP="00B5681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56819">
              <w:rPr>
                <w:rFonts w:ascii="Arial" w:hAnsi="Arial" w:cs="Arial"/>
                <w:sz w:val="22"/>
                <w:szCs w:val="22"/>
              </w:rPr>
              <w:t>Toyota works with many suppliers and partners</w:t>
            </w:r>
          </w:p>
        </w:tc>
        <w:tc>
          <w:tcPr>
            <w:tcW w:w="0" w:type="auto"/>
            <w:vAlign w:val="center"/>
            <w:hideMark/>
          </w:tcPr>
          <w:p w14:paraId="61AF483A" w14:textId="77777777" w:rsidR="00B56819" w:rsidRPr="00B56819" w:rsidRDefault="00B56819" w:rsidP="00B5681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56819">
              <w:rPr>
                <w:rFonts w:ascii="Arial" w:hAnsi="Arial" w:cs="Arial"/>
                <w:sz w:val="22"/>
                <w:szCs w:val="22"/>
              </w:rPr>
              <w:t>Thailand makes many parts for Toyota cars</w:t>
            </w:r>
          </w:p>
        </w:tc>
      </w:tr>
      <w:tr w:rsidR="00B56819" w:rsidRPr="00B56819" w14:paraId="0A82CCF0" w14:textId="77777777" w:rsidTr="00B56819">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701696B" w14:textId="77777777" w:rsidR="00B56819" w:rsidRPr="00B56819" w:rsidRDefault="00B56819" w:rsidP="00B56819">
            <w:pPr>
              <w:spacing w:line="360" w:lineRule="auto"/>
              <w:rPr>
                <w:rFonts w:ascii="Arial" w:hAnsi="Arial" w:cs="Arial"/>
                <w:sz w:val="22"/>
                <w:szCs w:val="22"/>
              </w:rPr>
            </w:pPr>
            <w:r w:rsidRPr="00B56819">
              <w:rPr>
                <w:rFonts w:ascii="Arial" w:hAnsi="Arial" w:cs="Arial"/>
                <w:sz w:val="22"/>
                <w:szCs w:val="22"/>
              </w:rPr>
              <w:t>Production</w:t>
            </w:r>
          </w:p>
        </w:tc>
        <w:tc>
          <w:tcPr>
            <w:tcW w:w="0" w:type="auto"/>
            <w:vAlign w:val="center"/>
            <w:hideMark/>
          </w:tcPr>
          <w:p w14:paraId="0C361D71" w14:textId="77777777" w:rsidR="00B56819" w:rsidRPr="00B56819" w:rsidRDefault="00B56819" w:rsidP="00B5681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56819">
              <w:rPr>
                <w:rFonts w:ascii="Arial" w:hAnsi="Arial" w:cs="Arial"/>
                <w:sz w:val="22"/>
                <w:szCs w:val="22"/>
              </w:rPr>
              <w:t>Toyota has factories in many countries</w:t>
            </w:r>
          </w:p>
        </w:tc>
        <w:tc>
          <w:tcPr>
            <w:tcW w:w="0" w:type="auto"/>
            <w:vAlign w:val="center"/>
            <w:hideMark/>
          </w:tcPr>
          <w:p w14:paraId="13143D5D" w14:textId="77777777" w:rsidR="00B56819" w:rsidRPr="00B56819" w:rsidRDefault="00B56819" w:rsidP="00B5681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56819">
              <w:rPr>
                <w:rFonts w:ascii="Arial" w:hAnsi="Arial" w:cs="Arial"/>
                <w:sz w:val="22"/>
                <w:szCs w:val="22"/>
              </w:rPr>
              <w:t>Thailand has 3 Toyota factories, and it exports cars</w:t>
            </w:r>
          </w:p>
        </w:tc>
      </w:tr>
      <w:tr w:rsidR="00B56819" w:rsidRPr="00B56819" w14:paraId="02D398B9" w14:textId="77777777" w:rsidTr="00B56819">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6FCD6D9" w14:textId="77777777" w:rsidR="00B56819" w:rsidRPr="00B56819" w:rsidRDefault="00B56819" w:rsidP="00B56819">
            <w:pPr>
              <w:spacing w:line="360" w:lineRule="auto"/>
              <w:rPr>
                <w:rFonts w:ascii="Arial" w:hAnsi="Arial" w:cs="Arial"/>
                <w:sz w:val="22"/>
                <w:szCs w:val="22"/>
              </w:rPr>
            </w:pPr>
            <w:r w:rsidRPr="00B56819">
              <w:rPr>
                <w:rFonts w:ascii="Arial" w:hAnsi="Arial" w:cs="Arial"/>
                <w:sz w:val="22"/>
                <w:szCs w:val="22"/>
              </w:rPr>
              <w:t>Marketing &amp; Sales</w:t>
            </w:r>
          </w:p>
        </w:tc>
        <w:tc>
          <w:tcPr>
            <w:tcW w:w="0" w:type="auto"/>
            <w:vAlign w:val="center"/>
            <w:hideMark/>
          </w:tcPr>
          <w:p w14:paraId="3CCB1D7F" w14:textId="77777777" w:rsidR="00B56819" w:rsidRPr="00B56819" w:rsidRDefault="00B56819" w:rsidP="00B5681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56819">
              <w:rPr>
                <w:rFonts w:ascii="Arial" w:hAnsi="Arial" w:cs="Arial"/>
                <w:sz w:val="22"/>
                <w:szCs w:val="22"/>
              </w:rPr>
              <w:t>Toyota uses the same branding and has many dealers</w:t>
            </w:r>
          </w:p>
        </w:tc>
        <w:tc>
          <w:tcPr>
            <w:tcW w:w="0" w:type="auto"/>
            <w:vAlign w:val="center"/>
            <w:hideMark/>
          </w:tcPr>
          <w:p w14:paraId="573762BC" w14:textId="77777777" w:rsidR="00B56819" w:rsidRPr="00B56819" w:rsidRDefault="00B56819" w:rsidP="00B5681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56819">
              <w:rPr>
                <w:rFonts w:ascii="Arial" w:hAnsi="Arial" w:cs="Arial"/>
                <w:sz w:val="22"/>
                <w:szCs w:val="22"/>
              </w:rPr>
              <w:t>Toyota sells a lot of pickup trucks in Thailand</w:t>
            </w:r>
          </w:p>
        </w:tc>
      </w:tr>
      <w:tr w:rsidR="00B56819" w:rsidRPr="00B56819" w14:paraId="65A6F306" w14:textId="77777777" w:rsidTr="00B56819">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A969D32" w14:textId="77777777" w:rsidR="00B56819" w:rsidRPr="00B56819" w:rsidRDefault="00B56819" w:rsidP="00B56819">
            <w:pPr>
              <w:spacing w:line="360" w:lineRule="auto"/>
              <w:rPr>
                <w:rFonts w:ascii="Arial" w:hAnsi="Arial" w:cs="Arial"/>
                <w:sz w:val="22"/>
                <w:szCs w:val="22"/>
              </w:rPr>
            </w:pPr>
            <w:r w:rsidRPr="00B56819">
              <w:rPr>
                <w:rFonts w:ascii="Arial" w:hAnsi="Arial" w:cs="Arial"/>
                <w:sz w:val="22"/>
                <w:szCs w:val="22"/>
              </w:rPr>
              <w:lastRenderedPageBreak/>
              <w:t>Logistics</w:t>
            </w:r>
          </w:p>
        </w:tc>
        <w:tc>
          <w:tcPr>
            <w:tcW w:w="0" w:type="auto"/>
            <w:vAlign w:val="center"/>
            <w:hideMark/>
          </w:tcPr>
          <w:p w14:paraId="4F192C2E" w14:textId="77777777" w:rsidR="00B56819" w:rsidRPr="00B56819" w:rsidRDefault="00B56819" w:rsidP="00B5681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56819">
              <w:rPr>
                <w:rFonts w:ascii="Arial" w:hAnsi="Arial" w:cs="Arial"/>
                <w:sz w:val="22"/>
                <w:szCs w:val="22"/>
              </w:rPr>
              <w:t>Toyota uses a global delivery system</w:t>
            </w:r>
          </w:p>
        </w:tc>
        <w:tc>
          <w:tcPr>
            <w:tcW w:w="0" w:type="auto"/>
            <w:vAlign w:val="center"/>
            <w:hideMark/>
          </w:tcPr>
          <w:p w14:paraId="13C0C735" w14:textId="77777777" w:rsidR="00B56819" w:rsidRPr="00B56819" w:rsidRDefault="00B56819" w:rsidP="00B5681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56819">
              <w:rPr>
                <w:rFonts w:ascii="Arial" w:hAnsi="Arial" w:cs="Arial"/>
                <w:sz w:val="22"/>
                <w:szCs w:val="22"/>
              </w:rPr>
              <w:t>Thailand is part of Toyota’s delivery network in Asia</w:t>
            </w:r>
          </w:p>
        </w:tc>
      </w:tr>
      <w:tr w:rsidR="00B56819" w:rsidRPr="00B56819" w14:paraId="4897479A" w14:textId="77777777" w:rsidTr="00B56819">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0C624EA" w14:textId="77777777" w:rsidR="00B56819" w:rsidRPr="00B56819" w:rsidRDefault="00B56819" w:rsidP="00B56819">
            <w:pPr>
              <w:spacing w:line="360" w:lineRule="auto"/>
              <w:rPr>
                <w:rFonts w:ascii="Arial" w:hAnsi="Arial" w:cs="Arial"/>
                <w:sz w:val="22"/>
                <w:szCs w:val="22"/>
              </w:rPr>
            </w:pPr>
            <w:r w:rsidRPr="00B56819">
              <w:rPr>
                <w:rFonts w:ascii="Arial" w:hAnsi="Arial" w:cs="Arial"/>
                <w:sz w:val="22"/>
                <w:szCs w:val="22"/>
              </w:rPr>
              <w:t>Financing</w:t>
            </w:r>
          </w:p>
        </w:tc>
        <w:tc>
          <w:tcPr>
            <w:tcW w:w="0" w:type="auto"/>
            <w:vAlign w:val="center"/>
            <w:hideMark/>
          </w:tcPr>
          <w:p w14:paraId="5C8308E3" w14:textId="77777777" w:rsidR="00B56819" w:rsidRPr="00B56819" w:rsidRDefault="00B56819" w:rsidP="00B5681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56819">
              <w:rPr>
                <w:rFonts w:ascii="Arial" w:hAnsi="Arial" w:cs="Arial"/>
                <w:sz w:val="22"/>
                <w:szCs w:val="22"/>
              </w:rPr>
              <w:t>Toyota helps people pay for cars in many countries</w:t>
            </w:r>
          </w:p>
        </w:tc>
        <w:tc>
          <w:tcPr>
            <w:tcW w:w="0" w:type="auto"/>
            <w:vAlign w:val="center"/>
            <w:hideMark/>
          </w:tcPr>
          <w:p w14:paraId="29F8CB2D" w14:textId="77777777" w:rsidR="00B56819" w:rsidRPr="00B56819" w:rsidRDefault="00B56819" w:rsidP="00B5681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56819">
              <w:rPr>
                <w:rFonts w:ascii="Arial" w:hAnsi="Arial" w:cs="Arial"/>
                <w:sz w:val="22"/>
                <w:szCs w:val="22"/>
              </w:rPr>
              <w:t>Toyota has a strong finance service in Thailand</w:t>
            </w:r>
          </w:p>
        </w:tc>
      </w:tr>
    </w:tbl>
    <w:p w14:paraId="2092A0CA" w14:textId="77777777" w:rsidR="00B56819" w:rsidRDefault="00B56819" w:rsidP="00B56819">
      <w:pPr>
        <w:spacing w:line="360" w:lineRule="auto"/>
        <w:jc w:val="both"/>
        <w:rPr>
          <w:rFonts w:ascii="Arial" w:hAnsi="Arial" w:cs="Arial"/>
          <w:color w:val="000000" w:themeColor="text1"/>
        </w:rPr>
      </w:pPr>
    </w:p>
    <w:p w14:paraId="4B6A0216" w14:textId="6F2EFA50" w:rsidR="00EF522C" w:rsidRDefault="00EF522C" w:rsidP="00EF522C">
      <w:pPr>
        <w:pStyle w:val="Heading2"/>
      </w:pPr>
      <w:bookmarkStart w:id="55" w:name="_Toc215577635"/>
      <w:bookmarkStart w:id="56" w:name="_Toc216121801"/>
      <w:r w:rsidRPr="00EF522C">
        <w:t xml:space="preserve">Appendix </w:t>
      </w:r>
      <w:r>
        <w:t>E</w:t>
      </w:r>
      <w:r w:rsidRPr="00EF522C">
        <w:t>: PESTLE Analysis for Toyota’s Operations in Thailand</w:t>
      </w:r>
      <w:bookmarkEnd w:id="55"/>
      <w:bookmarkEnd w:id="56"/>
    </w:p>
    <w:tbl>
      <w:tblPr>
        <w:tblStyle w:val="GridTable1Light"/>
        <w:tblW w:w="0" w:type="auto"/>
        <w:tblLook w:val="04A0" w:firstRow="1" w:lastRow="0" w:firstColumn="1" w:lastColumn="0" w:noHBand="0" w:noVBand="1"/>
      </w:tblPr>
      <w:tblGrid>
        <w:gridCol w:w="1745"/>
        <w:gridCol w:w="7605"/>
      </w:tblGrid>
      <w:tr w:rsidR="00EF522C" w:rsidRPr="00EF522C" w14:paraId="37EE474E" w14:textId="77777777" w:rsidTr="00EF52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CA44275" w14:textId="77777777" w:rsidR="00EF522C" w:rsidRPr="00EF522C" w:rsidRDefault="00EF522C" w:rsidP="00EF522C">
            <w:pPr>
              <w:spacing w:line="360" w:lineRule="auto"/>
              <w:jc w:val="center"/>
              <w:rPr>
                <w:rFonts w:ascii="Arial" w:hAnsi="Arial" w:cs="Arial"/>
                <w:sz w:val="22"/>
                <w:szCs w:val="22"/>
              </w:rPr>
            </w:pPr>
            <w:r w:rsidRPr="00EF522C">
              <w:rPr>
                <w:rFonts w:ascii="Arial" w:hAnsi="Arial" w:cs="Arial"/>
                <w:sz w:val="22"/>
                <w:szCs w:val="22"/>
              </w:rPr>
              <w:t>Factor</w:t>
            </w:r>
          </w:p>
        </w:tc>
        <w:tc>
          <w:tcPr>
            <w:tcW w:w="0" w:type="auto"/>
            <w:vAlign w:val="center"/>
            <w:hideMark/>
          </w:tcPr>
          <w:p w14:paraId="24966004" w14:textId="77777777" w:rsidR="00EF522C" w:rsidRPr="00EF522C" w:rsidRDefault="00EF522C" w:rsidP="00EF522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F522C">
              <w:rPr>
                <w:rFonts w:ascii="Arial" w:hAnsi="Arial" w:cs="Arial"/>
                <w:sz w:val="22"/>
                <w:szCs w:val="22"/>
              </w:rPr>
              <w:t>Key Issues for Toyota</w:t>
            </w:r>
          </w:p>
        </w:tc>
      </w:tr>
      <w:tr w:rsidR="00EF522C" w:rsidRPr="00EF522C" w14:paraId="3A06539F" w14:textId="77777777" w:rsidTr="00EF522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B324A9C" w14:textId="77777777" w:rsidR="00EF522C" w:rsidRPr="00EF522C" w:rsidRDefault="00EF522C" w:rsidP="00EF522C">
            <w:pPr>
              <w:spacing w:line="360" w:lineRule="auto"/>
              <w:rPr>
                <w:rFonts w:ascii="Arial" w:hAnsi="Arial" w:cs="Arial"/>
                <w:sz w:val="22"/>
                <w:szCs w:val="22"/>
              </w:rPr>
            </w:pPr>
            <w:r w:rsidRPr="00EF522C">
              <w:rPr>
                <w:rFonts w:ascii="Arial" w:hAnsi="Arial" w:cs="Arial"/>
                <w:sz w:val="22"/>
                <w:szCs w:val="22"/>
              </w:rPr>
              <w:t>Political</w:t>
            </w:r>
          </w:p>
        </w:tc>
        <w:tc>
          <w:tcPr>
            <w:tcW w:w="0" w:type="auto"/>
            <w:vAlign w:val="center"/>
            <w:hideMark/>
          </w:tcPr>
          <w:p w14:paraId="63652341" w14:textId="77777777" w:rsidR="00EF522C" w:rsidRPr="00EF522C" w:rsidRDefault="00EF522C" w:rsidP="00EF522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F522C">
              <w:rPr>
                <w:rFonts w:ascii="Arial" w:hAnsi="Arial" w:cs="Arial"/>
                <w:sz w:val="22"/>
                <w:szCs w:val="22"/>
              </w:rPr>
              <w:t>Government supports the car industry, especially electric vehicles (EVs); risks from political unrest.</w:t>
            </w:r>
          </w:p>
        </w:tc>
      </w:tr>
      <w:tr w:rsidR="00EF522C" w:rsidRPr="00EF522C" w14:paraId="62C501DB" w14:textId="77777777" w:rsidTr="00EF522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FC2E0E4" w14:textId="77777777" w:rsidR="00EF522C" w:rsidRPr="00EF522C" w:rsidRDefault="00EF522C" w:rsidP="00EF522C">
            <w:pPr>
              <w:spacing w:line="360" w:lineRule="auto"/>
              <w:rPr>
                <w:rFonts w:ascii="Arial" w:hAnsi="Arial" w:cs="Arial"/>
                <w:sz w:val="22"/>
                <w:szCs w:val="22"/>
              </w:rPr>
            </w:pPr>
            <w:r w:rsidRPr="00EF522C">
              <w:rPr>
                <w:rFonts w:ascii="Arial" w:hAnsi="Arial" w:cs="Arial"/>
                <w:sz w:val="22"/>
                <w:szCs w:val="22"/>
              </w:rPr>
              <w:t>Economic</w:t>
            </w:r>
          </w:p>
        </w:tc>
        <w:tc>
          <w:tcPr>
            <w:tcW w:w="0" w:type="auto"/>
            <w:vAlign w:val="center"/>
            <w:hideMark/>
          </w:tcPr>
          <w:p w14:paraId="123A5469" w14:textId="77777777" w:rsidR="00EF522C" w:rsidRPr="00EF522C" w:rsidRDefault="00EF522C" w:rsidP="00EF522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F522C">
              <w:rPr>
                <w:rFonts w:ascii="Arial" w:hAnsi="Arial" w:cs="Arial"/>
                <w:sz w:val="22"/>
                <w:szCs w:val="22"/>
              </w:rPr>
              <w:t>Growing middle class; Thailand is a big car production hub; low labor costs; high fuel prices make people want eco-friendly cars.</w:t>
            </w:r>
          </w:p>
        </w:tc>
      </w:tr>
      <w:tr w:rsidR="00EF522C" w:rsidRPr="00EF522C" w14:paraId="550ABC3B" w14:textId="77777777" w:rsidTr="00EF522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AE513DD" w14:textId="77777777" w:rsidR="00EF522C" w:rsidRPr="00EF522C" w:rsidRDefault="00EF522C" w:rsidP="00EF522C">
            <w:pPr>
              <w:spacing w:line="360" w:lineRule="auto"/>
              <w:rPr>
                <w:rFonts w:ascii="Arial" w:hAnsi="Arial" w:cs="Arial"/>
                <w:sz w:val="22"/>
                <w:szCs w:val="22"/>
              </w:rPr>
            </w:pPr>
            <w:r w:rsidRPr="00EF522C">
              <w:rPr>
                <w:rFonts w:ascii="Arial" w:hAnsi="Arial" w:cs="Arial"/>
                <w:sz w:val="22"/>
                <w:szCs w:val="22"/>
              </w:rPr>
              <w:t>Social</w:t>
            </w:r>
          </w:p>
        </w:tc>
        <w:tc>
          <w:tcPr>
            <w:tcW w:w="0" w:type="auto"/>
            <w:vAlign w:val="center"/>
            <w:hideMark/>
          </w:tcPr>
          <w:p w14:paraId="0137CEF2" w14:textId="77777777" w:rsidR="00EF522C" w:rsidRPr="00EF522C" w:rsidRDefault="00EF522C" w:rsidP="00EF522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F522C">
              <w:rPr>
                <w:rFonts w:ascii="Arial" w:hAnsi="Arial" w:cs="Arial"/>
                <w:sz w:val="22"/>
                <w:szCs w:val="22"/>
              </w:rPr>
              <w:t>People prefer reliable brands; focus on good after-sales service; more people moving to cities.</w:t>
            </w:r>
          </w:p>
        </w:tc>
      </w:tr>
      <w:tr w:rsidR="00EF522C" w:rsidRPr="00EF522C" w14:paraId="77B96C54" w14:textId="77777777" w:rsidTr="00EF522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7E4049F" w14:textId="77777777" w:rsidR="00EF522C" w:rsidRPr="00EF522C" w:rsidRDefault="00EF522C" w:rsidP="00EF522C">
            <w:pPr>
              <w:spacing w:line="360" w:lineRule="auto"/>
              <w:rPr>
                <w:rFonts w:ascii="Arial" w:hAnsi="Arial" w:cs="Arial"/>
                <w:sz w:val="22"/>
                <w:szCs w:val="22"/>
              </w:rPr>
            </w:pPr>
            <w:r w:rsidRPr="00EF522C">
              <w:rPr>
                <w:rFonts w:ascii="Arial" w:hAnsi="Arial" w:cs="Arial"/>
                <w:sz w:val="22"/>
                <w:szCs w:val="22"/>
              </w:rPr>
              <w:t>Technological</w:t>
            </w:r>
          </w:p>
        </w:tc>
        <w:tc>
          <w:tcPr>
            <w:tcW w:w="0" w:type="auto"/>
            <w:vAlign w:val="center"/>
            <w:hideMark/>
          </w:tcPr>
          <w:p w14:paraId="2191F6E5" w14:textId="77777777" w:rsidR="00EF522C" w:rsidRPr="00EF522C" w:rsidRDefault="00EF522C" w:rsidP="00EF522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F522C">
              <w:rPr>
                <w:rFonts w:ascii="Arial" w:hAnsi="Arial" w:cs="Arial"/>
                <w:sz w:val="22"/>
                <w:szCs w:val="22"/>
              </w:rPr>
              <w:t>More EV charging stations; Thailand wants to be a leader in high-tech car production; need to share technology with local partners.</w:t>
            </w:r>
          </w:p>
        </w:tc>
      </w:tr>
      <w:tr w:rsidR="00EF522C" w:rsidRPr="00EF522C" w14:paraId="024A0AF9" w14:textId="77777777" w:rsidTr="00EF522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F7DDB1D" w14:textId="77777777" w:rsidR="00EF522C" w:rsidRPr="00EF522C" w:rsidRDefault="00EF522C" w:rsidP="00EF522C">
            <w:pPr>
              <w:spacing w:line="360" w:lineRule="auto"/>
              <w:rPr>
                <w:rFonts w:ascii="Arial" w:hAnsi="Arial" w:cs="Arial"/>
                <w:sz w:val="22"/>
                <w:szCs w:val="22"/>
              </w:rPr>
            </w:pPr>
            <w:r w:rsidRPr="00EF522C">
              <w:rPr>
                <w:rFonts w:ascii="Arial" w:hAnsi="Arial" w:cs="Arial"/>
                <w:sz w:val="22"/>
                <w:szCs w:val="22"/>
              </w:rPr>
              <w:t>Legal</w:t>
            </w:r>
          </w:p>
        </w:tc>
        <w:tc>
          <w:tcPr>
            <w:tcW w:w="0" w:type="auto"/>
            <w:vAlign w:val="center"/>
            <w:hideMark/>
          </w:tcPr>
          <w:p w14:paraId="3A4BA01B" w14:textId="77777777" w:rsidR="00EF522C" w:rsidRPr="00EF522C" w:rsidRDefault="00EF522C" w:rsidP="00EF522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F522C">
              <w:rPr>
                <w:rFonts w:ascii="Arial" w:hAnsi="Arial" w:cs="Arial"/>
                <w:sz w:val="22"/>
                <w:szCs w:val="22"/>
              </w:rPr>
              <w:t>Stricter rules for the environment; better protection for ideas and inventions; must follow Thai labor laws.</w:t>
            </w:r>
          </w:p>
        </w:tc>
      </w:tr>
      <w:tr w:rsidR="00EF522C" w:rsidRPr="00EF522C" w14:paraId="10055D52" w14:textId="77777777" w:rsidTr="00EF522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9399CB" w14:textId="77777777" w:rsidR="00EF522C" w:rsidRPr="00EF522C" w:rsidRDefault="00EF522C" w:rsidP="00EF522C">
            <w:pPr>
              <w:spacing w:line="360" w:lineRule="auto"/>
              <w:rPr>
                <w:rFonts w:ascii="Arial" w:hAnsi="Arial" w:cs="Arial"/>
                <w:sz w:val="22"/>
                <w:szCs w:val="22"/>
              </w:rPr>
            </w:pPr>
            <w:r w:rsidRPr="00EF522C">
              <w:rPr>
                <w:rFonts w:ascii="Arial" w:hAnsi="Arial" w:cs="Arial"/>
                <w:sz w:val="22"/>
                <w:szCs w:val="22"/>
              </w:rPr>
              <w:t>Environmental</w:t>
            </w:r>
          </w:p>
        </w:tc>
        <w:tc>
          <w:tcPr>
            <w:tcW w:w="0" w:type="auto"/>
            <w:vAlign w:val="center"/>
            <w:hideMark/>
          </w:tcPr>
          <w:p w14:paraId="527FE873" w14:textId="77777777" w:rsidR="00EF522C" w:rsidRPr="00EF522C" w:rsidRDefault="00EF522C" w:rsidP="00EF522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F522C">
              <w:rPr>
                <w:rFonts w:ascii="Arial" w:hAnsi="Arial" w:cs="Arial"/>
                <w:sz w:val="22"/>
                <w:szCs w:val="22"/>
              </w:rPr>
              <w:t>More focus on sustainability; government plans to boost EVs; pressure for Toyota to offer more eco-friendly car models.</w:t>
            </w:r>
          </w:p>
        </w:tc>
      </w:tr>
    </w:tbl>
    <w:p w14:paraId="4F5747DE" w14:textId="77777777" w:rsidR="00EF522C" w:rsidRPr="00E32AD5" w:rsidRDefault="00EF522C" w:rsidP="00B56819">
      <w:pPr>
        <w:spacing w:line="360" w:lineRule="auto"/>
        <w:jc w:val="both"/>
        <w:rPr>
          <w:rFonts w:ascii="Arial" w:hAnsi="Arial" w:cs="Arial"/>
          <w:color w:val="000000" w:themeColor="text1"/>
        </w:rPr>
      </w:pPr>
    </w:p>
    <w:sectPr w:rsidR="00EF522C" w:rsidRPr="00E32AD5" w:rsidSect="00257249">
      <w:headerReference w:type="default" r:id="rId26"/>
      <w:footerReference w:type="default" r:id="rId27"/>
      <w:pgSz w:w="12240" w:h="15840"/>
      <w:pgMar w:top="1440" w:right="1440" w:bottom="1440" w:left="1440" w:header="0" w:footer="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D0C86" w14:textId="77777777" w:rsidR="003A6624" w:rsidRDefault="003A6624" w:rsidP="009D708B">
      <w:pPr>
        <w:spacing w:after="0" w:line="240" w:lineRule="auto"/>
      </w:pPr>
      <w:r>
        <w:separator/>
      </w:r>
    </w:p>
  </w:endnote>
  <w:endnote w:type="continuationSeparator" w:id="0">
    <w:p w14:paraId="4A5B998B" w14:textId="77777777" w:rsidR="003A6624" w:rsidRDefault="003A6624" w:rsidP="009D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3194580"/>
      <w:docPartObj>
        <w:docPartGallery w:val="Page Numbers (Bottom of Page)"/>
        <w:docPartUnique/>
      </w:docPartObj>
    </w:sdtPr>
    <w:sdtEndPr>
      <w:rPr>
        <w:noProof/>
      </w:rPr>
    </w:sdtEndPr>
    <w:sdtContent>
      <w:p w14:paraId="698CBA4C" w14:textId="47027402" w:rsidR="00C23CDA" w:rsidRDefault="00C23C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30A4A1" w14:textId="77777777" w:rsidR="00C23CDA" w:rsidRDefault="00C23C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DBE85E" w14:textId="77777777" w:rsidR="003A6624" w:rsidRDefault="003A6624" w:rsidP="009D708B">
      <w:pPr>
        <w:spacing w:after="0" w:line="240" w:lineRule="auto"/>
      </w:pPr>
      <w:r>
        <w:separator/>
      </w:r>
    </w:p>
  </w:footnote>
  <w:footnote w:type="continuationSeparator" w:id="0">
    <w:p w14:paraId="2DAEEA5F" w14:textId="77777777" w:rsidR="003A6624" w:rsidRDefault="003A6624" w:rsidP="009D70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BFAFDD" w14:textId="53523314" w:rsidR="009D708B" w:rsidRPr="009D708B" w:rsidRDefault="009D708B" w:rsidP="009D708B">
    <w:pPr>
      <w:pStyle w:val="Header"/>
    </w:pPr>
    <w:r>
      <w:rPr>
        <w:noProof/>
      </w:rPr>
      <w:drawing>
        <wp:anchor distT="0" distB="0" distL="114300" distR="114300" simplePos="0" relativeHeight="251658240" behindDoc="0" locked="0" layoutInCell="1" allowOverlap="1" wp14:anchorId="137E60DB" wp14:editId="2C0156E3">
          <wp:simplePos x="0" y="0"/>
          <wp:positionH relativeFrom="column">
            <wp:posOffset>-466090</wp:posOffset>
          </wp:positionH>
          <wp:positionV relativeFrom="page">
            <wp:posOffset>220454</wp:posOffset>
          </wp:positionV>
          <wp:extent cx="1358900" cy="541020"/>
          <wp:effectExtent l="0" t="0" r="0" b="0"/>
          <wp:wrapTopAndBottom/>
          <wp:docPr id="932973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348639" name="Picture 1404348639"/>
                  <pic:cNvPicPr/>
                </pic:nvPicPr>
                <pic:blipFill>
                  <a:blip r:embed="rId1">
                    <a:extLst>
                      <a:ext uri="{28A0092B-C50C-407E-A947-70E740481C1C}">
                        <a14:useLocalDpi xmlns:a14="http://schemas.microsoft.com/office/drawing/2010/main" val="0"/>
                      </a:ext>
                    </a:extLst>
                  </a:blip>
                  <a:stretch>
                    <a:fillRect/>
                  </a:stretch>
                </pic:blipFill>
                <pic:spPr>
                  <a:xfrm>
                    <a:off x="0" y="0"/>
                    <a:ext cx="1358900" cy="54102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A524F"/>
    <w:multiLevelType w:val="multilevel"/>
    <w:tmpl w:val="C0EC9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D5680F"/>
    <w:multiLevelType w:val="multilevel"/>
    <w:tmpl w:val="996AF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9B2C9D"/>
    <w:multiLevelType w:val="multilevel"/>
    <w:tmpl w:val="9B9EA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FF31CF"/>
    <w:multiLevelType w:val="hybridMultilevel"/>
    <w:tmpl w:val="1C1220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041A0C53"/>
    <w:multiLevelType w:val="hybridMultilevel"/>
    <w:tmpl w:val="E51C18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04A96614"/>
    <w:multiLevelType w:val="multilevel"/>
    <w:tmpl w:val="97DE95C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04C22ED9"/>
    <w:multiLevelType w:val="hybridMultilevel"/>
    <w:tmpl w:val="CF126C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066805B2"/>
    <w:multiLevelType w:val="multilevel"/>
    <w:tmpl w:val="5F6E9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7365862"/>
    <w:multiLevelType w:val="multilevel"/>
    <w:tmpl w:val="C7128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D0D53BF"/>
    <w:multiLevelType w:val="hybridMultilevel"/>
    <w:tmpl w:val="0CB0FF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105B1451"/>
    <w:multiLevelType w:val="hybridMultilevel"/>
    <w:tmpl w:val="356823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13106DB0"/>
    <w:multiLevelType w:val="hybridMultilevel"/>
    <w:tmpl w:val="8648D71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13DB6D65"/>
    <w:multiLevelType w:val="multilevel"/>
    <w:tmpl w:val="F3F6C29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84D6F43"/>
    <w:multiLevelType w:val="hybridMultilevel"/>
    <w:tmpl w:val="7E22586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18EB1C4F"/>
    <w:multiLevelType w:val="multilevel"/>
    <w:tmpl w:val="4D68083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21C076BE"/>
    <w:multiLevelType w:val="hybridMultilevel"/>
    <w:tmpl w:val="418277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227649C3"/>
    <w:multiLevelType w:val="multilevel"/>
    <w:tmpl w:val="17AA2778"/>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27151183"/>
    <w:multiLevelType w:val="hybridMultilevel"/>
    <w:tmpl w:val="215890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27506E71"/>
    <w:multiLevelType w:val="multilevel"/>
    <w:tmpl w:val="4954A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770342A"/>
    <w:multiLevelType w:val="multilevel"/>
    <w:tmpl w:val="C23C0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7B44D7B"/>
    <w:multiLevelType w:val="multilevel"/>
    <w:tmpl w:val="5E5EC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82B44E4"/>
    <w:multiLevelType w:val="hybridMultilevel"/>
    <w:tmpl w:val="44A4C6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295A28E5"/>
    <w:multiLevelType w:val="hybridMultilevel"/>
    <w:tmpl w:val="128E2B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29D63990"/>
    <w:multiLevelType w:val="multilevel"/>
    <w:tmpl w:val="33E08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AD723A5"/>
    <w:multiLevelType w:val="multilevel"/>
    <w:tmpl w:val="5E901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B882E10"/>
    <w:multiLevelType w:val="multilevel"/>
    <w:tmpl w:val="BFEA07F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2CCA0E00"/>
    <w:multiLevelType w:val="multilevel"/>
    <w:tmpl w:val="AAA04E6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7" w15:restartNumberingAfterBreak="0">
    <w:nsid w:val="2D8B5FFE"/>
    <w:multiLevelType w:val="hybridMultilevel"/>
    <w:tmpl w:val="96FE158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35F1201A"/>
    <w:multiLevelType w:val="multilevel"/>
    <w:tmpl w:val="17AA2778"/>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9" w15:restartNumberingAfterBreak="0">
    <w:nsid w:val="3631243F"/>
    <w:multiLevelType w:val="multilevel"/>
    <w:tmpl w:val="17AA2778"/>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0" w15:restartNumberingAfterBreak="0">
    <w:nsid w:val="363E1C09"/>
    <w:multiLevelType w:val="multilevel"/>
    <w:tmpl w:val="608E812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1" w15:restartNumberingAfterBreak="0">
    <w:nsid w:val="3642343F"/>
    <w:multiLevelType w:val="multilevel"/>
    <w:tmpl w:val="4A30689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2" w15:restartNumberingAfterBreak="0">
    <w:nsid w:val="36AA4FBD"/>
    <w:multiLevelType w:val="multilevel"/>
    <w:tmpl w:val="8F4277C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3" w15:restartNumberingAfterBreak="0">
    <w:nsid w:val="37601146"/>
    <w:multiLevelType w:val="hybridMultilevel"/>
    <w:tmpl w:val="A4C6B1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38276345"/>
    <w:multiLevelType w:val="multilevel"/>
    <w:tmpl w:val="22A8E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B3762C5"/>
    <w:multiLevelType w:val="multilevel"/>
    <w:tmpl w:val="F1FAB98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6" w15:restartNumberingAfterBreak="0">
    <w:nsid w:val="3C7C32FC"/>
    <w:multiLevelType w:val="hybridMultilevel"/>
    <w:tmpl w:val="39C0F3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3D9F325E"/>
    <w:multiLevelType w:val="hybridMultilevel"/>
    <w:tmpl w:val="0D782AF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3DC15DDA"/>
    <w:multiLevelType w:val="hybridMultilevel"/>
    <w:tmpl w:val="7D18973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15:restartNumberingAfterBreak="0">
    <w:nsid w:val="3E7A7C27"/>
    <w:multiLevelType w:val="multilevel"/>
    <w:tmpl w:val="58A62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F3C2711"/>
    <w:multiLevelType w:val="hybridMultilevel"/>
    <w:tmpl w:val="E326E8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3FDA4608"/>
    <w:multiLevelType w:val="multilevel"/>
    <w:tmpl w:val="E58834D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2" w15:restartNumberingAfterBreak="0">
    <w:nsid w:val="3FEE4EF9"/>
    <w:multiLevelType w:val="multilevel"/>
    <w:tmpl w:val="17AA2778"/>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3" w15:restartNumberingAfterBreak="0">
    <w:nsid w:val="46D342C5"/>
    <w:multiLevelType w:val="hybridMultilevel"/>
    <w:tmpl w:val="87006DA4"/>
    <w:lvl w:ilvl="0" w:tplc="B972E14C">
      <w:start w:val="1"/>
      <w:numFmt w:val="decimal"/>
      <w:lvlText w:val="%1."/>
      <w:lvlJc w:val="left"/>
      <w:pPr>
        <w:ind w:left="360" w:hanging="360"/>
      </w:pPr>
      <w:rPr>
        <w:rFonts w:hint="default"/>
        <w:b/>
        <w:bCs/>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4" w15:restartNumberingAfterBreak="0">
    <w:nsid w:val="46E50607"/>
    <w:multiLevelType w:val="hybridMultilevel"/>
    <w:tmpl w:val="B3B8389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5" w15:restartNumberingAfterBreak="0">
    <w:nsid w:val="47B1121F"/>
    <w:multiLevelType w:val="hybridMultilevel"/>
    <w:tmpl w:val="BE28AF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6" w15:restartNumberingAfterBreak="0">
    <w:nsid w:val="47B53C6B"/>
    <w:multiLevelType w:val="hybridMultilevel"/>
    <w:tmpl w:val="4AFC19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7" w15:restartNumberingAfterBreak="0">
    <w:nsid w:val="486C086D"/>
    <w:multiLevelType w:val="multilevel"/>
    <w:tmpl w:val="D14A7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AEA3887"/>
    <w:multiLevelType w:val="multilevel"/>
    <w:tmpl w:val="85A6C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B012E1D"/>
    <w:multiLevelType w:val="multilevel"/>
    <w:tmpl w:val="8238052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0" w15:restartNumberingAfterBreak="0">
    <w:nsid w:val="4B763605"/>
    <w:multiLevelType w:val="multilevel"/>
    <w:tmpl w:val="52FE3D1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1" w15:restartNumberingAfterBreak="0">
    <w:nsid w:val="4C8E37B2"/>
    <w:multiLevelType w:val="hybridMultilevel"/>
    <w:tmpl w:val="ED6834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2" w15:restartNumberingAfterBreak="0">
    <w:nsid w:val="4E217B23"/>
    <w:multiLevelType w:val="hybridMultilevel"/>
    <w:tmpl w:val="A22CF0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3" w15:restartNumberingAfterBreak="0">
    <w:nsid w:val="57F216AA"/>
    <w:multiLevelType w:val="hybridMultilevel"/>
    <w:tmpl w:val="7526C3E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4" w15:restartNumberingAfterBreak="0">
    <w:nsid w:val="591B3500"/>
    <w:multiLevelType w:val="hybridMultilevel"/>
    <w:tmpl w:val="F87E9D9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5" w15:restartNumberingAfterBreak="0">
    <w:nsid w:val="592D5EAC"/>
    <w:multiLevelType w:val="multilevel"/>
    <w:tmpl w:val="7BECA7A4"/>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6" w15:restartNumberingAfterBreak="0">
    <w:nsid w:val="5F796376"/>
    <w:multiLevelType w:val="multilevel"/>
    <w:tmpl w:val="DD84A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1357B05"/>
    <w:multiLevelType w:val="hybridMultilevel"/>
    <w:tmpl w:val="6254A8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8" w15:restartNumberingAfterBreak="0">
    <w:nsid w:val="65AA7DAD"/>
    <w:multiLevelType w:val="hybridMultilevel"/>
    <w:tmpl w:val="6C28CBF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9" w15:restartNumberingAfterBreak="0">
    <w:nsid w:val="6B49194A"/>
    <w:multiLevelType w:val="multilevel"/>
    <w:tmpl w:val="C180C85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0" w15:restartNumberingAfterBreak="0">
    <w:nsid w:val="6F8A5F55"/>
    <w:multiLevelType w:val="multilevel"/>
    <w:tmpl w:val="F5A8B3D2"/>
    <w:lvl w:ilvl="0">
      <w:start w:val="1"/>
      <w:numFmt w:val="decimal"/>
      <w:lvlText w:val="%1."/>
      <w:lvlJc w:val="left"/>
      <w:pPr>
        <w:tabs>
          <w:tab w:val="num" w:pos="360"/>
        </w:tabs>
        <w:ind w:left="360" w:hanging="360"/>
      </w:pPr>
      <w:rPr>
        <w:rFonts w:hint="default"/>
        <w:sz w:val="20"/>
      </w:rPr>
    </w:lvl>
    <w:lvl w:ilvl="1">
      <w:start w:val="1"/>
      <w:numFmt w:val="decimal"/>
      <w:lvlText w:val="%2."/>
      <w:lvlJc w:val="left"/>
      <w:pPr>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1" w15:restartNumberingAfterBreak="0">
    <w:nsid w:val="6FE45657"/>
    <w:multiLevelType w:val="hybridMultilevel"/>
    <w:tmpl w:val="20DC07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2" w15:restartNumberingAfterBreak="0">
    <w:nsid w:val="73A37F67"/>
    <w:multiLevelType w:val="hybridMultilevel"/>
    <w:tmpl w:val="E8826B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3" w15:restartNumberingAfterBreak="0">
    <w:nsid w:val="751041E8"/>
    <w:multiLevelType w:val="multilevel"/>
    <w:tmpl w:val="45A40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5D55012"/>
    <w:multiLevelType w:val="multilevel"/>
    <w:tmpl w:val="0EEE2FC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5" w15:restartNumberingAfterBreak="0">
    <w:nsid w:val="76C403DC"/>
    <w:multiLevelType w:val="multilevel"/>
    <w:tmpl w:val="89D645A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6" w15:restartNumberingAfterBreak="0">
    <w:nsid w:val="7BC75F24"/>
    <w:multiLevelType w:val="hybridMultilevel"/>
    <w:tmpl w:val="45F430C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7" w15:restartNumberingAfterBreak="0">
    <w:nsid w:val="7CD07AC9"/>
    <w:multiLevelType w:val="multilevel"/>
    <w:tmpl w:val="17AA2778"/>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8" w15:restartNumberingAfterBreak="0">
    <w:nsid w:val="7CE073AA"/>
    <w:multiLevelType w:val="hybridMultilevel"/>
    <w:tmpl w:val="050E3F0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472060287">
    <w:abstractNumId w:val="7"/>
  </w:num>
  <w:num w:numId="2" w16cid:durableId="1440491332">
    <w:abstractNumId w:val="34"/>
  </w:num>
  <w:num w:numId="3" w16cid:durableId="417943650">
    <w:abstractNumId w:val="20"/>
  </w:num>
  <w:num w:numId="4" w16cid:durableId="1828937611">
    <w:abstractNumId w:val="8"/>
  </w:num>
  <w:num w:numId="5" w16cid:durableId="970285298">
    <w:abstractNumId w:val="2"/>
  </w:num>
  <w:num w:numId="6" w16cid:durableId="1393503348">
    <w:abstractNumId w:val="0"/>
  </w:num>
  <w:num w:numId="7" w16cid:durableId="1783376189">
    <w:abstractNumId w:val="19"/>
  </w:num>
  <w:num w:numId="8" w16cid:durableId="824928642">
    <w:abstractNumId w:val="48"/>
  </w:num>
  <w:num w:numId="9" w16cid:durableId="1098060739">
    <w:abstractNumId w:val="56"/>
  </w:num>
  <w:num w:numId="10" w16cid:durableId="1769423713">
    <w:abstractNumId w:val="47"/>
  </w:num>
  <w:num w:numId="11" w16cid:durableId="653223023">
    <w:abstractNumId w:val="24"/>
  </w:num>
  <w:num w:numId="12" w16cid:durableId="1829325482">
    <w:abstractNumId w:val="39"/>
  </w:num>
  <w:num w:numId="13" w16cid:durableId="1090077925">
    <w:abstractNumId w:val="23"/>
  </w:num>
  <w:num w:numId="14" w16cid:durableId="726147452">
    <w:abstractNumId w:val="51"/>
  </w:num>
  <w:num w:numId="15" w16cid:durableId="1378385137">
    <w:abstractNumId w:val="68"/>
  </w:num>
  <w:num w:numId="16" w16cid:durableId="1141852446">
    <w:abstractNumId w:val="38"/>
  </w:num>
  <w:num w:numId="17" w16cid:durableId="2037196842">
    <w:abstractNumId w:val="13"/>
  </w:num>
  <w:num w:numId="18" w16cid:durableId="1546327770">
    <w:abstractNumId w:val="52"/>
  </w:num>
  <w:num w:numId="19" w16cid:durableId="1959797543">
    <w:abstractNumId w:val="44"/>
  </w:num>
  <w:num w:numId="20" w16cid:durableId="2107576388">
    <w:abstractNumId w:val="36"/>
  </w:num>
  <w:num w:numId="21" w16cid:durableId="15229937">
    <w:abstractNumId w:val="53"/>
  </w:num>
  <w:num w:numId="22" w16cid:durableId="46149442">
    <w:abstractNumId w:val="22"/>
  </w:num>
  <w:num w:numId="23" w16cid:durableId="1414736164">
    <w:abstractNumId w:val="55"/>
  </w:num>
  <w:num w:numId="24" w16cid:durableId="914240511">
    <w:abstractNumId w:val="29"/>
  </w:num>
  <w:num w:numId="25" w16cid:durableId="2028172790">
    <w:abstractNumId w:val="28"/>
  </w:num>
  <w:num w:numId="26" w16cid:durableId="1739136715">
    <w:abstractNumId w:val="67"/>
  </w:num>
  <w:num w:numId="27" w16cid:durableId="1353415764">
    <w:abstractNumId w:val="62"/>
  </w:num>
  <w:num w:numId="28" w16cid:durableId="2070835910">
    <w:abstractNumId w:val="61"/>
  </w:num>
  <w:num w:numId="29" w16cid:durableId="767042626">
    <w:abstractNumId w:val="16"/>
  </w:num>
  <w:num w:numId="30" w16cid:durableId="2043361134">
    <w:abstractNumId w:val="42"/>
  </w:num>
  <w:num w:numId="31" w16cid:durableId="2053456656">
    <w:abstractNumId w:val="60"/>
  </w:num>
  <w:num w:numId="32" w16cid:durableId="673579725">
    <w:abstractNumId w:val="21"/>
  </w:num>
  <w:num w:numId="33" w16cid:durableId="1698852616">
    <w:abstractNumId w:val="43"/>
  </w:num>
  <w:num w:numId="34" w16cid:durableId="1375932741">
    <w:abstractNumId w:val="33"/>
  </w:num>
  <w:num w:numId="35" w16cid:durableId="1253468030">
    <w:abstractNumId w:val="17"/>
  </w:num>
  <w:num w:numId="36" w16cid:durableId="591595908">
    <w:abstractNumId w:val="37"/>
  </w:num>
  <w:num w:numId="37" w16cid:durableId="55861434">
    <w:abstractNumId w:val="18"/>
  </w:num>
  <w:num w:numId="38" w16cid:durableId="566498900">
    <w:abstractNumId w:val="45"/>
  </w:num>
  <w:num w:numId="39" w16cid:durableId="1674264094">
    <w:abstractNumId w:val="59"/>
  </w:num>
  <w:num w:numId="40" w16cid:durableId="1100104830">
    <w:abstractNumId w:val="50"/>
  </w:num>
  <w:num w:numId="41" w16cid:durableId="645626455">
    <w:abstractNumId w:val="63"/>
  </w:num>
  <w:num w:numId="42" w16cid:durableId="1514221623">
    <w:abstractNumId w:val="58"/>
  </w:num>
  <w:num w:numId="43" w16cid:durableId="549420755">
    <w:abstractNumId w:val="35"/>
  </w:num>
  <w:num w:numId="44" w16cid:durableId="1973048515">
    <w:abstractNumId w:val="30"/>
  </w:num>
  <w:num w:numId="45" w16cid:durableId="200822675">
    <w:abstractNumId w:val="6"/>
  </w:num>
  <w:num w:numId="46" w16cid:durableId="1788574237">
    <w:abstractNumId w:val="14"/>
  </w:num>
  <w:num w:numId="47" w16cid:durableId="1423333968">
    <w:abstractNumId w:val="5"/>
  </w:num>
  <w:num w:numId="48" w16cid:durableId="1885485604">
    <w:abstractNumId w:val="31"/>
  </w:num>
  <w:num w:numId="49" w16cid:durableId="1027413229">
    <w:abstractNumId w:val="25"/>
  </w:num>
  <w:num w:numId="50" w16cid:durableId="278680077">
    <w:abstractNumId w:val="65"/>
  </w:num>
  <w:num w:numId="51" w16cid:durableId="1526675690">
    <w:abstractNumId w:val="12"/>
  </w:num>
  <w:num w:numId="52" w16cid:durableId="785123312">
    <w:abstractNumId w:val="41"/>
  </w:num>
  <w:num w:numId="53" w16cid:durableId="1973244088">
    <w:abstractNumId w:val="26"/>
  </w:num>
  <w:num w:numId="54" w16cid:durableId="868907246">
    <w:abstractNumId w:val="64"/>
  </w:num>
  <w:num w:numId="55" w16cid:durableId="296958727">
    <w:abstractNumId w:val="1"/>
  </w:num>
  <w:num w:numId="56" w16cid:durableId="1101608871">
    <w:abstractNumId w:val="32"/>
  </w:num>
  <w:num w:numId="57" w16cid:durableId="279653809">
    <w:abstractNumId w:val="49"/>
  </w:num>
  <w:num w:numId="58" w16cid:durableId="1600143298">
    <w:abstractNumId w:val="40"/>
  </w:num>
  <w:num w:numId="59" w16cid:durableId="774204139">
    <w:abstractNumId w:val="66"/>
  </w:num>
  <w:num w:numId="60" w16cid:durableId="877854820">
    <w:abstractNumId w:val="27"/>
  </w:num>
  <w:num w:numId="61" w16cid:durableId="1734424018">
    <w:abstractNumId w:val="4"/>
  </w:num>
  <w:num w:numId="62" w16cid:durableId="597181531">
    <w:abstractNumId w:val="11"/>
  </w:num>
  <w:num w:numId="63" w16cid:durableId="404649725">
    <w:abstractNumId w:val="15"/>
  </w:num>
  <w:num w:numId="64" w16cid:durableId="334187276">
    <w:abstractNumId w:val="46"/>
  </w:num>
  <w:num w:numId="65" w16cid:durableId="2036881450">
    <w:abstractNumId w:val="10"/>
  </w:num>
  <w:num w:numId="66" w16cid:durableId="850531104">
    <w:abstractNumId w:val="57"/>
  </w:num>
  <w:num w:numId="67" w16cid:durableId="1073119143">
    <w:abstractNumId w:val="3"/>
  </w:num>
  <w:num w:numId="68" w16cid:durableId="1924795754">
    <w:abstractNumId w:val="54"/>
  </w:num>
  <w:num w:numId="69" w16cid:durableId="116289035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01C"/>
    <w:rsid w:val="00004228"/>
    <w:rsid w:val="00004BED"/>
    <w:rsid w:val="000204FE"/>
    <w:rsid w:val="00030B6A"/>
    <w:rsid w:val="00031642"/>
    <w:rsid w:val="00037E9B"/>
    <w:rsid w:val="00045756"/>
    <w:rsid w:val="00047145"/>
    <w:rsid w:val="000479E9"/>
    <w:rsid w:val="00053521"/>
    <w:rsid w:val="00053649"/>
    <w:rsid w:val="0005615E"/>
    <w:rsid w:val="00060E8F"/>
    <w:rsid w:val="00061088"/>
    <w:rsid w:val="00064FA0"/>
    <w:rsid w:val="0007004D"/>
    <w:rsid w:val="00070DAA"/>
    <w:rsid w:val="00076864"/>
    <w:rsid w:val="0008016D"/>
    <w:rsid w:val="00086117"/>
    <w:rsid w:val="00087CC8"/>
    <w:rsid w:val="00096D01"/>
    <w:rsid w:val="000A073E"/>
    <w:rsid w:val="000D0567"/>
    <w:rsid w:val="000D0F7A"/>
    <w:rsid w:val="000D2307"/>
    <w:rsid w:val="000E559A"/>
    <w:rsid w:val="000F1BF1"/>
    <w:rsid w:val="000F2EB7"/>
    <w:rsid w:val="000F7FED"/>
    <w:rsid w:val="00105CC8"/>
    <w:rsid w:val="001075E1"/>
    <w:rsid w:val="001126A7"/>
    <w:rsid w:val="00117E79"/>
    <w:rsid w:val="00122A3F"/>
    <w:rsid w:val="001230E0"/>
    <w:rsid w:val="0014014C"/>
    <w:rsid w:val="0015187F"/>
    <w:rsid w:val="00162E5E"/>
    <w:rsid w:val="0016687B"/>
    <w:rsid w:val="00180569"/>
    <w:rsid w:val="00180CB2"/>
    <w:rsid w:val="001835C5"/>
    <w:rsid w:val="00185653"/>
    <w:rsid w:val="00190031"/>
    <w:rsid w:val="00190657"/>
    <w:rsid w:val="00191574"/>
    <w:rsid w:val="001969E8"/>
    <w:rsid w:val="001A0C8B"/>
    <w:rsid w:val="001A6AF3"/>
    <w:rsid w:val="001D45C2"/>
    <w:rsid w:val="001F2D7E"/>
    <w:rsid w:val="001F5BE3"/>
    <w:rsid w:val="002023A8"/>
    <w:rsid w:val="00206D1E"/>
    <w:rsid w:val="002071DE"/>
    <w:rsid w:val="0021075A"/>
    <w:rsid w:val="002130D5"/>
    <w:rsid w:val="00213423"/>
    <w:rsid w:val="00217D0A"/>
    <w:rsid w:val="0023472A"/>
    <w:rsid w:val="0024518F"/>
    <w:rsid w:val="00246091"/>
    <w:rsid w:val="00246706"/>
    <w:rsid w:val="00246E61"/>
    <w:rsid w:val="00256353"/>
    <w:rsid w:val="00257249"/>
    <w:rsid w:val="00272014"/>
    <w:rsid w:val="00273627"/>
    <w:rsid w:val="00277114"/>
    <w:rsid w:val="00280731"/>
    <w:rsid w:val="00281572"/>
    <w:rsid w:val="00281AF5"/>
    <w:rsid w:val="00293E69"/>
    <w:rsid w:val="00295538"/>
    <w:rsid w:val="00296CCB"/>
    <w:rsid w:val="00297AC1"/>
    <w:rsid w:val="00297C69"/>
    <w:rsid w:val="002A1073"/>
    <w:rsid w:val="002A4EB7"/>
    <w:rsid w:val="002B27E4"/>
    <w:rsid w:val="002B65CE"/>
    <w:rsid w:val="002C5069"/>
    <w:rsid w:val="002C59E9"/>
    <w:rsid w:val="002D292F"/>
    <w:rsid w:val="002D4931"/>
    <w:rsid w:val="002D6225"/>
    <w:rsid w:val="002E20F4"/>
    <w:rsid w:val="002E24E0"/>
    <w:rsid w:val="002F662D"/>
    <w:rsid w:val="002F6B6F"/>
    <w:rsid w:val="00303423"/>
    <w:rsid w:val="00304B23"/>
    <w:rsid w:val="003107C3"/>
    <w:rsid w:val="00313B0C"/>
    <w:rsid w:val="00316954"/>
    <w:rsid w:val="003173AE"/>
    <w:rsid w:val="0032735E"/>
    <w:rsid w:val="003333AA"/>
    <w:rsid w:val="00336F48"/>
    <w:rsid w:val="00350D97"/>
    <w:rsid w:val="00353387"/>
    <w:rsid w:val="003618E2"/>
    <w:rsid w:val="003651D4"/>
    <w:rsid w:val="0038080B"/>
    <w:rsid w:val="00384E66"/>
    <w:rsid w:val="00393C01"/>
    <w:rsid w:val="003973E6"/>
    <w:rsid w:val="00397F42"/>
    <w:rsid w:val="003A2D39"/>
    <w:rsid w:val="003A6624"/>
    <w:rsid w:val="003C1AC5"/>
    <w:rsid w:val="003C4124"/>
    <w:rsid w:val="003D4819"/>
    <w:rsid w:val="003D51D5"/>
    <w:rsid w:val="003D7BED"/>
    <w:rsid w:val="003F02AB"/>
    <w:rsid w:val="00402028"/>
    <w:rsid w:val="00413DB3"/>
    <w:rsid w:val="00413EF4"/>
    <w:rsid w:val="00423B59"/>
    <w:rsid w:val="0043033A"/>
    <w:rsid w:val="0043499B"/>
    <w:rsid w:val="00434FF5"/>
    <w:rsid w:val="00436237"/>
    <w:rsid w:val="00437508"/>
    <w:rsid w:val="00441A9A"/>
    <w:rsid w:val="00454794"/>
    <w:rsid w:val="004573DF"/>
    <w:rsid w:val="00461424"/>
    <w:rsid w:val="0046186E"/>
    <w:rsid w:val="00465EE4"/>
    <w:rsid w:val="00475259"/>
    <w:rsid w:val="004759EC"/>
    <w:rsid w:val="00480E71"/>
    <w:rsid w:val="00483805"/>
    <w:rsid w:val="004947B8"/>
    <w:rsid w:val="0049493D"/>
    <w:rsid w:val="00495DCE"/>
    <w:rsid w:val="004A188C"/>
    <w:rsid w:val="004A27FD"/>
    <w:rsid w:val="004A70E6"/>
    <w:rsid w:val="004B270C"/>
    <w:rsid w:val="004B32FA"/>
    <w:rsid w:val="004B36E3"/>
    <w:rsid w:val="004B7FBA"/>
    <w:rsid w:val="004C1358"/>
    <w:rsid w:val="004C4FAE"/>
    <w:rsid w:val="004D5E8E"/>
    <w:rsid w:val="004E5C75"/>
    <w:rsid w:val="004F0976"/>
    <w:rsid w:val="004F09B6"/>
    <w:rsid w:val="004F6A37"/>
    <w:rsid w:val="00505A24"/>
    <w:rsid w:val="0050736B"/>
    <w:rsid w:val="00526AB5"/>
    <w:rsid w:val="00542984"/>
    <w:rsid w:val="0054318B"/>
    <w:rsid w:val="00547971"/>
    <w:rsid w:val="00552E08"/>
    <w:rsid w:val="00552E5E"/>
    <w:rsid w:val="00567EF9"/>
    <w:rsid w:val="00572B0D"/>
    <w:rsid w:val="00577B68"/>
    <w:rsid w:val="00587BAB"/>
    <w:rsid w:val="005A17D7"/>
    <w:rsid w:val="005A2ED0"/>
    <w:rsid w:val="005A566B"/>
    <w:rsid w:val="005A5C96"/>
    <w:rsid w:val="005B218A"/>
    <w:rsid w:val="005B285F"/>
    <w:rsid w:val="005B2915"/>
    <w:rsid w:val="005D1AE8"/>
    <w:rsid w:val="005D205A"/>
    <w:rsid w:val="005E175D"/>
    <w:rsid w:val="005E2DF3"/>
    <w:rsid w:val="005E4BB4"/>
    <w:rsid w:val="005E504D"/>
    <w:rsid w:val="005E6D8D"/>
    <w:rsid w:val="005F582A"/>
    <w:rsid w:val="00603C80"/>
    <w:rsid w:val="006105A4"/>
    <w:rsid w:val="006168D9"/>
    <w:rsid w:val="00620A81"/>
    <w:rsid w:val="00622E61"/>
    <w:rsid w:val="00623299"/>
    <w:rsid w:val="00623585"/>
    <w:rsid w:val="00624E5D"/>
    <w:rsid w:val="00642D7E"/>
    <w:rsid w:val="006431EF"/>
    <w:rsid w:val="00647950"/>
    <w:rsid w:val="00651AAA"/>
    <w:rsid w:val="006531B2"/>
    <w:rsid w:val="00662BC0"/>
    <w:rsid w:val="00670A64"/>
    <w:rsid w:val="00672EA0"/>
    <w:rsid w:val="00673FC1"/>
    <w:rsid w:val="00680D2D"/>
    <w:rsid w:val="00680F46"/>
    <w:rsid w:val="00682A72"/>
    <w:rsid w:val="00682FA9"/>
    <w:rsid w:val="006A1424"/>
    <w:rsid w:val="006A6F07"/>
    <w:rsid w:val="006C064F"/>
    <w:rsid w:val="006C4260"/>
    <w:rsid w:val="006C5D0B"/>
    <w:rsid w:val="006D044C"/>
    <w:rsid w:val="006D191D"/>
    <w:rsid w:val="006E35C7"/>
    <w:rsid w:val="006E3A9C"/>
    <w:rsid w:val="006E42E4"/>
    <w:rsid w:val="006E5EF8"/>
    <w:rsid w:val="006F14A7"/>
    <w:rsid w:val="006F191D"/>
    <w:rsid w:val="006F4C99"/>
    <w:rsid w:val="00700287"/>
    <w:rsid w:val="00700C9E"/>
    <w:rsid w:val="00701EB3"/>
    <w:rsid w:val="007258C9"/>
    <w:rsid w:val="00726C43"/>
    <w:rsid w:val="00730AD7"/>
    <w:rsid w:val="00733357"/>
    <w:rsid w:val="00736B12"/>
    <w:rsid w:val="00742E82"/>
    <w:rsid w:val="0074486B"/>
    <w:rsid w:val="00746618"/>
    <w:rsid w:val="007546A0"/>
    <w:rsid w:val="007623CD"/>
    <w:rsid w:val="007628A4"/>
    <w:rsid w:val="00773C83"/>
    <w:rsid w:val="00777358"/>
    <w:rsid w:val="00782574"/>
    <w:rsid w:val="00795195"/>
    <w:rsid w:val="007A6B46"/>
    <w:rsid w:val="007B14F9"/>
    <w:rsid w:val="007B471A"/>
    <w:rsid w:val="007B61C1"/>
    <w:rsid w:val="007B73A1"/>
    <w:rsid w:val="007C41F4"/>
    <w:rsid w:val="007C5B4C"/>
    <w:rsid w:val="007C7CCE"/>
    <w:rsid w:val="007D1123"/>
    <w:rsid w:val="007D1197"/>
    <w:rsid w:val="007E08F3"/>
    <w:rsid w:val="007E3496"/>
    <w:rsid w:val="007F678A"/>
    <w:rsid w:val="0082194D"/>
    <w:rsid w:val="008269B4"/>
    <w:rsid w:val="008308F7"/>
    <w:rsid w:val="00830C8E"/>
    <w:rsid w:val="008337CB"/>
    <w:rsid w:val="00847D96"/>
    <w:rsid w:val="00850440"/>
    <w:rsid w:val="00850C0E"/>
    <w:rsid w:val="0085488D"/>
    <w:rsid w:val="0086614F"/>
    <w:rsid w:val="00866894"/>
    <w:rsid w:val="008721CB"/>
    <w:rsid w:val="00875312"/>
    <w:rsid w:val="00881384"/>
    <w:rsid w:val="0088471A"/>
    <w:rsid w:val="00885CB9"/>
    <w:rsid w:val="00894515"/>
    <w:rsid w:val="00896DDE"/>
    <w:rsid w:val="008B08CA"/>
    <w:rsid w:val="008C131A"/>
    <w:rsid w:val="008C21E7"/>
    <w:rsid w:val="008C3B6B"/>
    <w:rsid w:val="008D116A"/>
    <w:rsid w:val="008D16A0"/>
    <w:rsid w:val="008D38F4"/>
    <w:rsid w:val="008D3C37"/>
    <w:rsid w:val="009007C6"/>
    <w:rsid w:val="0090382E"/>
    <w:rsid w:val="00903E87"/>
    <w:rsid w:val="009042F9"/>
    <w:rsid w:val="009044A3"/>
    <w:rsid w:val="0090777F"/>
    <w:rsid w:val="009137B1"/>
    <w:rsid w:val="00917DE5"/>
    <w:rsid w:val="00922947"/>
    <w:rsid w:val="00927B73"/>
    <w:rsid w:val="009309FB"/>
    <w:rsid w:val="00940F7F"/>
    <w:rsid w:val="009465F6"/>
    <w:rsid w:val="0094753E"/>
    <w:rsid w:val="00947C80"/>
    <w:rsid w:val="00951CFA"/>
    <w:rsid w:val="00960E4A"/>
    <w:rsid w:val="00970832"/>
    <w:rsid w:val="00970FB3"/>
    <w:rsid w:val="00982F66"/>
    <w:rsid w:val="009848D2"/>
    <w:rsid w:val="0099349A"/>
    <w:rsid w:val="00993BEF"/>
    <w:rsid w:val="00993E4E"/>
    <w:rsid w:val="00993F6A"/>
    <w:rsid w:val="009B0528"/>
    <w:rsid w:val="009B24DE"/>
    <w:rsid w:val="009B52FD"/>
    <w:rsid w:val="009C1521"/>
    <w:rsid w:val="009C36B4"/>
    <w:rsid w:val="009C4ACC"/>
    <w:rsid w:val="009D2C0B"/>
    <w:rsid w:val="009D3B58"/>
    <w:rsid w:val="009D3CE8"/>
    <w:rsid w:val="009D4259"/>
    <w:rsid w:val="009D4CF6"/>
    <w:rsid w:val="009D708B"/>
    <w:rsid w:val="009E360E"/>
    <w:rsid w:val="009F2BAB"/>
    <w:rsid w:val="009F347E"/>
    <w:rsid w:val="00A035C4"/>
    <w:rsid w:val="00A07F4F"/>
    <w:rsid w:val="00A11FA0"/>
    <w:rsid w:val="00A1220E"/>
    <w:rsid w:val="00A1546C"/>
    <w:rsid w:val="00A1658D"/>
    <w:rsid w:val="00A16F06"/>
    <w:rsid w:val="00A270EC"/>
    <w:rsid w:val="00A363DA"/>
    <w:rsid w:val="00A416ED"/>
    <w:rsid w:val="00A444D5"/>
    <w:rsid w:val="00A60D5D"/>
    <w:rsid w:val="00A61E7B"/>
    <w:rsid w:val="00A637F2"/>
    <w:rsid w:val="00A6434E"/>
    <w:rsid w:val="00A72BFE"/>
    <w:rsid w:val="00A76CD0"/>
    <w:rsid w:val="00A83D00"/>
    <w:rsid w:val="00A84EB7"/>
    <w:rsid w:val="00A86114"/>
    <w:rsid w:val="00A86DA1"/>
    <w:rsid w:val="00A91168"/>
    <w:rsid w:val="00A930F8"/>
    <w:rsid w:val="00AA02DE"/>
    <w:rsid w:val="00AA217F"/>
    <w:rsid w:val="00AA73FA"/>
    <w:rsid w:val="00AB355A"/>
    <w:rsid w:val="00AB59C8"/>
    <w:rsid w:val="00AC07E2"/>
    <w:rsid w:val="00AC08DF"/>
    <w:rsid w:val="00AC5425"/>
    <w:rsid w:val="00AC6659"/>
    <w:rsid w:val="00AD36BC"/>
    <w:rsid w:val="00AE0876"/>
    <w:rsid w:val="00AE6C05"/>
    <w:rsid w:val="00AF103A"/>
    <w:rsid w:val="00AF6D5C"/>
    <w:rsid w:val="00AF7D93"/>
    <w:rsid w:val="00B057BF"/>
    <w:rsid w:val="00B11A6A"/>
    <w:rsid w:val="00B350FB"/>
    <w:rsid w:val="00B51A45"/>
    <w:rsid w:val="00B546A1"/>
    <w:rsid w:val="00B56819"/>
    <w:rsid w:val="00B64DA3"/>
    <w:rsid w:val="00B70696"/>
    <w:rsid w:val="00B70C47"/>
    <w:rsid w:val="00B717EE"/>
    <w:rsid w:val="00B73928"/>
    <w:rsid w:val="00B848DB"/>
    <w:rsid w:val="00B87E48"/>
    <w:rsid w:val="00B96525"/>
    <w:rsid w:val="00BA58BD"/>
    <w:rsid w:val="00BB21B3"/>
    <w:rsid w:val="00BC119F"/>
    <w:rsid w:val="00BE13DC"/>
    <w:rsid w:val="00BE750C"/>
    <w:rsid w:val="00BE7A08"/>
    <w:rsid w:val="00BF246F"/>
    <w:rsid w:val="00BF5761"/>
    <w:rsid w:val="00C04400"/>
    <w:rsid w:val="00C074D0"/>
    <w:rsid w:val="00C10CBE"/>
    <w:rsid w:val="00C13357"/>
    <w:rsid w:val="00C13A91"/>
    <w:rsid w:val="00C1455F"/>
    <w:rsid w:val="00C2157A"/>
    <w:rsid w:val="00C23CDA"/>
    <w:rsid w:val="00C252AA"/>
    <w:rsid w:val="00C35FCE"/>
    <w:rsid w:val="00C3769B"/>
    <w:rsid w:val="00C41E16"/>
    <w:rsid w:val="00C420DD"/>
    <w:rsid w:val="00C43D37"/>
    <w:rsid w:val="00C4472C"/>
    <w:rsid w:val="00C474FA"/>
    <w:rsid w:val="00C50478"/>
    <w:rsid w:val="00C5356C"/>
    <w:rsid w:val="00C63B2F"/>
    <w:rsid w:val="00C72F78"/>
    <w:rsid w:val="00C90BBE"/>
    <w:rsid w:val="00C92618"/>
    <w:rsid w:val="00C9633F"/>
    <w:rsid w:val="00CA0015"/>
    <w:rsid w:val="00CA188B"/>
    <w:rsid w:val="00CB2816"/>
    <w:rsid w:val="00CC123F"/>
    <w:rsid w:val="00CD1445"/>
    <w:rsid w:val="00CD1DC7"/>
    <w:rsid w:val="00CD393A"/>
    <w:rsid w:val="00CE5254"/>
    <w:rsid w:val="00CF1964"/>
    <w:rsid w:val="00CF4CD9"/>
    <w:rsid w:val="00CF5EE6"/>
    <w:rsid w:val="00D146D6"/>
    <w:rsid w:val="00D23066"/>
    <w:rsid w:val="00D27215"/>
    <w:rsid w:val="00D27748"/>
    <w:rsid w:val="00D3452E"/>
    <w:rsid w:val="00D40C56"/>
    <w:rsid w:val="00D469C8"/>
    <w:rsid w:val="00D5459D"/>
    <w:rsid w:val="00D5541A"/>
    <w:rsid w:val="00D55CBA"/>
    <w:rsid w:val="00D56258"/>
    <w:rsid w:val="00D5758C"/>
    <w:rsid w:val="00D576BC"/>
    <w:rsid w:val="00D60C04"/>
    <w:rsid w:val="00D610F3"/>
    <w:rsid w:val="00D6342A"/>
    <w:rsid w:val="00D71B26"/>
    <w:rsid w:val="00D7426F"/>
    <w:rsid w:val="00D84FD2"/>
    <w:rsid w:val="00D96453"/>
    <w:rsid w:val="00DA00C2"/>
    <w:rsid w:val="00DA00D2"/>
    <w:rsid w:val="00DA11A6"/>
    <w:rsid w:val="00DA65F8"/>
    <w:rsid w:val="00DB3853"/>
    <w:rsid w:val="00DC469D"/>
    <w:rsid w:val="00DC5506"/>
    <w:rsid w:val="00DD15C8"/>
    <w:rsid w:val="00DD21CE"/>
    <w:rsid w:val="00DD272C"/>
    <w:rsid w:val="00DD51B7"/>
    <w:rsid w:val="00DD71F3"/>
    <w:rsid w:val="00DE223E"/>
    <w:rsid w:val="00DE3B96"/>
    <w:rsid w:val="00DF56FE"/>
    <w:rsid w:val="00E0303A"/>
    <w:rsid w:val="00E1548E"/>
    <w:rsid w:val="00E23A25"/>
    <w:rsid w:val="00E27E8C"/>
    <w:rsid w:val="00E32AD5"/>
    <w:rsid w:val="00E335CD"/>
    <w:rsid w:val="00E373AE"/>
    <w:rsid w:val="00E3777A"/>
    <w:rsid w:val="00E37CAD"/>
    <w:rsid w:val="00E4315C"/>
    <w:rsid w:val="00E609B0"/>
    <w:rsid w:val="00E62691"/>
    <w:rsid w:val="00E64935"/>
    <w:rsid w:val="00E7301C"/>
    <w:rsid w:val="00E81F83"/>
    <w:rsid w:val="00E9174F"/>
    <w:rsid w:val="00E931D5"/>
    <w:rsid w:val="00E9547C"/>
    <w:rsid w:val="00EA124D"/>
    <w:rsid w:val="00EA1ABD"/>
    <w:rsid w:val="00EA7937"/>
    <w:rsid w:val="00EC0B25"/>
    <w:rsid w:val="00EC56E2"/>
    <w:rsid w:val="00EC7A73"/>
    <w:rsid w:val="00ED2C3C"/>
    <w:rsid w:val="00ED476E"/>
    <w:rsid w:val="00ED5156"/>
    <w:rsid w:val="00EE3690"/>
    <w:rsid w:val="00EF1449"/>
    <w:rsid w:val="00EF37B6"/>
    <w:rsid w:val="00EF522C"/>
    <w:rsid w:val="00EF6B94"/>
    <w:rsid w:val="00F12F4C"/>
    <w:rsid w:val="00F15283"/>
    <w:rsid w:val="00F15386"/>
    <w:rsid w:val="00F1615C"/>
    <w:rsid w:val="00F260ED"/>
    <w:rsid w:val="00F276D4"/>
    <w:rsid w:val="00F324D3"/>
    <w:rsid w:val="00F34A1F"/>
    <w:rsid w:val="00F54291"/>
    <w:rsid w:val="00F833BC"/>
    <w:rsid w:val="00F87D45"/>
    <w:rsid w:val="00F96F1C"/>
    <w:rsid w:val="00FA2411"/>
    <w:rsid w:val="00FB7636"/>
    <w:rsid w:val="00FC0A5A"/>
    <w:rsid w:val="00FC2BE4"/>
    <w:rsid w:val="00FC3C28"/>
    <w:rsid w:val="00FC5280"/>
    <w:rsid w:val="00FD056D"/>
    <w:rsid w:val="00FD59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68496"/>
  <w15:chartTrackingRefBased/>
  <w15:docId w15:val="{2D98A3A5-2E61-430C-BEC9-DA282EC19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0A5A"/>
    <w:pPr>
      <w:keepNext/>
      <w:keepLines/>
      <w:spacing w:before="360" w:after="80" w:line="360" w:lineRule="auto"/>
      <w:jc w:val="both"/>
      <w:outlineLvl w:val="0"/>
    </w:pPr>
    <w:rPr>
      <w:rFonts w:ascii="Arial" w:eastAsiaTheme="majorEastAsia" w:hAnsi="Arial" w:cstheme="majorBidi"/>
      <w:b/>
      <w:color w:val="2F5496" w:themeColor="accent1" w:themeShade="BF"/>
      <w:szCs w:val="40"/>
    </w:rPr>
  </w:style>
  <w:style w:type="paragraph" w:styleId="Heading2">
    <w:name w:val="heading 2"/>
    <w:basedOn w:val="Normal"/>
    <w:next w:val="Normal"/>
    <w:link w:val="Heading2Char"/>
    <w:uiPriority w:val="9"/>
    <w:unhideWhenUsed/>
    <w:qFormat/>
    <w:rsid w:val="00FC0A5A"/>
    <w:pPr>
      <w:keepNext/>
      <w:keepLines/>
      <w:spacing w:before="160" w:after="80" w:line="360" w:lineRule="auto"/>
      <w:jc w:val="both"/>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semiHidden/>
    <w:unhideWhenUsed/>
    <w:qFormat/>
    <w:rsid w:val="00E730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30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30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30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0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0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0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A5A"/>
    <w:rPr>
      <w:rFonts w:ascii="Arial" w:eastAsiaTheme="majorEastAsia" w:hAnsi="Arial" w:cstheme="majorBidi"/>
      <w:b/>
      <w:color w:val="2F5496" w:themeColor="accent1" w:themeShade="BF"/>
      <w:szCs w:val="40"/>
    </w:rPr>
  </w:style>
  <w:style w:type="character" w:customStyle="1" w:styleId="Heading2Char">
    <w:name w:val="Heading 2 Char"/>
    <w:basedOn w:val="DefaultParagraphFont"/>
    <w:link w:val="Heading2"/>
    <w:uiPriority w:val="9"/>
    <w:rsid w:val="00FC0A5A"/>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E7301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301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301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30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0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0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01C"/>
    <w:rPr>
      <w:rFonts w:eastAsiaTheme="majorEastAsia" w:cstheme="majorBidi"/>
      <w:color w:val="272727" w:themeColor="text1" w:themeTint="D8"/>
    </w:rPr>
  </w:style>
  <w:style w:type="paragraph" w:styleId="Title">
    <w:name w:val="Title"/>
    <w:basedOn w:val="Normal"/>
    <w:next w:val="Normal"/>
    <w:link w:val="TitleChar"/>
    <w:uiPriority w:val="10"/>
    <w:qFormat/>
    <w:rsid w:val="00E730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0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0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0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01C"/>
    <w:pPr>
      <w:spacing w:before="160"/>
      <w:jc w:val="center"/>
    </w:pPr>
    <w:rPr>
      <w:i/>
      <w:iCs/>
      <w:color w:val="404040" w:themeColor="text1" w:themeTint="BF"/>
    </w:rPr>
  </w:style>
  <w:style w:type="character" w:customStyle="1" w:styleId="QuoteChar">
    <w:name w:val="Quote Char"/>
    <w:basedOn w:val="DefaultParagraphFont"/>
    <w:link w:val="Quote"/>
    <w:uiPriority w:val="29"/>
    <w:rsid w:val="00E7301C"/>
    <w:rPr>
      <w:i/>
      <w:iCs/>
      <w:color w:val="404040" w:themeColor="text1" w:themeTint="BF"/>
    </w:rPr>
  </w:style>
  <w:style w:type="paragraph" w:styleId="ListParagraph">
    <w:name w:val="List Paragraph"/>
    <w:basedOn w:val="Normal"/>
    <w:uiPriority w:val="34"/>
    <w:qFormat/>
    <w:rsid w:val="00E7301C"/>
    <w:pPr>
      <w:ind w:left="720"/>
      <w:contextualSpacing/>
    </w:pPr>
  </w:style>
  <w:style w:type="character" w:styleId="IntenseEmphasis">
    <w:name w:val="Intense Emphasis"/>
    <w:basedOn w:val="DefaultParagraphFont"/>
    <w:uiPriority w:val="21"/>
    <w:qFormat/>
    <w:rsid w:val="00E7301C"/>
    <w:rPr>
      <w:i/>
      <w:iCs/>
      <w:color w:val="2F5496" w:themeColor="accent1" w:themeShade="BF"/>
    </w:rPr>
  </w:style>
  <w:style w:type="paragraph" w:styleId="IntenseQuote">
    <w:name w:val="Intense Quote"/>
    <w:basedOn w:val="Normal"/>
    <w:next w:val="Normal"/>
    <w:link w:val="IntenseQuoteChar"/>
    <w:uiPriority w:val="30"/>
    <w:qFormat/>
    <w:rsid w:val="00E730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301C"/>
    <w:rPr>
      <w:i/>
      <w:iCs/>
      <w:color w:val="2F5496" w:themeColor="accent1" w:themeShade="BF"/>
    </w:rPr>
  </w:style>
  <w:style w:type="character" w:styleId="IntenseReference">
    <w:name w:val="Intense Reference"/>
    <w:basedOn w:val="DefaultParagraphFont"/>
    <w:uiPriority w:val="32"/>
    <w:qFormat/>
    <w:rsid w:val="00E7301C"/>
    <w:rPr>
      <w:b/>
      <w:bCs/>
      <w:smallCaps/>
      <w:color w:val="2F5496" w:themeColor="accent1" w:themeShade="BF"/>
      <w:spacing w:val="5"/>
    </w:rPr>
  </w:style>
  <w:style w:type="table" w:styleId="TableGrid">
    <w:name w:val="Table Grid"/>
    <w:basedOn w:val="TableNormal"/>
    <w:uiPriority w:val="39"/>
    <w:rsid w:val="00E730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D70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708B"/>
  </w:style>
  <w:style w:type="paragraph" w:styleId="Footer">
    <w:name w:val="footer"/>
    <w:basedOn w:val="Normal"/>
    <w:link w:val="FooterChar"/>
    <w:uiPriority w:val="99"/>
    <w:unhideWhenUsed/>
    <w:rsid w:val="009D70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708B"/>
  </w:style>
  <w:style w:type="paragraph" w:styleId="TOCHeading">
    <w:name w:val="TOC Heading"/>
    <w:basedOn w:val="Heading1"/>
    <w:next w:val="Normal"/>
    <w:uiPriority w:val="39"/>
    <w:unhideWhenUsed/>
    <w:qFormat/>
    <w:rsid w:val="0015187F"/>
    <w:pPr>
      <w:spacing w:before="240" w:after="0" w:line="259" w:lineRule="auto"/>
      <w:jc w:val="left"/>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15187F"/>
    <w:pPr>
      <w:spacing w:after="100"/>
    </w:pPr>
  </w:style>
  <w:style w:type="paragraph" w:styleId="TOC2">
    <w:name w:val="toc 2"/>
    <w:basedOn w:val="Normal"/>
    <w:next w:val="Normal"/>
    <w:autoRedefine/>
    <w:uiPriority w:val="39"/>
    <w:unhideWhenUsed/>
    <w:rsid w:val="0015187F"/>
    <w:pPr>
      <w:spacing w:after="100"/>
      <w:ind w:left="240"/>
    </w:pPr>
  </w:style>
  <w:style w:type="character" w:styleId="Hyperlink">
    <w:name w:val="Hyperlink"/>
    <w:basedOn w:val="DefaultParagraphFont"/>
    <w:uiPriority w:val="99"/>
    <w:unhideWhenUsed/>
    <w:rsid w:val="0015187F"/>
    <w:rPr>
      <w:color w:val="0563C1" w:themeColor="hyperlink"/>
      <w:u w:val="single"/>
    </w:rPr>
  </w:style>
  <w:style w:type="character" w:styleId="UnresolvedMention">
    <w:name w:val="Unresolved Mention"/>
    <w:basedOn w:val="DefaultParagraphFont"/>
    <w:uiPriority w:val="99"/>
    <w:semiHidden/>
    <w:unhideWhenUsed/>
    <w:rsid w:val="00AA02DE"/>
    <w:rPr>
      <w:color w:val="605E5C"/>
      <w:shd w:val="clear" w:color="auto" w:fill="E1DFDD"/>
    </w:rPr>
  </w:style>
  <w:style w:type="table" w:styleId="GridTable1Light">
    <w:name w:val="Grid Table 1 Light"/>
    <w:basedOn w:val="TableNormal"/>
    <w:uiPriority w:val="46"/>
    <w:rsid w:val="00C90BB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C4472C"/>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15579">
      <w:bodyDiv w:val="1"/>
      <w:marLeft w:val="0"/>
      <w:marRight w:val="0"/>
      <w:marTop w:val="0"/>
      <w:marBottom w:val="0"/>
      <w:divBdr>
        <w:top w:val="none" w:sz="0" w:space="0" w:color="auto"/>
        <w:left w:val="none" w:sz="0" w:space="0" w:color="auto"/>
        <w:bottom w:val="none" w:sz="0" w:space="0" w:color="auto"/>
        <w:right w:val="none" w:sz="0" w:space="0" w:color="auto"/>
      </w:divBdr>
    </w:div>
    <w:div w:id="8878021">
      <w:bodyDiv w:val="1"/>
      <w:marLeft w:val="0"/>
      <w:marRight w:val="0"/>
      <w:marTop w:val="0"/>
      <w:marBottom w:val="0"/>
      <w:divBdr>
        <w:top w:val="none" w:sz="0" w:space="0" w:color="auto"/>
        <w:left w:val="none" w:sz="0" w:space="0" w:color="auto"/>
        <w:bottom w:val="none" w:sz="0" w:space="0" w:color="auto"/>
        <w:right w:val="none" w:sz="0" w:space="0" w:color="auto"/>
      </w:divBdr>
    </w:div>
    <w:div w:id="15086174">
      <w:bodyDiv w:val="1"/>
      <w:marLeft w:val="0"/>
      <w:marRight w:val="0"/>
      <w:marTop w:val="0"/>
      <w:marBottom w:val="0"/>
      <w:divBdr>
        <w:top w:val="none" w:sz="0" w:space="0" w:color="auto"/>
        <w:left w:val="none" w:sz="0" w:space="0" w:color="auto"/>
        <w:bottom w:val="none" w:sz="0" w:space="0" w:color="auto"/>
        <w:right w:val="none" w:sz="0" w:space="0" w:color="auto"/>
      </w:divBdr>
    </w:div>
    <w:div w:id="19819551">
      <w:bodyDiv w:val="1"/>
      <w:marLeft w:val="0"/>
      <w:marRight w:val="0"/>
      <w:marTop w:val="0"/>
      <w:marBottom w:val="0"/>
      <w:divBdr>
        <w:top w:val="none" w:sz="0" w:space="0" w:color="auto"/>
        <w:left w:val="none" w:sz="0" w:space="0" w:color="auto"/>
        <w:bottom w:val="none" w:sz="0" w:space="0" w:color="auto"/>
        <w:right w:val="none" w:sz="0" w:space="0" w:color="auto"/>
      </w:divBdr>
    </w:div>
    <w:div w:id="30691800">
      <w:bodyDiv w:val="1"/>
      <w:marLeft w:val="0"/>
      <w:marRight w:val="0"/>
      <w:marTop w:val="0"/>
      <w:marBottom w:val="0"/>
      <w:divBdr>
        <w:top w:val="none" w:sz="0" w:space="0" w:color="auto"/>
        <w:left w:val="none" w:sz="0" w:space="0" w:color="auto"/>
        <w:bottom w:val="none" w:sz="0" w:space="0" w:color="auto"/>
        <w:right w:val="none" w:sz="0" w:space="0" w:color="auto"/>
      </w:divBdr>
    </w:div>
    <w:div w:id="39670023">
      <w:bodyDiv w:val="1"/>
      <w:marLeft w:val="0"/>
      <w:marRight w:val="0"/>
      <w:marTop w:val="0"/>
      <w:marBottom w:val="0"/>
      <w:divBdr>
        <w:top w:val="none" w:sz="0" w:space="0" w:color="auto"/>
        <w:left w:val="none" w:sz="0" w:space="0" w:color="auto"/>
        <w:bottom w:val="none" w:sz="0" w:space="0" w:color="auto"/>
        <w:right w:val="none" w:sz="0" w:space="0" w:color="auto"/>
      </w:divBdr>
    </w:div>
    <w:div w:id="52125086">
      <w:bodyDiv w:val="1"/>
      <w:marLeft w:val="0"/>
      <w:marRight w:val="0"/>
      <w:marTop w:val="0"/>
      <w:marBottom w:val="0"/>
      <w:divBdr>
        <w:top w:val="none" w:sz="0" w:space="0" w:color="auto"/>
        <w:left w:val="none" w:sz="0" w:space="0" w:color="auto"/>
        <w:bottom w:val="none" w:sz="0" w:space="0" w:color="auto"/>
        <w:right w:val="none" w:sz="0" w:space="0" w:color="auto"/>
      </w:divBdr>
    </w:div>
    <w:div w:id="68769978">
      <w:bodyDiv w:val="1"/>
      <w:marLeft w:val="0"/>
      <w:marRight w:val="0"/>
      <w:marTop w:val="0"/>
      <w:marBottom w:val="0"/>
      <w:divBdr>
        <w:top w:val="none" w:sz="0" w:space="0" w:color="auto"/>
        <w:left w:val="none" w:sz="0" w:space="0" w:color="auto"/>
        <w:bottom w:val="none" w:sz="0" w:space="0" w:color="auto"/>
        <w:right w:val="none" w:sz="0" w:space="0" w:color="auto"/>
      </w:divBdr>
    </w:div>
    <w:div w:id="81727763">
      <w:bodyDiv w:val="1"/>
      <w:marLeft w:val="0"/>
      <w:marRight w:val="0"/>
      <w:marTop w:val="0"/>
      <w:marBottom w:val="0"/>
      <w:divBdr>
        <w:top w:val="none" w:sz="0" w:space="0" w:color="auto"/>
        <w:left w:val="none" w:sz="0" w:space="0" w:color="auto"/>
        <w:bottom w:val="none" w:sz="0" w:space="0" w:color="auto"/>
        <w:right w:val="none" w:sz="0" w:space="0" w:color="auto"/>
      </w:divBdr>
    </w:div>
    <w:div w:id="89861115">
      <w:bodyDiv w:val="1"/>
      <w:marLeft w:val="0"/>
      <w:marRight w:val="0"/>
      <w:marTop w:val="0"/>
      <w:marBottom w:val="0"/>
      <w:divBdr>
        <w:top w:val="none" w:sz="0" w:space="0" w:color="auto"/>
        <w:left w:val="none" w:sz="0" w:space="0" w:color="auto"/>
        <w:bottom w:val="none" w:sz="0" w:space="0" w:color="auto"/>
        <w:right w:val="none" w:sz="0" w:space="0" w:color="auto"/>
      </w:divBdr>
    </w:div>
    <w:div w:id="93205858">
      <w:bodyDiv w:val="1"/>
      <w:marLeft w:val="0"/>
      <w:marRight w:val="0"/>
      <w:marTop w:val="0"/>
      <w:marBottom w:val="0"/>
      <w:divBdr>
        <w:top w:val="none" w:sz="0" w:space="0" w:color="auto"/>
        <w:left w:val="none" w:sz="0" w:space="0" w:color="auto"/>
        <w:bottom w:val="none" w:sz="0" w:space="0" w:color="auto"/>
        <w:right w:val="none" w:sz="0" w:space="0" w:color="auto"/>
      </w:divBdr>
    </w:div>
    <w:div w:id="107896400">
      <w:bodyDiv w:val="1"/>
      <w:marLeft w:val="0"/>
      <w:marRight w:val="0"/>
      <w:marTop w:val="0"/>
      <w:marBottom w:val="0"/>
      <w:divBdr>
        <w:top w:val="none" w:sz="0" w:space="0" w:color="auto"/>
        <w:left w:val="none" w:sz="0" w:space="0" w:color="auto"/>
        <w:bottom w:val="none" w:sz="0" w:space="0" w:color="auto"/>
        <w:right w:val="none" w:sz="0" w:space="0" w:color="auto"/>
      </w:divBdr>
    </w:div>
    <w:div w:id="127214238">
      <w:bodyDiv w:val="1"/>
      <w:marLeft w:val="0"/>
      <w:marRight w:val="0"/>
      <w:marTop w:val="0"/>
      <w:marBottom w:val="0"/>
      <w:divBdr>
        <w:top w:val="none" w:sz="0" w:space="0" w:color="auto"/>
        <w:left w:val="none" w:sz="0" w:space="0" w:color="auto"/>
        <w:bottom w:val="none" w:sz="0" w:space="0" w:color="auto"/>
        <w:right w:val="none" w:sz="0" w:space="0" w:color="auto"/>
      </w:divBdr>
    </w:div>
    <w:div w:id="151144146">
      <w:bodyDiv w:val="1"/>
      <w:marLeft w:val="0"/>
      <w:marRight w:val="0"/>
      <w:marTop w:val="0"/>
      <w:marBottom w:val="0"/>
      <w:divBdr>
        <w:top w:val="none" w:sz="0" w:space="0" w:color="auto"/>
        <w:left w:val="none" w:sz="0" w:space="0" w:color="auto"/>
        <w:bottom w:val="none" w:sz="0" w:space="0" w:color="auto"/>
        <w:right w:val="none" w:sz="0" w:space="0" w:color="auto"/>
      </w:divBdr>
    </w:div>
    <w:div w:id="162474865">
      <w:bodyDiv w:val="1"/>
      <w:marLeft w:val="0"/>
      <w:marRight w:val="0"/>
      <w:marTop w:val="0"/>
      <w:marBottom w:val="0"/>
      <w:divBdr>
        <w:top w:val="none" w:sz="0" w:space="0" w:color="auto"/>
        <w:left w:val="none" w:sz="0" w:space="0" w:color="auto"/>
        <w:bottom w:val="none" w:sz="0" w:space="0" w:color="auto"/>
        <w:right w:val="none" w:sz="0" w:space="0" w:color="auto"/>
      </w:divBdr>
    </w:div>
    <w:div w:id="181552647">
      <w:bodyDiv w:val="1"/>
      <w:marLeft w:val="0"/>
      <w:marRight w:val="0"/>
      <w:marTop w:val="0"/>
      <w:marBottom w:val="0"/>
      <w:divBdr>
        <w:top w:val="none" w:sz="0" w:space="0" w:color="auto"/>
        <w:left w:val="none" w:sz="0" w:space="0" w:color="auto"/>
        <w:bottom w:val="none" w:sz="0" w:space="0" w:color="auto"/>
        <w:right w:val="none" w:sz="0" w:space="0" w:color="auto"/>
      </w:divBdr>
    </w:div>
    <w:div w:id="182862922">
      <w:bodyDiv w:val="1"/>
      <w:marLeft w:val="0"/>
      <w:marRight w:val="0"/>
      <w:marTop w:val="0"/>
      <w:marBottom w:val="0"/>
      <w:divBdr>
        <w:top w:val="none" w:sz="0" w:space="0" w:color="auto"/>
        <w:left w:val="none" w:sz="0" w:space="0" w:color="auto"/>
        <w:bottom w:val="none" w:sz="0" w:space="0" w:color="auto"/>
        <w:right w:val="none" w:sz="0" w:space="0" w:color="auto"/>
      </w:divBdr>
    </w:div>
    <w:div w:id="204875237">
      <w:bodyDiv w:val="1"/>
      <w:marLeft w:val="0"/>
      <w:marRight w:val="0"/>
      <w:marTop w:val="0"/>
      <w:marBottom w:val="0"/>
      <w:divBdr>
        <w:top w:val="none" w:sz="0" w:space="0" w:color="auto"/>
        <w:left w:val="none" w:sz="0" w:space="0" w:color="auto"/>
        <w:bottom w:val="none" w:sz="0" w:space="0" w:color="auto"/>
        <w:right w:val="none" w:sz="0" w:space="0" w:color="auto"/>
      </w:divBdr>
    </w:div>
    <w:div w:id="210847682">
      <w:bodyDiv w:val="1"/>
      <w:marLeft w:val="0"/>
      <w:marRight w:val="0"/>
      <w:marTop w:val="0"/>
      <w:marBottom w:val="0"/>
      <w:divBdr>
        <w:top w:val="none" w:sz="0" w:space="0" w:color="auto"/>
        <w:left w:val="none" w:sz="0" w:space="0" w:color="auto"/>
        <w:bottom w:val="none" w:sz="0" w:space="0" w:color="auto"/>
        <w:right w:val="none" w:sz="0" w:space="0" w:color="auto"/>
      </w:divBdr>
    </w:div>
    <w:div w:id="225264194">
      <w:bodyDiv w:val="1"/>
      <w:marLeft w:val="0"/>
      <w:marRight w:val="0"/>
      <w:marTop w:val="0"/>
      <w:marBottom w:val="0"/>
      <w:divBdr>
        <w:top w:val="none" w:sz="0" w:space="0" w:color="auto"/>
        <w:left w:val="none" w:sz="0" w:space="0" w:color="auto"/>
        <w:bottom w:val="none" w:sz="0" w:space="0" w:color="auto"/>
        <w:right w:val="none" w:sz="0" w:space="0" w:color="auto"/>
      </w:divBdr>
    </w:div>
    <w:div w:id="226230930">
      <w:bodyDiv w:val="1"/>
      <w:marLeft w:val="0"/>
      <w:marRight w:val="0"/>
      <w:marTop w:val="0"/>
      <w:marBottom w:val="0"/>
      <w:divBdr>
        <w:top w:val="none" w:sz="0" w:space="0" w:color="auto"/>
        <w:left w:val="none" w:sz="0" w:space="0" w:color="auto"/>
        <w:bottom w:val="none" w:sz="0" w:space="0" w:color="auto"/>
        <w:right w:val="none" w:sz="0" w:space="0" w:color="auto"/>
      </w:divBdr>
    </w:div>
    <w:div w:id="228617144">
      <w:bodyDiv w:val="1"/>
      <w:marLeft w:val="0"/>
      <w:marRight w:val="0"/>
      <w:marTop w:val="0"/>
      <w:marBottom w:val="0"/>
      <w:divBdr>
        <w:top w:val="none" w:sz="0" w:space="0" w:color="auto"/>
        <w:left w:val="none" w:sz="0" w:space="0" w:color="auto"/>
        <w:bottom w:val="none" w:sz="0" w:space="0" w:color="auto"/>
        <w:right w:val="none" w:sz="0" w:space="0" w:color="auto"/>
      </w:divBdr>
    </w:div>
    <w:div w:id="245917072">
      <w:bodyDiv w:val="1"/>
      <w:marLeft w:val="0"/>
      <w:marRight w:val="0"/>
      <w:marTop w:val="0"/>
      <w:marBottom w:val="0"/>
      <w:divBdr>
        <w:top w:val="none" w:sz="0" w:space="0" w:color="auto"/>
        <w:left w:val="none" w:sz="0" w:space="0" w:color="auto"/>
        <w:bottom w:val="none" w:sz="0" w:space="0" w:color="auto"/>
        <w:right w:val="none" w:sz="0" w:space="0" w:color="auto"/>
      </w:divBdr>
    </w:div>
    <w:div w:id="248736313">
      <w:bodyDiv w:val="1"/>
      <w:marLeft w:val="0"/>
      <w:marRight w:val="0"/>
      <w:marTop w:val="0"/>
      <w:marBottom w:val="0"/>
      <w:divBdr>
        <w:top w:val="none" w:sz="0" w:space="0" w:color="auto"/>
        <w:left w:val="none" w:sz="0" w:space="0" w:color="auto"/>
        <w:bottom w:val="none" w:sz="0" w:space="0" w:color="auto"/>
        <w:right w:val="none" w:sz="0" w:space="0" w:color="auto"/>
      </w:divBdr>
    </w:div>
    <w:div w:id="266236880">
      <w:bodyDiv w:val="1"/>
      <w:marLeft w:val="0"/>
      <w:marRight w:val="0"/>
      <w:marTop w:val="0"/>
      <w:marBottom w:val="0"/>
      <w:divBdr>
        <w:top w:val="none" w:sz="0" w:space="0" w:color="auto"/>
        <w:left w:val="none" w:sz="0" w:space="0" w:color="auto"/>
        <w:bottom w:val="none" w:sz="0" w:space="0" w:color="auto"/>
        <w:right w:val="none" w:sz="0" w:space="0" w:color="auto"/>
      </w:divBdr>
    </w:div>
    <w:div w:id="281574941">
      <w:bodyDiv w:val="1"/>
      <w:marLeft w:val="0"/>
      <w:marRight w:val="0"/>
      <w:marTop w:val="0"/>
      <w:marBottom w:val="0"/>
      <w:divBdr>
        <w:top w:val="none" w:sz="0" w:space="0" w:color="auto"/>
        <w:left w:val="none" w:sz="0" w:space="0" w:color="auto"/>
        <w:bottom w:val="none" w:sz="0" w:space="0" w:color="auto"/>
        <w:right w:val="none" w:sz="0" w:space="0" w:color="auto"/>
      </w:divBdr>
    </w:div>
    <w:div w:id="291060743">
      <w:bodyDiv w:val="1"/>
      <w:marLeft w:val="0"/>
      <w:marRight w:val="0"/>
      <w:marTop w:val="0"/>
      <w:marBottom w:val="0"/>
      <w:divBdr>
        <w:top w:val="none" w:sz="0" w:space="0" w:color="auto"/>
        <w:left w:val="none" w:sz="0" w:space="0" w:color="auto"/>
        <w:bottom w:val="none" w:sz="0" w:space="0" w:color="auto"/>
        <w:right w:val="none" w:sz="0" w:space="0" w:color="auto"/>
      </w:divBdr>
    </w:div>
    <w:div w:id="297148420">
      <w:bodyDiv w:val="1"/>
      <w:marLeft w:val="0"/>
      <w:marRight w:val="0"/>
      <w:marTop w:val="0"/>
      <w:marBottom w:val="0"/>
      <w:divBdr>
        <w:top w:val="none" w:sz="0" w:space="0" w:color="auto"/>
        <w:left w:val="none" w:sz="0" w:space="0" w:color="auto"/>
        <w:bottom w:val="none" w:sz="0" w:space="0" w:color="auto"/>
        <w:right w:val="none" w:sz="0" w:space="0" w:color="auto"/>
      </w:divBdr>
    </w:div>
    <w:div w:id="326371882">
      <w:bodyDiv w:val="1"/>
      <w:marLeft w:val="0"/>
      <w:marRight w:val="0"/>
      <w:marTop w:val="0"/>
      <w:marBottom w:val="0"/>
      <w:divBdr>
        <w:top w:val="none" w:sz="0" w:space="0" w:color="auto"/>
        <w:left w:val="none" w:sz="0" w:space="0" w:color="auto"/>
        <w:bottom w:val="none" w:sz="0" w:space="0" w:color="auto"/>
        <w:right w:val="none" w:sz="0" w:space="0" w:color="auto"/>
      </w:divBdr>
    </w:div>
    <w:div w:id="333385771">
      <w:bodyDiv w:val="1"/>
      <w:marLeft w:val="0"/>
      <w:marRight w:val="0"/>
      <w:marTop w:val="0"/>
      <w:marBottom w:val="0"/>
      <w:divBdr>
        <w:top w:val="none" w:sz="0" w:space="0" w:color="auto"/>
        <w:left w:val="none" w:sz="0" w:space="0" w:color="auto"/>
        <w:bottom w:val="none" w:sz="0" w:space="0" w:color="auto"/>
        <w:right w:val="none" w:sz="0" w:space="0" w:color="auto"/>
      </w:divBdr>
    </w:div>
    <w:div w:id="333538050">
      <w:bodyDiv w:val="1"/>
      <w:marLeft w:val="0"/>
      <w:marRight w:val="0"/>
      <w:marTop w:val="0"/>
      <w:marBottom w:val="0"/>
      <w:divBdr>
        <w:top w:val="none" w:sz="0" w:space="0" w:color="auto"/>
        <w:left w:val="none" w:sz="0" w:space="0" w:color="auto"/>
        <w:bottom w:val="none" w:sz="0" w:space="0" w:color="auto"/>
        <w:right w:val="none" w:sz="0" w:space="0" w:color="auto"/>
      </w:divBdr>
    </w:div>
    <w:div w:id="366685704">
      <w:bodyDiv w:val="1"/>
      <w:marLeft w:val="0"/>
      <w:marRight w:val="0"/>
      <w:marTop w:val="0"/>
      <w:marBottom w:val="0"/>
      <w:divBdr>
        <w:top w:val="none" w:sz="0" w:space="0" w:color="auto"/>
        <w:left w:val="none" w:sz="0" w:space="0" w:color="auto"/>
        <w:bottom w:val="none" w:sz="0" w:space="0" w:color="auto"/>
        <w:right w:val="none" w:sz="0" w:space="0" w:color="auto"/>
      </w:divBdr>
    </w:div>
    <w:div w:id="371466067">
      <w:bodyDiv w:val="1"/>
      <w:marLeft w:val="0"/>
      <w:marRight w:val="0"/>
      <w:marTop w:val="0"/>
      <w:marBottom w:val="0"/>
      <w:divBdr>
        <w:top w:val="none" w:sz="0" w:space="0" w:color="auto"/>
        <w:left w:val="none" w:sz="0" w:space="0" w:color="auto"/>
        <w:bottom w:val="none" w:sz="0" w:space="0" w:color="auto"/>
        <w:right w:val="none" w:sz="0" w:space="0" w:color="auto"/>
      </w:divBdr>
    </w:div>
    <w:div w:id="401683301">
      <w:bodyDiv w:val="1"/>
      <w:marLeft w:val="0"/>
      <w:marRight w:val="0"/>
      <w:marTop w:val="0"/>
      <w:marBottom w:val="0"/>
      <w:divBdr>
        <w:top w:val="none" w:sz="0" w:space="0" w:color="auto"/>
        <w:left w:val="none" w:sz="0" w:space="0" w:color="auto"/>
        <w:bottom w:val="none" w:sz="0" w:space="0" w:color="auto"/>
        <w:right w:val="none" w:sz="0" w:space="0" w:color="auto"/>
      </w:divBdr>
    </w:div>
    <w:div w:id="401828004">
      <w:bodyDiv w:val="1"/>
      <w:marLeft w:val="0"/>
      <w:marRight w:val="0"/>
      <w:marTop w:val="0"/>
      <w:marBottom w:val="0"/>
      <w:divBdr>
        <w:top w:val="none" w:sz="0" w:space="0" w:color="auto"/>
        <w:left w:val="none" w:sz="0" w:space="0" w:color="auto"/>
        <w:bottom w:val="none" w:sz="0" w:space="0" w:color="auto"/>
        <w:right w:val="none" w:sz="0" w:space="0" w:color="auto"/>
      </w:divBdr>
    </w:div>
    <w:div w:id="409347307">
      <w:bodyDiv w:val="1"/>
      <w:marLeft w:val="0"/>
      <w:marRight w:val="0"/>
      <w:marTop w:val="0"/>
      <w:marBottom w:val="0"/>
      <w:divBdr>
        <w:top w:val="none" w:sz="0" w:space="0" w:color="auto"/>
        <w:left w:val="none" w:sz="0" w:space="0" w:color="auto"/>
        <w:bottom w:val="none" w:sz="0" w:space="0" w:color="auto"/>
        <w:right w:val="none" w:sz="0" w:space="0" w:color="auto"/>
      </w:divBdr>
    </w:div>
    <w:div w:id="414933565">
      <w:bodyDiv w:val="1"/>
      <w:marLeft w:val="0"/>
      <w:marRight w:val="0"/>
      <w:marTop w:val="0"/>
      <w:marBottom w:val="0"/>
      <w:divBdr>
        <w:top w:val="none" w:sz="0" w:space="0" w:color="auto"/>
        <w:left w:val="none" w:sz="0" w:space="0" w:color="auto"/>
        <w:bottom w:val="none" w:sz="0" w:space="0" w:color="auto"/>
        <w:right w:val="none" w:sz="0" w:space="0" w:color="auto"/>
      </w:divBdr>
    </w:div>
    <w:div w:id="421026066">
      <w:bodyDiv w:val="1"/>
      <w:marLeft w:val="0"/>
      <w:marRight w:val="0"/>
      <w:marTop w:val="0"/>
      <w:marBottom w:val="0"/>
      <w:divBdr>
        <w:top w:val="none" w:sz="0" w:space="0" w:color="auto"/>
        <w:left w:val="none" w:sz="0" w:space="0" w:color="auto"/>
        <w:bottom w:val="none" w:sz="0" w:space="0" w:color="auto"/>
        <w:right w:val="none" w:sz="0" w:space="0" w:color="auto"/>
      </w:divBdr>
    </w:div>
    <w:div w:id="421339974">
      <w:bodyDiv w:val="1"/>
      <w:marLeft w:val="0"/>
      <w:marRight w:val="0"/>
      <w:marTop w:val="0"/>
      <w:marBottom w:val="0"/>
      <w:divBdr>
        <w:top w:val="none" w:sz="0" w:space="0" w:color="auto"/>
        <w:left w:val="none" w:sz="0" w:space="0" w:color="auto"/>
        <w:bottom w:val="none" w:sz="0" w:space="0" w:color="auto"/>
        <w:right w:val="none" w:sz="0" w:space="0" w:color="auto"/>
      </w:divBdr>
    </w:div>
    <w:div w:id="439033403">
      <w:bodyDiv w:val="1"/>
      <w:marLeft w:val="0"/>
      <w:marRight w:val="0"/>
      <w:marTop w:val="0"/>
      <w:marBottom w:val="0"/>
      <w:divBdr>
        <w:top w:val="none" w:sz="0" w:space="0" w:color="auto"/>
        <w:left w:val="none" w:sz="0" w:space="0" w:color="auto"/>
        <w:bottom w:val="none" w:sz="0" w:space="0" w:color="auto"/>
        <w:right w:val="none" w:sz="0" w:space="0" w:color="auto"/>
      </w:divBdr>
    </w:div>
    <w:div w:id="442042116">
      <w:bodyDiv w:val="1"/>
      <w:marLeft w:val="0"/>
      <w:marRight w:val="0"/>
      <w:marTop w:val="0"/>
      <w:marBottom w:val="0"/>
      <w:divBdr>
        <w:top w:val="none" w:sz="0" w:space="0" w:color="auto"/>
        <w:left w:val="none" w:sz="0" w:space="0" w:color="auto"/>
        <w:bottom w:val="none" w:sz="0" w:space="0" w:color="auto"/>
        <w:right w:val="none" w:sz="0" w:space="0" w:color="auto"/>
      </w:divBdr>
    </w:div>
    <w:div w:id="443813161">
      <w:bodyDiv w:val="1"/>
      <w:marLeft w:val="0"/>
      <w:marRight w:val="0"/>
      <w:marTop w:val="0"/>
      <w:marBottom w:val="0"/>
      <w:divBdr>
        <w:top w:val="none" w:sz="0" w:space="0" w:color="auto"/>
        <w:left w:val="none" w:sz="0" w:space="0" w:color="auto"/>
        <w:bottom w:val="none" w:sz="0" w:space="0" w:color="auto"/>
        <w:right w:val="none" w:sz="0" w:space="0" w:color="auto"/>
      </w:divBdr>
    </w:div>
    <w:div w:id="453016609">
      <w:bodyDiv w:val="1"/>
      <w:marLeft w:val="0"/>
      <w:marRight w:val="0"/>
      <w:marTop w:val="0"/>
      <w:marBottom w:val="0"/>
      <w:divBdr>
        <w:top w:val="none" w:sz="0" w:space="0" w:color="auto"/>
        <w:left w:val="none" w:sz="0" w:space="0" w:color="auto"/>
        <w:bottom w:val="none" w:sz="0" w:space="0" w:color="auto"/>
        <w:right w:val="none" w:sz="0" w:space="0" w:color="auto"/>
      </w:divBdr>
    </w:div>
    <w:div w:id="472218602">
      <w:bodyDiv w:val="1"/>
      <w:marLeft w:val="0"/>
      <w:marRight w:val="0"/>
      <w:marTop w:val="0"/>
      <w:marBottom w:val="0"/>
      <w:divBdr>
        <w:top w:val="none" w:sz="0" w:space="0" w:color="auto"/>
        <w:left w:val="none" w:sz="0" w:space="0" w:color="auto"/>
        <w:bottom w:val="none" w:sz="0" w:space="0" w:color="auto"/>
        <w:right w:val="none" w:sz="0" w:space="0" w:color="auto"/>
      </w:divBdr>
    </w:div>
    <w:div w:id="507599229">
      <w:bodyDiv w:val="1"/>
      <w:marLeft w:val="0"/>
      <w:marRight w:val="0"/>
      <w:marTop w:val="0"/>
      <w:marBottom w:val="0"/>
      <w:divBdr>
        <w:top w:val="none" w:sz="0" w:space="0" w:color="auto"/>
        <w:left w:val="none" w:sz="0" w:space="0" w:color="auto"/>
        <w:bottom w:val="none" w:sz="0" w:space="0" w:color="auto"/>
        <w:right w:val="none" w:sz="0" w:space="0" w:color="auto"/>
      </w:divBdr>
    </w:div>
    <w:div w:id="512301059">
      <w:bodyDiv w:val="1"/>
      <w:marLeft w:val="0"/>
      <w:marRight w:val="0"/>
      <w:marTop w:val="0"/>
      <w:marBottom w:val="0"/>
      <w:divBdr>
        <w:top w:val="none" w:sz="0" w:space="0" w:color="auto"/>
        <w:left w:val="none" w:sz="0" w:space="0" w:color="auto"/>
        <w:bottom w:val="none" w:sz="0" w:space="0" w:color="auto"/>
        <w:right w:val="none" w:sz="0" w:space="0" w:color="auto"/>
      </w:divBdr>
    </w:div>
    <w:div w:id="512571665">
      <w:bodyDiv w:val="1"/>
      <w:marLeft w:val="0"/>
      <w:marRight w:val="0"/>
      <w:marTop w:val="0"/>
      <w:marBottom w:val="0"/>
      <w:divBdr>
        <w:top w:val="none" w:sz="0" w:space="0" w:color="auto"/>
        <w:left w:val="none" w:sz="0" w:space="0" w:color="auto"/>
        <w:bottom w:val="none" w:sz="0" w:space="0" w:color="auto"/>
        <w:right w:val="none" w:sz="0" w:space="0" w:color="auto"/>
      </w:divBdr>
    </w:div>
    <w:div w:id="518390604">
      <w:bodyDiv w:val="1"/>
      <w:marLeft w:val="0"/>
      <w:marRight w:val="0"/>
      <w:marTop w:val="0"/>
      <w:marBottom w:val="0"/>
      <w:divBdr>
        <w:top w:val="none" w:sz="0" w:space="0" w:color="auto"/>
        <w:left w:val="none" w:sz="0" w:space="0" w:color="auto"/>
        <w:bottom w:val="none" w:sz="0" w:space="0" w:color="auto"/>
        <w:right w:val="none" w:sz="0" w:space="0" w:color="auto"/>
      </w:divBdr>
    </w:div>
    <w:div w:id="519776360">
      <w:bodyDiv w:val="1"/>
      <w:marLeft w:val="0"/>
      <w:marRight w:val="0"/>
      <w:marTop w:val="0"/>
      <w:marBottom w:val="0"/>
      <w:divBdr>
        <w:top w:val="none" w:sz="0" w:space="0" w:color="auto"/>
        <w:left w:val="none" w:sz="0" w:space="0" w:color="auto"/>
        <w:bottom w:val="none" w:sz="0" w:space="0" w:color="auto"/>
        <w:right w:val="none" w:sz="0" w:space="0" w:color="auto"/>
      </w:divBdr>
    </w:div>
    <w:div w:id="529487968">
      <w:bodyDiv w:val="1"/>
      <w:marLeft w:val="0"/>
      <w:marRight w:val="0"/>
      <w:marTop w:val="0"/>
      <w:marBottom w:val="0"/>
      <w:divBdr>
        <w:top w:val="none" w:sz="0" w:space="0" w:color="auto"/>
        <w:left w:val="none" w:sz="0" w:space="0" w:color="auto"/>
        <w:bottom w:val="none" w:sz="0" w:space="0" w:color="auto"/>
        <w:right w:val="none" w:sz="0" w:space="0" w:color="auto"/>
      </w:divBdr>
    </w:div>
    <w:div w:id="539821015">
      <w:bodyDiv w:val="1"/>
      <w:marLeft w:val="0"/>
      <w:marRight w:val="0"/>
      <w:marTop w:val="0"/>
      <w:marBottom w:val="0"/>
      <w:divBdr>
        <w:top w:val="none" w:sz="0" w:space="0" w:color="auto"/>
        <w:left w:val="none" w:sz="0" w:space="0" w:color="auto"/>
        <w:bottom w:val="none" w:sz="0" w:space="0" w:color="auto"/>
        <w:right w:val="none" w:sz="0" w:space="0" w:color="auto"/>
      </w:divBdr>
    </w:div>
    <w:div w:id="555512339">
      <w:bodyDiv w:val="1"/>
      <w:marLeft w:val="0"/>
      <w:marRight w:val="0"/>
      <w:marTop w:val="0"/>
      <w:marBottom w:val="0"/>
      <w:divBdr>
        <w:top w:val="none" w:sz="0" w:space="0" w:color="auto"/>
        <w:left w:val="none" w:sz="0" w:space="0" w:color="auto"/>
        <w:bottom w:val="none" w:sz="0" w:space="0" w:color="auto"/>
        <w:right w:val="none" w:sz="0" w:space="0" w:color="auto"/>
      </w:divBdr>
    </w:div>
    <w:div w:id="563761757">
      <w:bodyDiv w:val="1"/>
      <w:marLeft w:val="0"/>
      <w:marRight w:val="0"/>
      <w:marTop w:val="0"/>
      <w:marBottom w:val="0"/>
      <w:divBdr>
        <w:top w:val="none" w:sz="0" w:space="0" w:color="auto"/>
        <w:left w:val="none" w:sz="0" w:space="0" w:color="auto"/>
        <w:bottom w:val="none" w:sz="0" w:space="0" w:color="auto"/>
        <w:right w:val="none" w:sz="0" w:space="0" w:color="auto"/>
      </w:divBdr>
    </w:div>
    <w:div w:id="569073210">
      <w:bodyDiv w:val="1"/>
      <w:marLeft w:val="0"/>
      <w:marRight w:val="0"/>
      <w:marTop w:val="0"/>
      <w:marBottom w:val="0"/>
      <w:divBdr>
        <w:top w:val="none" w:sz="0" w:space="0" w:color="auto"/>
        <w:left w:val="none" w:sz="0" w:space="0" w:color="auto"/>
        <w:bottom w:val="none" w:sz="0" w:space="0" w:color="auto"/>
        <w:right w:val="none" w:sz="0" w:space="0" w:color="auto"/>
      </w:divBdr>
    </w:div>
    <w:div w:id="586303887">
      <w:bodyDiv w:val="1"/>
      <w:marLeft w:val="0"/>
      <w:marRight w:val="0"/>
      <w:marTop w:val="0"/>
      <w:marBottom w:val="0"/>
      <w:divBdr>
        <w:top w:val="none" w:sz="0" w:space="0" w:color="auto"/>
        <w:left w:val="none" w:sz="0" w:space="0" w:color="auto"/>
        <w:bottom w:val="none" w:sz="0" w:space="0" w:color="auto"/>
        <w:right w:val="none" w:sz="0" w:space="0" w:color="auto"/>
      </w:divBdr>
    </w:div>
    <w:div w:id="621495614">
      <w:bodyDiv w:val="1"/>
      <w:marLeft w:val="0"/>
      <w:marRight w:val="0"/>
      <w:marTop w:val="0"/>
      <w:marBottom w:val="0"/>
      <w:divBdr>
        <w:top w:val="none" w:sz="0" w:space="0" w:color="auto"/>
        <w:left w:val="none" w:sz="0" w:space="0" w:color="auto"/>
        <w:bottom w:val="none" w:sz="0" w:space="0" w:color="auto"/>
        <w:right w:val="none" w:sz="0" w:space="0" w:color="auto"/>
      </w:divBdr>
    </w:div>
    <w:div w:id="636761114">
      <w:bodyDiv w:val="1"/>
      <w:marLeft w:val="0"/>
      <w:marRight w:val="0"/>
      <w:marTop w:val="0"/>
      <w:marBottom w:val="0"/>
      <w:divBdr>
        <w:top w:val="none" w:sz="0" w:space="0" w:color="auto"/>
        <w:left w:val="none" w:sz="0" w:space="0" w:color="auto"/>
        <w:bottom w:val="none" w:sz="0" w:space="0" w:color="auto"/>
        <w:right w:val="none" w:sz="0" w:space="0" w:color="auto"/>
      </w:divBdr>
    </w:div>
    <w:div w:id="640311202">
      <w:bodyDiv w:val="1"/>
      <w:marLeft w:val="0"/>
      <w:marRight w:val="0"/>
      <w:marTop w:val="0"/>
      <w:marBottom w:val="0"/>
      <w:divBdr>
        <w:top w:val="none" w:sz="0" w:space="0" w:color="auto"/>
        <w:left w:val="none" w:sz="0" w:space="0" w:color="auto"/>
        <w:bottom w:val="none" w:sz="0" w:space="0" w:color="auto"/>
        <w:right w:val="none" w:sz="0" w:space="0" w:color="auto"/>
      </w:divBdr>
    </w:div>
    <w:div w:id="681398750">
      <w:bodyDiv w:val="1"/>
      <w:marLeft w:val="0"/>
      <w:marRight w:val="0"/>
      <w:marTop w:val="0"/>
      <w:marBottom w:val="0"/>
      <w:divBdr>
        <w:top w:val="none" w:sz="0" w:space="0" w:color="auto"/>
        <w:left w:val="none" w:sz="0" w:space="0" w:color="auto"/>
        <w:bottom w:val="none" w:sz="0" w:space="0" w:color="auto"/>
        <w:right w:val="none" w:sz="0" w:space="0" w:color="auto"/>
      </w:divBdr>
    </w:div>
    <w:div w:id="687754396">
      <w:bodyDiv w:val="1"/>
      <w:marLeft w:val="0"/>
      <w:marRight w:val="0"/>
      <w:marTop w:val="0"/>
      <w:marBottom w:val="0"/>
      <w:divBdr>
        <w:top w:val="none" w:sz="0" w:space="0" w:color="auto"/>
        <w:left w:val="none" w:sz="0" w:space="0" w:color="auto"/>
        <w:bottom w:val="none" w:sz="0" w:space="0" w:color="auto"/>
        <w:right w:val="none" w:sz="0" w:space="0" w:color="auto"/>
      </w:divBdr>
    </w:div>
    <w:div w:id="693192483">
      <w:bodyDiv w:val="1"/>
      <w:marLeft w:val="0"/>
      <w:marRight w:val="0"/>
      <w:marTop w:val="0"/>
      <w:marBottom w:val="0"/>
      <w:divBdr>
        <w:top w:val="none" w:sz="0" w:space="0" w:color="auto"/>
        <w:left w:val="none" w:sz="0" w:space="0" w:color="auto"/>
        <w:bottom w:val="none" w:sz="0" w:space="0" w:color="auto"/>
        <w:right w:val="none" w:sz="0" w:space="0" w:color="auto"/>
      </w:divBdr>
    </w:div>
    <w:div w:id="697705372">
      <w:bodyDiv w:val="1"/>
      <w:marLeft w:val="0"/>
      <w:marRight w:val="0"/>
      <w:marTop w:val="0"/>
      <w:marBottom w:val="0"/>
      <w:divBdr>
        <w:top w:val="none" w:sz="0" w:space="0" w:color="auto"/>
        <w:left w:val="none" w:sz="0" w:space="0" w:color="auto"/>
        <w:bottom w:val="none" w:sz="0" w:space="0" w:color="auto"/>
        <w:right w:val="none" w:sz="0" w:space="0" w:color="auto"/>
      </w:divBdr>
    </w:div>
    <w:div w:id="712076021">
      <w:bodyDiv w:val="1"/>
      <w:marLeft w:val="0"/>
      <w:marRight w:val="0"/>
      <w:marTop w:val="0"/>
      <w:marBottom w:val="0"/>
      <w:divBdr>
        <w:top w:val="none" w:sz="0" w:space="0" w:color="auto"/>
        <w:left w:val="none" w:sz="0" w:space="0" w:color="auto"/>
        <w:bottom w:val="none" w:sz="0" w:space="0" w:color="auto"/>
        <w:right w:val="none" w:sz="0" w:space="0" w:color="auto"/>
      </w:divBdr>
    </w:div>
    <w:div w:id="717514372">
      <w:bodyDiv w:val="1"/>
      <w:marLeft w:val="0"/>
      <w:marRight w:val="0"/>
      <w:marTop w:val="0"/>
      <w:marBottom w:val="0"/>
      <w:divBdr>
        <w:top w:val="none" w:sz="0" w:space="0" w:color="auto"/>
        <w:left w:val="none" w:sz="0" w:space="0" w:color="auto"/>
        <w:bottom w:val="none" w:sz="0" w:space="0" w:color="auto"/>
        <w:right w:val="none" w:sz="0" w:space="0" w:color="auto"/>
      </w:divBdr>
    </w:div>
    <w:div w:id="719331302">
      <w:bodyDiv w:val="1"/>
      <w:marLeft w:val="0"/>
      <w:marRight w:val="0"/>
      <w:marTop w:val="0"/>
      <w:marBottom w:val="0"/>
      <w:divBdr>
        <w:top w:val="none" w:sz="0" w:space="0" w:color="auto"/>
        <w:left w:val="none" w:sz="0" w:space="0" w:color="auto"/>
        <w:bottom w:val="none" w:sz="0" w:space="0" w:color="auto"/>
        <w:right w:val="none" w:sz="0" w:space="0" w:color="auto"/>
      </w:divBdr>
    </w:div>
    <w:div w:id="719477506">
      <w:bodyDiv w:val="1"/>
      <w:marLeft w:val="0"/>
      <w:marRight w:val="0"/>
      <w:marTop w:val="0"/>
      <w:marBottom w:val="0"/>
      <w:divBdr>
        <w:top w:val="none" w:sz="0" w:space="0" w:color="auto"/>
        <w:left w:val="none" w:sz="0" w:space="0" w:color="auto"/>
        <w:bottom w:val="none" w:sz="0" w:space="0" w:color="auto"/>
        <w:right w:val="none" w:sz="0" w:space="0" w:color="auto"/>
      </w:divBdr>
    </w:div>
    <w:div w:id="729353915">
      <w:bodyDiv w:val="1"/>
      <w:marLeft w:val="0"/>
      <w:marRight w:val="0"/>
      <w:marTop w:val="0"/>
      <w:marBottom w:val="0"/>
      <w:divBdr>
        <w:top w:val="none" w:sz="0" w:space="0" w:color="auto"/>
        <w:left w:val="none" w:sz="0" w:space="0" w:color="auto"/>
        <w:bottom w:val="none" w:sz="0" w:space="0" w:color="auto"/>
        <w:right w:val="none" w:sz="0" w:space="0" w:color="auto"/>
      </w:divBdr>
    </w:div>
    <w:div w:id="731388497">
      <w:bodyDiv w:val="1"/>
      <w:marLeft w:val="0"/>
      <w:marRight w:val="0"/>
      <w:marTop w:val="0"/>
      <w:marBottom w:val="0"/>
      <w:divBdr>
        <w:top w:val="none" w:sz="0" w:space="0" w:color="auto"/>
        <w:left w:val="none" w:sz="0" w:space="0" w:color="auto"/>
        <w:bottom w:val="none" w:sz="0" w:space="0" w:color="auto"/>
        <w:right w:val="none" w:sz="0" w:space="0" w:color="auto"/>
      </w:divBdr>
    </w:div>
    <w:div w:id="741677905">
      <w:bodyDiv w:val="1"/>
      <w:marLeft w:val="0"/>
      <w:marRight w:val="0"/>
      <w:marTop w:val="0"/>
      <w:marBottom w:val="0"/>
      <w:divBdr>
        <w:top w:val="none" w:sz="0" w:space="0" w:color="auto"/>
        <w:left w:val="none" w:sz="0" w:space="0" w:color="auto"/>
        <w:bottom w:val="none" w:sz="0" w:space="0" w:color="auto"/>
        <w:right w:val="none" w:sz="0" w:space="0" w:color="auto"/>
      </w:divBdr>
    </w:div>
    <w:div w:id="746077646">
      <w:bodyDiv w:val="1"/>
      <w:marLeft w:val="0"/>
      <w:marRight w:val="0"/>
      <w:marTop w:val="0"/>
      <w:marBottom w:val="0"/>
      <w:divBdr>
        <w:top w:val="none" w:sz="0" w:space="0" w:color="auto"/>
        <w:left w:val="none" w:sz="0" w:space="0" w:color="auto"/>
        <w:bottom w:val="none" w:sz="0" w:space="0" w:color="auto"/>
        <w:right w:val="none" w:sz="0" w:space="0" w:color="auto"/>
      </w:divBdr>
    </w:div>
    <w:div w:id="765075719">
      <w:bodyDiv w:val="1"/>
      <w:marLeft w:val="0"/>
      <w:marRight w:val="0"/>
      <w:marTop w:val="0"/>
      <w:marBottom w:val="0"/>
      <w:divBdr>
        <w:top w:val="none" w:sz="0" w:space="0" w:color="auto"/>
        <w:left w:val="none" w:sz="0" w:space="0" w:color="auto"/>
        <w:bottom w:val="none" w:sz="0" w:space="0" w:color="auto"/>
        <w:right w:val="none" w:sz="0" w:space="0" w:color="auto"/>
      </w:divBdr>
    </w:div>
    <w:div w:id="800347625">
      <w:bodyDiv w:val="1"/>
      <w:marLeft w:val="0"/>
      <w:marRight w:val="0"/>
      <w:marTop w:val="0"/>
      <w:marBottom w:val="0"/>
      <w:divBdr>
        <w:top w:val="none" w:sz="0" w:space="0" w:color="auto"/>
        <w:left w:val="none" w:sz="0" w:space="0" w:color="auto"/>
        <w:bottom w:val="none" w:sz="0" w:space="0" w:color="auto"/>
        <w:right w:val="none" w:sz="0" w:space="0" w:color="auto"/>
      </w:divBdr>
    </w:div>
    <w:div w:id="832374970">
      <w:bodyDiv w:val="1"/>
      <w:marLeft w:val="0"/>
      <w:marRight w:val="0"/>
      <w:marTop w:val="0"/>
      <w:marBottom w:val="0"/>
      <w:divBdr>
        <w:top w:val="none" w:sz="0" w:space="0" w:color="auto"/>
        <w:left w:val="none" w:sz="0" w:space="0" w:color="auto"/>
        <w:bottom w:val="none" w:sz="0" w:space="0" w:color="auto"/>
        <w:right w:val="none" w:sz="0" w:space="0" w:color="auto"/>
      </w:divBdr>
    </w:div>
    <w:div w:id="837354073">
      <w:bodyDiv w:val="1"/>
      <w:marLeft w:val="0"/>
      <w:marRight w:val="0"/>
      <w:marTop w:val="0"/>
      <w:marBottom w:val="0"/>
      <w:divBdr>
        <w:top w:val="none" w:sz="0" w:space="0" w:color="auto"/>
        <w:left w:val="none" w:sz="0" w:space="0" w:color="auto"/>
        <w:bottom w:val="none" w:sz="0" w:space="0" w:color="auto"/>
        <w:right w:val="none" w:sz="0" w:space="0" w:color="auto"/>
      </w:divBdr>
    </w:div>
    <w:div w:id="859316575">
      <w:bodyDiv w:val="1"/>
      <w:marLeft w:val="0"/>
      <w:marRight w:val="0"/>
      <w:marTop w:val="0"/>
      <w:marBottom w:val="0"/>
      <w:divBdr>
        <w:top w:val="none" w:sz="0" w:space="0" w:color="auto"/>
        <w:left w:val="none" w:sz="0" w:space="0" w:color="auto"/>
        <w:bottom w:val="none" w:sz="0" w:space="0" w:color="auto"/>
        <w:right w:val="none" w:sz="0" w:space="0" w:color="auto"/>
      </w:divBdr>
    </w:div>
    <w:div w:id="870608271">
      <w:bodyDiv w:val="1"/>
      <w:marLeft w:val="0"/>
      <w:marRight w:val="0"/>
      <w:marTop w:val="0"/>
      <w:marBottom w:val="0"/>
      <w:divBdr>
        <w:top w:val="none" w:sz="0" w:space="0" w:color="auto"/>
        <w:left w:val="none" w:sz="0" w:space="0" w:color="auto"/>
        <w:bottom w:val="none" w:sz="0" w:space="0" w:color="auto"/>
        <w:right w:val="none" w:sz="0" w:space="0" w:color="auto"/>
      </w:divBdr>
    </w:div>
    <w:div w:id="887373341">
      <w:bodyDiv w:val="1"/>
      <w:marLeft w:val="0"/>
      <w:marRight w:val="0"/>
      <w:marTop w:val="0"/>
      <w:marBottom w:val="0"/>
      <w:divBdr>
        <w:top w:val="none" w:sz="0" w:space="0" w:color="auto"/>
        <w:left w:val="none" w:sz="0" w:space="0" w:color="auto"/>
        <w:bottom w:val="none" w:sz="0" w:space="0" w:color="auto"/>
        <w:right w:val="none" w:sz="0" w:space="0" w:color="auto"/>
      </w:divBdr>
    </w:div>
    <w:div w:id="891234973">
      <w:bodyDiv w:val="1"/>
      <w:marLeft w:val="0"/>
      <w:marRight w:val="0"/>
      <w:marTop w:val="0"/>
      <w:marBottom w:val="0"/>
      <w:divBdr>
        <w:top w:val="none" w:sz="0" w:space="0" w:color="auto"/>
        <w:left w:val="none" w:sz="0" w:space="0" w:color="auto"/>
        <w:bottom w:val="none" w:sz="0" w:space="0" w:color="auto"/>
        <w:right w:val="none" w:sz="0" w:space="0" w:color="auto"/>
      </w:divBdr>
    </w:div>
    <w:div w:id="894706066">
      <w:bodyDiv w:val="1"/>
      <w:marLeft w:val="0"/>
      <w:marRight w:val="0"/>
      <w:marTop w:val="0"/>
      <w:marBottom w:val="0"/>
      <w:divBdr>
        <w:top w:val="none" w:sz="0" w:space="0" w:color="auto"/>
        <w:left w:val="none" w:sz="0" w:space="0" w:color="auto"/>
        <w:bottom w:val="none" w:sz="0" w:space="0" w:color="auto"/>
        <w:right w:val="none" w:sz="0" w:space="0" w:color="auto"/>
      </w:divBdr>
    </w:div>
    <w:div w:id="895161933">
      <w:bodyDiv w:val="1"/>
      <w:marLeft w:val="0"/>
      <w:marRight w:val="0"/>
      <w:marTop w:val="0"/>
      <w:marBottom w:val="0"/>
      <w:divBdr>
        <w:top w:val="none" w:sz="0" w:space="0" w:color="auto"/>
        <w:left w:val="none" w:sz="0" w:space="0" w:color="auto"/>
        <w:bottom w:val="none" w:sz="0" w:space="0" w:color="auto"/>
        <w:right w:val="none" w:sz="0" w:space="0" w:color="auto"/>
      </w:divBdr>
    </w:div>
    <w:div w:id="895701255">
      <w:bodyDiv w:val="1"/>
      <w:marLeft w:val="0"/>
      <w:marRight w:val="0"/>
      <w:marTop w:val="0"/>
      <w:marBottom w:val="0"/>
      <w:divBdr>
        <w:top w:val="none" w:sz="0" w:space="0" w:color="auto"/>
        <w:left w:val="none" w:sz="0" w:space="0" w:color="auto"/>
        <w:bottom w:val="none" w:sz="0" w:space="0" w:color="auto"/>
        <w:right w:val="none" w:sz="0" w:space="0" w:color="auto"/>
      </w:divBdr>
    </w:div>
    <w:div w:id="907569008">
      <w:bodyDiv w:val="1"/>
      <w:marLeft w:val="0"/>
      <w:marRight w:val="0"/>
      <w:marTop w:val="0"/>
      <w:marBottom w:val="0"/>
      <w:divBdr>
        <w:top w:val="none" w:sz="0" w:space="0" w:color="auto"/>
        <w:left w:val="none" w:sz="0" w:space="0" w:color="auto"/>
        <w:bottom w:val="none" w:sz="0" w:space="0" w:color="auto"/>
        <w:right w:val="none" w:sz="0" w:space="0" w:color="auto"/>
      </w:divBdr>
    </w:div>
    <w:div w:id="915673404">
      <w:bodyDiv w:val="1"/>
      <w:marLeft w:val="0"/>
      <w:marRight w:val="0"/>
      <w:marTop w:val="0"/>
      <w:marBottom w:val="0"/>
      <w:divBdr>
        <w:top w:val="none" w:sz="0" w:space="0" w:color="auto"/>
        <w:left w:val="none" w:sz="0" w:space="0" w:color="auto"/>
        <w:bottom w:val="none" w:sz="0" w:space="0" w:color="auto"/>
        <w:right w:val="none" w:sz="0" w:space="0" w:color="auto"/>
      </w:divBdr>
    </w:div>
    <w:div w:id="924219221">
      <w:bodyDiv w:val="1"/>
      <w:marLeft w:val="0"/>
      <w:marRight w:val="0"/>
      <w:marTop w:val="0"/>
      <w:marBottom w:val="0"/>
      <w:divBdr>
        <w:top w:val="none" w:sz="0" w:space="0" w:color="auto"/>
        <w:left w:val="none" w:sz="0" w:space="0" w:color="auto"/>
        <w:bottom w:val="none" w:sz="0" w:space="0" w:color="auto"/>
        <w:right w:val="none" w:sz="0" w:space="0" w:color="auto"/>
      </w:divBdr>
    </w:div>
    <w:div w:id="932206943">
      <w:bodyDiv w:val="1"/>
      <w:marLeft w:val="0"/>
      <w:marRight w:val="0"/>
      <w:marTop w:val="0"/>
      <w:marBottom w:val="0"/>
      <w:divBdr>
        <w:top w:val="none" w:sz="0" w:space="0" w:color="auto"/>
        <w:left w:val="none" w:sz="0" w:space="0" w:color="auto"/>
        <w:bottom w:val="none" w:sz="0" w:space="0" w:color="auto"/>
        <w:right w:val="none" w:sz="0" w:space="0" w:color="auto"/>
      </w:divBdr>
    </w:div>
    <w:div w:id="993803875">
      <w:bodyDiv w:val="1"/>
      <w:marLeft w:val="0"/>
      <w:marRight w:val="0"/>
      <w:marTop w:val="0"/>
      <w:marBottom w:val="0"/>
      <w:divBdr>
        <w:top w:val="none" w:sz="0" w:space="0" w:color="auto"/>
        <w:left w:val="none" w:sz="0" w:space="0" w:color="auto"/>
        <w:bottom w:val="none" w:sz="0" w:space="0" w:color="auto"/>
        <w:right w:val="none" w:sz="0" w:space="0" w:color="auto"/>
      </w:divBdr>
    </w:div>
    <w:div w:id="1006903629">
      <w:bodyDiv w:val="1"/>
      <w:marLeft w:val="0"/>
      <w:marRight w:val="0"/>
      <w:marTop w:val="0"/>
      <w:marBottom w:val="0"/>
      <w:divBdr>
        <w:top w:val="none" w:sz="0" w:space="0" w:color="auto"/>
        <w:left w:val="none" w:sz="0" w:space="0" w:color="auto"/>
        <w:bottom w:val="none" w:sz="0" w:space="0" w:color="auto"/>
        <w:right w:val="none" w:sz="0" w:space="0" w:color="auto"/>
      </w:divBdr>
    </w:div>
    <w:div w:id="1008408105">
      <w:bodyDiv w:val="1"/>
      <w:marLeft w:val="0"/>
      <w:marRight w:val="0"/>
      <w:marTop w:val="0"/>
      <w:marBottom w:val="0"/>
      <w:divBdr>
        <w:top w:val="none" w:sz="0" w:space="0" w:color="auto"/>
        <w:left w:val="none" w:sz="0" w:space="0" w:color="auto"/>
        <w:bottom w:val="none" w:sz="0" w:space="0" w:color="auto"/>
        <w:right w:val="none" w:sz="0" w:space="0" w:color="auto"/>
      </w:divBdr>
    </w:div>
    <w:div w:id="1016346030">
      <w:bodyDiv w:val="1"/>
      <w:marLeft w:val="0"/>
      <w:marRight w:val="0"/>
      <w:marTop w:val="0"/>
      <w:marBottom w:val="0"/>
      <w:divBdr>
        <w:top w:val="none" w:sz="0" w:space="0" w:color="auto"/>
        <w:left w:val="none" w:sz="0" w:space="0" w:color="auto"/>
        <w:bottom w:val="none" w:sz="0" w:space="0" w:color="auto"/>
        <w:right w:val="none" w:sz="0" w:space="0" w:color="auto"/>
      </w:divBdr>
    </w:div>
    <w:div w:id="1052460057">
      <w:bodyDiv w:val="1"/>
      <w:marLeft w:val="0"/>
      <w:marRight w:val="0"/>
      <w:marTop w:val="0"/>
      <w:marBottom w:val="0"/>
      <w:divBdr>
        <w:top w:val="none" w:sz="0" w:space="0" w:color="auto"/>
        <w:left w:val="none" w:sz="0" w:space="0" w:color="auto"/>
        <w:bottom w:val="none" w:sz="0" w:space="0" w:color="auto"/>
        <w:right w:val="none" w:sz="0" w:space="0" w:color="auto"/>
      </w:divBdr>
    </w:div>
    <w:div w:id="1052580851">
      <w:bodyDiv w:val="1"/>
      <w:marLeft w:val="0"/>
      <w:marRight w:val="0"/>
      <w:marTop w:val="0"/>
      <w:marBottom w:val="0"/>
      <w:divBdr>
        <w:top w:val="none" w:sz="0" w:space="0" w:color="auto"/>
        <w:left w:val="none" w:sz="0" w:space="0" w:color="auto"/>
        <w:bottom w:val="none" w:sz="0" w:space="0" w:color="auto"/>
        <w:right w:val="none" w:sz="0" w:space="0" w:color="auto"/>
      </w:divBdr>
    </w:div>
    <w:div w:id="1063412665">
      <w:bodyDiv w:val="1"/>
      <w:marLeft w:val="0"/>
      <w:marRight w:val="0"/>
      <w:marTop w:val="0"/>
      <w:marBottom w:val="0"/>
      <w:divBdr>
        <w:top w:val="none" w:sz="0" w:space="0" w:color="auto"/>
        <w:left w:val="none" w:sz="0" w:space="0" w:color="auto"/>
        <w:bottom w:val="none" w:sz="0" w:space="0" w:color="auto"/>
        <w:right w:val="none" w:sz="0" w:space="0" w:color="auto"/>
      </w:divBdr>
    </w:div>
    <w:div w:id="1067655399">
      <w:bodyDiv w:val="1"/>
      <w:marLeft w:val="0"/>
      <w:marRight w:val="0"/>
      <w:marTop w:val="0"/>
      <w:marBottom w:val="0"/>
      <w:divBdr>
        <w:top w:val="none" w:sz="0" w:space="0" w:color="auto"/>
        <w:left w:val="none" w:sz="0" w:space="0" w:color="auto"/>
        <w:bottom w:val="none" w:sz="0" w:space="0" w:color="auto"/>
        <w:right w:val="none" w:sz="0" w:space="0" w:color="auto"/>
      </w:divBdr>
    </w:div>
    <w:div w:id="1080786765">
      <w:bodyDiv w:val="1"/>
      <w:marLeft w:val="0"/>
      <w:marRight w:val="0"/>
      <w:marTop w:val="0"/>
      <w:marBottom w:val="0"/>
      <w:divBdr>
        <w:top w:val="none" w:sz="0" w:space="0" w:color="auto"/>
        <w:left w:val="none" w:sz="0" w:space="0" w:color="auto"/>
        <w:bottom w:val="none" w:sz="0" w:space="0" w:color="auto"/>
        <w:right w:val="none" w:sz="0" w:space="0" w:color="auto"/>
      </w:divBdr>
    </w:div>
    <w:div w:id="1085109475">
      <w:bodyDiv w:val="1"/>
      <w:marLeft w:val="0"/>
      <w:marRight w:val="0"/>
      <w:marTop w:val="0"/>
      <w:marBottom w:val="0"/>
      <w:divBdr>
        <w:top w:val="none" w:sz="0" w:space="0" w:color="auto"/>
        <w:left w:val="none" w:sz="0" w:space="0" w:color="auto"/>
        <w:bottom w:val="none" w:sz="0" w:space="0" w:color="auto"/>
        <w:right w:val="none" w:sz="0" w:space="0" w:color="auto"/>
      </w:divBdr>
    </w:div>
    <w:div w:id="1085883058">
      <w:bodyDiv w:val="1"/>
      <w:marLeft w:val="0"/>
      <w:marRight w:val="0"/>
      <w:marTop w:val="0"/>
      <w:marBottom w:val="0"/>
      <w:divBdr>
        <w:top w:val="none" w:sz="0" w:space="0" w:color="auto"/>
        <w:left w:val="none" w:sz="0" w:space="0" w:color="auto"/>
        <w:bottom w:val="none" w:sz="0" w:space="0" w:color="auto"/>
        <w:right w:val="none" w:sz="0" w:space="0" w:color="auto"/>
      </w:divBdr>
    </w:div>
    <w:div w:id="1088506538">
      <w:bodyDiv w:val="1"/>
      <w:marLeft w:val="0"/>
      <w:marRight w:val="0"/>
      <w:marTop w:val="0"/>
      <w:marBottom w:val="0"/>
      <w:divBdr>
        <w:top w:val="none" w:sz="0" w:space="0" w:color="auto"/>
        <w:left w:val="none" w:sz="0" w:space="0" w:color="auto"/>
        <w:bottom w:val="none" w:sz="0" w:space="0" w:color="auto"/>
        <w:right w:val="none" w:sz="0" w:space="0" w:color="auto"/>
      </w:divBdr>
    </w:div>
    <w:div w:id="1101413113">
      <w:bodyDiv w:val="1"/>
      <w:marLeft w:val="0"/>
      <w:marRight w:val="0"/>
      <w:marTop w:val="0"/>
      <w:marBottom w:val="0"/>
      <w:divBdr>
        <w:top w:val="none" w:sz="0" w:space="0" w:color="auto"/>
        <w:left w:val="none" w:sz="0" w:space="0" w:color="auto"/>
        <w:bottom w:val="none" w:sz="0" w:space="0" w:color="auto"/>
        <w:right w:val="none" w:sz="0" w:space="0" w:color="auto"/>
      </w:divBdr>
    </w:div>
    <w:div w:id="1113984508">
      <w:bodyDiv w:val="1"/>
      <w:marLeft w:val="0"/>
      <w:marRight w:val="0"/>
      <w:marTop w:val="0"/>
      <w:marBottom w:val="0"/>
      <w:divBdr>
        <w:top w:val="none" w:sz="0" w:space="0" w:color="auto"/>
        <w:left w:val="none" w:sz="0" w:space="0" w:color="auto"/>
        <w:bottom w:val="none" w:sz="0" w:space="0" w:color="auto"/>
        <w:right w:val="none" w:sz="0" w:space="0" w:color="auto"/>
      </w:divBdr>
    </w:div>
    <w:div w:id="1122532325">
      <w:bodyDiv w:val="1"/>
      <w:marLeft w:val="0"/>
      <w:marRight w:val="0"/>
      <w:marTop w:val="0"/>
      <w:marBottom w:val="0"/>
      <w:divBdr>
        <w:top w:val="none" w:sz="0" w:space="0" w:color="auto"/>
        <w:left w:val="none" w:sz="0" w:space="0" w:color="auto"/>
        <w:bottom w:val="none" w:sz="0" w:space="0" w:color="auto"/>
        <w:right w:val="none" w:sz="0" w:space="0" w:color="auto"/>
      </w:divBdr>
    </w:div>
    <w:div w:id="1129400009">
      <w:bodyDiv w:val="1"/>
      <w:marLeft w:val="0"/>
      <w:marRight w:val="0"/>
      <w:marTop w:val="0"/>
      <w:marBottom w:val="0"/>
      <w:divBdr>
        <w:top w:val="none" w:sz="0" w:space="0" w:color="auto"/>
        <w:left w:val="none" w:sz="0" w:space="0" w:color="auto"/>
        <w:bottom w:val="none" w:sz="0" w:space="0" w:color="auto"/>
        <w:right w:val="none" w:sz="0" w:space="0" w:color="auto"/>
      </w:divBdr>
    </w:div>
    <w:div w:id="1130824487">
      <w:bodyDiv w:val="1"/>
      <w:marLeft w:val="0"/>
      <w:marRight w:val="0"/>
      <w:marTop w:val="0"/>
      <w:marBottom w:val="0"/>
      <w:divBdr>
        <w:top w:val="none" w:sz="0" w:space="0" w:color="auto"/>
        <w:left w:val="none" w:sz="0" w:space="0" w:color="auto"/>
        <w:bottom w:val="none" w:sz="0" w:space="0" w:color="auto"/>
        <w:right w:val="none" w:sz="0" w:space="0" w:color="auto"/>
      </w:divBdr>
    </w:div>
    <w:div w:id="1150907608">
      <w:bodyDiv w:val="1"/>
      <w:marLeft w:val="0"/>
      <w:marRight w:val="0"/>
      <w:marTop w:val="0"/>
      <w:marBottom w:val="0"/>
      <w:divBdr>
        <w:top w:val="none" w:sz="0" w:space="0" w:color="auto"/>
        <w:left w:val="none" w:sz="0" w:space="0" w:color="auto"/>
        <w:bottom w:val="none" w:sz="0" w:space="0" w:color="auto"/>
        <w:right w:val="none" w:sz="0" w:space="0" w:color="auto"/>
      </w:divBdr>
    </w:div>
    <w:div w:id="1162087968">
      <w:bodyDiv w:val="1"/>
      <w:marLeft w:val="0"/>
      <w:marRight w:val="0"/>
      <w:marTop w:val="0"/>
      <w:marBottom w:val="0"/>
      <w:divBdr>
        <w:top w:val="none" w:sz="0" w:space="0" w:color="auto"/>
        <w:left w:val="none" w:sz="0" w:space="0" w:color="auto"/>
        <w:bottom w:val="none" w:sz="0" w:space="0" w:color="auto"/>
        <w:right w:val="none" w:sz="0" w:space="0" w:color="auto"/>
      </w:divBdr>
    </w:div>
    <w:div w:id="1166435168">
      <w:bodyDiv w:val="1"/>
      <w:marLeft w:val="0"/>
      <w:marRight w:val="0"/>
      <w:marTop w:val="0"/>
      <w:marBottom w:val="0"/>
      <w:divBdr>
        <w:top w:val="none" w:sz="0" w:space="0" w:color="auto"/>
        <w:left w:val="none" w:sz="0" w:space="0" w:color="auto"/>
        <w:bottom w:val="none" w:sz="0" w:space="0" w:color="auto"/>
        <w:right w:val="none" w:sz="0" w:space="0" w:color="auto"/>
      </w:divBdr>
    </w:div>
    <w:div w:id="1167399068">
      <w:bodyDiv w:val="1"/>
      <w:marLeft w:val="0"/>
      <w:marRight w:val="0"/>
      <w:marTop w:val="0"/>
      <w:marBottom w:val="0"/>
      <w:divBdr>
        <w:top w:val="none" w:sz="0" w:space="0" w:color="auto"/>
        <w:left w:val="none" w:sz="0" w:space="0" w:color="auto"/>
        <w:bottom w:val="none" w:sz="0" w:space="0" w:color="auto"/>
        <w:right w:val="none" w:sz="0" w:space="0" w:color="auto"/>
      </w:divBdr>
    </w:div>
    <w:div w:id="1175725441">
      <w:bodyDiv w:val="1"/>
      <w:marLeft w:val="0"/>
      <w:marRight w:val="0"/>
      <w:marTop w:val="0"/>
      <w:marBottom w:val="0"/>
      <w:divBdr>
        <w:top w:val="none" w:sz="0" w:space="0" w:color="auto"/>
        <w:left w:val="none" w:sz="0" w:space="0" w:color="auto"/>
        <w:bottom w:val="none" w:sz="0" w:space="0" w:color="auto"/>
        <w:right w:val="none" w:sz="0" w:space="0" w:color="auto"/>
      </w:divBdr>
    </w:div>
    <w:div w:id="1189298215">
      <w:bodyDiv w:val="1"/>
      <w:marLeft w:val="0"/>
      <w:marRight w:val="0"/>
      <w:marTop w:val="0"/>
      <w:marBottom w:val="0"/>
      <w:divBdr>
        <w:top w:val="none" w:sz="0" w:space="0" w:color="auto"/>
        <w:left w:val="none" w:sz="0" w:space="0" w:color="auto"/>
        <w:bottom w:val="none" w:sz="0" w:space="0" w:color="auto"/>
        <w:right w:val="none" w:sz="0" w:space="0" w:color="auto"/>
      </w:divBdr>
    </w:div>
    <w:div w:id="1191725868">
      <w:bodyDiv w:val="1"/>
      <w:marLeft w:val="0"/>
      <w:marRight w:val="0"/>
      <w:marTop w:val="0"/>
      <w:marBottom w:val="0"/>
      <w:divBdr>
        <w:top w:val="none" w:sz="0" w:space="0" w:color="auto"/>
        <w:left w:val="none" w:sz="0" w:space="0" w:color="auto"/>
        <w:bottom w:val="none" w:sz="0" w:space="0" w:color="auto"/>
        <w:right w:val="none" w:sz="0" w:space="0" w:color="auto"/>
      </w:divBdr>
    </w:div>
    <w:div w:id="1193806513">
      <w:bodyDiv w:val="1"/>
      <w:marLeft w:val="0"/>
      <w:marRight w:val="0"/>
      <w:marTop w:val="0"/>
      <w:marBottom w:val="0"/>
      <w:divBdr>
        <w:top w:val="none" w:sz="0" w:space="0" w:color="auto"/>
        <w:left w:val="none" w:sz="0" w:space="0" w:color="auto"/>
        <w:bottom w:val="none" w:sz="0" w:space="0" w:color="auto"/>
        <w:right w:val="none" w:sz="0" w:space="0" w:color="auto"/>
      </w:divBdr>
      <w:divsChild>
        <w:div w:id="1193615307">
          <w:marLeft w:val="0"/>
          <w:marRight w:val="0"/>
          <w:marTop w:val="0"/>
          <w:marBottom w:val="0"/>
          <w:divBdr>
            <w:top w:val="none" w:sz="0" w:space="0" w:color="auto"/>
            <w:left w:val="none" w:sz="0" w:space="0" w:color="auto"/>
            <w:bottom w:val="none" w:sz="0" w:space="0" w:color="auto"/>
            <w:right w:val="none" w:sz="0" w:space="0" w:color="auto"/>
          </w:divBdr>
          <w:divsChild>
            <w:div w:id="125247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288068">
      <w:bodyDiv w:val="1"/>
      <w:marLeft w:val="0"/>
      <w:marRight w:val="0"/>
      <w:marTop w:val="0"/>
      <w:marBottom w:val="0"/>
      <w:divBdr>
        <w:top w:val="none" w:sz="0" w:space="0" w:color="auto"/>
        <w:left w:val="none" w:sz="0" w:space="0" w:color="auto"/>
        <w:bottom w:val="none" w:sz="0" w:space="0" w:color="auto"/>
        <w:right w:val="none" w:sz="0" w:space="0" w:color="auto"/>
      </w:divBdr>
    </w:div>
    <w:div w:id="1205750571">
      <w:bodyDiv w:val="1"/>
      <w:marLeft w:val="0"/>
      <w:marRight w:val="0"/>
      <w:marTop w:val="0"/>
      <w:marBottom w:val="0"/>
      <w:divBdr>
        <w:top w:val="none" w:sz="0" w:space="0" w:color="auto"/>
        <w:left w:val="none" w:sz="0" w:space="0" w:color="auto"/>
        <w:bottom w:val="none" w:sz="0" w:space="0" w:color="auto"/>
        <w:right w:val="none" w:sz="0" w:space="0" w:color="auto"/>
      </w:divBdr>
    </w:div>
    <w:div w:id="1207253258">
      <w:bodyDiv w:val="1"/>
      <w:marLeft w:val="0"/>
      <w:marRight w:val="0"/>
      <w:marTop w:val="0"/>
      <w:marBottom w:val="0"/>
      <w:divBdr>
        <w:top w:val="none" w:sz="0" w:space="0" w:color="auto"/>
        <w:left w:val="none" w:sz="0" w:space="0" w:color="auto"/>
        <w:bottom w:val="none" w:sz="0" w:space="0" w:color="auto"/>
        <w:right w:val="none" w:sz="0" w:space="0" w:color="auto"/>
      </w:divBdr>
    </w:div>
    <w:div w:id="1213731221">
      <w:bodyDiv w:val="1"/>
      <w:marLeft w:val="0"/>
      <w:marRight w:val="0"/>
      <w:marTop w:val="0"/>
      <w:marBottom w:val="0"/>
      <w:divBdr>
        <w:top w:val="none" w:sz="0" w:space="0" w:color="auto"/>
        <w:left w:val="none" w:sz="0" w:space="0" w:color="auto"/>
        <w:bottom w:val="none" w:sz="0" w:space="0" w:color="auto"/>
        <w:right w:val="none" w:sz="0" w:space="0" w:color="auto"/>
      </w:divBdr>
    </w:div>
    <w:div w:id="1225026324">
      <w:bodyDiv w:val="1"/>
      <w:marLeft w:val="0"/>
      <w:marRight w:val="0"/>
      <w:marTop w:val="0"/>
      <w:marBottom w:val="0"/>
      <w:divBdr>
        <w:top w:val="none" w:sz="0" w:space="0" w:color="auto"/>
        <w:left w:val="none" w:sz="0" w:space="0" w:color="auto"/>
        <w:bottom w:val="none" w:sz="0" w:space="0" w:color="auto"/>
        <w:right w:val="none" w:sz="0" w:space="0" w:color="auto"/>
      </w:divBdr>
    </w:div>
    <w:div w:id="1232160223">
      <w:bodyDiv w:val="1"/>
      <w:marLeft w:val="0"/>
      <w:marRight w:val="0"/>
      <w:marTop w:val="0"/>
      <w:marBottom w:val="0"/>
      <w:divBdr>
        <w:top w:val="none" w:sz="0" w:space="0" w:color="auto"/>
        <w:left w:val="none" w:sz="0" w:space="0" w:color="auto"/>
        <w:bottom w:val="none" w:sz="0" w:space="0" w:color="auto"/>
        <w:right w:val="none" w:sz="0" w:space="0" w:color="auto"/>
      </w:divBdr>
    </w:div>
    <w:div w:id="1234505925">
      <w:bodyDiv w:val="1"/>
      <w:marLeft w:val="0"/>
      <w:marRight w:val="0"/>
      <w:marTop w:val="0"/>
      <w:marBottom w:val="0"/>
      <w:divBdr>
        <w:top w:val="none" w:sz="0" w:space="0" w:color="auto"/>
        <w:left w:val="none" w:sz="0" w:space="0" w:color="auto"/>
        <w:bottom w:val="none" w:sz="0" w:space="0" w:color="auto"/>
        <w:right w:val="none" w:sz="0" w:space="0" w:color="auto"/>
      </w:divBdr>
    </w:div>
    <w:div w:id="1240670977">
      <w:bodyDiv w:val="1"/>
      <w:marLeft w:val="0"/>
      <w:marRight w:val="0"/>
      <w:marTop w:val="0"/>
      <w:marBottom w:val="0"/>
      <w:divBdr>
        <w:top w:val="none" w:sz="0" w:space="0" w:color="auto"/>
        <w:left w:val="none" w:sz="0" w:space="0" w:color="auto"/>
        <w:bottom w:val="none" w:sz="0" w:space="0" w:color="auto"/>
        <w:right w:val="none" w:sz="0" w:space="0" w:color="auto"/>
      </w:divBdr>
    </w:div>
    <w:div w:id="1246495302">
      <w:bodyDiv w:val="1"/>
      <w:marLeft w:val="0"/>
      <w:marRight w:val="0"/>
      <w:marTop w:val="0"/>
      <w:marBottom w:val="0"/>
      <w:divBdr>
        <w:top w:val="none" w:sz="0" w:space="0" w:color="auto"/>
        <w:left w:val="none" w:sz="0" w:space="0" w:color="auto"/>
        <w:bottom w:val="none" w:sz="0" w:space="0" w:color="auto"/>
        <w:right w:val="none" w:sz="0" w:space="0" w:color="auto"/>
      </w:divBdr>
    </w:div>
    <w:div w:id="1256590966">
      <w:bodyDiv w:val="1"/>
      <w:marLeft w:val="0"/>
      <w:marRight w:val="0"/>
      <w:marTop w:val="0"/>
      <w:marBottom w:val="0"/>
      <w:divBdr>
        <w:top w:val="none" w:sz="0" w:space="0" w:color="auto"/>
        <w:left w:val="none" w:sz="0" w:space="0" w:color="auto"/>
        <w:bottom w:val="none" w:sz="0" w:space="0" w:color="auto"/>
        <w:right w:val="none" w:sz="0" w:space="0" w:color="auto"/>
      </w:divBdr>
    </w:div>
    <w:div w:id="1273172961">
      <w:bodyDiv w:val="1"/>
      <w:marLeft w:val="0"/>
      <w:marRight w:val="0"/>
      <w:marTop w:val="0"/>
      <w:marBottom w:val="0"/>
      <w:divBdr>
        <w:top w:val="none" w:sz="0" w:space="0" w:color="auto"/>
        <w:left w:val="none" w:sz="0" w:space="0" w:color="auto"/>
        <w:bottom w:val="none" w:sz="0" w:space="0" w:color="auto"/>
        <w:right w:val="none" w:sz="0" w:space="0" w:color="auto"/>
      </w:divBdr>
    </w:div>
    <w:div w:id="1296719574">
      <w:bodyDiv w:val="1"/>
      <w:marLeft w:val="0"/>
      <w:marRight w:val="0"/>
      <w:marTop w:val="0"/>
      <w:marBottom w:val="0"/>
      <w:divBdr>
        <w:top w:val="none" w:sz="0" w:space="0" w:color="auto"/>
        <w:left w:val="none" w:sz="0" w:space="0" w:color="auto"/>
        <w:bottom w:val="none" w:sz="0" w:space="0" w:color="auto"/>
        <w:right w:val="none" w:sz="0" w:space="0" w:color="auto"/>
      </w:divBdr>
    </w:div>
    <w:div w:id="1313294156">
      <w:bodyDiv w:val="1"/>
      <w:marLeft w:val="0"/>
      <w:marRight w:val="0"/>
      <w:marTop w:val="0"/>
      <w:marBottom w:val="0"/>
      <w:divBdr>
        <w:top w:val="none" w:sz="0" w:space="0" w:color="auto"/>
        <w:left w:val="none" w:sz="0" w:space="0" w:color="auto"/>
        <w:bottom w:val="none" w:sz="0" w:space="0" w:color="auto"/>
        <w:right w:val="none" w:sz="0" w:space="0" w:color="auto"/>
      </w:divBdr>
    </w:div>
    <w:div w:id="1322807146">
      <w:bodyDiv w:val="1"/>
      <w:marLeft w:val="0"/>
      <w:marRight w:val="0"/>
      <w:marTop w:val="0"/>
      <w:marBottom w:val="0"/>
      <w:divBdr>
        <w:top w:val="none" w:sz="0" w:space="0" w:color="auto"/>
        <w:left w:val="none" w:sz="0" w:space="0" w:color="auto"/>
        <w:bottom w:val="none" w:sz="0" w:space="0" w:color="auto"/>
        <w:right w:val="none" w:sz="0" w:space="0" w:color="auto"/>
      </w:divBdr>
    </w:div>
    <w:div w:id="1336573185">
      <w:bodyDiv w:val="1"/>
      <w:marLeft w:val="0"/>
      <w:marRight w:val="0"/>
      <w:marTop w:val="0"/>
      <w:marBottom w:val="0"/>
      <w:divBdr>
        <w:top w:val="none" w:sz="0" w:space="0" w:color="auto"/>
        <w:left w:val="none" w:sz="0" w:space="0" w:color="auto"/>
        <w:bottom w:val="none" w:sz="0" w:space="0" w:color="auto"/>
        <w:right w:val="none" w:sz="0" w:space="0" w:color="auto"/>
      </w:divBdr>
    </w:div>
    <w:div w:id="1361931512">
      <w:bodyDiv w:val="1"/>
      <w:marLeft w:val="0"/>
      <w:marRight w:val="0"/>
      <w:marTop w:val="0"/>
      <w:marBottom w:val="0"/>
      <w:divBdr>
        <w:top w:val="none" w:sz="0" w:space="0" w:color="auto"/>
        <w:left w:val="none" w:sz="0" w:space="0" w:color="auto"/>
        <w:bottom w:val="none" w:sz="0" w:space="0" w:color="auto"/>
        <w:right w:val="none" w:sz="0" w:space="0" w:color="auto"/>
      </w:divBdr>
    </w:div>
    <w:div w:id="1385103577">
      <w:bodyDiv w:val="1"/>
      <w:marLeft w:val="0"/>
      <w:marRight w:val="0"/>
      <w:marTop w:val="0"/>
      <w:marBottom w:val="0"/>
      <w:divBdr>
        <w:top w:val="none" w:sz="0" w:space="0" w:color="auto"/>
        <w:left w:val="none" w:sz="0" w:space="0" w:color="auto"/>
        <w:bottom w:val="none" w:sz="0" w:space="0" w:color="auto"/>
        <w:right w:val="none" w:sz="0" w:space="0" w:color="auto"/>
      </w:divBdr>
    </w:div>
    <w:div w:id="1390760756">
      <w:bodyDiv w:val="1"/>
      <w:marLeft w:val="0"/>
      <w:marRight w:val="0"/>
      <w:marTop w:val="0"/>
      <w:marBottom w:val="0"/>
      <w:divBdr>
        <w:top w:val="none" w:sz="0" w:space="0" w:color="auto"/>
        <w:left w:val="none" w:sz="0" w:space="0" w:color="auto"/>
        <w:bottom w:val="none" w:sz="0" w:space="0" w:color="auto"/>
        <w:right w:val="none" w:sz="0" w:space="0" w:color="auto"/>
      </w:divBdr>
    </w:div>
    <w:div w:id="1396704288">
      <w:bodyDiv w:val="1"/>
      <w:marLeft w:val="0"/>
      <w:marRight w:val="0"/>
      <w:marTop w:val="0"/>
      <w:marBottom w:val="0"/>
      <w:divBdr>
        <w:top w:val="none" w:sz="0" w:space="0" w:color="auto"/>
        <w:left w:val="none" w:sz="0" w:space="0" w:color="auto"/>
        <w:bottom w:val="none" w:sz="0" w:space="0" w:color="auto"/>
        <w:right w:val="none" w:sz="0" w:space="0" w:color="auto"/>
      </w:divBdr>
    </w:div>
    <w:div w:id="1409379726">
      <w:bodyDiv w:val="1"/>
      <w:marLeft w:val="0"/>
      <w:marRight w:val="0"/>
      <w:marTop w:val="0"/>
      <w:marBottom w:val="0"/>
      <w:divBdr>
        <w:top w:val="none" w:sz="0" w:space="0" w:color="auto"/>
        <w:left w:val="none" w:sz="0" w:space="0" w:color="auto"/>
        <w:bottom w:val="none" w:sz="0" w:space="0" w:color="auto"/>
        <w:right w:val="none" w:sz="0" w:space="0" w:color="auto"/>
      </w:divBdr>
    </w:div>
    <w:div w:id="1416054249">
      <w:bodyDiv w:val="1"/>
      <w:marLeft w:val="0"/>
      <w:marRight w:val="0"/>
      <w:marTop w:val="0"/>
      <w:marBottom w:val="0"/>
      <w:divBdr>
        <w:top w:val="none" w:sz="0" w:space="0" w:color="auto"/>
        <w:left w:val="none" w:sz="0" w:space="0" w:color="auto"/>
        <w:bottom w:val="none" w:sz="0" w:space="0" w:color="auto"/>
        <w:right w:val="none" w:sz="0" w:space="0" w:color="auto"/>
      </w:divBdr>
    </w:div>
    <w:div w:id="1419792255">
      <w:bodyDiv w:val="1"/>
      <w:marLeft w:val="0"/>
      <w:marRight w:val="0"/>
      <w:marTop w:val="0"/>
      <w:marBottom w:val="0"/>
      <w:divBdr>
        <w:top w:val="none" w:sz="0" w:space="0" w:color="auto"/>
        <w:left w:val="none" w:sz="0" w:space="0" w:color="auto"/>
        <w:bottom w:val="none" w:sz="0" w:space="0" w:color="auto"/>
        <w:right w:val="none" w:sz="0" w:space="0" w:color="auto"/>
      </w:divBdr>
    </w:div>
    <w:div w:id="1421176992">
      <w:bodyDiv w:val="1"/>
      <w:marLeft w:val="0"/>
      <w:marRight w:val="0"/>
      <w:marTop w:val="0"/>
      <w:marBottom w:val="0"/>
      <w:divBdr>
        <w:top w:val="none" w:sz="0" w:space="0" w:color="auto"/>
        <w:left w:val="none" w:sz="0" w:space="0" w:color="auto"/>
        <w:bottom w:val="none" w:sz="0" w:space="0" w:color="auto"/>
        <w:right w:val="none" w:sz="0" w:space="0" w:color="auto"/>
      </w:divBdr>
    </w:div>
    <w:div w:id="1432775704">
      <w:bodyDiv w:val="1"/>
      <w:marLeft w:val="0"/>
      <w:marRight w:val="0"/>
      <w:marTop w:val="0"/>
      <w:marBottom w:val="0"/>
      <w:divBdr>
        <w:top w:val="none" w:sz="0" w:space="0" w:color="auto"/>
        <w:left w:val="none" w:sz="0" w:space="0" w:color="auto"/>
        <w:bottom w:val="none" w:sz="0" w:space="0" w:color="auto"/>
        <w:right w:val="none" w:sz="0" w:space="0" w:color="auto"/>
      </w:divBdr>
    </w:div>
    <w:div w:id="1436711591">
      <w:bodyDiv w:val="1"/>
      <w:marLeft w:val="0"/>
      <w:marRight w:val="0"/>
      <w:marTop w:val="0"/>
      <w:marBottom w:val="0"/>
      <w:divBdr>
        <w:top w:val="none" w:sz="0" w:space="0" w:color="auto"/>
        <w:left w:val="none" w:sz="0" w:space="0" w:color="auto"/>
        <w:bottom w:val="none" w:sz="0" w:space="0" w:color="auto"/>
        <w:right w:val="none" w:sz="0" w:space="0" w:color="auto"/>
      </w:divBdr>
    </w:div>
    <w:div w:id="1441682615">
      <w:bodyDiv w:val="1"/>
      <w:marLeft w:val="0"/>
      <w:marRight w:val="0"/>
      <w:marTop w:val="0"/>
      <w:marBottom w:val="0"/>
      <w:divBdr>
        <w:top w:val="none" w:sz="0" w:space="0" w:color="auto"/>
        <w:left w:val="none" w:sz="0" w:space="0" w:color="auto"/>
        <w:bottom w:val="none" w:sz="0" w:space="0" w:color="auto"/>
        <w:right w:val="none" w:sz="0" w:space="0" w:color="auto"/>
      </w:divBdr>
    </w:div>
    <w:div w:id="1449664257">
      <w:bodyDiv w:val="1"/>
      <w:marLeft w:val="0"/>
      <w:marRight w:val="0"/>
      <w:marTop w:val="0"/>
      <w:marBottom w:val="0"/>
      <w:divBdr>
        <w:top w:val="none" w:sz="0" w:space="0" w:color="auto"/>
        <w:left w:val="none" w:sz="0" w:space="0" w:color="auto"/>
        <w:bottom w:val="none" w:sz="0" w:space="0" w:color="auto"/>
        <w:right w:val="none" w:sz="0" w:space="0" w:color="auto"/>
      </w:divBdr>
    </w:div>
    <w:div w:id="1466459792">
      <w:bodyDiv w:val="1"/>
      <w:marLeft w:val="0"/>
      <w:marRight w:val="0"/>
      <w:marTop w:val="0"/>
      <w:marBottom w:val="0"/>
      <w:divBdr>
        <w:top w:val="none" w:sz="0" w:space="0" w:color="auto"/>
        <w:left w:val="none" w:sz="0" w:space="0" w:color="auto"/>
        <w:bottom w:val="none" w:sz="0" w:space="0" w:color="auto"/>
        <w:right w:val="none" w:sz="0" w:space="0" w:color="auto"/>
      </w:divBdr>
    </w:div>
    <w:div w:id="1471097710">
      <w:bodyDiv w:val="1"/>
      <w:marLeft w:val="0"/>
      <w:marRight w:val="0"/>
      <w:marTop w:val="0"/>
      <w:marBottom w:val="0"/>
      <w:divBdr>
        <w:top w:val="none" w:sz="0" w:space="0" w:color="auto"/>
        <w:left w:val="none" w:sz="0" w:space="0" w:color="auto"/>
        <w:bottom w:val="none" w:sz="0" w:space="0" w:color="auto"/>
        <w:right w:val="none" w:sz="0" w:space="0" w:color="auto"/>
      </w:divBdr>
    </w:div>
    <w:div w:id="1471634933">
      <w:bodyDiv w:val="1"/>
      <w:marLeft w:val="0"/>
      <w:marRight w:val="0"/>
      <w:marTop w:val="0"/>
      <w:marBottom w:val="0"/>
      <w:divBdr>
        <w:top w:val="none" w:sz="0" w:space="0" w:color="auto"/>
        <w:left w:val="none" w:sz="0" w:space="0" w:color="auto"/>
        <w:bottom w:val="none" w:sz="0" w:space="0" w:color="auto"/>
        <w:right w:val="none" w:sz="0" w:space="0" w:color="auto"/>
      </w:divBdr>
    </w:div>
    <w:div w:id="1477531627">
      <w:bodyDiv w:val="1"/>
      <w:marLeft w:val="0"/>
      <w:marRight w:val="0"/>
      <w:marTop w:val="0"/>
      <w:marBottom w:val="0"/>
      <w:divBdr>
        <w:top w:val="none" w:sz="0" w:space="0" w:color="auto"/>
        <w:left w:val="none" w:sz="0" w:space="0" w:color="auto"/>
        <w:bottom w:val="none" w:sz="0" w:space="0" w:color="auto"/>
        <w:right w:val="none" w:sz="0" w:space="0" w:color="auto"/>
      </w:divBdr>
    </w:div>
    <w:div w:id="1480461243">
      <w:bodyDiv w:val="1"/>
      <w:marLeft w:val="0"/>
      <w:marRight w:val="0"/>
      <w:marTop w:val="0"/>
      <w:marBottom w:val="0"/>
      <w:divBdr>
        <w:top w:val="none" w:sz="0" w:space="0" w:color="auto"/>
        <w:left w:val="none" w:sz="0" w:space="0" w:color="auto"/>
        <w:bottom w:val="none" w:sz="0" w:space="0" w:color="auto"/>
        <w:right w:val="none" w:sz="0" w:space="0" w:color="auto"/>
      </w:divBdr>
    </w:div>
    <w:div w:id="1486126494">
      <w:bodyDiv w:val="1"/>
      <w:marLeft w:val="0"/>
      <w:marRight w:val="0"/>
      <w:marTop w:val="0"/>
      <w:marBottom w:val="0"/>
      <w:divBdr>
        <w:top w:val="none" w:sz="0" w:space="0" w:color="auto"/>
        <w:left w:val="none" w:sz="0" w:space="0" w:color="auto"/>
        <w:bottom w:val="none" w:sz="0" w:space="0" w:color="auto"/>
        <w:right w:val="none" w:sz="0" w:space="0" w:color="auto"/>
      </w:divBdr>
    </w:div>
    <w:div w:id="1486628508">
      <w:bodyDiv w:val="1"/>
      <w:marLeft w:val="0"/>
      <w:marRight w:val="0"/>
      <w:marTop w:val="0"/>
      <w:marBottom w:val="0"/>
      <w:divBdr>
        <w:top w:val="none" w:sz="0" w:space="0" w:color="auto"/>
        <w:left w:val="none" w:sz="0" w:space="0" w:color="auto"/>
        <w:bottom w:val="none" w:sz="0" w:space="0" w:color="auto"/>
        <w:right w:val="none" w:sz="0" w:space="0" w:color="auto"/>
      </w:divBdr>
    </w:div>
    <w:div w:id="1490710444">
      <w:bodyDiv w:val="1"/>
      <w:marLeft w:val="0"/>
      <w:marRight w:val="0"/>
      <w:marTop w:val="0"/>
      <w:marBottom w:val="0"/>
      <w:divBdr>
        <w:top w:val="none" w:sz="0" w:space="0" w:color="auto"/>
        <w:left w:val="none" w:sz="0" w:space="0" w:color="auto"/>
        <w:bottom w:val="none" w:sz="0" w:space="0" w:color="auto"/>
        <w:right w:val="none" w:sz="0" w:space="0" w:color="auto"/>
      </w:divBdr>
    </w:div>
    <w:div w:id="1505436219">
      <w:bodyDiv w:val="1"/>
      <w:marLeft w:val="0"/>
      <w:marRight w:val="0"/>
      <w:marTop w:val="0"/>
      <w:marBottom w:val="0"/>
      <w:divBdr>
        <w:top w:val="none" w:sz="0" w:space="0" w:color="auto"/>
        <w:left w:val="none" w:sz="0" w:space="0" w:color="auto"/>
        <w:bottom w:val="none" w:sz="0" w:space="0" w:color="auto"/>
        <w:right w:val="none" w:sz="0" w:space="0" w:color="auto"/>
      </w:divBdr>
    </w:div>
    <w:div w:id="1520392681">
      <w:bodyDiv w:val="1"/>
      <w:marLeft w:val="0"/>
      <w:marRight w:val="0"/>
      <w:marTop w:val="0"/>
      <w:marBottom w:val="0"/>
      <w:divBdr>
        <w:top w:val="none" w:sz="0" w:space="0" w:color="auto"/>
        <w:left w:val="none" w:sz="0" w:space="0" w:color="auto"/>
        <w:bottom w:val="none" w:sz="0" w:space="0" w:color="auto"/>
        <w:right w:val="none" w:sz="0" w:space="0" w:color="auto"/>
      </w:divBdr>
    </w:div>
    <w:div w:id="1542480247">
      <w:bodyDiv w:val="1"/>
      <w:marLeft w:val="0"/>
      <w:marRight w:val="0"/>
      <w:marTop w:val="0"/>
      <w:marBottom w:val="0"/>
      <w:divBdr>
        <w:top w:val="none" w:sz="0" w:space="0" w:color="auto"/>
        <w:left w:val="none" w:sz="0" w:space="0" w:color="auto"/>
        <w:bottom w:val="none" w:sz="0" w:space="0" w:color="auto"/>
        <w:right w:val="none" w:sz="0" w:space="0" w:color="auto"/>
      </w:divBdr>
    </w:div>
    <w:div w:id="1551839145">
      <w:bodyDiv w:val="1"/>
      <w:marLeft w:val="0"/>
      <w:marRight w:val="0"/>
      <w:marTop w:val="0"/>
      <w:marBottom w:val="0"/>
      <w:divBdr>
        <w:top w:val="none" w:sz="0" w:space="0" w:color="auto"/>
        <w:left w:val="none" w:sz="0" w:space="0" w:color="auto"/>
        <w:bottom w:val="none" w:sz="0" w:space="0" w:color="auto"/>
        <w:right w:val="none" w:sz="0" w:space="0" w:color="auto"/>
      </w:divBdr>
    </w:div>
    <w:div w:id="1561793788">
      <w:bodyDiv w:val="1"/>
      <w:marLeft w:val="0"/>
      <w:marRight w:val="0"/>
      <w:marTop w:val="0"/>
      <w:marBottom w:val="0"/>
      <w:divBdr>
        <w:top w:val="none" w:sz="0" w:space="0" w:color="auto"/>
        <w:left w:val="none" w:sz="0" w:space="0" w:color="auto"/>
        <w:bottom w:val="none" w:sz="0" w:space="0" w:color="auto"/>
        <w:right w:val="none" w:sz="0" w:space="0" w:color="auto"/>
      </w:divBdr>
    </w:div>
    <w:div w:id="1568105296">
      <w:bodyDiv w:val="1"/>
      <w:marLeft w:val="0"/>
      <w:marRight w:val="0"/>
      <w:marTop w:val="0"/>
      <w:marBottom w:val="0"/>
      <w:divBdr>
        <w:top w:val="none" w:sz="0" w:space="0" w:color="auto"/>
        <w:left w:val="none" w:sz="0" w:space="0" w:color="auto"/>
        <w:bottom w:val="none" w:sz="0" w:space="0" w:color="auto"/>
        <w:right w:val="none" w:sz="0" w:space="0" w:color="auto"/>
      </w:divBdr>
    </w:div>
    <w:div w:id="1568606549">
      <w:bodyDiv w:val="1"/>
      <w:marLeft w:val="0"/>
      <w:marRight w:val="0"/>
      <w:marTop w:val="0"/>
      <w:marBottom w:val="0"/>
      <w:divBdr>
        <w:top w:val="none" w:sz="0" w:space="0" w:color="auto"/>
        <w:left w:val="none" w:sz="0" w:space="0" w:color="auto"/>
        <w:bottom w:val="none" w:sz="0" w:space="0" w:color="auto"/>
        <w:right w:val="none" w:sz="0" w:space="0" w:color="auto"/>
      </w:divBdr>
    </w:div>
    <w:div w:id="1598948171">
      <w:bodyDiv w:val="1"/>
      <w:marLeft w:val="0"/>
      <w:marRight w:val="0"/>
      <w:marTop w:val="0"/>
      <w:marBottom w:val="0"/>
      <w:divBdr>
        <w:top w:val="none" w:sz="0" w:space="0" w:color="auto"/>
        <w:left w:val="none" w:sz="0" w:space="0" w:color="auto"/>
        <w:bottom w:val="none" w:sz="0" w:space="0" w:color="auto"/>
        <w:right w:val="none" w:sz="0" w:space="0" w:color="auto"/>
      </w:divBdr>
    </w:div>
    <w:div w:id="1599093819">
      <w:bodyDiv w:val="1"/>
      <w:marLeft w:val="0"/>
      <w:marRight w:val="0"/>
      <w:marTop w:val="0"/>
      <w:marBottom w:val="0"/>
      <w:divBdr>
        <w:top w:val="none" w:sz="0" w:space="0" w:color="auto"/>
        <w:left w:val="none" w:sz="0" w:space="0" w:color="auto"/>
        <w:bottom w:val="none" w:sz="0" w:space="0" w:color="auto"/>
        <w:right w:val="none" w:sz="0" w:space="0" w:color="auto"/>
      </w:divBdr>
    </w:div>
    <w:div w:id="1608807415">
      <w:bodyDiv w:val="1"/>
      <w:marLeft w:val="0"/>
      <w:marRight w:val="0"/>
      <w:marTop w:val="0"/>
      <w:marBottom w:val="0"/>
      <w:divBdr>
        <w:top w:val="none" w:sz="0" w:space="0" w:color="auto"/>
        <w:left w:val="none" w:sz="0" w:space="0" w:color="auto"/>
        <w:bottom w:val="none" w:sz="0" w:space="0" w:color="auto"/>
        <w:right w:val="none" w:sz="0" w:space="0" w:color="auto"/>
      </w:divBdr>
    </w:div>
    <w:div w:id="1609195986">
      <w:bodyDiv w:val="1"/>
      <w:marLeft w:val="0"/>
      <w:marRight w:val="0"/>
      <w:marTop w:val="0"/>
      <w:marBottom w:val="0"/>
      <w:divBdr>
        <w:top w:val="none" w:sz="0" w:space="0" w:color="auto"/>
        <w:left w:val="none" w:sz="0" w:space="0" w:color="auto"/>
        <w:bottom w:val="none" w:sz="0" w:space="0" w:color="auto"/>
        <w:right w:val="none" w:sz="0" w:space="0" w:color="auto"/>
      </w:divBdr>
    </w:div>
    <w:div w:id="1610233410">
      <w:bodyDiv w:val="1"/>
      <w:marLeft w:val="0"/>
      <w:marRight w:val="0"/>
      <w:marTop w:val="0"/>
      <w:marBottom w:val="0"/>
      <w:divBdr>
        <w:top w:val="none" w:sz="0" w:space="0" w:color="auto"/>
        <w:left w:val="none" w:sz="0" w:space="0" w:color="auto"/>
        <w:bottom w:val="none" w:sz="0" w:space="0" w:color="auto"/>
        <w:right w:val="none" w:sz="0" w:space="0" w:color="auto"/>
      </w:divBdr>
    </w:div>
    <w:div w:id="1617638551">
      <w:bodyDiv w:val="1"/>
      <w:marLeft w:val="0"/>
      <w:marRight w:val="0"/>
      <w:marTop w:val="0"/>
      <w:marBottom w:val="0"/>
      <w:divBdr>
        <w:top w:val="none" w:sz="0" w:space="0" w:color="auto"/>
        <w:left w:val="none" w:sz="0" w:space="0" w:color="auto"/>
        <w:bottom w:val="none" w:sz="0" w:space="0" w:color="auto"/>
        <w:right w:val="none" w:sz="0" w:space="0" w:color="auto"/>
      </w:divBdr>
    </w:div>
    <w:div w:id="1640188982">
      <w:bodyDiv w:val="1"/>
      <w:marLeft w:val="0"/>
      <w:marRight w:val="0"/>
      <w:marTop w:val="0"/>
      <w:marBottom w:val="0"/>
      <w:divBdr>
        <w:top w:val="none" w:sz="0" w:space="0" w:color="auto"/>
        <w:left w:val="none" w:sz="0" w:space="0" w:color="auto"/>
        <w:bottom w:val="none" w:sz="0" w:space="0" w:color="auto"/>
        <w:right w:val="none" w:sz="0" w:space="0" w:color="auto"/>
      </w:divBdr>
    </w:div>
    <w:div w:id="1660617138">
      <w:bodyDiv w:val="1"/>
      <w:marLeft w:val="0"/>
      <w:marRight w:val="0"/>
      <w:marTop w:val="0"/>
      <w:marBottom w:val="0"/>
      <w:divBdr>
        <w:top w:val="none" w:sz="0" w:space="0" w:color="auto"/>
        <w:left w:val="none" w:sz="0" w:space="0" w:color="auto"/>
        <w:bottom w:val="none" w:sz="0" w:space="0" w:color="auto"/>
        <w:right w:val="none" w:sz="0" w:space="0" w:color="auto"/>
      </w:divBdr>
    </w:div>
    <w:div w:id="1663311525">
      <w:bodyDiv w:val="1"/>
      <w:marLeft w:val="0"/>
      <w:marRight w:val="0"/>
      <w:marTop w:val="0"/>
      <w:marBottom w:val="0"/>
      <w:divBdr>
        <w:top w:val="none" w:sz="0" w:space="0" w:color="auto"/>
        <w:left w:val="none" w:sz="0" w:space="0" w:color="auto"/>
        <w:bottom w:val="none" w:sz="0" w:space="0" w:color="auto"/>
        <w:right w:val="none" w:sz="0" w:space="0" w:color="auto"/>
      </w:divBdr>
    </w:div>
    <w:div w:id="1668677927">
      <w:bodyDiv w:val="1"/>
      <w:marLeft w:val="0"/>
      <w:marRight w:val="0"/>
      <w:marTop w:val="0"/>
      <w:marBottom w:val="0"/>
      <w:divBdr>
        <w:top w:val="none" w:sz="0" w:space="0" w:color="auto"/>
        <w:left w:val="none" w:sz="0" w:space="0" w:color="auto"/>
        <w:bottom w:val="none" w:sz="0" w:space="0" w:color="auto"/>
        <w:right w:val="none" w:sz="0" w:space="0" w:color="auto"/>
      </w:divBdr>
    </w:div>
    <w:div w:id="1675453449">
      <w:bodyDiv w:val="1"/>
      <w:marLeft w:val="0"/>
      <w:marRight w:val="0"/>
      <w:marTop w:val="0"/>
      <w:marBottom w:val="0"/>
      <w:divBdr>
        <w:top w:val="none" w:sz="0" w:space="0" w:color="auto"/>
        <w:left w:val="none" w:sz="0" w:space="0" w:color="auto"/>
        <w:bottom w:val="none" w:sz="0" w:space="0" w:color="auto"/>
        <w:right w:val="none" w:sz="0" w:space="0" w:color="auto"/>
      </w:divBdr>
    </w:div>
    <w:div w:id="1683123738">
      <w:bodyDiv w:val="1"/>
      <w:marLeft w:val="0"/>
      <w:marRight w:val="0"/>
      <w:marTop w:val="0"/>
      <w:marBottom w:val="0"/>
      <w:divBdr>
        <w:top w:val="none" w:sz="0" w:space="0" w:color="auto"/>
        <w:left w:val="none" w:sz="0" w:space="0" w:color="auto"/>
        <w:bottom w:val="none" w:sz="0" w:space="0" w:color="auto"/>
        <w:right w:val="none" w:sz="0" w:space="0" w:color="auto"/>
      </w:divBdr>
    </w:div>
    <w:div w:id="1703626015">
      <w:bodyDiv w:val="1"/>
      <w:marLeft w:val="0"/>
      <w:marRight w:val="0"/>
      <w:marTop w:val="0"/>
      <w:marBottom w:val="0"/>
      <w:divBdr>
        <w:top w:val="none" w:sz="0" w:space="0" w:color="auto"/>
        <w:left w:val="none" w:sz="0" w:space="0" w:color="auto"/>
        <w:bottom w:val="none" w:sz="0" w:space="0" w:color="auto"/>
        <w:right w:val="none" w:sz="0" w:space="0" w:color="auto"/>
      </w:divBdr>
    </w:div>
    <w:div w:id="1716463638">
      <w:bodyDiv w:val="1"/>
      <w:marLeft w:val="0"/>
      <w:marRight w:val="0"/>
      <w:marTop w:val="0"/>
      <w:marBottom w:val="0"/>
      <w:divBdr>
        <w:top w:val="none" w:sz="0" w:space="0" w:color="auto"/>
        <w:left w:val="none" w:sz="0" w:space="0" w:color="auto"/>
        <w:bottom w:val="none" w:sz="0" w:space="0" w:color="auto"/>
        <w:right w:val="none" w:sz="0" w:space="0" w:color="auto"/>
      </w:divBdr>
    </w:div>
    <w:div w:id="1718622400">
      <w:bodyDiv w:val="1"/>
      <w:marLeft w:val="0"/>
      <w:marRight w:val="0"/>
      <w:marTop w:val="0"/>
      <w:marBottom w:val="0"/>
      <w:divBdr>
        <w:top w:val="none" w:sz="0" w:space="0" w:color="auto"/>
        <w:left w:val="none" w:sz="0" w:space="0" w:color="auto"/>
        <w:bottom w:val="none" w:sz="0" w:space="0" w:color="auto"/>
        <w:right w:val="none" w:sz="0" w:space="0" w:color="auto"/>
      </w:divBdr>
    </w:div>
    <w:div w:id="1742561162">
      <w:bodyDiv w:val="1"/>
      <w:marLeft w:val="0"/>
      <w:marRight w:val="0"/>
      <w:marTop w:val="0"/>
      <w:marBottom w:val="0"/>
      <w:divBdr>
        <w:top w:val="none" w:sz="0" w:space="0" w:color="auto"/>
        <w:left w:val="none" w:sz="0" w:space="0" w:color="auto"/>
        <w:bottom w:val="none" w:sz="0" w:space="0" w:color="auto"/>
        <w:right w:val="none" w:sz="0" w:space="0" w:color="auto"/>
      </w:divBdr>
    </w:div>
    <w:div w:id="1748532051">
      <w:bodyDiv w:val="1"/>
      <w:marLeft w:val="0"/>
      <w:marRight w:val="0"/>
      <w:marTop w:val="0"/>
      <w:marBottom w:val="0"/>
      <w:divBdr>
        <w:top w:val="none" w:sz="0" w:space="0" w:color="auto"/>
        <w:left w:val="none" w:sz="0" w:space="0" w:color="auto"/>
        <w:bottom w:val="none" w:sz="0" w:space="0" w:color="auto"/>
        <w:right w:val="none" w:sz="0" w:space="0" w:color="auto"/>
      </w:divBdr>
    </w:div>
    <w:div w:id="1765344374">
      <w:bodyDiv w:val="1"/>
      <w:marLeft w:val="0"/>
      <w:marRight w:val="0"/>
      <w:marTop w:val="0"/>
      <w:marBottom w:val="0"/>
      <w:divBdr>
        <w:top w:val="none" w:sz="0" w:space="0" w:color="auto"/>
        <w:left w:val="none" w:sz="0" w:space="0" w:color="auto"/>
        <w:bottom w:val="none" w:sz="0" w:space="0" w:color="auto"/>
        <w:right w:val="none" w:sz="0" w:space="0" w:color="auto"/>
      </w:divBdr>
    </w:div>
    <w:div w:id="1788084225">
      <w:bodyDiv w:val="1"/>
      <w:marLeft w:val="0"/>
      <w:marRight w:val="0"/>
      <w:marTop w:val="0"/>
      <w:marBottom w:val="0"/>
      <w:divBdr>
        <w:top w:val="none" w:sz="0" w:space="0" w:color="auto"/>
        <w:left w:val="none" w:sz="0" w:space="0" w:color="auto"/>
        <w:bottom w:val="none" w:sz="0" w:space="0" w:color="auto"/>
        <w:right w:val="none" w:sz="0" w:space="0" w:color="auto"/>
      </w:divBdr>
    </w:div>
    <w:div w:id="1818063473">
      <w:bodyDiv w:val="1"/>
      <w:marLeft w:val="0"/>
      <w:marRight w:val="0"/>
      <w:marTop w:val="0"/>
      <w:marBottom w:val="0"/>
      <w:divBdr>
        <w:top w:val="none" w:sz="0" w:space="0" w:color="auto"/>
        <w:left w:val="none" w:sz="0" w:space="0" w:color="auto"/>
        <w:bottom w:val="none" w:sz="0" w:space="0" w:color="auto"/>
        <w:right w:val="none" w:sz="0" w:space="0" w:color="auto"/>
      </w:divBdr>
    </w:div>
    <w:div w:id="1826167605">
      <w:bodyDiv w:val="1"/>
      <w:marLeft w:val="0"/>
      <w:marRight w:val="0"/>
      <w:marTop w:val="0"/>
      <w:marBottom w:val="0"/>
      <w:divBdr>
        <w:top w:val="none" w:sz="0" w:space="0" w:color="auto"/>
        <w:left w:val="none" w:sz="0" w:space="0" w:color="auto"/>
        <w:bottom w:val="none" w:sz="0" w:space="0" w:color="auto"/>
        <w:right w:val="none" w:sz="0" w:space="0" w:color="auto"/>
      </w:divBdr>
    </w:div>
    <w:div w:id="1837384187">
      <w:bodyDiv w:val="1"/>
      <w:marLeft w:val="0"/>
      <w:marRight w:val="0"/>
      <w:marTop w:val="0"/>
      <w:marBottom w:val="0"/>
      <w:divBdr>
        <w:top w:val="none" w:sz="0" w:space="0" w:color="auto"/>
        <w:left w:val="none" w:sz="0" w:space="0" w:color="auto"/>
        <w:bottom w:val="none" w:sz="0" w:space="0" w:color="auto"/>
        <w:right w:val="none" w:sz="0" w:space="0" w:color="auto"/>
      </w:divBdr>
    </w:div>
    <w:div w:id="1838109758">
      <w:bodyDiv w:val="1"/>
      <w:marLeft w:val="0"/>
      <w:marRight w:val="0"/>
      <w:marTop w:val="0"/>
      <w:marBottom w:val="0"/>
      <w:divBdr>
        <w:top w:val="none" w:sz="0" w:space="0" w:color="auto"/>
        <w:left w:val="none" w:sz="0" w:space="0" w:color="auto"/>
        <w:bottom w:val="none" w:sz="0" w:space="0" w:color="auto"/>
        <w:right w:val="none" w:sz="0" w:space="0" w:color="auto"/>
      </w:divBdr>
    </w:div>
    <w:div w:id="1856651740">
      <w:bodyDiv w:val="1"/>
      <w:marLeft w:val="0"/>
      <w:marRight w:val="0"/>
      <w:marTop w:val="0"/>
      <w:marBottom w:val="0"/>
      <w:divBdr>
        <w:top w:val="none" w:sz="0" w:space="0" w:color="auto"/>
        <w:left w:val="none" w:sz="0" w:space="0" w:color="auto"/>
        <w:bottom w:val="none" w:sz="0" w:space="0" w:color="auto"/>
        <w:right w:val="none" w:sz="0" w:space="0" w:color="auto"/>
      </w:divBdr>
    </w:div>
    <w:div w:id="1866942006">
      <w:bodyDiv w:val="1"/>
      <w:marLeft w:val="0"/>
      <w:marRight w:val="0"/>
      <w:marTop w:val="0"/>
      <w:marBottom w:val="0"/>
      <w:divBdr>
        <w:top w:val="none" w:sz="0" w:space="0" w:color="auto"/>
        <w:left w:val="none" w:sz="0" w:space="0" w:color="auto"/>
        <w:bottom w:val="none" w:sz="0" w:space="0" w:color="auto"/>
        <w:right w:val="none" w:sz="0" w:space="0" w:color="auto"/>
      </w:divBdr>
    </w:div>
    <w:div w:id="1869103938">
      <w:bodyDiv w:val="1"/>
      <w:marLeft w:val="0"/>
      <w:marRight w:val="0"/>
      <w:marTop w:val="0"/>
      <w:marBottom w:val="0"/>
      <w:divBdr>
        <w:top w:val="none" w:sz="0" w:space="0" w:color="auto"/>
        <w:left w:val="none" w:sz="0" w:space="0" w:color="auto"/>
        <w:bottom w:val="none" w:sz="0" w:space="0" w:color="auto"/>
        <w:right w:val="none" w:sz="0" w:space="0" w:color="auto"/>
      </w:divBdr>
    </w:div>
    <w:div w:id="1898466198">
      <w:bodyDiv w:val="1"/>
      <w:marLeft w:val="0"/>
      <w:marRight w:val="0"/>
      <w:marTop w:val="0"/>
      <w:marBottom w:val="0"/>
      <w:divBdr>
        <w:top w:val="none" w:sz="0" w:space="0" w:color="auto"/>
        <w:left w:val="none" w:sz="0" w:space="0" w:color="auto"/>
        <w:bottom w:val="none" w:sz="0" w:space="0" w:color="auto"/>
        <w:right w:val="none" w:sz="0" w:space="0" w:color="auto"/>
      </w:divBdr>
    </w:div>
    <w:div w:id="1899826877">
      <w:bodyDiv w:val="1"/>
      <w:marLeft w:val="0"/>
      <w:marRight w:val="0"/>
      <w:marTop w:val="0"/>
      <w:marBottom w:val="0"/>
      <w:divBdr>
        <w:top w:val="none" w:sz="0" w:space="0" w:color="auto"/>
        <w:left w:val="none" w:sz="0" w:space="0" w:color="auto"/>
        <w:bottom w:val="none" w:sz="0" w:space="0" w:color="auto"/>
        <w:right w:val="none" w:sz="0" w:space="0" w:color="auto"/>
      </w:divBdr>
    </w:div>
    <w:div w:id="1908373921">
      <w:bodyDiv w:val="1"/>
      <w:marLeft w:val="0"/>
      <w:marRight w:val="0"/>
      <w:marTop w:val="0"/>
      <w:marBottom w:val="0"/>
      <w:divBdr>
        <w:top w:val="none" w:sz="0" w:space="0" w:color="auto"/>
        <w:left w:val="none" w:sz="0" w:space="0" w:color="auto"/>
        <w:bottom w:val="none" w:sz="0" w:space="0" w:color="auto"/>
        <w:right w:val="none" w:sz="0" w:space="0" w:color="auto"/>
      </w:divBdr>
    </w:div>
    <w:div w:id="1909029353">
      <w:bodyDiv w:val="1"/>
      <w:marLeft w:val="0"/>
      <w:marRight w:val="0"/>
      <w:marTop w:val="0"/>
      <w:marBottom w:val="0"/>
      <w:divBdr>
        <w:top w:val="none" w:sz="0" w:space="0" w:color="auto"/>
        <w:left w:val="none" w:sz="0" w:space="0" w:color="auto"/>
        <w:bottom w:val="none" w:sz="0" w:space="0" w:color="auto"/>
        <w:right w:val="none" w:sz="0" w:space="0" w:color="auto"/>
      </w:divBdr>
    </w:div>
    <w:div w:id="1913344917">
      <w:bodyDiv w:val="1"/>
      <w:marLeft w:val="0"/>
      <w:marRight w:val="0"/>
      <w:marTop w:val="0"/>
      <w:marBottom w:val="0"/>
      <w:divBdr>
        <w:top w:val="none" w:sz="0" w:space="0" w:color="auto"/>
        <w:left w:val="none" w:sz="0" w:space="0" w:color="auto"/>
        <w:bottom w:val="none" w:sz="0" w:space="0" w:color="auto"/>
        <w:right w:val="none" w:sz="0" w:space="0" w:color="auto"/>
      </w:divBdr>
    </w:div>
    <w:div w:id="1918129110">
      <w:bodyDiv w:val="1"/>
      <w:marLeft w:val="0"/>
      <w:marRight w:val="0"/>
      <w:marTop w:val="0"/>
      <w:marBottom w:val="0"/>
      <w:divBdr>
        <w:top w:val="none" w:sz="0" w:space="0" w:color="auto"/>
        <w:left w:val="none" w:sz="0" w:space="0" w:color="auto"/>
        <w:bottom w:val="none" w:sz="0" w:space="0" w:color="auto"/>
        <w:right w:val="none" w:sz="0" w:space="0" w:color="auto"/>
      </w:divBdr>
    </w:div>
    <w:div w:id="1919516182">
      <w:bodyDiv w:val="1"/>
      <w:marLeft w:val="0"/>
      <w:marRight w:val="0"/>
      <w:marTop w:val="0"/>
      <w:marBottom w:val="0"/>
      <w:divBdr>
        <w:top w:val="none" w:sz="0" w:space="0" w:color="auto"/>
        <w:left w:val="none" w:sz="0" w:space="0" w:color="auto"/>
        <w:bottom w:val="none" w:sz="0" w:space="0" w:color="auto"/>
        <w:right w:val="none" w:sz="0" w:space="0" w:color="auto"/>
      </w:divBdr>
    </w:div>
    <w:div w:id="1921868440">
      <w:bodyDiv w:val="1"/>
      <w:marLeft w:val="0"/>
      <w:marRight w:val="0"/>
      <w:marTop w:val="0"/>
      <w:marBottom w:val="0"/>
      <w:divBdr>
        <w:top w:val="none" w:sz="0" w:space="0" w:color="auto"/>
        <w:left w:val="none" w:sz="0" w:space="0" w:color="auto"/>
        <w:bottom w:val="none" w:sz="0" w:space="0" w:color="auto"/>
        <w:right w:val="none" w:sz="0" w:space="0" w:color="auto"/>
      </w:divBdr>
    </w:div>
    <w:div w:id="1924490312">
      <w:bodyDiv w:val="1"/>
      <w:marLeft w:val="0"/>
      <w:marRight w:val="0"/>
      <w:marTop w:val="0"/>
      <w:marBottom w:val="0"/>
      <w:divBdr>
        <w:top w:val="none" w:sz="0" w:space="0" w:color="auto"/>
        <w:left w:val="none" w:sz="0" w:space="0" w:color="auto"/>
        <w:bottom w:val="none" w:sz="0" w:space="0" w:color="auto"/>
        <w:right w:val="none" w:sz="0" w:space="0" w:color="auto"/>
      </w:divBdr>
      <w:divsChild>
        <w:div w:id="1322464157">
          <w:marLeft w:val="0"/>
          <w:marRight w:val="0"/>
          <w:marTop w:val="0"/>
          <w:marBottom w:val="0"/>
          <w:divBdr>
            <w:top w:val="none" w:sz="0" w:space="0" w:color="auto"/>
            <w:left w:val="none" w:sz="0" w:space="0" w:color="auto"/>
            <w:bottom w:val="none" w:sz="0" w:space="0" w:color="auto"/>
            <w:right w:val="none" w:sz="0" w:space="0" w:color="auto"/>
          </w:divBdr>
          <w:divsChild>
            <w:div w:id="114034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282602">
      <w:bodyDiv w:val="1"/>
      <w:marLeft w:val="0"/>
      <w:marRight w:val="0"/>
      <w:marTop w:val="0"/>
      <w:marBottom w:val="0"/>
      <w:divBdr>
        <w:top w:val="none" w:sz="0" w:space="0" w:color="auto"/>
        <w:left w:val="none" w:sz="0" w:space="0" w:color="auto"/>
        <w:bottom w:val="none" w:sz="0" w:space="0" w:color="auto"/>
        <w:right w:val="none" w:sz="0" w:space="0" w:color="auto"/>
      </w:divBdr>
    </w:div>
    <w:div w:id="1939748394">
      <w:bodyDiv w:val="1"/>
      <w:marLeft w:val="0"/>
      <w:marRight w:val="0"/>
      <w:marTop w:val="0"/>
      <w:marBottom w:val="0"/>
      <w:divBdr>
        <w:top w:val="none" w:sz="0" w:space="0" w:color="auto"/>
        <w:left w:val="none" w:sz="0" w:space="0" w:color="auto"/>
        <w:bottom w:val="none" w:sz="0" w:space="0" w:color="auto"/>
        <w:right w:val="none" w:sz="0" w:space="0" w:color="auto"/>
      </w:divBdr>
    </w:div>
    <w:div w:id="1942177253">
      <w:bodyDiv w:val="1"/>
      <w:marLeft w:val="0"/>
      <w:marRight w:val="0"/>
      <w:marTop w:val="0"/>
      <w:marBottom w:val="0"/>
      <w:divBdr>
        <w:top w:val="none" w:sz="0" w:space="0" w:color="auto"/>
        <w:left w:val="none" w:sz="0" w:space="0" w:color="auto"/>
        <w:bottom w:val="none" w:sz="0" w:space="0" w:color="auto"/>
        <w:right w:val="none" w:sz="0" w:space="0" w:color="auto"/>
      </w:divBdr>
    </w:div>
    <w:div w:id="1996101228">
      <w:bodyDiv w:val="1"/>
      <w:marLeft w:val="0"/>
      <w:marRight w:val="0"/>
      <w:marTop w:val="0"/>
      <w:marBottom w:val="0"/>
      <w:divBdr>
        <w:top w:val="none" w:sz="0" w:space="0" w:color="auto"/>
        <w:left w:val="none" w:sz="0" w:space="0" w:color="auto"/>
        <w:bottom w:val="none" w:sz="0" w:space="0" w:color="auto"/>
        <w:right w:val="none" w:sz="0" w:space="0" w:color="auto"/>
      </w:divBdr>
    </w:div>
    <w:div w:id="2018386519">
      <w:bodyDiv w:val="1"/>
      <w:marLeft w:val="0"/>
      <w:marRight w:val="0"/>
      <w:marTop w:val="0"/>
      <w:marBottom w:val="0"/>
      <w:divBdr>
        <w:top w:val="none" w:sz="0" w:space="0" w:color="auto"/>
        <w:left w:val="none" w:sz="0" w:space="0" w:color="auto"/>
        <w:bottom w:val="none" w:sz="0" w:space="0" w:color="auto"/>
        <w:right w:val="none" w:sz="0" w:space="0" w:color="auto"/>
      </w:divBdr>
    </w:div>
    <w:div w:id="2023895249">
      <w:bodyDiv w:val="1"/>
      <w:marLeft w:val="0"/>
      <w:marRight w:val="0"/>
      <w:marTop w:val="0"/>
      <w:marBottom w:val="0"/>
      <w:divBdr>
        <w:top w:val="none" w:sz="0" w:space="0" w:color="auto"/>
        <w:left w:val="none" w:sz="0" w:space="0" w:color="auto"/>
        <w:bottom w:val="none" w:sz="0" w:space="0" w:color="auto"/>
        <w:right w:val="none" w:sz="0" w:space="0" w:color="auto"/>
      </w:divBdr>
    </w:div>
    <w:div w:id="2025352474">
      <w:bodyDiv w:val="1"/>
      <w:marLeft w:val="0"/>
      <w:marRight w:val="0"/>
      <w:marTop w:val="0"/>
      <w:marBottom w:val="0"/>
      <w:divBdr>
        <w:top w:val="none" w:sz="0" w:space="0" w:color="auto"/>
        <w:left w:val="none" w:sz="0" w:space="0" w:color="auto"/>
        <w:bottom w:val="none" w:sz="0" w:space="0" w:color="auto"/>
        <w:right w:val="none" w:sz="0" w:space="0" w:color="auto"/>
      </w:divBdr>
    </w:div>
    <w:div w:id="2041739098">
      <w:bodyDiv w:val="1"/>
      <w:marLeft w:val="0"/>
      <w:marRight w:val="0"/>
      <w:marTop w:val="0"/>
      <w:marBottom w:val="0"/>
      <w:divBdr>
        <w:top w:val="none" w:sz="0" w:space="0" w:color="auto"/>
        <w:left w:val="none" w:sz="0" w:space="0" w:color="auto"/>
        <w:bottom w:val="none" w:sz="0" w:space="0" w:color="auto"/>
        <w:right w:val="none" w:sz="0" w:space="0" w:color="auto"/>
      </w:divBdr>
    </w:div>
    <w:div w:id="2041851521">
      <w:bodyDiv w:val="1"/>
      <w:marLeft w:val="0"/>
      <w:marRight w:val="0"/>
      <w:marTop w:val="0"/>
      <w:marBottom w:val="0"/>
      <w:divBdr>
        <w:top w:val="none" w:sz="0" w:space="0" w:color="auto"/>
        <w:left w:val="none" w:sz="0" w:space="0" w:color="auto"/>
        <w:bottom w:val="none" w:sz="0" w:space="0" w:color="auto"/>
        <w:right w:val="none" w:sz="0" w:space="0" w:color="auto"/>
      </w:divBdr>
    </w:div>
    <w:div w:id="2045475816">
      <w:bodyDiv w:val="1"/>
      <w:marLeft w:val="0"/>
      <w:marRight w:val="0"/>
      <w:marTop w:val="0"/>
      <w:marBottom w:val="0"/>
      <w:divBdr>
        <w:top w:val="none" w:sz="0" w:space="0" w:color="auto"/>
        <w:left w:val="none" w:sz="0" w:space="0" w:color="auto"/>
        <w:bottom w:val="none" w:sz="0" w:space="0" w:color="auto"/>
        <w:right w:val="none" w:sz="0" w:space="0" w:color="auto"/>
      </w:divBdr>
    </w:div>
    <w:div w:id="2054233495">
      <w:bodyDiv w:val="1"/>
      <w:marLeft w:val="0"/>
      <w:marRight w:val="0"/>
      <w:marTop w:val="0"/>
      <w:marBottom w:val="0"/>
      <w:divBdr>
        <w:top w:val="none" w:sz="0" w:space="0" w:color="auto"/>
        <w:left w:val="none" w:sz="0" w:space="0" w:color="auto"/>
        <w:bottom w:val="none" w:sz="0" w:space="0" w:color="auto"/>
        <w:right w:val="none" w:sz="0" w:space="0" w:color="auto"/>
      </w:divBdr>
    </w:div>
    <w:div w:id="2055041234">
      <w:bodyDiv w:val="1"/>
      <w:marLeft w:val="0"/>
      <w:marRight w:val="0"/>
      <w:marTop w:val="0"/>
      <w:marBottom w:val="0"/>
      <w:divBdr>
        <w:top w:val="none" w:sz="0" w:space="0" w:color="auto"/>
        <w:left w:val="none" w:sz="0" w:space="0" w:color="auto"/>
        <w:bottom w:val="none" w:sz="0" w:space="0" w:color="auto"/>
        <w:right w:val="none" w:sz="0" w:space="0" w:color="auto"/>
      </w:divBdr>
    </w:div>
    <w:div w:id="2061435656">
      <w:bodyDiv w:val="1"/>
      <w:marLeft w:val="0"/>
      <w:marRight w:val="0"/>
      <w:marTop w:val="0"/>
      <w:marBottom w:val="0"/>
      <w:divBdr>
        <w:top w:val="none" w:sz="0" w:space="0" w:color="auto"/>
        <w:left w:val="none" w:sz="0" w:space="0" w:color="auto"/>
        <w:bottom w:val="none" w:sz="0" w:space="0" w:color="auto"/>
        <w:right w:val="none" w:sz="0" w:space="0" w:color="auto"/>
      </w:divBdr>
    </w:div>
    <w:div w:id="2066904154">
      <w:bodyDiv w:val="1"/>
      <w:marLeft w:val="0"/>
      <w:marRight w:val="0"/>
      <w:marTop w:val="0"/>
      <w:marBottom w:val="0"/>
      <w:divBdr>
        <w:top w:val="none" w:sz="0" w:space="0" w:color="auto"/>
        <w:left w:val="none" w:sz="0" w:space="0" w:color="auto"/>
        <w:bottom w:val="none" w:sz="0" w:space="0" w:color="auto"/>
        <w:right w:val="none" w:sz="0" w:space="0" w:color="auto"/>
      </w:divBdr>
    </w:div>
    <w:div w:id="2089841279">
      <w:bodyDiv w:val="1"/>
      <w:marLeft w:val="0"/>
      <w:marRight w:val="0"/>
      <w:marTop w:val="0"/>
      <w:marBottom w:val="0"/>
      <w:divBdr>
        <w:top w:val="none" w:sz="0" w:space="0" w:color="auto"/>
        <w:left w:val="none" w:sz="0" w:space="0" w:color="auto"/>
        <w:bottom w:val="none" w:sz="0" w:space="0" w:color="auto"/>
        <w:right w:val="none" w:sz="0" w:space="0" w:color="auto"/>
      </w:divBdr>
    </w:div>
    <w:div w:id="2095125329">
      <w:bodyDiv w:val="1"/>
      <w:marLeft w:val="0"/>
      <w:marRight w:val="0"/>
      <w:marTop w:val="0"/>
      <w:marBottom w:val="0"/>
      <w:divBdr>
        <w:top w:val="none" w:sz="0" w:space="0" w:color="auto"/>
        <w:left w:val="none" w:sz="0" w:space="0" w:color="auto"/>
        <w:bottom w:val="none" w:sz="0" w:space="0" w:color="auto"/>
        <w:right w:val="none" w:sz="0" w:space="0" w:color="auto"/>
      </w:divBdr>
    </w:div>
    <w:div w:id="2109546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image" Target="media/image15.jpg"/><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05F5B-28CE-4278-86D2-5314D20AD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935</TotalTime>
  <Pages>36</Pages>
  <Words>8448</Words>
  <Characters>48157</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RSA</dc:creator>
  <cp:keywords/>
  <dc:description/>
  <cp:lastModifiedBy>RSA</cp:lastModifiedBy>
  <cp:revision>136</cp:revision>
  <cp:lastPrinted>2025-12-08T15:33:00Z</cp:lastPrinted>
  <dcterms:created xsi:type="dcterms:W3CDTF">2025-12-02T06:44:00Z</dcterms:created>
  <dcterms:modified xsi:type="dcterms:W3CDTF">2025-12-08T15:41:00Z</dcterms:modified>
</cp:coreProperties>
</file>