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E176C0" w14:textId="77777777" w:rsidR="00BD4B6C" w:rsidRDefault="00BD4B6C" w:rsidP="00BD4B6C">
      <w:pPr>
        <w:pStyle w:val="NormalWeb"/>
        <w:spacing w:before="0" w:beforeAutospacing="0" w:after="0" w:afterAutospacing="0"/>
        <w:ind w:left="-180" w:right="-334"/>
      </w:pPr>
    </w:p>
    <w:p w14:paraId="149598DE" w14:textId="793797A1" w:rsidR="00BD4B6C" w:rsidRDefault="00BD4B6C" w:rsidP="00BD4B6C">
      <w:pPr>
        <w:pStyle w:val="NormalWeb"/>
        <w:spacing w:before="0" w:beforeAutospacing="0" w:after="0" w:afterAutospacing="0"/>
        <w:ind w:left="-180" w:right="-334"/>
      </w:pPr>
      <w:r>
        <w:rPr>
          <w:noProof/>
          <w:lang w:eastAsia="en-GB"/>
        </w:rPr>
        <w:drawing>
          <wp:inline distT="0" distB="0" distL="0" distR="0" wp14:anchorId="790C889A" wp14:editId="632E1063">
            <wp:extent cx="2381250" cy="933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81250" cy="933450"/>
                    </a:xfrm>
                    <a:prstGeom prst="rect">
                      <a:avLst/>
                    </a:prstGeom>
                    <a:noFill/>
                    <a:ln>
                      <a:noFill/>
                    </a:ln>
                  </pic:spPr>
                </pic:pic>
              </a:graphicData>
            </a:graphic>
          </wp:inline>
        </w:drawing>
      </w:r>
    </w:p>
    <w:p w14:paraId="4A162C87" w14:textId="77777777" w:rsidR="00BD4B6C" w:rsidRDefault="00BD4B6C" w:rsidP="00BD4B6C">
      <w:pPr>
        <w:pStyle w:val="NormalWeb"/>
        <w:spacing w:before="0" w:beforeAutospacing="0" w:after="0" w:afterAutospacing="0"/>
        <w:ind w:left="-180" w:right="-334"/>
      </w:pPr>
    </w:p>
    <w:p w14:paraId="4FB71381" w14:textId="77777777" w:rsidR="00BD4B6C" w:rsidRDefault="00BD4B6C" w:rsidP="00BD4B6C">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3D741B3F" w14:textId="77777777" w:rsidR="00BD4B6C" w:rsidRDefault="00BD4B6C" w:rsidP="00BD4B6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2A46227E" w14:textId="77777777" w:rsidR="00BD4B6C" w:rsidRDefault="00BD4B6C" w:rsidP="00BD4B6C">
      <w:pPr>
        <w:rPr>
          <w:rFonts w:ascii="Arial" w:hAnsi="Arial" w:cs="Arial"/>
          <w:sz w:val="28"/>
          <w:szCs w:val="28"/>
          <w:lang w:val="cy-GB"/>
        </w:rPr>
      </w:pPr>
    </w:p>
    <w:p w14:paraId="5FA6171C" w14:textId="77777777" w:rsidR="00BD4B6C" w:rsidRDefault="00BD4B6C" w:rsidP="00BD4B6C">
      <w:pPr>
        <w:jc w:val="center"/>
        <w:rPr>
          <w:rFonts w:ascii="Arial" w:hAnsi="Arial" w:cs="Arial"/>
          <w:sz w:val="20"/>
          <w:szCs w:val="20"/>
          <w:lang w:val="cy-GB"/>
        </w:rPr>
      </w:pPr>
      <w:r>
        <w:rPr>
          <w:rFonts w:ascii="Arial" w:hAnsi="Arial" w:cs="Arial"/>
          <w:sz w:val="20"/>
          <w:szCs w:val="20"/>
          <w:lang w:val="cy-GB"/>
        </w:rPr>
        <w:t>[Please insert this coversheet as the first page of the assignment you are submitting]</w:t>
      </w:r>
    </w:p>
    <w:p w14:paraId="01D17720" w14:textId="77777777" w:rsidR="00BD4B6C" w:rsidRDefault="00BD4B6C" w:rsidP="00BD4B6C">
      <w:pPr>
        <w:pStyle w:val="Heading3"/>
        <w:jc w:val="center"/>
        <w:rPr>
          <w:rFonts w:ascii="Arial" w:eastAsia="SimSun"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BD4B6C" w14:paraId="484F0942" w14:textId="77777777" w:rsidTr="00BD4B6C">
        <w:trPr>
          <w:trHeight w:val="724"/>
        </w:trPr>
        <w:tc>
          <w:tcPr>
            <w:tcW w:w="8856" w:type="dxa"/>
            <w:gridSpan w:val="4"/>
            <w:tcBorders>
              <w:top w:val="single" w:sz="4" w:space="0" w:color="000000"/>
              <w:left w:val="single" w:sz="4" w:space="0" w:color="000000"/>
              <w:bottom w:val="single" w:sz="4" w:space="0" w:color="000000"/>
              <w:right w:val="single" w:sz="4" w:space="0" w:color="000000"/>
            </w:tcBorders>
            <w:hideMark/>
          </w:tcPr>
          <w:p w14:paraId="5BD3B3F5" w14:textId="77777777" w:rsidR="00BD4B6C" w:rsidRDefault="00BD4B6C">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p w14:paraId="63AB93B9" w14:textId="671941C5" w:rsidR="00BD4B6C" w:rsidRDefault="00BD4B6C">
            <w:pPr>
              <w:pStyle w:val="NormalWeb"/>
              <w:spacing w:before="0" w:beforeAutospacing="0" w:after="0" w:afterAutospacing="0"/>
              <w:ind w:right="34"/>
              <w:rPr>
                <w:rFonts w:ascii="Arial" w:hAnsi="Arial" w:cs="Arial"/>
                <w:sz w:val="22"/>
                <w:szCs w:val="22"/>
              </w:rPr>
            </w:pPr>
            <w:r>
              <w:rPr>
                <w:rFonts w:ascii="Arial" w:hAnsi="Arial" w:cs="Arial"/>
                <w:sz w:val="22"/>
                <w:szCs w:val="22"/>
              </w:rPr>
              <w:t>Student Name: Sarah Griffiths</w:t>
            </w:r>
          </w:p>
        </w:tc>
      </w:tr>
      <w:tr w:rsidR="00BD4B6C" w14:paraId="1F0283C8" w14:textId="77777777" w:rsidTr="00BD4B6C">
        <w:trPr>
          <w:trHeight w:val="693"/>
        </w:trPr>
        <w:tc>
          <w:tcPr>
            <w:tcW w:w="4788" w:type="dxa"/>
            <w:tcBorders>
              <w:top w:val="single" w:sz="4" w:space="0" w:color="000000"/>
              <w:left w:val="single" w:sz="4" w:space="0" w:color="000000"/>
              <w:bottom w:val="single" w:sz="4" w:space="0" w:color="000000"/>
              <w:right w:val="single" w:sz="4" w:space="0" w:color="000000"/>
            </w:tcBorders>
          </w:tcPr>
          <w:p w14:paraId="1B22F5C8" w14:textId="77777777" w:rsidR="00BD4B6C" w:rsidRDefault="00BD4B6C">
            <w:pPr>
              <w:pStyle w:val="NormalWeb"/>
              <w:spacing w:before="0" w:beforeAutospacing="0" w:after="0" w:afterAutospacing="0"/>
              <w:ind w:right="34"/>
              <w:rPr>
                <w:rFonts w:ascii="Arial" w:hAnsi="Arial" w:cs="Arial"/>
                <w:sz w:val="22"/>
                <w:szCs w:val="22"/>
              </w:rPr>
            </w:pPr>
          </w:p>
          <w:p w14:paraId="273BB41A" w14:textId="394A080F" w:rsidR="00BD4B6C" w:rsidRDefault="00BD4B6C">
            <w:pPr>
              <w:pStyle w:val="NormalWeb"/>
              <w:spacing w:before="0" w:beforeAutospacing="0" w:after="0" w:afterAutospacing="0"/>
              <w:ind w:right="34"/>
              <w:rPr>
                <w:rFonts w:ascii="Arial" w:hAnsi="Arial" w:cs="Arial"/>
                <w:sz w:val="22"/>
                <w:szCs w:val="22"/>
              </w:rPr>
            </w:pPr>
            <w:r>
              <w:rPr>
                <w:rFonts w:ascii="Arial" w:hAnsi="Arial" w:cs="Arial"/>
                <w:sz w:val="22"/>
                <w:szCs w:val="22"/>
              </w:rPr>
              <w:t>Module code:  CYCS7015</w:t>
            </w:r>
          </w:p>
          <w:p w14:paraId="387916FF" w14:textId="77777777" w:rsidR="00BD4B6C" w:rsidRDefault="00BD4B6C">
            <w:pPr>
              <w:pStyle w:val="NormalWeb"/>
              <w:spacing w:before="0" w:beforeAutospacing="0" w:after="0" w:afterAutospacing="0"/>
              <w:ind w:right="34"/>
              <w:rPr>
                <w:rFonts w:ascii="Arial" w:hAnsi="Arial" w:cs="Arial"/>
                <w:sz w:val="22"/>
                <w:szCs w:val="22"/>
              </w:rPr>
            </w:pPr>
          </w:p>
        </w:tc>
        <w:tc>
          <w:tcPr>
            <w:tcW w:w="2266" w:type="dxa"/>
            <w:gridSpan w:val="2"/>
            <w:vMerge w:val="restart"/>
            <w:tcBorders>
              <w:top w:val="single" w:sz="4" w:space="0" w:color="000000"/>
              <w:left w:val="single" w:sz="4" w:space="0" w:color="000000"/>
              <w:bottom w:val="single" w:sz="4" w:space="0" w:color="000000"/>
              <w:right w:val="single" w:sz="4" w:space="0" w:color="000000"/>
            </w:tcBorders>
            <w:hideMark/>
          </w:tcPr>
          <w:p w14:paraId="2D0D1997" w14:textId="77777777" w:rsidR="00BD4B6C" w:rsidRPr="00BD4B6C" w:rsidRDefault="00BD4B6C">
            <w:pPr>
              <w:pStyle w:val="NormalWeb"/>
              <w:spacing w:before="0" w:beforeAutospacing="0" w:after="0" w:afterAutospacing="0"/>
              <w:ind w:right="34"/>
              <w:rPr>
                <w:rFonts w:ascii="Arial" w:hAnsi="Arial" w:cs="Arial"/>
                <w:sz w:val="22"/>
                <w:szCs w:val="22"/>
              </w:rPr>
            </w:pPr>
            <w:r w:rsidRPr="00BD4B6C">
              <w:rPr>
                <w:rFonts w:ascii="Arial" w:hAnsi="Arial" w:cs="Arial"/>
                <w:sz w:val="22"/>
                <w:szCs w:val="22"/>
              </w:rPr>
              <w:t>Student University Number:</w:t>
            </w:r>
          </w:p>
          <w:p w14:paraId="68ABA1F6" w14:textId="77777777" w:rsidR="00BD4B6C" w:rsidRPr="00BD4B6C" w:rsidRDefault="00BD4B6C" w:rsidP="00BD4B6C">
            <w:pPr>
              <w:rPr>
                <w:rFonts w:ascii="Arial" w:hAnsi="Arial" w:cs="Arial"/>
                <w:color w:val="000000"/>
                <w:sz w:val="22"/>
                <w:szCs w:val="22"/>
              </w:rPr>
            </w:pPr>
          </w:p>
          <w:p w14:paraId="18740E67" w14:textId="4960A798" w:rsidR="00BD4B6C" w:rsidRPr="00BD4B6C" w:rsidRDefault="00BD4B6C" w:rsidP="00BD4B6C">
            <w:pPr>
              <w:rPr>
                <w:rFonts w:ascii="Arial" w:hAnsi="Arial" w:cs="Arial"/>
                <w:sz w:val="22"/>
                <w:szCs w:val="22"/>
              </w:rPr>
            </w:pPr>
            <w:r w:rsidRPr="00BD4B6C">
              <w:rPr>
                <w:rFonts w:ascii="Arial" w:hAnsi="Arial" w:cs="Arial"/>
                <w:sz w:val="22"/>
                <w:szCs w:val="22"/>
              </w:rPr>
              <w:t xml:space="preserve">         0301851</w:t>
            </w:r>
          </w:p>
        </w:tc>
        <w:tc>
          <w:tcPr>
            <w:tcW w:w="1802" w:type="dxa"/>
            <w:vMerge w:val="restart"/>
            <w:tcBorders>
              <w:top w:val="single" w:sz="4" w:space="0" w:color="000000"/>
              <w:left w:val="single" w:sz="4" w:space="0" w:color="000000"/>
              <w:bottom w:val="single" w:sz="4" w:space="0" w:color="000000"/>
              <w:right w:val="single" w:sz="4" w:space="0" w:color="000000"/>
            </w:tcBorders>
            <w:hideMark/>
          </w:tcPr>
          <w:p w14:paraId="3759501F" w14:textId="77777777" w:rsidR="00BD4B6C" w:rsidRPr="00BD4B6C" w:rsidRDefault="00BD4B6C">
            <w:pPr>
              <w:pStyle w:val="NormalWeb"/>
              <w:spacing w:before="0" w:beforeAutospacing="0" w:after="0" w:afterAutospacing="0"/>
              <w:ind w:right="34"/>
              <w:rPr>
                <w:rFonts w:ascii="Arial" w:hAnsi="Arial" w:cs="Arial"/>
                <w:sz w:val="22"/>
                <w:szCs w:val="22"/>
              </w:rPr>
            </w:pPr>
            <w:r w:rsidRPr="00BD4B6C">
              <w:rPr>
                <w:rFonts w:ascii="Arial" w:hAnsi="Arial" w:cs="Arial"/>
                <w:sz w:val="22"/>
                <w:szCs w:val="22"/>
              </w:rPr>
              <w:t>Educational support needs:</w:t>
            </w:r>
          </w:p>
          <w:p w14:paraId="070233B1" w14:textId="77777777" w:rsidR="00BD4B6C" w:rsidRPr="00BD4B6C" w:rsidRDefault="00BD4B6C">
            <w:pPr>
              <w:pStyle w:val="NormalWeb"/>
              <w:spacing w:before="0" w:beforeAutospacing="0" w:after="0" w:afterAutospacing="0"/>
              <w:ind w:right="34"/>
              <w:rPr>
                <w:rFonts w:ascii="Arial" w:hAnsi="Arial" w:cs="Arial"/>
                <w:sz w:val="22"/>
                <w:szCs w:val="22"/>
              </w:rPr>
            </w:pPr>
          </w:p>
          <w:p w14:paraId="786392C5" w14:textId="06871375" w:rsidR="00BD4B6C" w:rsidRPr="00BD4B6C" w:rsidRDefault="00BD4B6C">
            <w:pPr>
              <w:pStyle w:val="NormalWeb"/>
              <w:spacing w:before="0" w:beforeAutospacing="0" w:after="0" w:afterAutospacing="0"/>
              <w:ind w:right="34"/>
              <w:rPr>
                <w:rFonts w:ascii="Arial" w:hAnsi="Arial" w:cs="Arial"/>
                <w:sz w:val="22"/>
                <w:szCs w:val="22"/>
              </w:rPr>
            </w:pPr>
            <w:r w:rsidRPr="00BD4B6C">
              <w:rPr>
                <w:rFonts w:ascii="Arial" w:hAnsi="Arial" w:cs="Arial"/>
                <w:sz w:val="22"/>
                <w:szCs w:val="22"/>
              </w:rPr>
              <w:t>No</w:t>
            </w:r>
          </w:p>
        </w:tc>
      </w:tr>
      <w:tr w:rsidR="00BD4B6C" w14:paraId="50AA4CAD" w14:textId="77777777" w:rsidTr="00BD4B6C">
        <w:trPr>
          <w:trHeight w:val="630"/>
        </w:trPr>
        <w:tc>
          <w:tcPr>
            <w:tcW w:w="4788" w:type="dxa"/>
            <w:tcBorders>
              <w:top w:val="single" w:sz="4" w:space="0" w:color="000000"/>
              <w:left w:val="single" w:sz="4" w:space="0" w:color="000000"/>
              <w:bottom w:val="single" w:sz="4" w:space="0" w:color="000000"/>
              <w:right w:val="single" w:sz="4" w:space="0" w:color="000000"/>
            </w:tcBorders>
          </w:tcPr>
          <w:p w14:paraId="3E865F01" w14:textId="77777777" w:rsidR="00BD4B6C" w:rsidRDefault="00BD4B6C">
            <w:pPr>
              <w:pStyle w:val="NormalWeb"/>
              <w:spacing w:before="0" w:beforeAutospacing="0" w:after="0" w:afterAutospacing="0"/>
              <w:ind w:right="34"/>
              <w:rPr>
                <w:rFonts w:ascii="Arial" w:hAnsi="Arial" w:cs="Arial"/>
                <w:sz w:val="22"/>
                <w:szCs w:val="22"/>
              </w:rPr>
            </w:pPr>
          </w:p>
          <w:p w14:paraId="43F790EA" w14:textId="5918176C" w:rsidR="00BD4B6C" w:rsidRDefault="00BD4B6C">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title:   Y </w:t>
            </w:r>
            <w:proofErr w:type="spellStart"/>
            <w:r>
              <w:rPr>
                <w:rFonts w:ascii="Arial" w:hAnsi="Arial" w:cs="Arial"/>
                <w:sz w:val="22"/>
                <w:szCs w:val="22"/>
              </w:rPr>
              <w:t>Mabinogi</w:t>
            </w:r>
            <w:proofErr w:type="spellEnd"/>
          </w:p>
          <w:p w14:paraId="0B7F3BE6" w14:textId="77777777" w:rsidR="00BD4B6C" w:rsidRDefault="00BD4B6C">
            <w:pPr>
              <w:pStyle w:val="NormalWeb"/>
              <w:spacing w:before="0" w:beforeAutospacing="0" w:after="0" w:afterAutospacing="0"/>
              <w:ind w:right="34"/>
              <w:rPr>
                <w:rFonts w:ascii="Arial" w:hAnsi="Arial" w:cs="Arial"/>
                <w:sz w:val="22"/>
                <w:szCs w:val="22"/>
              </w:rPr>
            </w:pPr>
          </w:p>
        </w:tc>
        <w:tc>
          <w:tcPr>
            <w:tcW w:w="0" w:type="auto"/>
            <w:gridSpan w:val="2"/>
            <w:vMerge/>
            <w:tcBorders>
              <w:top w:val="single" w:sz="4" w:space="0" w:color="000000"/>
              <w:left w:val="single" w:sz="4" w:space="0" w:color="000000"/>
              <w:bottom w:val="single" w:sz="4" w:space="0" w:color="000000"/>
              <w:right w:val="single" w:sz="4" w:space="0" w:color="000000"/>
            </w:tcBorders>
            <w:vAlign w:val="center"/>
            <w:hideMark/>
          </w:tcPr>
          <w:p w14:paraId="2B29A6B2" w14:textId="77777777" w:rsidR="00BD4B6C" w:rsidRDefault="00BD4B6C">
            <w:pPr>
              <w:rPr>
                <w:rFonts w:ascii="Arial" w:hAnsi="Arial" w:cs="Arial"/>
                <w:color w:val="000000"/>
                <w:sz w:val="22"/>
                <w:szCs w:val="22"/>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77ECC0B8" w14:textId="77777777" w:rsidR="00BD4B6C" w:rsidRDefault="00BD4B6C">
            <w:pPr>
              <w:rPr>
                <w:rFonts w:ascii="Arial" w:hAnsi="Arial" w:cs="Arial"/>
                <w:color w:val="000000"/>
                <w:sz w:val="22"/>
                <w:szCs w:val="22"/>
              </w:rPr>
            </w:pPr>
          </w:p>
        </w:tc>
      </w:tr>
      <w:tr w:rsidR="00BD4B6C" w14:paraId="417C6D62" w14:textId="77777777" w:rsidTr="00BD4B6C">
        <w:trPr>
          <w:trHeight w:val="630"/>
        </w:trPr>
        <w:tc>
          <w:tcPr>
            <w:tcW w:w="8856" w:type="dxa"/>
            <w:gridSpan w:val="4"/>
            <w:tcBorders>
              <w:top w:val="single" w:sz="4" w:space="0" w:color="000000"/>
              <w:left w:val="single" w:sz="4" w:space="0" w:color="000000"/>
              <w:bottom w:val="single" w:sz="4" w:space="0" w:color="000000"/>
              <w:right w:val="single" w:sz="4" w:space="0" w:color="000000"/>
            </w:tcBorders>
          </w:tcPr>
          <w:p w14:paraId="304C702D" w14:textId="77777777" w:rsidR="00BD4B6C" w:rsidRDefault="00BD4B6C">
            <w:pPr>
              <w:pStyle w:val="NormalWeb"/>
              <w:spacing w:before="0" w:beforeAutospacing="0" w:after="0" w:afterAutospacing="0"/>
              <w:ind w:right="34"/>
              <w:rPr>
                <w:rFonts w:ascii="Arial" w:hAnsi="Arial" w:cs="Arial"/>
                <w:sz w:val="22"/>
                <w:szCs w:val="22"/>
              </w:rPr>
            </w:pPr>
          </w:p>
          <w:p w14:paraId="7F783454" w14:textId="7725C3CC" w:rsidR="00BD4B6C" w:rsidRDefault="00BD4B6C">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Dr Jane Cartwright</w:t>
            </w:r>
          </w:p>
        </w:tc>
      </w:tr>
      <w:tr w:rsidR="00BD4B6C" w14:paraId="465A06FE" w14:textId="77777777" w:rsidTr="00BD4B6C">
        <w:trPr>
          <w:trHeight w:val="630"/>
        </w:trPr>
        <w:tc>
          <w:tcPr>
            <w:tcW w:w="8856" w:type="dxa"/>
            <w:gridSpan w:val="4"/>
            <w:tcBorders>
              <w:top w:val="single" w:sz="4" w:space="0" w:color="000000"/>
              <w:left w:val="single" w:sz="4" w:space="0" w:color="000000"/>
              <w:bottom w:val="single" w:sz="4" w:space="0" w:color="000000"/>
              <w:right w:val="single" w:sz="4" w:space="0" w:color="000000"/>
            </w:tcBorders>
          </w:tcPr>
          <w:p w14:paraId="5D7D0D9C" w14:textId="77777777" w:rsidR="00BD4B6C" w:rsidRDefault="00BD4B6C">
            <w:pPr>
              <w:pStyle w:val="NormalWeb"/>
              <w:spacing w:before="0" w:beforeAutospacing="0" w:after="0" w:afterAutospacing="0"/>
              <w:ind w:right="34"/>
              <w:rPr>
                <w:rFonts w:ascii="Arial" w:hAnsi="Arial" w:cs="Arial"/>
                <w:sz w:val="22"/>
                <w:szCs w:val="22"/>
              </w:rPr>
            </w:pPr>
          </w:p>
          <w:p w14:paraId="2F9FD811" w14:textId="77777777" w:rsidR="00BD4B6C" w:rsidRDefault="00BD4B6C">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Assignment title: Section A: Analyse the following passage from the </w:t>
            </w:r>
            <w:proofErr w:type="spellStart"/>
            <w:r>
              <w:rPr>
                <w:rFonts w:ascii="Arial" w:hAnsi="Arial" w:cs="Arial"/>
                <w:sz w:val="22"/>
                <w:szCs w:val="22"/>
              </w:rPr>
              <w:t>Mabinogi</w:t>
            </w:r>
            <w:proofErr w:type="spellEnd"/>
            <w:r>
              <w:rPr>
                <w:rFonts w:ascii="Arial" w:hAnsi="Arial" w:cs="Arial"/>
                <w:sz w:val="22"/>
                <w:szCs w:val="22"/>
              </w:rPr>
              <w:t xml:space="preserve"> (in approximately 1000 words).  In your commentary you should consider a range of factors, such as the particular significance of this passage, its context within the tale, style, characterisation, themes, literary motifs etc. </w:t>
            </w:r>
          </w:p>
          <w:p w14:paraId="37E94975" w14:textId="77777777" w:rsidR="00AB4E1C" w:rsidRDefault="00AB4E1C" w:rsidP="00AB4E1C">
            <w:pPr>
              <w:pStyle w:val="NormalWeb"/>
              <w:spacing w:before="0" w:beforeAutospacing="0" w:after="240" w:afterAutospacing="0"/>
              <w:rPr>
                <w:rFonts w:ascii="&amp;quot" w:hAnsi="&amp;quot"/>
                <w:color w:val="373A3C"/>
                <w:sz w:val="22"/>
                <w:szCs w:val="22"/>
              </w:rPr>
            </w:pPr>
            <w:r>
              <w:rPr>
                <w:rFonts w:ascii="&amp;quot" w:hAnsi="&amp;quot"/>
                <w:color w:val="373A3C"/>
                <w:sz w:val="22"/>
                <w:szCs w:val="22"/>
              </w:rPr>
              <w:t xml:space="preserve">They came to the court, and spent that night singing and carousing, until they were contented. The next day they amused themselves until it was time to go and eat. When they had finished eating, </w:t>
            </w:r>
            <w:proofErr w:type="spellStart"/>
            <w:r>
              <w:rPr>
                <w:rFonts w:ascii="&amp;quot" w:hAnsi="&amp;quot"/>
                <w:color w:val="373A3C"/>
                <w:sz w:val="22"/>
                <w:szCs w:val="22"/>
              </w:rPr>
              <w:t>Pwyll</w:t>
            </w:r>
            <w:proofErr w:type="spellEnd"/>
            <w:r>
              <w:rPr>
                <w:rFonts w:ascii="&amp;quot" w:hAnsi="&amp;quot"/>
                <w:color w:val="373A3C"/>
                <w:sz w:val="22"/>
                <w:szCs w:val="22"/>
              </w:rPr>
              <w:t xml:space="preserve"> said, ‘Where are those who were with me yesterday and the day before on top of the mound?’</w:t>
            </w:r>
          </w:p>
          <w:p w14:paraId="0BB3D42A" w14:textId="77777777" w:rsidR="00AB4E1C" w:rsidRDefault="00AB4E1C" w:rsidP="00AB4E1C">
            <w:pPr>
              <w:pStyle w:val="NormalWeb"/>
              <w:spacing w:before="0" w:beforeAutospacing="0" w:after="240" w:afterAutospacing="0"/>
              <w:rPr>
                <w:rFonts w:ascii="&amp;quot" w:hAnsi="&amp;quot"/>
                <w:color w:val="373A3C"/>
                <w:sz w:val="22"/>
                <w:szCs w:val="22"/>
              </w:rPr>
            </w:pPr>
            <w:r>
              <w:rPr>
                <w:rFonts w:ascii="&amp;quot" w:hAnsi="&amp;quot"/>
                <w:color w:val="373A3C"/>
                <w:sz w:val="22"/>
                <w:szCs w:val="22"/>
              </w:rPr>
              <w:t>‘Here we are, lord,’ they said.</w:t>
            </w:r>
          </w:p>
          <w:p w14:paraId="0CDF0DC0" w14:textId="77777777" w:rsidR="00AB4E1C" w:rsidRDefault="00AB4E1C" w:rsidP="00AB4E1C">
            <w:pPr>
              <w:pStyle w:val="NormalWeb"/>
              <w:spacing w:before="0" w:beforeAutospacing="0" w:after="240" w:afterAutospacing="0"/>
              <w:rPr>
                <w:rFonts w:ascii="&amp;quot" w:hAnsi="&amp;quot"/>
                <w:color w:val="373A3C"/>
                <w:sz w:val="22"/>
                <w:szCs w:val="22"/>
              </w:rPr>
            </w:pPr>
            <w:r>
              <w:rPr>
                <w:rFonts w:ascii="&amp;quot" w:hAnsi="&amp;quot"/>
                <w:color w:val="373A3C"/>
                <w:sz w:val="22"/>
                <w:szCs w:val="22"/>
              </w:rPr>
              <w:t>‘Let us go to the mound to sit,’ he said. ‘And you,’ he said to his groom, ‘saddle my horse well, and bring it to the road, and bring along my spurs.’ The groom did that.</w:t>
            </w:r>
          </w:p>
          <w:p w14:paraId="641F44F5" w14:textId="77777777" w:rsidR="00AB4E1C" w:rsidRDefault="00AB4E1C" w:rsidP="00AB4E1C">
            <w:pPr>
              <w:pStyle w:val="NormalWeb"/>
              <w:spacing w:before="0" w:beforeAutospacing="0" w:after="240" w:afterAutospacing="0"/>
              <w:rPr>
                <w:rFonts w:ascii="&amp;quot" w:hAnsi="&amp;quot"/>
                <w:color w:val="373A3C"/>
                <w:sz w:val="22"/>
                <w:szCs w:val="22"/>
              </w:rPr>
            </w:pPr>
            <w:r>
              <w:rPr>
                <w:rFonts w:ascii="&amp;quot" w:hAnsi="&amp;quot"/>
                <w:color w:val="373A3C"/>
                <w:sz w:val="22"/>
                <w:szCs w:val="22"/>
              </w:rPr>
              <w:t>They came to the mound and sat down. They were hardly any time at all when they saw the rider coming along the same road, in the same manner, and at the same pace.</w:t>
            </w:r>
          </w:p>
          <w:p w14:paraId="1EA54C6A" w14:textId="77777777" w:rsidR="00AB4E1C" w:rsidRDefault="00AB4E1C" w:rsidP="00AB4E1C">
            <w:pPr>
              <w:pStyle w:val="NormalWeb"/>
              <w:spacing w:before="0" w:beforeAutospacing="0" w:after="240" w:afterAutospacing="0"/>
              <w:rPr>
                <w:rFonts w:ascii="&amp;quot" w:hAnsi="&amp;quot"/>
                <w:color w:val="373A3C"/>
                <w:sz w:val="22"/>
                <w:szCs w:val="22"/>
              </w:rPr>
            </w:pPr>
            <w:r>
              <w:rPr>
                <w:rFonts w:ascii="&amp;quot" w:hAnsi="&amp;quot"/>
                <w:color w:val="373A3C"/>
                <w:sz w:val="22"/>
                <w:szCs w:val="22"/>
              </w:rPr>
              <w:t xml:space="preserve">‘Groom,’ said </w:t>
            </w:r>
            <w:proofErr w:type="spellStart"/>
            <w:r>
              <w:rPr>
                <w:rFonts w:ascii="&amp;quot" w:hAnsi="&amp;quot"/>
                <w:color w:val="373A3C"/>
                <w:sz w:val="22"/>
                <w:szCs w:val="22"/>
              </w:rPr>
              <w:t>Pwyll</w:t>
            </w:r>
            <w:proofErr w:type="spellEnd"/>
            <w:r>
              <w:rPr>
                <w:rFonts w:ascii="&amp;quot" w:hAnsi="&amp;quot"/>
                <w:color w:val="373A3C"/>
                <w:sz w:val="22"/>
                <w:szCs w:val="22"/>
              </w:rPr>
              <w:t xml:space="preserve">, ‘I see the rider. Give me my horse.’ </w:t>
            </w:r>
            <w:proofErr w:type="spellStart"/>
            <w:r>
              <w:rPr>
                <w:rFonts w:ascii="&amp;quot" w:hAnsi="&amp;quot"/>
                <w:color w:val="373A3C"/>
                <w:sz w:val="22"/>
                <w:szCs w:val="22"/>
              </w:rPr>
              <w:t>Pwyll</w:t>
            </w:r>
            <w:proofErr w:type="spellEnd"/>
            <w:r>
              <w:rPr>
                <w:rFonts w:ascii="&amp;quot" w:hAnsi="&amp;quot"/>
                <w:color w:val="373A3C"/>
                <w:sz w:val="22"/>
                <w:szCs w:val="22"/>
              </w:rPr>
              <w:t xml:space="preserve"> mounted his horse, and no sooner had he mounted his horse than she rode past him. He turned after her, and let his spirited, prancing horse go at its own pace. And he thought that at the second leap or the third he would catch up with her. But he was no closer to her than before. He urged his horse to go as fast as possible. But he saw that it was useless for him to pursue her.</w:t>
            </w:r>
          </w:p>
          <w:p w14:paraId="46713714" w14:textId="77777777" w:rsidR="00AB4E1C" w:rsidRDefault="00AB4E1C" w:rsidP="00AB4E1C">
            <w:pPr>
              <w:pStyle w:val="NormalWeb"/>
              <w:spacing w:before="0" w:beforeAutospacing="0" w:after="240" w:afterAutospacing="0"/>
              <w:rPr>
                <w:rFonts w:ascii="&amp;quot" w:hAnsi="&amp;quot"/>
                <w:color w:val="373A3C"/>
                <w:sz w:val="22"/>
                <w:szCs w:val="22"/>
              </w:rPr>
            </w:pPr>
            <w:r>
              <w:rPr>
                <w:rFonts w:ascii="&amp;quot" w:hAnsi="&amp;quot"/>
                <w:color w:val="373A3C"/>
                <w:sz w:val="22"/>
                <w:szCs w:val="22"/>
              </w:rPr>
              <w:t xml:space="preserve">            Then </w:t>
            </w:r>
            <w:proofErr w:type="spellStart"/>
            <w:r>
              <w:rPr>
                <w:rFonts w:ascii="&amp;quot" w:hAnsi="&amp;quot"/>
                <w:color w:val="373A3C"/>
                <w:sz w:val="22"/>
                <w:szCs w:val="22"/>
              </w:rPr>
              <w:t>Pwyll</w:t>
            </w:r>
            <w:proofErr w:type="spellEnd"/>
            <w:r>
              <w:rPr>
                <w:rFonts w:ascii="&amp;quot" w:hAnsi="&amp;quot"/>
                <w:color w:val="373A3C"/>
                <w:sz w:val="22"/>
                <w:szCs w:val="22"/>
              </w:rPr>
              <w:t xml:space="preserve"> said, ‘Maiden,’ he </w:t>
            </w:r>
            <w:proofErr w:type="gramStart"/>
            <w:r>
              <w:rPr>
                <w:rFonts w:ascii="&amp;quot" w:hAnsi="&amp;quot"/>
                <w:color w:val="373A3C"/>
                <w:sz w:val="22"/>
                <w:szCs w:val="22"/>
              </w:rPr>
              <w:t>said</w:t>
            </w:r>
            <w:proofErr w:type="gramEnd"/>
            <w:r>
              <w:rPr>
                <w:rFonts w:ascii="&amp;quot" w:hAnsi="&amp;quot"/>
                <w:color w:val="373A3C"/>
                <w:sz w:val="22"/>
                <w:szCs w:val="22"/>
              </w:rPr>
              <w:t xml:space="preserve"> ‘for the sake of the man you love most, wait for me.’</w:t>
            </w:r>
          </w:p>
          <w:p w14:paraId="005AD96E" w14:textId="77777777" w:rsidR="00AB4E1C" w:rsidRDefault="00AB4E1C" w:rsidP="00AB4E1C">
            <w:pPr>
              <w:pStyle w:val="NormalWeb"/>
              <w:spacing w:before="0" w:beforeAutospacing="0" w:after="240" w:afterAutospacing="0"/>
              <w:rPr>
                <w:rFonts w:ascii="&amp;quot" w:hAnsi="&amp;quot"/>
                <w:color w:val="373A3C"/>
                <w:sz w:val="22"/>
                <w:szCs w:val="22"/>
              </w:rPr>
            </w:pPr>
            <w:r>
              <w:rPr>
                <w:rFonts w:ascii="&amp;quot" w:hAnsi="&amp;quot"/>
                <w:color w:val="373A3C"/>
                <w:sz w:val="22"/>
                <w:szCs w:val="22"/>
              </w:rPr>
              <w:t>‘I will gladly,’ she said, ‘and it would have been better for the horse if you had asked that a while ago!’</w:t>
            </w:r>
          </w:p>
          <w:p w14:paraId="3853F84D" w14:textId="77777777" w:rsidR="00AB4E1C" w:rsidRDefault="00AB4E1C" w:rsidP="00AB4E1C">
            <w:pPr>
              <w:pStyle w:val="NormalWeb"/>
              <w:spacing w:before="0" w:beforeAutospacing="0" w:after="240" w:afterAutospacing="0"/>
              <w:rPr>
                <w:rFonts w:ascii="&amp;quot" w:hAnsi="&amp;quot"/>
                <w:color w:val="373A3C"/>
                <w:sz w:val="22"/>
                <w:szCs w:val="22"/>
              </w:rPr>
            </w:pPr>
            <w:r>
              <w:rPr>
                <w:rFonts w:ascii="&amp;quot" w:hAnsi="&amp;quot"/>
                <w:color w:val="373A3C"/>
                <w:sz w:val="22"/>
                <w:szCs w:val="22"/>
              </w:rPr>
              <w:lastRenderedPageBreak/>
              <w:t xml:space="preserve">            The maiden stopped and </w:t>
            </w:r>
            <w:proofErr w:type="gramStart"/>
            <w:r>
              <w:rPr>
                <w:rFonts w:ascii="&amp;quot" w:hAnsi="&amp;quot"/>
                <w:color w:val="373A3C"/>
                <w:sz w:val="22"/>
                <w:szCs w:val="22"/>
              </w:rPr>
              <w:t>waited, and</w:t>
            </w:r>
            <w:proofErr w:type="gramEnd"/>
            <w:r>
              <w:rPr>
                <w:rFonts w:ascii="&amp;quot" w:hAnsi="&amp;quot"/>
                <w:color w:val="373A3C"/>
                <w:sz w:val="22"/>
                <w:szCs w:val="22"/>
              </w:rPr>
              <w:t xml:space="preserve"> drew back the part of her headdress which should cover her face, and fixed her gaze on him, and began to talk to him.</w:t>
            </w:r>
          </w:p>
          <w:p w14:paraId="08696351" w14:textId="77777777" w:rsidR="00AB4E1C" w:rsidRDefault="00AB4E1C" w:rsidP="00AB4E1C">
            <w:pPr>
              <w:pStyle w:val="NormalWeb"/>
              <w:spacing w:before="0" w:beforeAutospacing="0" w:after="240" w:afterAutospacing="0"/>
              <w:rPr>
                <w:rFonts w:ascii="&amp;quot" w:hAnsi="&amp;quot"/>
                <w:color w:val="373A3C"/>
                <w:sz w:val="22"/>
                <w:szCs w:val="22"/>
              </w:rPr>
            </w:pPr>
            <w:r>
              <w:rPr>
                <w:rFonts w:ascii="&amp;quot" w:hAnsi="&amp;quot"/>
                <w:color w:val="373A3C"/>
                <w:sz w:val="22"/>
                <w:szCs w:val="22"/>
              </w:rPr>
              <w:t>            ‘Lady,’ he said, ‘where do you come from, and where are you going?’</w:t>
            </w:r>
          </w:p>
          <w:p w14:paraId="4E13C4E9" w14:textId="77777777" w:rsidR="00AB4E1C" w:rsidRDefault="00AB4E1C" w:rsidP="00AB4E1C">
            <w:pPr>
              <w:pStyle w:val="NormalWeb"/>
              <w:spacing w:before="0" w:beforeAutospacing="0" w:after="240" w:afterAutospacing="0"/>
              <w:rPr>
                <w:rFonts w:ascii="&amp;quot" w:hAnsi="&amp;quot"/>
                <w:color w:val="373A3C"/>
                <w:sz w:val="22"/>
                <w:szCs w:val="22"/>
              </w:rPr>
            </w:pPr>
            <w:r>
              <w:rPr>
                <w:rFonts w:ascii="&amp;quot" w:hAnsi="&amp;quot"/>
                <w:color w:val="373A3C"/>
                <w:sz w:val="22"/>
                <w:szCs w:val="22"/>
              </w:rPr>
              <w:t>            ‘Going about my business,’ she said, ‘and I am glad to see you.’</w:t>
            </w:r>
          </w:p>
          <w:p w14:paraId="6775F81B" w14:textId="77777777" w:rsidR="00AB4E1C" w:rsidRDefault="00AB4E1C" w:rsidP="00AB4E1C">
            <w:pPr>
              <w:pStyle w:val="NormalWeb"/>
              <w:spacing w:before="0" w:beforeAutospacing="0" w:after="240" w:afterAutospacing="0"/>
              <w:rPr>
                <w:rFonts w:ascii="&amp;quot" w:hAnsi="&amp;quot"/>
                <w:color w:val="373A3C"/>
                <w:sz w:val="22"/>
                <w:szCs w:val="22"/>
              </w:rPr>
            </w:pPr>
            <w:r>
              <w:rPr>
                <w:rFonts w:ascii="&amp;quot" w:hAnsi="&amp;quot"/>
                <w:color w:val="373A3C"/>
                <w:sz w:val="22"/>
                <w:szCs w:val="22"/>
              </w:rPr>
              <w:t>            ‘My welcome to you,’ he said. And then he thought that the face of every maiden and every woman he had ever seen was unattractive compared with her face.</w:t>
            </w:r>
          </w:p>
          <w:p w14:paraId="33BC1F5E" w14:textId="77777777" w:rsidR="00AB4E1C" w:rsidRDefault="00AB4E1C" w:rsidP="00AB4E1C">
            <w:pPr>
              <w:pStyle w:val="NormalWeb"/>
              <w:spacing w:before="0" w:beforeAutospacing="0" w:after="240" w:afterAutospacing="0"/>
              <w:rPr>
                <w:rFonts w:ascii="&amp;quot" w:hAnsi="&amp;quot"/>
                <w:color w:val="373A3C"/>
                <w:sz w:val="22"/>
                <w:szCs w:val="22"/>
              </w:rPr>
            </w:pPr>
            <w:r>
              <w:rPr>
                <w:rFonts w:ascii="&amp;quot" w:hAnsi="&amp;quot"/>
                <w:color w:val="373A3C"/>
                <w:sz w:val="22"/>
                <w:szCs w:val="22"/>
              </w:rPr>
              <w:t>            ‘Lady,’ he said, ‘will you tell me anything about your business?’</w:t>
            </w:r>
          </w:p>
          <w:p w14:paraId="530C20C7" w14:textId="77777777" w:rsidR="00AB4E1C" w:rsidRDefault="00AB4E1C" w:rsidP="00AB4E1C">
            <w:pPr>
              <w:pStyle w:val="NormalWeb"/>
              <w:spacing w:before="0" w:beforeAutospacing="0" w:after="240" w:afterAutospacing="0"/>
              <w:rPr>
                <w:rFonts w:ascii="&amp;quot" w:hAnsi="&amp;quot"/>
                <w:color w:val="373A3C"/>
                <w:sz w:val="22"/>
                <w:szCs w:val="22"/>
              </w:rPr>
            </w:pPr>
            <w:r>
              <w:rPr>
                <w:rFonts w:ascii="&amp;quot" w:hAnsi="&amp;quot"/>
                <w:color w:val="373A3C"/>
                <w:sz w:val="22"/>
                <w:szCs w:val="22"/>
              </w:rPr>
              <w:t>            ‘I will, between me and God,’ she said. ‘My main purpose was to try and see you.’</w:t>
            </w:r>
          </w:p>
          <w:p w14:paraId="13526503" w14:textId="77777777" w:rsidR="00AB4E1C" w:rsidRDefault="00AB4E1C" w:rsidP="00AB4E1C">
            <w:pPr>
              <w:pStyle w:val="NormalWeb"/>
              <w:spacing w:before="0" w:beforeAutospacing="0" w:after="240" w:afterAutospacing="0"/>
              <w:rPr>
                <w:rFonts w:ascii="&amp;quot" w:hAnsi="&amp;quot"/>
                <w:color w:val="373A3C"/>
                <w:sz w:val="22"/>
                <w:szCs w:val="22"/>
              </w:rPr>
            </w:pPr>
            <w:r>
              <w:rPr>
                <w:rFonts w:ascii="&amp;quot" w:hAnsi="&amp;quot"/>
                <w:color w:val="373A3C"/>
                <w:sz w:val="22"/>
                <w:szCs w:val="22"/>
              </w:rPr>
              <w:t xml:space="preserve">            ‘That, to me, is the best business you could have,’ said </w:t>
            </w:r>
            <w:proofErr w:type="spellStart"/>
            <w:r>
              <w:rPr>
                <w:rFonts w:ascii="&amp;quot" w:hAnsi="&amp;quot"/>
                <w:color w:val="373A3C"/>
                <w:sz w:val="22"/>
                <w:szCs w:val="22"/>
              </w:rPr>
              <w:t>Pwyll</w:t>
            </w:r>
            <w:proofErr w:type="spellEnd"/>
            <w:r>
              <w:rPr>
                <w:rFonts w:ascii="&amp;quot" w:hAnsi="&amp;quot"/>
                <w:color w:val="373A3C"/>
                <w:sz w:val="22"/>
                <w:szCs w:val="22"/>
              </w:rPr>
              <w:t>. ‘Will you tell me who you are?’</w:t>
            </w:r>
          </w:p>
          <w:p w14:paraId="5AF9DB16" w14:textId="77777777" w:rsidR="00AB4E1C" w:rsidRDefault="00AB4E1C" w:rsidP="00AB4E1C">
            <w:pPr>
              <w:pStyle w:val="NormalWeb"/>
              <w:spacing w:before="0" w:beforeAutospacing="0" w:after="0" w:afterAutospacing="0"/>
              <w:rPr>
                <w:rFonts w:ascii="&amp;quot" w:hAnsi="&amp;quot"/>
                <w:color w:val="373A3C"/>
                <w:sz w:val="22"/>
                <w:szCs w:val="22"/>
              </w:rPr>
            </w:pPr>
            <w:r>
              <w:rPr>
                <w:rFonts w:ascii="&amp;quot" w:hAnsi="&amp;quot"/>
                <w:color w:val="373A3C"/>
                <w:sz w:val="22"/>
                <w:szCs w:val="22"/>
              </w:rPr>
              <w:t xml:space="preserve">            ‘I will, lord,’ she said. ‘I am Rhiannon, daughter of </w:t>
            </w:r>
            <w:proofErr w:type="spellStart"/>
            <w:r>
              <w:rPr>
                <w:rFonts w:ascii="&amp;quot" w:hAnsi="&amp;quot"/>
                <w:color w:val="373A3C"/>
                <w:sz w:val="22"/>
                <w:szCs w:val="22"/>
              </w:rPr>
              <w:t>Hyfaidd</w:t>
            </w:r>
            <w:proofErr w:type="spellEnd"/>
            <w:r>
              <w:rPr>
                <w:rFonts w:ascii="&amp;quot" w:hAnsi="&amp;quot"/>
                <w:color w:val="373A3C"/>
                <w:sz w:val="22"/>
                <w:szCs w:val="22"/>
              </w:rPr>
              <w:t xml:space="preserve"> Hen, and I am to be given to a husband against my will. But I have never wanted any man, because of my love for you. And I still do not want him, unless you reject me. And it is to find out your answer on the matter that I have come.’</w:t>
            </w:r>
          </w:p>
          <w:p w14:paraId="217FFEAD" w14:textId="0C1ACD12" w:rsidR="00E737E1" w:rsidRPr="00AB4E1C" w:rsidRDefault="00AB4E1C" w:rsidP="00AB4E1C">
            <w:pPr>
              <w:pStyle w:val="NormalWeb"/>
              <w:spacing w:before="0" w:beforeAutospacing="0" w:after="240" w:afterAutospacing="0"/>
              <w:rPr>
                <w:rFonts w:ascii="&amp;quot" w:hAnsi="&amp;quot"/>
                <w:color w:val="373A3C"/>
                <w:sz w:val="22"/>
                <w:szCs w:val="22"/>
              </w:rPr>
            </w:pPr>
            <w:r>
              <w:rPr>
                <w:rFonts w:ascii="&amp;quot" w:hAnsi="&amp;quot"/>
                <w:i/>
                <w:iCs/>
                <w:color w:val="373A3C"/>
                <w:sz w:val="22"/>
                <w:szCs w:val="22"/>
              </w:rPr>
              <w:t xml:space="preserve">The </w:t>
            </w:r>
            <w:proofErr w:type="spellStart"/>
            <w:r>
              <w:rPr>
                <w:rFonts w:ascii="&amp;quot" w:hAnsi="&amp;quot"/>
                <w:i/>
                <w:iCs/>
                <w:color w:val="373A3C"/>
                <w:sz w:val="22"/>
                <w:szCs w:val="22"/>
              </w:rPr>
              <w:t>Mabinogion</w:t>
            </w:r>
            <w:proofErr w:type="spellEnd"/>
            <w:r>
              <w:rPr>
                <w:rFonts w:ascii="&amp;quot" w:hAnsi="&amp;quot"/>
                <w:color w:val="373A3C"/>
                <w:sz w:val="22"/>
                <w:szCs w:val="22"/>
              </w:rPr>
              <w:t xml:space="preserve">, trans. </w:t>
            </w:r>
            <w:proofErr w:type="spellStart"/>
            <w:r>
              <w:rPr>
                <w:rFonts w:ascii="&amp;quot" w:hAnsi="&amp;quot"/>
                <w:color w:val="373A3C"/>
                <w:sz w:val="22"/>
                <w:szCs w:val="22"/>
              </w:rPr>
              <w:t>Sioned</w:t>
            </w:r>
            <w:proofErr w:type="spellEnd"/>
            <w:r>
              <w:rPr>
                <w:rFonts w:ascii="&amp;quot" w:hAnsi="&amp;quot"/>
                <w:color w:val="373A3C"/>
                <w:sz w:val="22"/>
                <w:szCs w:val="22"/>
              </w:rPr>
              <w:t xml:space="preserve"> Davies (Oxford: Oxford University Press, 2007), pp. 10-11</w:t>
            </w:r>
          </w:p>
        </w:tc>
      </w:tr>
      <w:tr w:rsidR="00BD4B6C" w14:paraId="4A412BA1" w14:textId="77777777" w:rsidTr="00BD4B6C">
        <w:trPr>
          <w:trHeight w:val="630"/>
        </w:trPr>
        <w:tc>
          <w:tcPr>
            <w:tcW w:w="8856" w:type="dxa"/>
            <w:gridSpan w:val="4"/>
            <w:tcBorders>
              <w:top w:val="single" w:sz="4" w:space="0" w:color="000000"/>
              <w:left w:val="single" w:sz="4" w:space="0" w:color="000000"/>
              <w:bottom w:val="single" w:sz="4" w:space="0" w:color="000000"/>
              <w:right w:val="single" w:sz="4" w:space="0" w:color="000000"/>
            </w:tcBorders>
          </w:tcPr>
          <w:p w14:paraId="06CB1771" w14:textId="77777777" w:rsidR="00BD4B6C" w:rsidRDefault="00BD4B6C">
            <w:pPr>
              <w:pStyle w:val="NormalWeb"/>
              <w:spacing w:before="0" w:beforeAutospacing="0" w:after="0" w:afterAutospacing="0"/>
              <w:ind w:right="34"/>
              <w:rPr>
                <w:rFonts w:ascii="Arial" w:hAnsi="Arial" w:cs="Arial"/>
                <w:sz w:val="22"/>
                <w:szCs w:val="22"/>
              </w:rPr>
            </w:pPr>
          </w:p>
          <w:p w14:paraId="384F035F" w14:textId="5A16EB0E" w:rsidR="00BD4B6C" w:rsidRDefault="00BD4B6C">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w:t>
            </w:r>
            <w:r w:rsidR="00907292">
              <w:rPr>
                <w:rFonts w:ascii="Arial" w:hAnsi="Arial" w:cs="Arial"/>
                <w:sz w:val="22"/>
                <w:szCs w:val="22"/>
              </w:rPr>
              <w:t xml:space="preserve">  28 Nov 2018</w:t>
            </w:r>
          </w:p>
        </w:tc>
      </w:tr>
      <w:tr w:rsidR="00BD4B6C" w14:paraId="0834D361" w14:textId="77777777" w:rsidTr="00BD4B6C">
        <w:trPr>
          <w:trHeight w:val="978"/>
        </w:trPr>
        <w:tc>
          <w:tcPr>
            <w:tcW w:w="8856" w:type="dxa"/>
            <w:gridSpan w:val="4"/>
            <w:tcBorders>
              <w:top w:val="single" w:sz="4" w:space="0" w:color="000000"/>
              <w:left w:val="single" w:sz="4" w:space="0" w:color="000000"/>
              <w:bottom w:val="single" w:sz="4" w:space="0" w:color="000000"/>
              <w:right w:val="single" w:sz="4" w:space="0" w:color="000000"/>
            </w:tcBorders>
            <w:shd w:val="clear" w:color="auto" w:fill="D9D9D9"/>
          </w:tcPr>
          <w:p w14:paraId="41338A58" w14:textId="77777777" w:rsidR="00BD4B6C" w:rsidRDefault="00BD4B6C">
            <w:pPr>
              <w:pStyle w:val="NormalWeb"/>
              <w:spacing w:before="0" w:beforeAutospacing="0" w:after="0" w:afterAutospacing="0"/>
              <w:ind w:right="34"/>
              <w:rPr>
                <w:rFonts w:ascii="Arial" w:hAnsi="Arial" w:cs="Arial"/>
                <w:sz w:val="22"/>
                <w:szCs w:val="22"/>
              </w:rPr>
            </w:pPr>
          </w:p>
          <w:p w14:paraId="714F170D" w14:textId="77777777" w:rsidR="00BD4B6C" w:rsidRDefault="00BD4B6C">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023439B3" w14:textId="77777777" w:rsidR="00BD4B6C" w:rsidRDefault="00BD4B6C">
            <w:pPr>
              <w:pStyle w:val="NormalWeb"/>
              <w:spacing w:before="0" w:beforeAutospacing="0" w:after="0" w:afterAutospacing="0"/>
              <w:ind w:right="34"/>
              <w:rPr>
                <w:rFonts w:ascii="Arial" w:hAnsi="Arial" w:cs="Arial"/>
                <w:sz w:val="22"/>
                <w:szCs w:val="22"/>
              </w:rPr>
            </w:pPr>
          </w:p>
          <w:p w14:paraId="289631C4" w14:textId="62025DCD" w:rsidR="00BD4B6C" w:rsidRDefault="00BD4B6C">
            <w:pPr>
              <w:pStyle w:val="NormalWeb"/>
              <w:spacing w:before="0" w:beforeAutospacing="0" w:after="0" w:afterAutospacing="0"/>
              <w:ind w:right="34"/>
              <w:rPr>
                <w:rFonts w:ascii="Arial" w:hAnsi="Arial" w:cs="Arial"/>
                <w:sz w:val="22"/>
                <w:szCs w:val="22"/>
              </w:rPr>
            </w:pPr>
            <w:r>
              <w:rPr>
                <w:rFonts w:ascii="Arial" w:hAnsi="Arial" w:cs="Arial"/>
                <w:sz w:val="22"/>
                <w:szCs w:val="22"/>
              </w:rPr>
              <w:t>Name ………</w:t>
            </w:r>
            <w:r w:rsidR="00907292" w:rsidRPr="004134E6">
              <w:rPr>
                <w:rFonts w:ascii="Lucida Calligraphy" w:hAnsi="Lucida Calligraphy" w:cs="Arial"/>
                <w:sz w:val="28"/>
                <w:szCs w:val="28"/>
              </w:rPr>
              <w:t>S</w:t>
            </w:r>
            <w:r w:rsidR="00F862AC" w:rsidRPr="004134E6">
              <w:rPr>
                <w:rFonts w:ascii="Lucida Calligraphy" w:hAnsi="Lucida Calligraphy" w:cs="Arial"/>
                <w:sz w:val="28"/>
                <w:szCs w:val="28"/>
              </w:rPr>
              <w:t>arah</w:t>
            </w:r>
            <w:r w:rsidR="00907292" w:rsidRPr="004134E6">
              <w:rPr>
                <w:rFonts w:ascii="Lucida Calligraphy" w:hAnsi="Lucida Calligraphy" w:cs="Arial"/>
                <w:sz w:val="28"/>
                <w:szCs w:val="28"/>
              </w:rPr>
              <w:t xml:space="preserve"> Griffiths</w:t>
            </w:r>
            <w:r>
              <w:rPr>
                <w:rFonts w:ascii="Arial" w:hAnsi="Arial" w:cs="Arial"/>
                <w:sz w:val="22"/>
                <w:szCs w:val="22"/>
              </w:rPr>
              <w:t>……………………………………………………</w:t>
            </w:r>
          </w:p>
          <w:p w14:paraId="24FFE65A" w14:textId="77777777" w:rsidR="00BD4B6C" w:rsidRDefault="00BD4B6C">
            <w:pPr>
              <w:pStyle w:val="NormalWeb"/>
              <w:spacing w:before="0" w:beforeAutospacing="0" w:after="0" w:afterAutospacing="0"/>
              <w:ind w:right="34"/>
              <w:rPr>
                <w:rFonts w:ascii="Arial" w:hAnsi="Arial" w:cs="Arial"/>
                <w:sz w:val="22"/>
                <w:szCs w:val="22"/>
              </w:rPr>
            </w:pPr>
          </w:p>
        </w:tc>
      </w:tr>
      <w:tr w:rsidR="00BD4B6C" w14:paraId="449524BC" w14:textId="77777777" w:rsidTr="00BD4B6C">
        <w:trPr>
          <w:trHeight w:val="3972"/>
        </w:trPr>
        <w:tc>
          <w:tcPr>
            <w:tcW w:w="8856" w:type="dxa"/>
            <w:gridSpan w:val="4"/>
            <w:tcBorders>
              <w:top w:val="single" w:sz="4" w:space="0" w:color="000000"/>
              <w:left w:val="single" w:sz="4" w:space="0" w:color="000000"/>
              <w:bottom w:val="single" w:sz="4" w:space="0" w:color="000000"/>
              <w:right w:val="single" w:sz="4" w:space="0" w:color="000000"/>
            </w:tcBorders>
          </w:tcPr>
          <w:p w14:paraId="6D9DEB0E" w14:textId="77777777" w:rsidR="00BD4B6C" w:rsidRDefault="00BD4B6C">
            <w:pPr>
              <w:rPr>
                <w:rFonts w:ascii="Arial" w:hAnsi="Arial" w:cs="Arial"/>
                <w:b/>
              </w:rPr>
            </w:pPr>
          </w:p>
          <w:p w14:paraId="5E4F687A" w14:textId="77777777" w:rsidR="00BD4B6C" w:rsidRDefault="00BD4B6C">
            <w:pPr>
              <w:rPr>
                <w:rFonts w:ascii="Arial" w:hAnsi="Arial" w:cs="Arial"/>
              </w:rPr>
            </w:pPr>
            <w:r>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D4B6C" w14:paraId="4049C641" w14:textId="77777777">
              <w:tc>
                <w:tcPr>
                  <w:tcW w:w="6970" w:type="dxa"/>
                  <w:tcBorders>
                    <w:top w:val="single" w:sz="4" w:space="0" w:color="auto"/>
                    <w:left w:val="single" w:sz="4" w:space="0" w:color="auto"/>
                    <w:bottom w:val="single" w:sz="4" w:space="0" w:color="auto"/>
                    <w:right w:val="single" w:sz="4" w:space="0" w:color="auto"/>
                  </w:tcBorders>
                </w:tcPr>
                <w:p w14:paraId="2767FBD8" w14:textId="77777777" w:rsidR="00BD4B6C" w:rsidRDefault="00BD4B6C">
                  <w:pPr>
                    <w:rPr>
                      <w:rFonts w:ascii="Arial" w:hAnsi="Arial" w:cs="Arial"/>
                      <w:sz w:val="22"/>
                      <w:szCs w:val="22"/>
                    </w:rPr>
                  </w:pPr>
                </w:p>
                <w:p w14:paraId="5B355A0B" w14:textId="77777777" w:rsidR="00BD4B6C" w:rsidRDefault="00BD4B6C">
                  <w:pPr>
                    <w:rPr>
                      <w:rFonts w:ascii="Arial" w:hAnsi="Arial" w:cs="Arial"/>
                      <w:sz w:val="22"/>
                      <w:szCs w:val="22"/>
                    </w:rPr>
                  </w:pPr>
                  <w:r>
                    <w:rPr>
                      <w:rFonts w:ascii="Arial" w:hAnsi="Arial" w:cs="Arial"/>
                      <w:sz w:val="22"/>
                      <w:szCs w:val="22"/>
                    </w:rPr>
                    <w:t>1</w:t>
                  </w:r>
                  <w:r>
                    <w:rPr>
                      <w:rFonts w:ascii="Arial" w:hAnsi="Arial" w:cs="Arial"/>
                      <w:sz w:val="22"/>
                      <w:szCs w:val="22"/>
                      <w:vertAlign w:val="superscript"/>
                    </w:rPr>
                    <w:t>st</w:t>
                  </w:r>
                  <w:r>
                    <w:rPr>
                      <w:rFonts w:ascii="Arial" w:hAnsi="Arial" w:cs="Arial"/>
                      <w:sz w:val="22"/>
                      <w:szCs w:val="22"/>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28CC4A43" w14:textId="77777777" w:rsidR="00BD4B6C" w:rsidRDefault="00BD4B6C">
                  <w:pPr>
                    <w:rPr>
                      <w:rFonts w:ascii="Arial" w:hAnsi="Arial" w:cs="Arial"/>
                      <w:sz w:val="20"/>
                      <w:szCs w:val="20"/>
                    </w:rPr>
                  </w:pPr>
                </w:p>
              </w:tc>
            </w:tr>
            <w:tr w:rsidR="00BD4B6C" w14:paraId="7EAC73B1" w14:textId="77777777">
              <w:tc>
                <w:tcPr>
                  <w:tcW w:w="6970" w:type="dxa"/>
                  <w:tcBorders>
                    <w:top w:val="single" w:sz="4" w:space="0" w:color="auto"/>
                    <w:left w:val="single" w:sz="4" w:space="0" w:color="auto"/>
                    <w:bottom w:val="single" w:sz="4" w:space="0" w:color="auto"/>
                    <w:right w:val="single" w:sz="4" w:space="0" w:color="auto"/>
                  </w:tcBorders>
                </w:tcPr>
                <w:p w14:paraId="69478440" w14:textId="77777777" w:rsidR="00BD4B6C" w:rsidRDefault="00BD4B6C">
                  <w:pPr>
                    <w:rPr>
                      <w:rFonts w:ascii="Arial" w:hAnsi="Arial" w:cs="Arial"/>
                      <w:sz w:val="22"/>
                      <w:szCs w:val="22"/>
                    </w:rPr>
                  </w:pPr>
                </w:p>
                <w:p w14:paraId="77A986E1" w14:textId="77777777" w:rsidR="00BD4B6C" w:rsidRDefault="00BD4B6C">
                  <w:pPr>
                    <w:rPr>
                      <w:rFonts w:ascii="Arial" w:hAnsi="Arial" w:cs="Arial"/>
                      <w:sz w:val="22"/>
                      <w:szCs w:val="22"/>
                    </w:rPr>
                  </w:pPr>
                  <w:r>
                    <w:rPr>
                      <w:rFonts w:ascii="Arial" w:hAnsi="Arial" w:cs="Arial"/>
                      <w:sz w:val="22"/>
                      <w:szCs w:val="22"/>
                    </w:rPr>
                    <w:t>2</w:t>
                  </w:r>
                  <w:r>
                    <w:rPr>
                      <w:rFonts w:ascii="Arial" w:hAnsi="Arial" w:cs="Arial"/>
                      <w:sz w:val="22"/>
                      <w:szCs w:val="22"/>
                      <w:vertAlign w:val="superscript"/>
                    </w:rPr>
                    <w:t>nd</w:t>
                  </w:r>
                  <w:r>
                    <w:rPr>
                      <w:rFonts w:ascii="Arial" w:hAnsi="Arial" w:cs="Arial"/>
                      <w:sz w:val="22"/>
                      <w:szCs w:val="22"/>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3DA85AB4" w14:textId="77777777" w:rsidR="00BD4B6C" w:rsidRDefault="00BD4B6C">
                  <w:pPr>
                    <w:rPr>
                      <w:rFonts w:ascii="Arial" w:hAnsi="Arial" w:cs="Arial"/>
                      <w:sz w:val="20"/>
                      <w:szCs w:val="20"/>
                    </w:rPr>
                  </w:pPr>
                </w:p>
              </w:tc>
            </w:tr>
            <w:tr w:rsidR="00BD4B6C" w14:paraId="32A2F4AC" w14:textId="77777777">
              <w:tc>
                <w:tcPr>
                  <w:tcW w:w="6970" w:type="dxa"/>
                  <w:tcBorders>
                    <w:top w:val="single" w:sz="4" w:space="0" w:color="auto"/>
                    <w:left w:val="single" w:sz="4" w:space="0" w:color="auto"/>
                    <w:bottom w:val="single" w:sz="4" w:space="0" w:color="auto"/>
                    <w:right w:val="single" w:sz="4" w:space="0" w:color="auto"/>
                  </w:tcBorders>
                </w:tcPr>
                <w:p w14:paraId="38DF585E" w14:textId="77777777" w:rsidR="00BD4B6C" w:rsidRDefault="00BD4B6C">
                  <w:pPr>
                    <w:rPr>
                      <w:rFonts w:ascii="Arial" w:hAnsi="Arial" w:cs="Arial"/>
                      <w:sz w:val="22"/>
                      <w:szCs w:val="22"/>
                    </w:rPr>
                  </w:pPr>
                </w:p>
                <w:p w14:paraId="6B4DECC8" w14:textId="77777777" w:rsidR="00BD4B6C" w:rsidRDefault="00BD4B6C">
                  <w:pPr>
                    <w:rPr>
                      <w:rFonts w:ascii="Arial" w:hAnsi="Arial" w:cs="Arial"/>
                      <w:sz w:val="22"/>
                      <w:szCs w:val="22"/>
                    </w:rPr>
                  </w:pPr>
                  <w:r>
                    <w:rPr>
                      <w:rFonts w:ascii="Arial" w:hAnsi="Arial" w:cs="Arial"/>
                      <w:sz w:val="22"/>
                      <w:szCs w:val="22"/>
                    </w:rPr>
                    <w:t>Agreed Internal Mark</w:t>
                  </w:r>
                </w:p>
              </w:tc>
              <w:tc>
                <w:tcPr>
                  <w:tcW w:w="1660" w:type="dxa"/>
                  <w:tcBorders>
                    <w:top w:val="single" w:sz="4" w:space="0" w:color="auto"/>
                    <w:left w:val="single" w:sz="4" w:space="0" w:color="auto"/>
                    <w:bottom w:val="single" w:sz="4" w:space="0" w:color="auto"/>
                    <w:right w:val="single" w:sz="4" w:space="0" w:color="auto"/>
                  </w:tcBorders>
                </w:tcPr>
                <w:p w14:paraId="27819E4F" w14:textId="77777777" w:rsidR="00BD4B6C" w:rsidRDefault="00BD4B6C">
                  <w:pPr>
                    <w:rPr>
                      <w:rFonts w:ascii="Arial" w:hAnsi="Arial" w:cs="Arial"/>
                      <w:sz w:val="20"/>
                      <w:szCs w:val="20"/>
                    </w:rPr>
                  </w:pPr>
                </w:p>
              </w:tc>
            </w:tr>
            <w:tr w:rsidR="00BD4B6C" w14:paraId="67CEF893" w14:textId="77777777">
              <w:tc>
                <w:tcPr>
                  <w:tcW w:w="6970" w:type="dxa"/>
                  <w:tcBorders>
                    <w:top w:val="single" w:sz="4" w:space="0" w:color="auto"/>
                    <w:left w:val="single" w:sz="4" w:space="0" w:color="auto"/>
                    <w:bottom w:val="single" w:sz="4" w:space="0" w:color="auto"/>
                    <w:right w:val="single" w:sz="4" w:space="0" w:color="auto"/>
                  </w:tcBorders>
                </w:tcPr>
                <w:p w14:paraId="30913843" w14:textId="77777777" w:rsidR="00BD4B6C" w:rsidRDefault="00BD4B6C">
                  <w:pPr>
                    <w:rPr>
                      <w:rFonts w:ascii="Arial" w:hAnsi="Arial" w:cs="Arial"/>
                      <w:sz w:val="22"/>
                      <w:szCs w:val="22"/>
                    </w:rPr>
                  </w:pPr>
                </w:p>
                <w:p w14:paraId="4E282AA5" w14:textId="77777777" w:rsidR="00BD4B6C" w:rsidRDefault="00BD4B6C">
                  <w:pPr>
                    <w:rPr>
                      <w:rFonts w:ascii="Arial" w:hAnsi="Arial" w:cs="Arial"/>
                      <w:sz w:val="22"/>
                      <w:szCs w:val="22"/>
                    </w:rPr>
                  </w:pPr>
                  <w:r>
                    <w:rPr>
                      <w:rFonts w:ascii="Arial" w:hAnsi="Arial" w:cs="Arial"/>
                      <w:sz w:val="22"/>
                      <w:szCs w:val="22"/>
                    </w:rPr>
                    <w:t>External Examiner mark (if relevant)</w:t>
                  </w:r>
                </w:p>
              </w:tc>
              <w:tc>
                <w:tcPr>
                  <w:tcW w:w="1660" w:type="dxa"/>
                  <w:tcBorders>
                    <w:top w:val="single" w:sz="4" w:space="0" w:color="auto"/>
                    <w:left w:val="single" w:sz="4" w:space="0" w:color="auto"/>
                    <w:bottom w:val="single" w:sz="4" w:space="0" w:color="auto"/>
                    <w:right w:val="single" w:sz="4" w:space="0" w:color="auto"/>
                  </w:tcBorders>
                </w:tcPr>
                <w:p w14:paraId="75F8E0A4" w14:textId="77777777" w:rsidR="00BD4B6C" w:rsidRDefault="00BD4B6C">
                  <w:pPr>
                    <w:rPr>
                      <w:rFonts w:ascii="Arial" w:hAnsi="Arial" w:cs="Arial"/>
                      <w:sz w:val="20"/>
                      <w:szCs w:val="20"/>
                    </w:rPr>
                  </w:pPr>
                </w:p>
              </w:tc>
            </w:tr>
            <w:tr w:rsidR="00BD4B6C" w14:paraId="0D1EF66B" w14:textId="77777777">
              <w:tc>
                <w:tcPr>
                  <w:tcW w:w="6970" w:type="dxa"/>
                  <w:tcBorders>
                    <w:top w:val="single" w:sz="4" w:space="0" w:color="auto"/>
                    <w:left w:val="single" w:sz="4" w:space="0" w:color="auto"/>
                    <w:bottom w:val="single" w:sz="4" w:space="0" w:color="auto"/>
                    <w:right w:val="single" w:sz="4" w:space="0" w:color="auto"/>
                  </w:tcBorders>
                </w:tcPr>
                <w:p w14:paraId="0A230921" w14:textId="77777777" w:rsidR="00BD4B6C" w:rsidRDefault="00BD4B6C">
                  <w:pPr>
                    <w:rPr>
                      <w:rFonts w:ascii="Arial" w:hAnsi="Arial" w:cs="Arial"/>
                      <w:sz w:val="22"/>
                      <w:szCs w:val="22"/>
                    </w:rPr>
                  </w:pPr>
                </w:p>
                <w:p w14:paraId="7D21F5C6" w14:textId="77777777" w:rsidR="00BD4B6C" w:rsidRDefault="00BD4B6C">
                  <w:pPr>
                    <w:rPr>
                      <w:rFonts w:ascii="Arial" w:hAnsi="Arial" w:cs="Arial"/>
                      <w:b/>
                      <w:sz w:val="22"/>
                      <w:szCs w:val="22"/>
                    </w:rPr>
                  </w:pPr>
                  <w:r>
                    <w:rPr>
                      <w:rFonts w:ascii="Arial" w:hAnsi="Arial" w:cs="Arial"/>
                      <w:b/>
                      <w:sz w:val="22"/>
                      <w:szCs w:val="22"/>
                    </w:rPr>
                    <w:t>Final Mark</w:t>
                  </w:r>
                </w:p>
                <w:p w14:paraId="1ADEB560" w14:textId="77777777" w:rsidR="00BD4B6C" w:rsidRDefault="00BD4B6C">
                  <w:pPr>
                    <w:rPr>
                      <w:rFonts w:ascii="Arial" w:hAnsi="Arial" w:cs="Arial"/>
                      <w:sz w:val="22"/>
                      <w:szCs w:val="22"/>
                    </w:rPr>
                  </w:pPr>
                </w:p>
              </w:tc>
              <w:tc>
                <w:tcPr>
                  <w:tcW w:w="1660" w:type="dxa"/>
                  <w:tcBorders>
                    <w:top w:val="single" w:sz="4" w:space="0" w:color="auto"/>
                    <w:left w:val="single" w:sz="4" w:space="0" w:color="auto"/>
                    <w:bottom w:val="single" w:sz="4" w:space="0" w:color="auto"/>
                    <w:right w:val="single" w:sz="4" w:space="0" w:color="auto"/>
                  </w:tcBorders>
                </w:tcPr>
                <w:p w14:paraId="6CE0F4DF" w14:textId="77777777" w:rsidR="00BD4B6C" w:rsidRDefault="00BD4B6C">
                  <w:pPr>
                    <w:rPr>
                      <w:rFonts w:ascii="Arial" w:hAnsi="Arial" w:cs="Arial"/>
                      <w:b/>
                      <w:sz w:val="20"/>
                      <w:szCs w:val="20"/>
                    </w:rPr>
                  </w:pPr>
                </w:p>
              </w:tc>
            </w:tr>
          </w:tbl>
          <w:p w14:paraId="77E00D75" w14:textId="77777777" w:rsidR="00BD4B6C" w:rsidRDefault="00BD4B6C">
            <w:pPr>
              <w:pStyle w:val="NormalWeb"/>
              <w:spacing w:before="0" w:beforeAutospacing="0" w:after="0" w:afterAutospacing="0"/>
              <w:ind w:left="142" w:right="34"/>
              <w:rPr>
                <w:rFonts w:ascii="Arial" w:hAnsi="Arial" w:cs="Arial"/>
                <w:b/>
                <w:sz w:val="22"/>
                <w:szCs w:val="22"/>
              </w:rPr>
            </w:pPr>
          </w:p>
          <w:p w14:paraId="6971303F" w14:textId="77777777" w:rsidR="00BD4B6C" w:rsidRDefault="00BD4B6C">
            <w:pPr>
              <w:pStyle w:val="NormalWeb"/>
              <w:spacing w:before="0" w:beforeAutospacing="0" w:after="0" w:afterAutospacing="0"/>
              <w:ind w:left="142" w:right="34"/>
              <w:jc w:val="center"/>
              <w:rPr>
                <w:rFonts w:ascii="Arial" w:hAnsi="Arial" w:cs="Arial"/>
                <w:b/>
                <w:sz w:val="22"/>
                <w:szCs w:val="22"/>
              </w:rPr>
            </w:pPr>
            <w:r>
              <w:rPr>
                <w:rFonts w:ascii="Arial" w:hAnsi="Arial" w:cs="Arial"/>
                <w:b/>
                <w:sz w:val="22"/>
                <w:szCs w:val="22"/>
              </w:rPr>
              <w:t>NB.  All marks are provisional until confirmed by the Final Examination Board</w:t>
            </w:r>
          </w:p>
          <w:p w14:paraId="3654CCB6" w14:textId="77777777" w:rsidR="00BD4B6C" w:rsidRDefault="00BD4B6C">
            <w:pPr>
              <w:pStyle w:val="NormalWeb"/>
              <w:spacing w:before="0" w:beforeAutospacing="0" w:after="0" w:afterAutospacing="0"/>
              <w:rPr>
                <w:rFonts w:ascii="Arial" w:hAnsi="Arial" w:cs="Arial"/>
                <w:b/>
                <w:sz w:val="22"/>
                <w:szCs w:val="22"/>
              </w:rPr>
            </w:pPr>
          </w:p>
          <w:p w14:paraId="77192384" w14:textId="77777777" w:rsidR="00AB4E1C" w:rsidRDefault="00AB4E1C">
            <w:pPr>
              <w:pStyle w:val="NormalWeb"/>
              <w:spacing w:before="0" w:beforeAutospacing="0" w:after="0" w:afterAutospacing="0"/>
              <w:rPr>
                <w:rFonts w:ascii="Arial" w:hAnsi="Arial" w:cs="Arial"/>
                <w:b/>
                <w:sz w:val="22"/>
                <w:szCs w:val="22"/>
              </w:rPr>
            </w:pPr>
          </w:p>
          <w:p w14:paraId="03476762" w14:textId="77777777" w:rsidR="00AB4E1C" w:rsidRDefault="00AB4E1C">
            <w:pPr>
              <w:pStyle w:val="NormalWeb"/>
              <w:spacing w:before="0" w:beforeAutospacing="0" w:after="0" w:afterAutospacing="0"/>
              <w:rPr>
                <w:rFonts w:ascii="Arial" w:hAnsi="Arial" w:cs="Arial"/>
                <w:b/>
                <w:sz w:val="22"/>
                <w:szCs w:val="22"/>
              </w:rPr>
            </w:pPr>
          </w:p>
          <w:p w14:paraId="297633EE" w14:textId="77777777" w:rsidR="00AB4E1C" w:rsidRDefault="00AB4E1C">
            <w:pPr>
              <w:pStyle w:val="NormalWeb"/>
              <w:spacing w:before="0" w:beforeAutospacing="0" w:after="0" w:afterAutospacing="0"/>
              <w:rPr>
                <w:rFonts w:ascii="Arial" w:hAnsi="Arial" w:cs="Arial"/>
                <w:b/>
                <w:sz w:val="22"/>
                <w:szCs w:val="22"/>
              </w:rPr>
            </w:pPr>
          </w:p>
          <w:p w14:paraId="0C9A6819" w14:textId="77777777" w:rsidR="00AB4E1C" w:rsidRDefault="00AB4E1C">
            <w:pPr>
              <w:pStyle w:val="NormalWeb"/>
              <w:spacing w:before="0" w:beforeAutospacing="0" w:after="0" w:afterAutospacing="0"/>
              <w:rPr>
                <w:rFonts w:ascii="Arial" w:hAnsi="Arial" w:cs="Arial"/>
                <w:b/>
                <w:sz w:val="22"/>
                <w:szCs w:val="22"/>
              </w:rPr>
            </w:pPr>
          </w:p>
          <w:p w14:paraId="5DF70704" w14:textId="77777777" w:rsidR="00AB4E1C" w:rsidRDefault="00AB4E1C">
            <w:pPr>
              <w:pStyle w:val="NormalWeb"/>
              <w:spacing w:before="0" w:beforeAutospacing="0" w:after="0" w:afterAutospacing="0"/>
              <w:rPr>
                <w:rFonts w:ascii="Arial" w:hAnsi="Arial" w:cs="Arial"/>
                <w:b/>
                <w:sz w:val="22"/>
                <w:szCs w:val="22"/>
              </w:rPr>
            </w:pPr>
          </w:p>
          <w:p w14:paraId="4F34C905" w14:textId="77777777" w:rsidR="00AB4E1C" w:rsidRDefault="00AB4E1C">
            <w:pPr>
              <w:pStyle w:val="NormalWeb"/>
              <w:spacing w:before="0" w:beforeAutospacing="0" w:after="0" w:afterAutospacing="0"/>
              <w:rPr>
                <w:rFonts w:ascii="Arial" w:hAnsi="Arial" w:cs="Arial"/>
                <w:b/>
                <w:sz w:val="22"/>
                <w:szCs w:val="22"/>
              </w:rPr>
            </w:pPr>
          </w:p>
          <w:p w14:paraId="5573442C" w14:textId="68D5052F" w:rsidR="00BD4B6C" w:rsidRDefault="00BD4B6C">
            <w:pPr>
              <w:pStyle w:val="NormalWeb"/>
              <w:spacing w:before="0" w:beforeAutospacing="0" w:after="0" w:afterAutospacing="0"/>
              <w:rPr>
                <w:rFonts w:ascii="Arial" w:hAnsi="Arial" w:cs="Arial"/>
                <w:b/>
                <w:sz w:val="22"/>
                <w:szCs w:val="22"/>
              </w:rPr>
            </w:pPr>
            <w:bookmarkStart w:id="0" w:name="_GoBack"/>
            <w:bookmarkEnd w:id="0"/>
            <w:r>
              <w:rPr>
                <w:rFonts w:ascii="Arial" w:hAnsi="Arial" w:cs="Arial"/>
                <w:b/>
                <w:sz w:val="22"/>
                <w:szCs w:val="22"/>
              </w:rPr>
              <w:lastRenderedPageBreak/>
              <w:t>For completion by Marker 1:</w:t>
            </w:r>
          </w:p>
          <w:p w14:paraId="420B3FA3" w14:textId="77777777" w:rsidR="00BD4B6C" w:rsidRDefault="00BD4B6C">
            <w:pPr>
              <w:pStyle w:val="NormalWeb"/>
              <w:rPr>
                <w:rFonts w:ascii="Arial" w:hAnsi="Arial" w:cs="Arial"/>
                <w:sz w:val="22"/>
                <w:szCs w:val="22"/>
              </w:rPr>
            </w:pPr>
            <w:r>
              <w:rPr>
                <w:rFonts w:ascii="Arial" w:hAnsi="Arial" w:cs="Arial"/>
                <w:sz w:val="22"/>
                <w:szCs w:val="22"/>
              </w:rPr>
              <w:t>Comments:</w:t>
            </w:r>
          </w:p>
        </w:tc>
      </w:tr>
      <w:tr w:rsidR="00BD4B6C" w14:paraId="1D51BF7B" w14:textId="77777777" w:rsidTr="00BD4B6C">
        <w:trPr>
          <w:trHeight w:val="408"/>
        </w:trPr>
        <w:tc>
          <w:tcPr>
            <w:tcW w:w="6768" w:type="dxa"/>
            <w:gridSpan w:val="2"/>
            <w:tcBorders>
              <w:top w:val="single" w:sz="4" w:space="0" w:color="000000"/>
              <w:left w:val="single" w:sz="4" w:space="0" w:color="000000"/>
              <w:bottom w:val="single" w:sz="4" w:space="0" w:color="000000"/>
              <w:right w:val="single" w:sz="4" w:space="0" w:color="000000"/>
            </w:tcBorders>
            <w:hideMark/>
          </w:tcPr>
          <w:p w14:paraId="28AF15F1" w14:textId="77777777" w:rsidR="00BD4B6C" w:rsidRDefault="00BD4B6C">
            <w:pPr>
              <w:pStyle w:val="NormalWeb"/>
              <w:ind w:right="34"/>
              <w:rPr>
                <w:rFonts w:ascii="Arial" w:hAnsi="Arial" w:cs="Arial"/>
                <w:sz w:val="22"/>
                <w:szCs w:val="22"/>
              </w:rPr>
            </w:pPr>
            <w:r>
              <w:rPr>
                <w:rFonts w:ascii="Arial" w:hAnsi="Arial" w:cs="Arial"/>
                <w:sz w:val="22"/>
                <w:szCs w:val="22"/>
              </w:rPr>
              <w:lastRenderedPageBreak/>
              <w:t>Marker 1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5FE989A1" w14:textId="77777777" w:rsidR="00BD4B6C" w:rsidRDefault="00BD4B6C">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BD4B6C" w14:paraId="13FDDE07" w14:textId="77777777" w:rsidTr="00BD4B6C">
        <w:tc>
          <w:tcPr>
            <w:tcW w:w="8856" w:type="dxa"/>
            <w:gridSpan w:val="4"/>
            <w:tcBorders>
              <w:top w:val="single" w:sz="4" w:space="0" w:color="000000"/>
              <w:left w:val="single" w:sz="4" w:space="0" w:color="000000"/>
              <w:bottom w:val="single" w:sz="4" w:space="0" w:color="000000"/>
              <w:right w:val="single" w:sz="4" w:space="0" w:color="000000"/>
            </w:tcBorders>
          </w:tcPr>
          <w:p w14:paraId="642B8AED" w14:textId="77777777" w:rsidR="00BD4B6C" w:rsidRDefault="00BD4B6C">
            <w:pPr>
              <w:pStyle w:val="NormalWeb"/>
              <w:spacing w:before="0" w:beforeAutospacing="0" w:after="0" w:afterAutospacing="0"/>
              <w:ind w:right="-334"/>
              <w:rPr>
                <w:rFonts w:ascii="Arial" w:hAnsi="Arial" w:cs="Arial"/>
                <w:bCs/>
                <w:i/>
                <w:sz w:val="22"/>
                <w:szCs w:val="22"/>
              </w:rPr>
            </w:pPr>
          </w:p>
          <w:p w14:paraId="757D9D9B" w14:textId="77777777" w:rsidR="00BD4B6C" w:rsidRDefault="00BD4B6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 / Moderator:</w:t>
            </w:r>
          </w:p>
          <w:p w14:paraId="6F1438A5" w14:textId="77777777" w:rsidR="00BD4B6C" w:rsidRDefault="00BD4B6C">
            <w:pPr>
              <w:pStyle w:val="NormalWeb"/>
              <w:spacing w:before="0" w:beforeAutospacing="0" w:after="0" w:afterAutospacing="0"/>
              <w:ind w:right="-334"/>
              <w:rPr>
                <w:rFonts w:ascii="Arial" w:hAnsi="Arial" w:cs="Arial"/>
                <w:b/>
                <w:bCs/>
                <w:sz w:val="22"/>
                <w:szCs w:val="22"/>
              </w:rPr>
            </w:pPr>
          </w:p>
          <w:p w14:paraId="75CDFD29" w14:textId="77777777" w:rsidR="00BD4B6C" w:rsidRDefault="00BD4B6C">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7A760B65" w14:textId="77777777" w:rsidR="00BD4B6C" w:rsidRDefault="00BD4B6C">
            <w:pPr>
              <w:pStyle w:val="NormalWeb"/>
              <w:spacing w:before="0" w:beforeAutospacing="0" w:after="0" w:afterAutospacing="0"/>
              <w:ind w:right="-334"/>
              <w:rPr>
                <w:rFonts w:ascii="Arial" w:hAnsi="Arial" w:cs="Arial"/>
                <w:bCs/>
                <w:sz w:val="22"/>
                <w:szCs w:val="22"/>
              </w:rPr>
            </w:pPr>
          </w:p>
          <w:p w14:paraId="1DA02B7D" w14:textId="77777777" w:rsidR="00BD4B6C" w:rsidRDefault="00BD4B6C">
            <w:pPr>
              <w:pStyle w:val="NormalWeb"/>
              <w:spacing w:before="0" w:beforeAutospacing="0" w:after="0" w:afterAutospacing="0"/>
              <w:ind w:right="-334"/>
              <w:rPr>
                <w:rFonts w:ascii="Arial" w:hAnsi="Arial" w:cs="Arial"/>
                <w:bCs/>
                <w:sz w:val="22"/>
                <w:szCs w:val="22"/>
              </w:rPr>
            </w:pPr>
          </w:p>
          <w:p w14:paraId="24B10F63" w14:textId="77777777" w:rsidR="00BD4B6C" w:rsidRDefault="00BD4B6C">
            <w:pPr>
              <w:pStyle w:val="NormalWeb"/>
              <w:spacing w:before="0" w:beforeAutospacing="0" w:after="0" w:afterAutospacing="0"/>
              <w:ind w:right="-334"/>
              <w:rPr>
                <w:rFonts w:ascii="Arial" w:hAnsi="Arial" w:cs="Arial"/>
                <w:bCs/>
                <w:sz w:val="22"/>
                <w:szCs w:val="22"/>
              </w:rPr>
            </w:pPr>
          </w:p>
          <w:p w14:paraId="37A80C8D" w14:textId="77777777" w:rsidR="00BD4B6C" w:rsidRDefault="00BD4B6C">
            <w:pPr>
              <w:pStyle w:val="NormalWeb"/>
              <w:spacing w:before="0" w:beforeAutospacing="0" w:after="0" w:afterAutospacing="0"/>
              <w:ind w:right="-334"/>
              <w:rPr>
                <w:rFonts w:ascii="Arial" w:hAnsi="Arial" w:cs="Arial"/>
                <w:bCs/>
                <w:sz w:val="22"/>
                <w:szCs w:val="22"/>
              </w:rPr>
            </w:pPr>
          </w:p>
          <w:p w14:paraId="44F650EB" w14:textId="77777777" w:rsidR="00BD4B6C" w:rsidRDefault="00BD4B6C">
            <w:pPr>
              <w:pStyle w:val="NormalWeb"/>
              <w:spacing w:before="0" w:beforeAutospacing="0" w:after="0" w:afterAutospacing="0"/>
              <w:ind w:right="-334"/>
              <w:rPr>
                <w:rFonts w:ascii="Arial" w:hAnsi="Arial" w:cs="Arial"/>
                <w:bCs/>
                <w:sz w:val="22"/>
                <w:szCs w:val="22"/>
              </w:rPr>
            </w:pPr>
          </w:p>
          <w:p w14:paraId="388B1D17" w14:textId="77777777" w:rsidR="00BD4B6C" w:rsidRDefault="00BD4B6C">
            <w:pPr>
              <w:pStyle w:val="NormalWeb"/>
              <w:spacing w:before="0" w:beforeAutospacing="0" w:after="0" w:afterAutospacing="0"/>
              <w:ind w:right="-334"/>
              <w:rPr>
                <w:rFonts w:ascii="Arial" w:hAnsi="Arial" w:cs="Arial"/>
                <w:bCs/>
                <w:sz w:val="22"/>
                <w:szCs w:val="22"/>
              </w:rPr>
            </w:pPr>
          </w:p>
          <w:p w14:paraId="4BE7CD67" w14:textId="77777777" w:rsidR="00BD4B6C" w:rsidRDefault="00BD4B6C">
            <w:pPr>
              <w:pStyle w:val="NormalWeb"/>
              <w:spacing w:before="0" w:beforeAutospacing="0" w:after="0" w:afterAutospacing="0"/>
              <w:ind w:right="-334"/>
              <w:rPr>
                <w:rFonts w:ascii="Arial" w:hAnsi="Arial" w:cs="Arial"/>
                <w:bCs/>
                <w:sz w:val="22"/>
                <w:szCs w:val="22"/>
              </w:rPr>
            </w:pPr>
          </w:p>
          <w:p w14:paraId="16BFBE4A" w14:textId="77777777" w:rsidR="00BD4B6C" w:rsidRDefault="00BD4B6C">
            <w:pPr>
              <w:pStyle w:val="NormalWeb"/>
              <w:spacing w:before="0" w:beforeAutospacing="0" w:after="0" w:afterAutospacing="0"/>
              <w:ind w:right="-334"/>
              <w:rPr>
                <w:rFonts w:ascii="Arial" w:hAnsi="Arial" w:cs="Arial"/>
                <w:bCs/>
                <w:sz w:val="22"/>
                <w:szCs w:val="22"/>
              </w:rPr>
            </w:pPr>
          </w:p>
          <w:p w14:paraId="54F3D680" w14:textId="77777777" w:rsidR="00BD4B6C" w:rsidRDefault="00BD4B6C">
            <w:pPr>
              <w:pStyle w:val="NormalWeb"/>
              <w:spacing w:before="0" w:beforeAutospacing="0" w:after="0" w:afterAutospacing="0"/>
              <w:ind w:right="-334"/>
              <w:rPr>
                <w:rFonts w:ascii="Arial" w:hAnsi="Arial" w:cs="Arial"/>
                <w:bCs/>
                <w:sz w:val="22"/>
                <w:szCs w:val="22"/>
              </w:rPr>
            </w:pPr>
          </w:p>
          <w:p w14:paraId="2978E07E" w14:textId="77777777" w:rsidR="00BD4B6C" w:rsidRDefault="00BD4B6C">
            <w:pPr>
              <w:pStyle w:val="NormalWeb"/>
              <w:spacing w:before="0" w:beforeAutospacing="0" w:after="0" w:afterAutospacing="0"/>
              <w:ind w:right="-334"/>
              <w:rPr>
                <w:rFonts w:ascii="Arial" w:hAnsi="Arial" w:cs="Arial"/>
                <w:bCs/>
                <w:sz w:val="22"/>
                <w:szCs w:val="22"/>
              </w:rPr>
            </w:pPr>
          </w:p>
          <w:p w14:paraId="1D48FC25" w14:textId="77777777" w:rsidR="00BD4B6C" w:rsidRDefault="00BD4B6C">
            <w:pPr>
              <w:pStyle w:val="NormalWeb"/>
              <w:spacing w:before="0" w:beforeAutospacing="0" w:after="0" w:afterAutospacing="0"/>
              <w:ind w:right="-334"/>
              <w:rPr>
                <w:rFonts w:ascii="Arial" w:hAnsi="Arial" w:cs="Arial"/>
                <w:bCs/>
                <w:sz w:val="22"/>
                <w:szCs w:val="22"/>
              </w:rPr>
            </w:pPr>
          </w:p>
        </w:tc>
      </w:tr>
      <w:tr w:rsidR="00BD4B6C" w14:paraId="0D5EADE6" w14:textId="77777777" w:rsidTr="00BD4B6C">
        <w:trPr>
          <w:trHeight w:val="398"/>
        </w:trPr>
        <w:tc>
          <w:tcPr>
            <w:tcW w:w="6768" w:type="dxa"/>
            <w:gridSpan w:val="2"/>
            <w:tcBorders>
              <w:top w:val="single" w:sz="4" w:space="0" w:color="000000"/>
              <w:left w:val="single" w:sz="4" w:space="0" w:color="000000"/>
              <w:bottom w:val="single" w:sz="4" w:space="0" w:color="000000"/>
              <w:right w:val="single" w:sz="4" w:space="0" w:color="000000"/>
            </w:tcBorders>
            <w:hideMark/>
          </w:tcPr>
          <w:p w14:paraId="0D3B6A11" w14:textId="77777777" w:rsidR="00BD4B6C" w:rsidRDefault="00BD4B6C">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 2 / Moderator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3B60D881" w14:textId="77777777" w:rsidR="00BD4B6C" w:rsidRDefault="00BD4B6C">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BD4B6C" w14:paraId="2FC25A1C" w14:textId="77777777" w:rsidTr="00BD4B6C">
        <w:trPr>
          <w:trHeight w:val="720"/>
        </w:trPr>
        <w:tc>
          <w:tcPr>
            <w:tcW w:w="8856" w:type="dxa"/>
            <w:gridSpan w:val="4"/>
            <w:tcBorders>
              <w:top w:val="single" w:sz="4" w:space="0" w:color="000000"/>
              <w:left w:val="single" w:sz="4" w:space="0" w:color="000000"/>
              <w:bottom w:val="single" w:sz="4" w:space="0" w:color="000000"/>
              <w:right w:val="single" w:sz="4" w:space="0" w:color="000000"/>
            </w:tcBorders>
          </w:tcPr>
          <w:p w14:paraId="04420CA7" w14:textId="77777777" w:rsidR="00BD4B6C" w:rsidRDefault="00BD4B6C">
            <w:pPr>
              <w:rPr>
                <w:rFonts w:ascii="Arial" w:hAnsi="Arial" w:cs="Arial"/>
                <w:b/>
                <w:sz w:val="22"/>
                <w:szCs w:val="22"/>
              </w:rPr>
            </w:pPr>
          </w:p>
          <w:p w14:paraId="74EC09B4" w14:textId="77777777" w:rsidR="00BD4B6C" w:rsidRDefault="00BD4B6C">
            <w:pPr>
              <w:rPr>
                <w:rFonts w:ascii="Arial" w:hAnsi="Arial" w:cs="Arial"/>
                <w:b/>
                <w:sz w:val="22"/>
                <w:szCs w:val="22"/>
              </w:rPr>
            </w:pPr>
            <w:r>
              <w:rPr>
                <w:rFonts w:ascii="Arial" w:hAnsi="Arial" w:cs="Arial"/>
                <w:b/>
                <w:sz w:val="22"/>
                <w:szCs w:val="22"/>
              </w:rPr>
              <w:t>External Examiner’s comments (if relevant):</w:t>
            </w:r>
          </w:p>
          <w:p w14:paraId="1E3D3095" w14:textId="77777777" w:rsidR="00BD4B6C" w:rsidRDefault="00BD4B6C">
            <w:pPr>
              <w:pStyle w:val="NormalWeb"/>
              <w:spacing w:before="0" w:beforeAutospacing="0" w:after="0" w:afterAutospacing="0"/>
              <w:ind w:right="-334"/>
              <w:rPr>
                <w:rFonts w:ascii="Arial" w:hAnsi="Arial" w:cs="Arial"/>
                <w:bCs/>
                <w:sz w:val="22"/>
                <w:szCs w:val="22"/>
              </w:rPr>
            </w:pPr>
          </w:p>
          <w:p w14:paraId="2C7D9713" w14:textId="77777777" w:rsidR="00BD4B6C" w:rsidRDefault="00BD4B6C">
            <w:pPr>
              <w:pStyle w:val="NormalWeb"/>
              <w:spacing w:before="0" w:beforeAutospacing="0" w:after="0" w:afterAutospacing="0"/>
              <w:ind w:right="-334"/>
              <w:rPr>
                <w:rFonts w:ascii="Arial" w:hAnsi="Arial" w:cs="Arial"/>
                <w:bCs/>
                <w:sz w:val="22"/>
                <w:szCs w:val="22"/>
              </w:rPr>
            </w:pPr>
          </w:p>
          <w:p w14:paraId="691990A9" w14:textId="77777777" w:rsidR="00BD4B6C" w:rsidRDefault="00BD4B6C">
            <w:pPr>
              <w:pStyle w:val="NormalWeb"/>
              <w:spacing w:before="0" w:beforeAutospacing="0" w:after="0" w:afterAutospacing="0"/>
              <w:ind w:right="-334"/>
              <w:rPr>
                <w:rFonts w:ascii="Arial" w:hAnsi="Arial" w:cs="Arial"/>
                <w:bCs/>
                <w:sz w:val="22"/>
                <w:szCs w:val="22"/>
              </w:rPr>
            </w:pPr>
          </w:p>
          <w:p w14:paraId="14CF9EA8" w14:textId="77777777" w:rsidR="00BD4B6C" w:rsidRDefault="00BD4B6C">
            <w:pPr>
              <w:pStyle w:val="NormalWeb"/>
              <w:spacing w:before="0" w:beforeAutospacing="0" w:after="0" w:afterAutospacing="0"/>
              <w:ind w:right="-334"/>
              <w:rPr>
                <w:rFonts w:ascii="Arial" w:hAnsi="Arial" w:cs="Arial"/>
                <w:bCs/>
                <w:sz w:val="22"/>
                <w:szCs w:val="22"/>
              </w:rPr>
            </w:pPr>
          </w:p>
          <w:p w14:paraId="7C063EC9" w14:textId="77777777" w:rsidR="00BD4B6C" w:rsidRDefault="00BD4B6C">
            <w:pPr>
              <w:pStyle w:val="NormalWeb"/>
              <w:spacing w:before="0" w:beforeAutospacing="0" w:after="0" w:afterAutospacing="0"/>
              <w:ind w:right="-334"/>
              <w:rPr>
                <w:rFonts w:ascii="Arial" w:hAnsi="Arial" w:cs="Arial"/>
                <w:bCs/>
                <w:sz w:val="22"/>
                <w:szCs w:val="22"/>
              </w:rPr>
            </w:pPr>
          </w:p>
          <w:p w14:paraId="16A3A839" w14:textId="77777777" w:rsidR="00BD4B6C" w:rsidRDefault="00BD4B6C">
            <w:pPr>
              <w:pStyle w:val="NormalWeb"/>
              <w:spacing w:before="0" w:beforeAutospacing="0" w:after="0" w:afterAutospacing="0"/>
              <w:ind w:right="-334"/>
              <w:rPr>
                <w:rFonts w:ascii="Arial" w:hAnsi="Arial" w:cs="Arial"/>
                <w:bCs/>
                <w:sz w:val="22"/>
                <w:szCs w:val="22"/>
              </w:rPr>
            </w:pPr>
          </w:p>
          <w:p w14:paraId="1F794848" w14:textId="77777777" w:rsidR="00BD4B6C" w:rsidRDefault="00BD4B6C">
            <w:pPr>
              <w:pStyle w:val="NormalWeb"/>
              <w:spacing w:before="0" w:beforeAutospacing="0" w:after="0" w:afterAutospacing="0"/>
              <w:ind w:right="-334"/>
              <w:rPr>
                <w:rFonts w:ascii="Arial" w:hAnsi="Arial" w:cs="Arial"/>
                <w:bCs/>
                <w:sz w:val="22"/>
                <w:szCs w:val="22"/>
              </w:rPr>
            </w:pPr>
          </w:p>
          <w:p w14:paraId="0AD6C721" w14:textId="77777777" w:rsidR="00BD4B6C" w:rsidRDefault="00BD4B6C">
            <w:pPr>
              <w:pStyle w:val="NormalWeb"/>
              <w:spacing w:before="0" w:beforeAutospacing="0" w:after="0" w:afterAutospacing="0"/>
              <w:ind w:right="-334"/>
              <w:rPr>
                <w:rFonts w:ascii="Arial" w:hAnsi="Arial" w:cs="Arial"/>
                <w:bCs/>
                <w:sz w:val="22"/>
                <w:szCs w:val="22"/>
              </w:rPr>
            </w:pPr>
          </w:p>
          <w:p w14:paraId="6CA1EFB6" w14:textId="77777777" w:rsidR="00BD4B6C" w:rsidRDefault="00BD4B6C">
            <w:pPr>
              <w:pStyle w:val="NormalWeb"/>
              <w:spacing w:before="0" w:beforeAutospacing="0" w:after="0" w:afterAutospacing="0"/>
              <w:ind w:right="-334"/>
              <w:rPr>
                <w:rFonts w:ascii="Arial" w:hAnsi="Arial" w:cs="Arial"/>
                <w:bCs/>
                <w:sz w:val="22"/>
                <w:szCs w:val="22"/>
              </w:rPr>
            </w:pPr>
          </w:p>
          <w:p w14:paraId="1B761833" w14:textId="77777777" w:rsidR="00BD4B6C" w:rsidRDefault="00BD4B6C">
            <w:pPr>
              <w:pStyle w:val="NormalWeb"/>
              <w:spacing w:before="0" w:beforeAutospacing="0" w:after="0" w:afterAutospacing="0"/>
              <w:ind w:right="-334"/>
              <w:rPr>
                <w:rFonts w:ascii="Arial" w:hAnsi="Arial" w:cs="Arial"/>
                <w:bCs/>
                <w:sz w:val="22"/>
                <w:szCs w:val="22"/>
              </w:rPr>
            </w:pPr>
          </w:p>
          <w:p w14:paraId="1C8B1267" w14:textId="77777777" w:rsidR="00BD4B6C" w:rsidRDefault="00BD4B6C">
            <w:pPr>
              <w:pStyle w:val="NormalWeb"/>
              <w:spacing w:before="0" w:beforeAutospacing="0" w:after="0" w:afterAutospacing="0"/>
              <w:ind w:right="-334"/>
              <w:rPr>
                <w:rFonts w:ascii="Arial" w:hAnsi="Arial" w:cs="Arial"/>
                <w:bCs/>
                <w:sz w:val="22"/>
                <w:szCs w:val="22"/>
              </w:rPr>
            </w:pPr>
          </w:p>
          <w:p w14:paraId="1E4DC3E6" w14:textId="77777777" w:rsidR="00BD4B6C" w:rsidRDefault="00BD4B6C">
            <w:pPr>
              <w:pStyle w:val="NormalWeb"/>
              <w:spacing w:before="0" w:beforeAutospacing="0" w:after="0" w:afterAutospacing="0"/>
              <w:ind w:right="-334"/>
              <w:rPr>
                <w:rFonts w:ascii="Arial" w:hAnsi="Arial" w:cs="Arial"/>
                <w:bCs/>
                <w:sz w:val="22"/>
                <w:szCs w:val="22"/>
              </w:rPr>
            </w:pPr>
          </w:p>
          <w:p w14:paraId="28611729" w14:textId="77777777" w:rsidR="00BD4B6C" w:rsidRDefault="00BD4B6C">
            <w:pPr>
              <w:pStyle w:val="NormalWeb"/>
              <w:spacing w:before="0" w:beforeAutospacing="0" w:after="0" w:afterAutospacing="0"/>
              <w:ind w:right="-334"/>
              <w:rPr>
                <w:rFonts w:ascii="Arial" w:hAnsi="Arial" w:cs="Arial"/>
                <w:bCs/>
                <w:sz w:val="22"/>
                <w:szCs w:val="22"/>
              </w:rPr>
            </w:pPr>
          </w:p>
        </w:tc>
      </w:tr>
      <w:tr w:rsidR="00BD4B6C" w14:paraId="71856D48" w14:textId="77777777" w:rsidTr="00BD4B6C">
        <w:trPr>
          <w:trHeight w:val="479"/>
        </w:trPr>
        <w:tc>
          <w:tcPr>
            <w:tcW w:w="6768" w:type="dxa"/>
            <w:gridSpan w:val="2"/>
            <w:tcBorders>
              <w:top w:val="single" w:sz="4" w:space="0" w:color="000000"/>
              <w:left w:val="single" w:sz="4" w:space="0" w:color="000000"/>
              <w:bottom w:val="single" w:sz="4" w:space="0" w:color="000000"/>
              <w:right w:val="single" w:sz="4" w:space="0" w:color="000000"/>
            </w:tcBorders>
            <w:hideMark/>
          </w:tcPr>
          <w:p w14:paraId="4E07B252" w14:textId="77777777" w:rsidR="00BD4B6C" w:rsidRDefault="00BD4B6C">
            <w:pPr>
              <w:rPr>
                <w:rFonts w:ascii="Arial" w:hAnsi="Arial" w:cs="Arial"/>
                <w:sz w:val="22"/>
                <w:szCs w:val="22"/>
              </w:rPr>
            </w:pPr>
            <w:r>
              <w:rPr>
                <w:rFonts w:ascii="Arial" w:hAnsi="Arial" w:cs="Arial"/>
                <w:sz w:val="22"/>
                <w:szCs w:val="22"/>
              </w:rPr>
              <w:t>External Examiner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1850DEF0" w14:textId="77777777" w:rsidR="00BD4B6C" w:rsidRDefault="00BD4B6C">
            <w:pPr>
              <w:rPr>
                <w:rFonts w:ascii="Arial" w:hAnsi="Arial" w:cs="Arial"/>
                <w:sz w:val="22"/>
                <w:szCs w:val="22"/>
              </w:rPr>
            </w:pPr>
            <w:r>
              <w:rPr>
                <w:rFonts w:ascii="Arial" w:hAnsi="Arial" w:cs="Arial"/>
                <w:sz w:val="22"/>
                <w:szCs w:val="22"/>
              </w:rPr>
              <w:t>Date:</w:t>
            </w:r>
          </w:p>
        </w:tc>
      </w:tr>
    </w:tbl>
    <w:p w14:paraId="26BE6A07" w14:textId="77777777" w:rsidR="00BD4B6C" w:rsidRDefault="00BD4B6C" w:rsidP="00BD4B6C">
      <w:pPr>
        <w:pStyle w:val="NormalWeb"/>
        <w:spacing w:before="0" w:beforeAutospacing="0" w:after="0" w:afterAutospacing="0"/>
        <w:ind w:right="-334"/>
        <w:rPr>
          <w:rFonts w:ascii="Arial" w:hAnsi="Arial" w:cs="Arial"/>
          <w:bCs/>
          <w:sz w:val="24"/>
          <w:szCs w:val="24"/>
        </w:rPr>
      </w:pPr>
    </w:p>
    <w:p w14:paraId="67F0250A" w14:textId="54B87FC0" w:rsidR="002033F4" w:rsidRDefault="002033F4">
      <w:pPr>
        <w:spacing w:after="160" w:line="259" w:lineRule="auto"/>
      </w:pPr>
      <w:r>
        <w:br w:type="page"/>
      </w:r>
    </w:p>
    <w:p w14:paraId="0315BCF4" w14:textId="77777777" w:rsidR="00BF5577" w:rsidRDefault="00BF5577" w:rsidP="00BF5577">
      <w:pPr>
        <w:spacing w:line="480" w:lineRule="auto"/>
      </w:pPr>
      <w:r>
        <w:lastRenderedPageBreak/>
        <w:t xml:space="preserve">The meeting of </w:t>
      </w:r>
      <w:proofErr w:type="spellStart"/>
      <w:r>
        <w:t>Pwyll</w:t>
      </w:r>
      <w:proofErr w:type="spellEnd"/>
      <w:r>
        <w:t xml:space="preserve"> and Rhiannon, is a significant element of not only of the first tale - the First Branch - but also of The Four Branches of the </w:t>
      </w:r>
      <w:proofErr w:type="spellStart"/>
      <w:r>
        <w:t>Mabinogi</w:t>
      </w:r>
      <w:proofErr w:type="spellEnd"/>
      <w:r>
        <w:t xml:space="preserve"> as a whole. It shows examples of themes, characterisation and elements of narrative style that are evident throughout The Four Branches. </w:t>
      </w:r>
      <w:r w:rsidRPr="00661D71">
        <w:t>Th</w:t>
      </w:r>
      <w:r>
        <w:t>e</w:t>
      </w:r>
      <w:r w:rsidRPr="00661D71">
        <w:t xml:space="preserve"> passage</w:t>
      </w:r>
      <w:r>
        <w:t xml:space="preserve"> to be analysed is taken from the pages 10-11 of the 2007 </w:t>
      </w:r>
      <w:proofErr w:type="spellStart"/>
      <w:r>
        <w:t>Sioned</w:t>
      </w:r>
      <w:proofErr w:type="spellEnd"/>
      <w:r>
        <w:t xml:space="preserve"> Davies translation of </w:t>
      </w:r>
      <w:r w:rsidRPr="00FC3689">
        <w:rPr>
          <w:i/>
        </w:rPr>
        <w:t xml:space="preserve">The </w:t>
      </w:r>
      <w:proofErr w:type="spellStart"/>
      <w:r w:rsidRPr="00FC3689">
        <w:rPr>
          <w:i/>
        </w:rPr>
        <w:t>Mabinogion</w:t>
      </w:r>
      <w:proofErr w:type="spellEnd"/>
      <w:r>
        <w:t>.</w:t>
      </w:r>
      <w:r>
        <w:rPr>
          <w:rStyle w:val="FootnoteReference"/>
        </w:rPr>
        <w:footnoteReference w:id="1"/>
      </w:r>
    </w:p>
    <w:p w14:paraId="73FE8ADE" w14:textId="77777777" w:rsidR="00BF5577" w:rsidRDefault="00BF5577" w:rsidP="00BF5577">
      <w:pPr>
        <w:spacing w:line="480" w:lineRule="auto"/>
      </w:pPr>
      <w:r>
        <w:t xml:space="preserve">Davies says that the story of </w:t>
      </w:r>
      <w:proofErr w:type="spellStart"/>
      <w:r>
        <w:t>Pwyll</w:t>
      </w:r>
      <w:proofErr w:type="spellEnd"/>
      <w:r>
        <w:t xml:space="preserve"> - The First Branch of the </w:t>
      </w:r>
      <w:proofErr w:type="spellStart"/>
      <w:r>
        <w:t>Mabinogi</w:t>
      </w:r>
      <w:proofErr w:type="spellEnd"/>
      <w:r>
        <w:t xml:space="preserve"> – is tripartite in structure and ‘The branches are composed of sections.’</w:t>
      </w:r>
      <w:r w:rsidRPr="00BD112C">
        <w:t xml:space="preserve"> </w:t>
      </w:r>
      <w:r>
        <w:rPr>
          <w:rStyle w:val="FootnoteReference"/>
        </w:rPr>
        <w:footnoteReference w:id="2"/>
      </w:r>
      <w:r>
        <w:t xml:space="preserve"> In terms of its context within the story, this passage is found at the start of the second section of this Branch, ‘</w:t>
      </w:r>
      <w:proofErr w:type="spellStart"/>
      <w:r>
        <w:t>Pwyll</w:t>
      </w:r>
      <w:proofErr w:type="spellEnd"/>
      <w:r>
        <w:t xml:space="preserve"> meets and marries Rhiannon’ </w:t>
      </w:r>
      <w:r>
        <w:rPr>
          <w:rStyle w:val="FootnoteReference"/>
        </w:rPr>
        <w:footnoteReference w:id="3"/>
      </w:r>
      <w:r>
        <w:t xml:space="preserve"> and introduces the character of Rhiannon to the reader. </w:t>
      </w:r>
      <w:proofErr w:type="spellStart"/>
      <w:r>
        <w:t>Pwyll</w:t>
      </w:r>
      <w:proofErr w:type="spellEnd"/>
      <w:r>
        <w:t xml:space="preserve"> later marries Rhiannon and their union produces a son, </w:t>
      </w:r>
      <w:proofErr w:type="spellStart"/>
      <w:r>
        <w:t>Pryderi</w:t>
      </w:r>
      <w:proofErr w:type="spellEnd"/>
      <w:r>
        <w:t xml:space="preserve">, who becomes another key character. Ford shows that the work of W.J. </w:t>
      </w:r>
      <w:proofErr w:type="spellStart"/>
      <w:r>
        <w:t>Gruffydd</w:t>
      </w:r>
      <w:proofErr w:type="spellEnd"/>
      <w:r>
        <w:t xml:space="preserve"> concluded, ‘that the four branches originally told of the birth, exploits, marriage, and death of </w:t>
      </w:r>
      <w:proofErr w:type="spellStart"/>
      <w:r>
        <w:t>Pryderi</w:t>
      </w:r>
      <w:proofErr w:type="spellEnd"/>
      <w:r>
        <w:t>, the only character to appear in each of the branches.’</w:t>
      </w:r>
      <w:r>
        <w:rPr>
          <w:rStyle w:val="FootnoteReference"/>
        </w:rPr>
        <w:footnoteReference w:id="4"/>
      </w:r>
      <w:r>
        <w:t xml:space="preserve"> </w:t>
      </w:r>
    </w:p>
    <w:p w14:paraId="072269A1" w14:textId="77777777" w:rsidR="00BF5577" w:rsidRDefault="00BF5577" w:rsidP="00BF5577">
      <w:pPr>
        <w:spacing w:line="480" w:lineRule="auto"/>
      </w:pPr>
      <w:r>
        <w:t xml:space="preserve">Dialogue plays a key role within the </w:t>
      </w:r>
      <w:proofErr w:type="spellStart"/>
      <w:r>
        <w:t>Mabinogi</w:t>
      </w:r>
      <w:proofErr w:type="spellEnd"/>
      <w:r>
        <w:t xml:space="preserve"> tales; direct speech forms a large part of this passage, and ‘42% of the entire story of </w:t>
      </w:r>
      <w:proofErr w:type="spellStart"/>
      <w:r>
        <w:t>Pwyll</w:t>
      </w:r>
      <w:proofErr w:type="spellEnd"/>
      <w:r>
        <w:t xml:space="preserve">’ according to Davies. </w:t>
      </w:r>
      <w:r>
        <w:rPr>
          <w:rStyle w:val="FootnoteReference"/>
        </w:rPr>
        <w:footnoteReference w:id="5"/>
      </w:r>
      <w:r>
        <w:t xml:space="preserve">  Within the dialogue is the characteristic use of speech markers; ‘he said / she said is the most common’ </w:t>
      </w:r>
      <w:r>
        <w:rPr>
          <w:rStyle w:val="FootnoteReference"/>
        </w:rPr>
        <w:footnoteReference w:id="6"/>
      </w:r>
      <w:r>
        <w:t xml:space="preserve">  The dialogue is used to develop Rhiannon as a strong female in this passage:</w:t>
      </w:r>
    </w:p>
    <w:p w14:paraId="4E3AFD29" w14:textId="77777777" w:rsidR="00BF5577" w:rsidRDefault="00BF5577" w:rsidP="00BF5577">
      <w:pPr>
        <w:spacing w:line="480" w:lineRule="auto"/>
        <w:ind w:left="720"/>
      </w:pPr>
      <w:r>
        <w:t xml:space="preserve">Rhiannon is a strong character, fighting against contemporary social order and marrying a man of her choice. She is totally fearless at her first meeting with </w:t>
      </w:r>
      <w:proofErr w:type="spellStart"/>
      <w:r>
        <w:t>Pwyll</w:t>
      </w:r>
      <w:proofErr w:type="spellEnd"/>
      <w:r>
        <w:t xml:space="preserve">.’ </w:t>
      </w:r>
      <w:r>
        <w:rPr>
          <w:rStyle w:val="FootnoteReference"/>
        </w:rPr>
        <w:footnoteReference w:id="7"/>
      </w:r>
      <w:r>
        <w:t xml:space="preserve"> </w:t>
      </w:r>
    </w:p>
    <w:p w14:paraId="480EE629" w14:textId="77777777" w:rsidR="00BF5577" w:rsidRDefault="00BF5577" w:rsidP="00BF5577">
      <w:pPr>
        <w:spacing w:line="480" w:lineRule="auto"/>
      </w:pPr>
    </w:p>
    <w:p w14:paraId="7EA08BAE" w14:textId="7392F479" w:rsidR="00BF5577" w:rsidRDefault="00BF5577" w:rsidP="00BF5577">
      <w:pPr>
        <w:spacing w:line="480" w:lineRule="auto"/>
      </w:pPr>
      <w:r>
        <w:lastRenderedPageBreak/>
        <w:t xml:space="preserve">Much has been written about the writing style, of the </w:t>
      </w:r>
      <w:proofErr w:type="spellStart"/>
      <w:r>
        <w:t>Mabinogi</w:t>
      </w:r>
      <w:proofErr w:type="spellEnd"/>
      <w:r>
        <w:t xml:space="preserve"> and there are many theories concerning the author and the conflict between oral and written style a few examples are seen in this passage. The first paragraph is an example of ‘the art of linking events’, according to Davies, ‘it is an important part of the narrator’s craft.’</w:t>
      </w:r>
      <w:r>
        <w:rPr>
          <w:rStyle w:val="FootnoteReference"/>
        </w:rPr>
        <w:footnoteReference w:id="8"/>
      </w:r>
      <w:r>
        <w:t xml:space="preserve"> The narrator leaves no gaps in the timeline, linking the series of events, no matter how long the period elapsed, the reader or listener is clear about the continuity.</w:t>
      </w:r>
    </w:p>
    <w:p w14:paraId="701B9BC7" w14:textId="77777777" w:rsidR="00BF5577" w:rsidRDefault="00BF5577" w:rsidP="00BF5577">
      <w:pPr>
        <w:spacing w:line="480" w:lineRule="auto"/>
        <w:ind w:left="720"/>
      </w:pPr>
      <w:r>
        <w:t xml:space="preserve">They came to the court, and they spent that night in song and carousal, so that they were well content. And on the </w:t>
      </w:r>
      <w:proofErr w:type="gramStart"/>
      <w:r>
        <w:t>morrow</w:t>
      </w:r>
      <w:proofErr w:type="gramEnd"/>
      <w:r>
        <w:t xml:space="preserve"> they spent the day until it was time to go to eat. </w:t>
      </w:r>
      <w:r>
        <w:rPr>
          <w:rStyle w:val="FootnoteReference"/>
        </w:rPr>
        <w:footnoteReference w:id="9"/>
      </w:r>
    </w:p>
    <w:p w14:paraId="6E340E03" w14:textId="77777777" w:rsidR="00BF5577" w:rsidRDefault="00BF5577" w:rsidP="00BF5577">
      <w:pPr>
        <w:spacing w:line="480" w:lineRule="auto"/>
      </w:pPr>
      <w:r w:rsidRPr="008C2CCE">
        <w:t>This paragraph also show</w:t>
      </w:r>
      <w:r>
        <w:t>s</w:t>
      </w:r>
      <w:r w:rsidRPr="008C2CCE">
        <w:t xml:space="preserve"> us an example of the </w:t>
      </w:r>
      <w:r>
        <w:t xml:space="preserve">doublet - a formula seen throughout the </w:t>
      </w:r>
      <w:proofErr w:type="spellStart"/>
      <w:r>
        <w:t>Mabinogi</w:t>
      </w:r>
      <w:proofErr w:type="spellEnd"/>
      <w:r>
        <w:t xml:space="preserve"> - ‘a combination of two words which are to all intents synonymous’. </w:t>
      </w:r>
      <w:r>
        <w:rPr>
          <w:rStyle w:val="FootnoteReference"/>
        </w:rPr>
        <w:footnoteReference w:id="10"/>
      </w:r>
      <w:r>
        <w:t xml:space="preserve"> In this case ‘song and carousal’, the use of two similar words, often alliterative, gives a sense of rhythm to the narrated text.</w:t>
      </w:r>
    </w:p>
    <w:p w14:paraId="5E0A7882" w14:textId="77777777" w:rsidR="00BF5577" w:rsidRDefault="00BF5577" w:rsidP="00BF5577">
      <w:pPr>
        <w:spacing w:line="480" w:lineRule="auto"/>
      </w:pPr>
      <w:r>
        <w:t xml:space="preserve">Following this </w:t>
      </w:r>
      <w:proofErr w:type="gramStart"/>
      <w:r>
        <w:t>feast</w:t>
      </w:r>
      <w:proofErr w:type="gramEnd"/>
      <w:r>
        <w:t xml:space="preserve"> we have an interaction with the theme of the supernatural, the form of this scenario is repeated later in the Third Branch, as Mac Cana says;</w:t>
      </w:r>
    </w:p>
    <w:p w14:paraId="52BDF0F6" w14:textId="77777777" w:rsidR="00BF5577" w:rsidRDefault="00BF5577" w:rsidP="00BF5577">
      <w:pPr>
        <w:spacing w:line="480" w:lineRule="auto"/>
        <w:ind w:left="720"/>
      </w:pPr>
      <w:r>
        <w:t xml:space="preserve">‘… they hold a feast and then proceed to the mound of </w:t>
      </w:r>
      <w:proofErr w:type="spellStart"/>
      <w:r>
        <w:t>Arberth</w:t>
      </w:r>
      <w:proofErr w:type="spellEnd"/>
      <w:r>
        <w:t xml:space="preserve">. Both the words and the action echo the episode in </w:t>
      </w:r>
      <w:proofErr w:type="spellStart"/>
      <w:r w:rsidRPr="00267406">
        <w:rPr>
          <w:i/>
        </w:rPr>
        <w:t>Pwyll</w:t>
      </w:r>
      <w:proofErr w:type="spellEnd"/>
      <w:r>
        <w:t xml:space="preserve"> which prefaces the appearance of the divine Rhiannon and here also they presage the invasion of the human environment by the supernatural.’ </w:t>
      </w:r>
      <w:r>
        <w:rPr>
          <w:rStyle w:val="FootnoteReference"/>
        </w:rPr>
        <w:footnoteReference w:id="11"/>
      </w:r>
    </w:p>
    <w:p w14:paraId="5BD1F01F" w14:textId="77777777" w:rsidR="00BF5577" w:rsidRDefault="00BF5577" w:rsidP="00BF5577">
      <w:pPr>
        <w:spacing w:line="480" w:lineRule="auto"/>
      </w:pPr>
      <w:r>
        <w:t>The second time the reader or listener hears the account of a feast, they may expect a supernatural encounter to follow.</w:t>
      </w:r>
    </w:p>
    <w:p w14:paraId="1FF5BE8A" w14:textId="77777777" w:rsidR="00BF5577" w:rsidRDefault="00BF5577" w:rsidP="00BF5577">
      <w:pPr>
        <w:spacing w:line="480" w:lineRule="auto"/>
      </w:pPr>
      <w:r>
        <w:lastRenderedPageBreak/>
        <w:t xml:space="preserve">In this passage the actual meeting and consequent relationship between </w:t>
      </w:r>
      <w:proofErr w:type="spellStart"/>
      <w:r>
        <w:t>Pwyll</w:t>
      </w:r>
      <w:proofErr w:type="spellEnd"/>
      <w:r>
        <w:t xml:space="preserve"> and Rhiannon is an example of a traditional storytelling ‘motif’ connected to the supernatural, called the ‘Fairy Mistress tale’. Welsh tells us that,</w:t>
      </w:r>
    </w:p>
    <w:p w14:paraId="319B6F7A" w14:textId="77777777" w:rsidR="00BF5577" w:rsidRDefault="00BF5577" w:rsidP="00BF5577">
      <w:pPr>
        <w:spacing w:line="480" w:lineRule="auto"/>
        <w:ind w:left="720"/>
      </w:pPr>
      <w:r>
        <w:t xml:space="preserve">…Edward </w:t>
      </w:r>
      <w:proofErr w:type="spellStart"/>
      <w:r>
        <w:t>Anwyl</w:t>
      </w:r>
      <w:proofErr w:type="spellEnd"/>
      <w:r>
        <w:t xml:space="preserve"> pointed out that the story of the marriage of </w:t>
      </w:r>
      <w:proofErr w:type="spellStart"/>
      <w:r>
        <w:t>Pwyll</w:t>
      </w:r>
      <w:proofErr w:type="spellEnd"/>
      <w:r>
        <w:t xml:space="preserve"> and Rhiannon in the First Branch, </w:t>
      </w:r>
      <w:proofErr w:type="spellStart"/>
      <w:r w:rsidRPr="00A86FCE">
        <w:rPr>
          <w:i/>
        </w:rPr>
        <w:t>Pwyll</w:t>
      </w:r>
      <w:proofErr w:type="spellEnd"/>
      <w:r w:rsidRPr="00A86FCE">
        <w:rPr>
          <w:i/>
        </w:rPr>
        <w:t xml:space="preserve"> </w:t>
      </w:r>
      <w:proofErr w:type="spellStart"/>
      <w:r w:rsidRPr="00A86FCE">
        <w:rPr>
          <w:i/>
        </w:rPr>
        <w:t>Pendeuic</w:t>
      </w:r>
      <w:proofErr w:type="spellEnd"/>
      <w:r w:rsidRPr="00A86FCE">
        <w:rPr>
          <w:i/>
        </w:rPr>
        <w:t xml:space="preserve"> </w:t>
      </w:r>
      <w:proofErr w:type="spellStart"/>
      <w:r w:rsidRPr="00A86FCE">
        <w:rPr>
          <w:i/>
        </w:rPr>
        <w:t>Dyuet</w:t>
      </w:r>
      <w:proofErr w:type="spellEnd"/>
      <w:r>
        <w:t xml:space="preserve">, is a Fairy Mistress tale. </w:t>
      </w:r>
      <w:r>
        <w:rPr>
          <w:rStyle w:val="FootnoteReference"/>
        </w:rPr>
        <w:footnoteReference w:id="12"/>
      </w:r>
    </w:p>
    <w:p w14:paraId="33106FC4" w14:textId="77777777" w:rsidR="00BF5577" w:rsidRDefault="00BF5577" w:rsidP="00BF5577">
      <w:pPr>
        <w:spacing w:line="480" w:lineRule="auto"/>
      </w:pPr>
      <w:r>
        <w:t xml:space="preserve">Two other forms of repetition are evident in this passage, one - the triad - Davies explains is ‘classifying in threes’, also evident through the tripartite structure and occurs throughout the </w:t>
      </w:r>
      <w:proofErr w:type="spellStart"/>
      <w:r>
        <w:t>Mabinogi</w:t>
      </w:r>
      <w:proofErr w:type="spellEnd"/>
      <w:r>
        <w:t>.</w:t>
      </w:r>
      <w:r>
        <w:rPr>
          <w:rStyle w:val="FootnoteReference"/>
        </w:rPr>
        <w:footnoteReference w:id="13"/>
      </w:r>
      <w:r>
        <w:t xml:space="preserve"> When </w:t>
      </w:r>
      <w:proofErr w:type="spellStart"/>
      <w:r>
        <w:t>Pwyll</w:t>
      </w:r>
      <w:proofErr w:type="spellEnd"/>
      <w:r>
        <w:t xml:space="preserve"> speaks to his groom he uses three commands: ‘saddle my horse well, and bring it to the road, and bring along my spurs’. </w:t>
      </w:r>
      <w:r>
        <w:rPr>
          <w:rStyle w:val="FootnoteReference"/>
        </w:rPr>
        <w:footnoteReference w:id="14"/>
      </w:r>
    </w:p>
    <w:p w14:paraId="189C80E1" w14:textId="77777777" w:rsidR="00BF5577" w:rsidRDefault="00BF5577" w:rsidP="00BF5577">
      <w:pPr>
        <w:spacing w:line="480" w:lineRule="auto"/>
      </w:pPr>
      <w:r>
        <w:t xml:space="preserve">The second is the repetition of the word ‘and (ac)’. Davies suggests this is a very elementary, childlike style to link statements. </w:t>
      </w:r>
      <w:r>
        <w:rPr>
          <w:rStyle w:val="FootnoteReference"/>
        </w:rPr>
        <w:footnoteReference w:id="15"/>
      </w:r>
      <w:r>
        <w:t xml:space="preserve"> Bollard states that it is not often used in written English but heard often in speech. </w:t>
      </w:r>
      <w:r>
        <w:rPr>
          <w:rStyle w:val="FootnoteReference"/>
        </w:rPr>
        <w:footnoteReference w:id="16"/>
      </w:r>
      <w:r>
        <w:t xml:space="preserve"> The linking ‘and’ can be seen in this passage ‘The maiden stopped and </w:t>
      </w:r>
      <w:proofErr w:type="gramStart"/>
      <w:r>
        <w:t>waited, and</w:t>
      </w:r>
      <w:proofErr w:type="gramEnd"/>
      <w:r>
        <w:t xml:space="preserve"> drew back the part of her headdress which should cover her face, and fixed her gaze upon him, and began to talk to him.’ </w:t>
      </w:r>
      <w:r>
        <w:rPr>
          <w:rStyle w:val="FootnoteReference"/>
        </w:rPr>
        <w:footnoteReference w:id="17"/>
      </w:r>
      <w:r>
        <w:t xml:space="preserve"> </w:t>
      </w:r>
    </w:p>
    <w:p w14:paraId="470906F0" w14:textId="77777777" w:rsidR="00BF5577" w:rsidRDefault="00BF5577" w:rsidP="00BF5577">
      <w:pPr>
        <w:spacing w:line="480" w:lineRule="auto"/>
      </w:pPr>
    </w:p>
    <w:p w14:paraId="405BFECD" w14:textId="77777777" w:rsidR="00BF5577" w:rsidRDefault="00BF5577" w:rsidP="00BF5577">
      <w:pPr>
        <w:spacing w:line="480" w:lineRule="auto"/>
      </w:pPr>
      <w:r>
        <w:t xml:space="preserve">Such a long passage has many interesting features key to the Four Branches of the </w:t>
      </w:r>
      <w:proofErr w:type="spellStart"/>
      <w:r>
        <w:t>Mabinogi</w:t>
      </w:r>
      <w:proofErr w:type="spellEnd"/>
      <w:r>
        <w:t xml:space="preserve"> as a whole. The meeting of </w:t>
      </w:r>
      <w:proofErr w:type="spellStart"/>
      <w:r>
        <w:t>Pwyll</w:t>
      </w:r>
      <w:proofErr w:type="spellEnd"/>
      <w:r>
        <w:t xml:space="preserve"> and Rhiannon is essential to the wider plot of the four tales, since the ‘</w:t>
      </w:r>
      <w:proofErr w:type="spellStart"/>
      <w:r>
        <w:t>mab</w:t>
      </w:r>
      <w:proofErr w:type="spellEnd"/>
      <w:r>
        <w:t xml:space="preserve">’ born to </w:t>
      </w:r>
      <w:proofErr w:type="spellStart"/>
      <w:r>
        <w:t>Pwyll</w:t>
      </w:r>
      <w:proofErr w:type="spellEnd"/>
      <w:r>
        <w:t xml:space="preserve"> and Rhiannon is the character after which The Four Branches of the </w:t>
      </w:r>
      <w:proofErr w:type="spellStart"/>
      <w:r>
        <w:t>Mabinogi</w:t>
      </w:r>
      <w:proofErr w:type="spellEnd"/>
      <w:r>
        <w:t xml:space="preserve"> are named.</w:t>
      </w:r>
    </w:p>
    <w:p w14:paraId="244AE19B" w14:textId="77777777" w:rsidR="00BF5577" w:rsidRDefault="00BF5577" w:rsidP="00BF5577">
      <w:pPr>
        <w:spacing w:line="480" w:lineRule="auto"/>
      </w:pPr>
      <w:r>
        <w:t xml:space="preserve">In terms of style there are a number of important techniques in this passage which also occur elsewhere in the stories. The narrators craft is demonstrated through the art of linking events </w:t>
      </w:r>
      <w:r>
        <w:lastRenderedPageBreak/>
        <w:t xml:space="preserve">and through linking statements and passages, using ‘and’; the use of the triad and the doublet hints at a complexity of structure that has led to great debate regarding the origins of the tales. In this passage, dialogue builds the relationship between </w:t>
      </w:r>
      <w:proofErr w:type="spellStart"/>
      <w:r>
        <w:t>Pwyll</w:t>
      </w:r>
      <w:proofErr w:type="spellEnd"/>
      <w:r>
        <w:t xml:space="preserve"> and Rhiannon, develops the characters and forms an important part of the Four Branches, as when the tales are narrated, dialogue allows the storyteller to be expressive and keep the audience entertained. I feel these examples show this extract to be a key passage in the </w:t>
      </w:r>
      <w:proofErr w:type="spellStart"/>
      <w:r>
        <w:t>Mabiniogi</w:t>
      </w:r>
      <w:proofErr w:type="spellEnd"/>
      <w:r>
        <w:t xml:space="preserve"> tales.</w:t>
      </w:r>
    </w:p>
    <w:p w14:paraId="4509B9AC" w14:textId="61F588A8" w:rsidR="00BF5577" w:rsidRDefault="00BF5577">
      <w:pPr>
        <w:spacing w:after="160" w:line="259" w:lineRule="auto"/>
      </w:pPr>
      <w:r>
        <w:br w:type="page"/>
      </w:r>
    </w:p>
    <w:p w14:paraId="23888B58" w14:textId="424701C5" w:rsidR="00BD4B6C" w:rsidRDefault="00BF5577">
      <w:r w:rsidRPr="0018279C">
        <w:lastRenderedPageBreak/>
        <w:t>Bibliography</w:t>
      </w:r>
    </w:p>
    <w:p w14:paraId="1248155A" w14:textId="5AE76739" w:rsidR="00EA2A6D" w:rsidRDefault="00EA2A6D">
      <w:r>
        <w:t>Bollard, J.K.</w:t>
      </w:r>
      <w:r w:rsidR="003153C5">
        <w:t xml:space="preserve"> </w:t>
      </w:r>
      <w:r w:rsidR="00A374B7">
        <w:t>‘The Role of Myth and Tradition</w:t>
      </w:r>
      <w:r w:rsidR="00F0700D">
        <w:t xml:space="preserve"> in the Four Branches of the </w:t>
      </w:r>
      <w:proofErr w:type="spellStart"/>
      <w:r w:rsidR="00F0700D">
        <w:t>Mabinogi</w:t>
      </w:r>
      <w:proofErr w:type="spellEnd"/>
      <w:r w:rsidR="00271875">
        <w:t xml:space="preserve">’, </w:t>
      </w:r>
      <w:r w:rsidR="00271875" w:rsidRPr="007E4084">
        <w:rPr>
          <w:i/>
        </w:rPr>
        <w:t xml:space="preserve">Cambridge Medieval </w:t>
      </w:r>
      <w:r w:rsidR="007E4084" w:rsidRPr="007E4084">
        <w:rPr>
          <w:i/>
        </w:rPr>
        <w:t>C</w:t>
      </w:r>
      <w:r w:rsidR="00271875" w:rsidRPr="007E4084">
        <w:rPr>
          <w:i/>
        </w:rPr>
        <w:t>eltic Studies</w:t>
      </w:r>
      <w:r w:rsidR="00271875">
        <w:t xml:space="preserve">, </w:t>
      </w:r>
      <w:r w:rsidR="007E4084">
        <w:t>Vol 6</w:t>
      </w:r>
      <w:r w:rsidR="009613C6">
        <w:t xml:space="preserve"> (1983)</w:t>
      </w:r>
      <w:r w:rsidR="007E4084">
        <w:t xml:space="preserve"> 67-86</w:t>
      </w:r>
    </w:p>
    <w:p w14:paraId="391BC46C" w14:textId="55ED7902" w:rsidR="009E0556" w:rsidRDefault="009E0556">
      <w:r>
        <w:t>Bollard, J.K.</w:t>
      </w:r>
      <w:r w:rsidR="009C2041">
        <w:t xml:space="preserve"> </w:t>
      </w:r>
      <w:r w:rsidR="00A85464">
        <w:t xml:space="preserve">(trans.) and </w:t>
      </w:r>
      <w:r w:rsidR="00E85AEB">
        <w:t>Griffiths, A</w:t>
      </w:r>
      <w:r w:rsidR="00EC0B7F">
        <w:t>.</w:t>
      </w:r>
      <w:r w:rsidR="00E85AEB">
        <w:t xml:space="preserve"> (photography)</w:t>
      </w:r>
      <w:r w:rsidR="00A211DC">
        <w:t xml:space="preserve">, </w:t>
      </w:r>
      <w:r w:rsidR="00A211DC" w:rsidRPr="00013C42">
        <w:rPr>
          <w:i/>
        </w:rPr>
        <w:t xml:space="preserve">The </w:t>
      </w:r>
      <w:proofErr w:type="spellStart"/>
      <w:r w:rsidR="00A211DC" w:rsidRPr="00013C42">
        <w:rPr>
          <w:i/>
        </w:rPr>
        <w:t>Mabinogi</w:t>
      </w:r>
      <w:proofErr w:type="spellEnd"/>
      <w:r w:rsidR="00A211DC" w:rsidRPr="00013C42">
        <w:rPr>
          <w:i/>
        </w:rPr>
        <w:t>: Legend and landscape of Wales</w:t>
      </w:r>
      <w:r w:rsidR="00A211DC">
        <w:t xml:space="preserve"> </w:t>
      </w:r>
      <w:proofErr w:type="spellStart"/>
      <w:r w:rsidR="00A211DC">
        <w:t>Llandysul</w:t>
      </w:r>
      <w:proofErr w:type="spellEnd"/>
      <w:r w:rsidR="00013C42">
        <w:t>: Gomer Press, 2006</w:t>
      </w:r>
    </w:p>
    <w:p w14:paraId="58D0EFE0" w14:textId="6C61F052" w:rsidR="00EC0B7F" w:rsidRDefault="00EC0B7F">
      <w:r>
        <w:t>Breeze, A.</w:t>
      </w:r>
      <w:r w:rsidR="00D51EB4">
        <w:t xml:space="preserve"> </w:t>
      </w:r>
      <w:r w:rsidR="00D51EB4" w:rsidRPr="000901F2">
        <w:rPr>
          <w:i/>
        </w:rPr>
        <w:t>Medieval Welsh Literature</w:t>
      </w:r>
      <w:r w:rsidR="00D51EB4">
        <w:t>, Dublin: Four Courts Press, 1997</w:t>
      </w:r>
    </w:p>
    <w:p w14:paraId="044D6504" w14:textId="213CB845" w:rsidR="00CC7E7A" w:rsidRPr="0018279C" w:rsidRDefault="00CC7E7A">
      <w:r>
        <w:t xml:space="preserve">Byfield, C.E. ‘Character and </w:t>
      </w:r>
      <w:r w:rsidR="00CB7F31">
        <w:t>C</w:t>
      </w:r>
      <w:r w:rsidR="00430586">
        <w:t xml:space="preserve">onflict in the </w:t>
      </w:r>
      <w:r w:rsidR="001F2541" w:rsidRPr="001C373B">
        <w:t xml:space="preserve">Four Branches of the </w:t>
      </w:r>
      <w:proofErr w:type="spellStart"/>
      <w:r w:rsidR="001F2541" w:rsidRPr="001C373B">
        <w:t>Mabinogi</w:t>
      </w:r>
      <w:proofErr w:type="spellEnd"/>
      <w:r w:rsidR="001F2541" w:rsidRPr="001C373B">
        <w:t>’</w:t>
      </w:r>
      <w:r w:rsidR="001F2541">
        <w:t xml:space="preserve">, </w:t>
      </w:r>
      <w:r w:rsidR="001F2541" w:rsidRPr="005575F4">
        <w:rPr>
          <w:i/>
        </w:rPr>
        <w:t>Bulletin of the Board of Celtic Studies</w:t>
      </w:r>
      <w:r w:rsidR="001622D7">
        <w:t>, 40 (1993), 51-72</w:t>
      </w:r>
    </w:p>
    <w:p w14:paraId="205C386F" w14:textId="4ED1D600" w:rsidR="00BF5577" w:rsidRDefault="0018279C">
      <w:r w:rsidRPr="0018279C">
        <w:t>Davie</w:t>
      </w:r>
      <w:r w:rsidR="0084375A">
        <w:t xml:space="preserve">s, S. </w:t>
      </w:r>
      <w:r w:rsidR="0084375A" w:rsidRPr="009C2041">
        <w:rPr>
          <w:i/>
        </w:rPr>
        <w:t xml:space="preserve">The Four Branches of the </w:t>
      </w:r>
      <w:proofErr w:type="spellStart"/>
      <w:r w:rsidR="0084375A" w:rsidRPr="009C2041">
        <w:rPr>
          <w:i/>
        </w:rPr>
        <w:t>Mabinogi</w:t>
      </w:r>
      <w:proofErr w:type="spellEnd"/>
      <w:r w:rsidR="0084375A" w:rsidRPr="009C2041">
        <w:rPr>
          <w:i/>
        </w:rPr>
        <w:t xml:space="preserve">. </w:t>
      </w:r>
      <w:proofErr w:type="spellStart"/>
      <w:r w:rsidR="0084375A" w:rsidRPr="009C2041">
        <w:rPr>
          <w:i/>
        </w:rPr>
        <w:t>Pedeir</w:t>
      </w:r>
      <w:proofErr w:type="spellEnd"/>
      <w:r w:rsidR="0084375A" w:rsidRPr="009C2041">
        <w:rPr>
          <w:i/>
        </w:rPr>
        <w:t xml:space="preserve"> </w:t>
      </w:r>
      <w:proofErr w:type="spellStart"/>
      <w:r w:rsidR="0084375A" w:rsidRPr="009C2041">
        <w:rPr>
          <w:i/>
        </w:rPr>
        <w:t>Keinc</w:t>
      </w:r>
      <w:proofErr w:type="spellEnd"/>
      <w:r w:rsidR="0084375A" w:rsidRPr="009C2041">
        <w:rPr>
          <w:i/>
        </w:rPr>
        <w:t xml:space="preserve"> y </w:t>
      </w:r>
      <w:proofErr w:type="spellStart"/>
      <w:r w:rsidR="0084375A" w:rsidRPr="009C2041">
        <w:rPr>
          <w:i/>
        </w:rPr>
        <w:t>Mabinogi</w:t>
      </w:r>
      <w:proofErr w:type="spellEnd"/>
      <w:r w:rsidR="0084375A" w:rsidRPr="009C2041">
        <w:rPr>
          <w:i/>
        </w:rPr>
        <w:t>,</w:t>
      </w:r>
      <w:r w:rsidR="0084375A">
        <w:t xml:space="preserve"> </w:t>
      </w:r>
      <w:proofErr w:type="spellStart"/>
      <w:r w:rsidR="0084375A">
        <w:t>Llandysul</w:t>
      </w:r>
      <w:proofErr w:type="spellEnd"/>
      <w:r w:rsidR="009E0556">
        <w:t>: Gomer Press, 1993</w:t>
      </w:r>
    </w:p>
    <w:p w14:paraId="630B9EE1" w14:textId="686D0ABB" w:rsidR="0035667E" w:rsidRDefault="0035667E">
      <w:r>
        <w:t xml:space="preserve">Davies, S. (trans) </w:t>
      </w:r>
      <w:r w:rsidRPr="00EB4A73">
        <w:rPr>
          <w:i/>
        </w:rPr>
        <w:t xml:space="preserve">The </w:t>
      </w:r>
      <w:proofErr w:type="spellStart"/>
      <w:r w:rsidRPr="00EB4A73">
        <w:rPr>
          <w:i/>
        </w:rPr>
        <w:t>Mabinogion</w:t>
      </w:r>
      <w:proofErr w:type="spellEnd"/>
      <w:r w:rsidR="00276F74">
        <w:t xml:space="preserve">, </w:t>
      </w:r>
      <w:r w:rsidR="00EB4A73">
        <w:t>Oxford: Oxford University Press, 2007</w:t>
      </w:r>
    </w:p>
    <w:p w14:paraId="7303D3AB" w14:textId="3B274345" w:rsidR="0066309B" w:rsidRDefault="0066309B">
      <w:r>
        <w:t>Davies, S. and</w:t>
      </w:r>
      <w:r w:rsidR="000400BE">
        <w:t xml:space="preserve"> Jones, N.A. (eds) </w:t>
      </w:r>
      <w:r w:rsidR="000400BE" w:rsidRPr="00EA5A48">
        <w:rPr>
          <w:i/>
        </w:rPr>
        <w:t>The Horse in Celtic Culture</w:t>
      </w:r>
      <w:r w:rsidR="00E375EB" w:rsidRPr="00EA5A48">
        <w:rPr>
          <w:i/>
        </w:rPr>
        <w:t>: Medieval Welsh Perspectives</w:t>
      </w:r>
      <w:r w:rsidR="00037312">
        <w:t>, Cardiff:</w:t>
      </w:r>
      <w:r w:rsidR="005E00C7">
        <w:t xml:space="preserve"> University of Wales Press, 1997 </w:t>
      </w:r>
    </w:p>
    <w:p w14:paraId="5A42B33B" w14:textId="16114467" w:rsidR="00CD556F" w:rsidRDefault="00CD556F">
      <w:r>
        <w:t xml:space="preserve">Ford, P.K. </w:t>
      </w:r>
      <w:r>
        <w:t xml:space="preserve">‘Prolegomena to a Reading of the </w:t>
      </w:r>
      <w:proofErr w:type="spellStart"/>
      <w:r>
        <w:t>Mabinogi</w:t>
      </w:r>
      <w:proofErr w:type="spellEnd"/>
      <w:r>
        <w:t xml:space="preserve">: </w:t>
      </w:r>
      <w:proofErr w:type="spellStart"/>
      <w:r>
        <w:t>Pwyll</w:t>
      </w:r>
      <w:proofErr w:type="spellEnd"/>
      <w:r>
        <w:t xml:space="preserve"> and Manawydan’, </w:t>
      </w:r>
      <w:proofErr w:type="spellStart"/>
      <w:r w:rsidRPr="007A08D4">
        <w:rPr>
          <w:i/>
        </w:rPr>
        <w:t>Studia</w:t>
      </w:r>
      <w:proofErr w:type="spellEnd"/>
      <w:r w:rsidRPr="007A08D4">
        <w:rPr>
          <w:i/>
        </w:rPr>
        <w:t xml:space="preserve"> </w:t>
      </w:r>
      <w:proofErr w:type="spellStart"/>
      <w:r w:rsidRPr="007A08D4">
        <w:rPr>
          <w:i/>
        </w:rPr>
        <w:t>Celtica</w:t>
      </w:r>
      <w:proofErr w:type="spellEnd"/>
      <w:r>
        <w:t xml:space="preserve"> Vol XVI/XVII (1981/2) pp. 110-125</w:t>
      </w:r>
    </w:p>
    <w:p w14:paraId="2F79CFDA" w14:textId="68CDA691" w:rsidR="00D27C30" w:rsidRDefault="00D27C30">
      <w:r>
        <w:t>Hanson-Smith, E.</w:t>
      </w:r>
      <w:r w:rsidR="00B35787">
        <w:t xml:space="preserve"> ‘</w:t>
      </w:r>
      <w:proofErr w:type="spellStart"/>
      <w:r w:rsidR="00B35787">
        <w:t>Pwyll</w:t>
      </w:r>
      <w:proofErr w:type="spellEnd"/>
      <w:r w:rsidR="00B35787">
        <w:t xml:space="preserve"> Prince of Dyfed: The Narrative Structure’</w:t>
      </w:r>
      <w:r w:rsidR="001C373B">
        <w:t xml:space="preserve">, </w:t>
      </w:r>
      <w:proofErr w:type="spellStart"/>
      <w:r w:rsidR="001C373B" w:rsidRPr="00415947">
        <w:rPr>
          <w:i/>
        </w:rPr>
        <w:t>Studia</w:t>
      </w:r>
      <w:proofErr w:type="spellEnd"/>
      <w:r w:rsidR="001C373B" w:rsidRPr="00415947">
        <w:rPr>
          <w:i/>
        </w:rPr>
        <w:t xml:space="preserve"> </w:t>
      </w:r>
      <w:proofErr w:type="spellStart"/>
      <w:r w:rsidR="001C373B" w:rsidRPr="00415947">
        <w:rPr>
          <w:i/>
        </w:rPr>
        <w:t>Celtica</w:t>
      </w:r>
      <w:proofErr w:type="spellEnd"/>
      <w:r w:rsidR="001C373B">
        <w:t xml:space="preserve"> Vol </w:t>
      </w:r>
      <w:r w:rsidR="00532299">
        <w:t>XVI/XVII (1981/82)</w:t>
      </w:r>
      <w:r w:rsidR="00415947">
        <w:t>, 126-134</w:t>
      </w:r>
    </w:p>
    <w:p w14:paraId="32F267C9" w14:textId="1808016B" w:rsidR="0020481F" w:rsidRDefault="0020481F">
      <w:proofErr w:type="spellStart"/>
      <w:r>
        <w:t>Luft</w:t>
      </w:r>
      <w:proofErr w:type="spellEnd"/>
      <w:r>
        <w:t>, D.</w:t>
      </w:r>
      <w:r w:rsidR="00B81916">
        <w:t xml:space="preserve"> ‘The Meaning of the </w:t>
      </w:r>
      <w:proofErr w:type="spellStart"/>
      <w:r w:rsidR="00B81916">
        <w:t>Mabinogi</w:t>
      </w:r>
      <w:proofErr w:type="spellEnd"/>
      <w:r w:rsidR="00B81916">
        <w:t>’, Cambridge</w:t>
      </w:r>
      <w:r w:rsidR="00237944">
        <w:t xml:space="preserve"> Medieval Celtic Studies, Vol 62 (2011</w:t>
      </w:r>
      <w:r w:rsidR="00183964">
        <w:t>) 57-79</w:t>
      </w:r>
    </w:p>
    <w:p w14:paraId="7C7B2148" w14:textId="1BDE1C5A" w:rsidR="008E6A43" w:rsidRDefault="008E6A43">
      <w:r>
        <w:t>Mac Cana,</w:t>
      </w:r>
      <w:r w:rsidR="00432D30">
        <w:t xml:space="preserve"> P. </w:t>
      </w:r>
      <w:r w:rsidR="00432D30" w:rsidRPr="00CA0AF8">
        <w:rPr>
          <w:i/>
        </w:rPr>
        <w:t xml:space="preserve">The </w:t>
      </w:r>
      <w:proofErr w:type="spellStart"/>
      <w:r w:rsidR="00432D30" w:rsidRPr="00CA0AF8">
        <w:rPr>
          <w:i/>
        </w:rPr>
        <w:t>Mabinogi</w:t>
      </w:r>
      <w:proofErr w:type="spellEnd"/>
      <w:r w:rsidR="00B3034F">
        <w:t xml:space="preserve">, </w:t>
      </w:r>
      <w:r w:rsidR="005F5208">
        <w:t xml:space="preserve">Cardiff: </w:t>
      </w:r>
      <w:r w:rsidR="00CA0AF8">
        <w:t>University of Wales Press, 1992</w:t>
      </w:r>
    </w:p>
    <w:p w14:paraId="1EAB6C62" w14:textId="647F2353" w:rsidR="009C47DE" w:rsidRDefault="009C47DE">
      <w:r>
        <w:t>Valente, R.L.</w:t>
      </w:r>
      <w:r w:rsidR="00613A53">
        <w:t xml:space="preserve"> ‘</w:t>
      </w:r>
      <w:proofErr w:type="spellStart"/>
      <w:r w:rsidR="00613A53">
        <w:t>Merched</w:t>
      </w:r>
      <w:proofErr w:type="spellEnd"/>
      <w:r w:rsidR="00613A53">
        <w:t xml:space="preserve"> y </w:t>
      </w:r>
      <w:proofErr w:type="spellStart"/>
      <w:r w:rsidR="00613A53">
        <w:t>Mabinogi</w:t>
      </w:r>
      <w:proofErr w:type="spellEnd"/>
      <w:r w:rsidR="00613A53">
        <w:t>: women and the thematic structure of the Four Branches</w:t>
      </w:r>
      <w:r w:rsidR="00CC110E">
        <w:t>’</w:t>
      </w:r>
      <w:r w:rsidR="000A5D7B">
        <w:t>, PhD thesi</w:t>
      </w:r>
      <w:r w:rsidR="003436C8">
        <w:t>s, Cornell University, 1986</w:t>
      </w:r>
    </w:p>
    <w:p w14:paraId="2821E98F" w14:textId="5966F224" w:rsidR="003436C8" w:rsidRPr="0018279C" w:rsidRDefault="003436C8">
      <w:r>
        <w:t>Welsh</w:t>
      </w:r>
      <w:r w:rsidR="007D0590">
        <w:t xml:space="preserve">, A. ‘The Traditional Narrative Motifs of the </w:t>
      </w:r>
      <w:r w:rsidR="007D0590" w:rsidRPr="003F49A2">
        <w:rPr>
          <w:i/>
        </w:rPr>
        <w:t xml:space="preserve">Four Branches of the </w:t>
      </w:r>
      <w:proofErr w:type="spellStart"/>
      <w:r w:rsidR="007D0590" w:rsidRPr="003F49A2">
        <w:rPr>
          <w:i/>
        </w:rPr>
        <w:t>Mabinogi</w:t>
      </w:r>
      <w:proofErr w:type="spellEnd"/>
      <w:r w:rsidR="007B3432">
        <w:t xml:space="preserve">’, </w:t>
      </w:r>
      <w:r w:rsidR="007B3432" w:rsidRPr="003F49A2">
        <w:rPr>
          <w:i/>
        </w:rPr>
        <w:t>Cambridge Medieval Celtic Studies</w:t>
      </w:r>
      <w:r w:rsidR="007B3432">
        <w:t xml:space="preserve">, </w:t>
      </w:r>
      <w:r w:rsidR="007E4084">
        <w:t xml:space="preserve">Vol </w:t>
      </w:r>
      <w:r w:rsidR="007B3432">
        <w:t>15 (1988)</w:t>
      </w:r>
      <w:r w:rsidR="003F49A2">
        <w:t>, 51-62</w:t>
      </w:r>
    </w:p>
    <w:sectPr w:rsidR="003436C8" w:rsidRPr="0018279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6639A8" w14:textId="77777777" w:rsidR="00EC0142" w:rsidRDefault="00EC0142" w:rsidP="00BF5577">
      <w:r>
        <w:separator/>
      </w:r>
    </w:p>
  </w:endnote>
  <w:endnote w:type="continuationSeparator" w:id="0">
    <w:p w14:paraId="73D76B18" w14:textId="77777777" w:rsidR="00EC0142" w:rsidRDefault="00EC0142" w:rsidP="00BF55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Lucida Calligraphy">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6E6F31" w14:textId="77777777" w:rsidR="00EC0142" w:rsidRDefault="00EC0142" w:rsidP="00BF5577">
      <w:r>
        <w:separator/>
      </w:r>
    </w:p>
  </w:footnote>
  <w:footnote w:type="continuationSeparator" w:id="0">
    <w:p w14:paraId="3729FC0D" w14:textId="77777777" w:rsidR="00EC0142" w:rsidRDefault="00EC0142" w:rsidP="00BF5577">
      <w:r>
        <w:continuationSeparator/>
      </w:r>
    </w:p>
  </w:footnote>
  <w:footnote w:id="1">
    <w:p w14:paraId="67BDB6B2" w14:textId="77777777" w:rsidR="00BF5577" w:rsidRDefault="00BF5577" w:rsidP="00BF5577">
      <w:pPr>
        <w:pStyle w:val="FootnoteText"/>
      </w:pPr>
      <w:r>
        <w:rPr>
          <w:rStyle w:val="FootnoteReference"/>
        </w:rPr>
        <w:footnoteRef/>
      </w:r>
      <w:r>
        <w:t xml:space="preserve"> S. Davies, (trans) </w:t>
      </w:r>
      <w:r w:rsidRPr="00FC3689">
        <w:rPr>
          <w:i/>
        </w:rPr>
        <w:t xml:space="preserve">The </w:t>
      </w:r>
      <w:proofErr w:type="spellStart"/>
      <w:r w:rsidRPr="00FC3689">
        <w:rPr>
          <w:i/>
        </w:rPr>
        <w:t>Mabinogion</w:t>
      </w:r>
      <w:proofErr w:type="spellEnd"/>
      <w:r>
        <w:t xml:space="preserve"> (Oxford: Oxford University Press, 2007) pp .10-11</w:t>
      </w:r>
    </w:p>
  </w:footnote>
  <w:footnote w:id="2">
    <w:p w14:paraId="7416BE20" w14:textId="77777777" w:rsidR="00BF5577" w:rsidRDefault="00BF5577" w:rsidP="00BF5577">
      <w:pPr>
        <w:pStyle w:val="FootnoteText"/>
      </w:pPr>
      <w:r>
        <w:rPr>
          <w:rStyle w:val="FootnoteReference"/>
        </w:rPr>
        <w:footnoteRef/>
      </w:r>
      <w:r>
        <w:t xml:space="preserve"> S. Davies, </w:t>
      </w:r>
      <w:r w:rsidRPr="009D7A1C">
        <w:rPr>
          <w:i/>
        </w:rPr>
        <w:t xml:space="preserve">The Four Branches of The </w:t>
      </w:r>
      <w:proofErr w:type="spellStart"/>
      <w:r w:rsidRPr="009D7A1C">
        <w:rPr>
          <w:i/>
        </w:rPr>
        <w:t>Mabinogi</w:t>
      </w:r>
      <w:proofErr w:type="spellEnd"/>
      <w:r w:rsidRPr="009D7A1C">
        <w:rPr>
          <w:i/>
        </w:rPr>
        <w:t xml:space="preserve">. </w:t>
      </w:r>
      <w:proofErr w:type="spellStart"/>
      <w:r w:rsidRPr="009D7A1C">
        <w:rPr>
          <w:i/>
        </w:rPr>
        <w:t>Pedeir</w:t>
      </w:r>
      <w:proofErr w:type="spellEnd"/>
      <w:r w:rsidRPr="009D7A1C">
        <w:rPr>
          <w:i/>
        </w:rPr>
        <w:t xml:space="preserve"> </w:t>
      </w:r>
      <w:proofErr w:type="spellStart"/>
      <w:r w:rsidRPr="009D7A1C">
        <w:rPr>
          <w:i/>
        </w:rPr>
        <w:t>Keinc</w:t>
      </w:r>
      <w:proofErr w:type="spellEnd"/>
      <w:r w:rsidRPr="009D7A1C">
        <w:rPr>
          <w:i/>
        </w:rPr>
        <w:t xml:space="preserve"> Y </w:t>
      </w:r>
      <w:proofErr w:type="spellStart"/>
      <w:r w:rsidRPr="009D7A1C">
        <w:rPr>
          <w:i/>
        </w:rPr>
        <w:t>Mabinogi</w:t>
      </w:r>
      <w:proofErr w:type="spellEnd"/>
      <w:r>
        <w:t xml:space="preserve"> (</w:t>
      </w:r>
      <w:proofErr w:type="spellStart"/>
      <w:r>
        <w:t>Llandysul</w:t>
      </w:r>
      <w:proofErr w:type="spellEnd"/>
      <w:r>
        <w:t>: Gomer Press, 1993) p. 23</w:t>
      </w:r>
    </w:p>
  </w:footnote>
  <w:footnote w:id="3">
    <w:p w14:paraId="2788CE4F" w14:textId="77777777" w:rsidR="00BF5577" w:rsidRPr="008B3A5F" w:rsidRDefault="00BF5577" w:rsidP="00BF5577">
      <w:pPr>
        <w:pStyle w:val="FootnoteText"/>
      </w:pPr>
      <w:r>
        <w:rPr>
          <w:rStyle w:val="FootnoteReference"/>
        </w:rPr>
        <w:footnoteRef/>
      </w:r>
      <w:r>
        <w:t xml:space="preserve"> Davies, </w:t>
      </w:r>
      <w:r w:rsidRPr="009D7A1C">
        <w:rPr>
          <w:i/>
        </w:rPr>
        <w:t>The Four Branches</w:t>
      </w:r>
      <w:r>
        <w:t>, p. 23</w:t>
      </w:r>
    </w:p>
  </w:footnote>
  <w:footnote w:id="4">
    <w:p w14:paraId="465F69C4" w14:textId="77777777" w:rsidR="00BF5577" w:rsidRDefault="00BF5577" w:rsidP="00BF5577">
      <w:pPr>
        <w:pStyle w:val="FootnoteText"/>
      </w:pPr>
      <w:r>
        <w:rPr>
          <w:rStyle w:val="FootnoteReference"/>
        </w:rPr>
        <w:footnoteRef/>
      </w:r>
      <w:r>
        <w:t xml:space="preserve"> J.K Ford, ‘Prolegomena to a Reading of the </w:t>
      </w:r>
      <w:proofErr w:type="spellStart"/>
      <w:r>
        <w:t>Mabinogi</w:t>
      </w:r>
      <w:proofErr w:type="spellEnd"/>
      <w:r>
        <w:t xml:space="preserve">: </w:t>
      </w:r>
      <w:proofErr w:type="spellStart"/>
      <w:r>
        <w:t>Pwyll</w:t>
      </w:r>
      <w:proofErr w:type="spellEnd"/>
      <w:r>
        <w:t xml:space="preserve"> and Manawydan’, </w:t>
      </w:r>
      <w:proofErr w:type="spellStart"/>
      <w:r w:rsidRPr="007A08D4">
        <w:rPr>
          <w:i/>
        </w:rPr>
        <w:t>Studia</w:t>
      </w:r>
      <w:proofErr w:type="spellEnd"/>
      <w:r w:rsidRPr="007A08D4">
        <w:rPr>
          <w:i/>
        </w:rPr>
        <w:t xml:space="preserve"> </w:t>
      </w:r>
      <w:proofErr w:type="spellStart"/>
      <w:r w:rsidRPr="007A08D4">
        <w:rPr>
          <w:i/>
        </w:rPr>
        <w:t>Celtica</w:t>
      </w:r>
      <w:proofErr w:type="spellEnd"/>
      <w:r>
        <w:t xml:space="preserve"> Vol XVI/XVII (1981/2) pp. 110-125 p. 112</w:t>
      </w:r>
    </w:p>
  </w:footnote>
  <w:footnote w:id="5">
    <w:p w14:paraId="55695F77" w14:textId="77777777" w:rsidR="00BF5577" w:rsidRDefault="00BF5577" w:rsidP="00BF5577">
      <w:pPr>
        <w:pStyle w:val="FootnoteText"/>
      </w:pPr>
      <w:r>
        <w:rPr>
          <w:rStyle w:val="FootnoteReference"/>
        </w:rPr>
        <w:footnoteRef/>
      </w:r>
      <w:r>
        <w:t xml:space="preserve"> S. Davies, </w:t>
      </w:r>
      <w:r w:rsidRPr="009D7A1C">
        <w:rPr>
          <w:i/>
        </w:rPr>
        <w:t xml:space="preserve">The Four Branches </w:t>
      </w:r>
      <w:r>
        <w:t>p. 49</w:t>
      </w:r>
    </w:p>
  </w:footnote>
  <w:footnote w:id="6">
    <w:p w14:paraId="46803B36" w14:textId="77777777" w:rsidR="00BF5577" w:rsidRPr="00A3707D" w:rsidRDefault="00BF5577" w:rsidP="00BF5577">
      <w:pPr>
        <w:pStyle w:val="FootnoteText"/>
      </w:pPr>
      <w:r>
        <w:rPr>
          <w:rStyle w:val="FootnoteReference"/>
        </w:rPr>
        <w:footnoteRef/>
      </w:r>
      <w:r>
        <w:t xml:space="preserve"> </w:t>
      </w:r>
      <w:proofErr w:type="spellStart"/>
      <w:proofErr w:type="gramStart"/>
      <w:r>
        <w:t>S.Davies</w:t>
      </w:r>
      <w:proofErr w:type="spellEnd"/>
      <w:proofErr w:type="gramEnd"/>
      <w:r>
        <w:t xml:space="preserve">, </w:t>
      </w:r>
      <w:r w:rsidRPr="009D7A1C">
        <w:rPr>
          <w:i/>
        </w:rPr>
        <w:t xml:space="preserve">The Four Branches </w:t>
      </w:r>
      <w:r>
        <w:t>p. 44</w:t>
      </w:r>
    </w:p>
  </w:footnote>
  <w:footnote w:id="7">
    <w:p w14:paraId="406C5E6F" w14:textId="77777777" w:rsidR="00BF5577" w:rsidRDefault="00BF5577" w:rsidP="00BF5577">
      <w:pPr>
        <w:pStyle w:val="FootnoteText"/>
      </w:pPr>
      <w:r>
        <w:rPr>
          <w:rStyle w:val="FootnoteReference"/>
        </w:rPr>
        <w:footnoteRef/>
      </w:r>
      <w:r>
        <w:t xml:space="preserve"> </w:t>
      </w:r>
      <w:proofErr w:type="spellStart"/>
      <w:proofErr w:type="gramStart"/>
      <w:r>
        <w:t>S.Davies</w:t>
      </w:r>
      <w:proofErr w:type="spellEnd"/>
      <w:proofErr w:type="gramEnd"/>
      <w:r>
        <w:t xml:space="preserve">, </w:t>
      </w:r>
      <w:r w:rsidRPr="009D7A1C">
        <w:rPr>
          <w:i/>
        </w:rPr>
        <w:t xml:space="preserve">The Four Branches </w:t>
      </w:r>
      <w:r>
        <w:t>p. 76</w:t>
      </w:r>
    </w:p>
  </w:footnote>
  <w:footnote w:id="8">
    <w:p w14:paraId="186F9DAC" w14:textId="77777777" w:rsidR="00BF5577" w:rsidRDefault="00BF5577" w:rsidP="00BF5577">
      <w:pPr>
        <w:pStyle w:val="FootnoteText"/>
      </w:pPr>
      <w:r>
        <w:rPr>
          <w:rStyle w:val="FootnoteReference"/>
        </w:rPr>
        <w:footnoteRef/>
      </w:r>
      <w:r>
        <w:t xml:space="preserve"> Davies, </w:t>
      </w:r>
      <w:r w:rsidRPr="009D7A1C">
        <w:rPr>
          <w:i/>
        </w:rPr>
        <w:t>The Four Branches</w:t>
      </w:r>
      <w:r>
        <w:t xml:space="preserve"> p. 30</w:t>
      </w:r>
    </w:p>
  </w:footnote>
  <w:footnote w:id="9">
    <w:p w14:paraId="0D007EB1" w14:textId="77777777" w:rsidR="00BF5577" w:rsidRDefault="00BF5577" w:rsidP="00BF5577">
      <w:pPr>
        <w:pStyle w:val="FootnoteText"/>
      </w:pPr>
      <w:r>
        <w:rPr>
          <w:rStyle w:val="FootnoteReference"/>
        </w:rPr>
        <w:footnoteRef/>
      </w:r>
      <w:r>
        <w:t xml:space="preserve"> Davies, </w:t>
      </w:r>
      <w:r w:rsidRPr="009D7A1C">
        <w:rPr>
          <w:i/>
        </w:rPr>
        <w:t>The Four Branches</w:t>
      </w:r>
      <w:r>
        <w:t xml:space="preserve"> p. 30</w:t>
      </w:r>
    </w:p>
  </w:footnote>
  <w:footnote w:id="10">
    <w:p w14:paraId="67091069" w14:textId="77777777" w:rsidR="00BF5577" w:rsidRDefault="00BF5577" w:rsidP="00BF5577">
      <w:pPr>
        <w:pStyle w:val="FootnoteText"/>
      </w:pPr>
      <w:r>
        <w:rPr>
          <w:rStyle w:val="FootnoteReference"/>
        </w:rPr>
        <w:footnoteRef/>
      </w:r>
      <w:r>
        <w:t xml:space="preserve"> Davies, </w:t>
      </w:r>
      <w:r w:rsidRPr="009D7A1C">
        <w:rPr>
          <w:i/>
        </w:rPr>
        <w:t>The Four Branches</w:t>
      </w:r>
      <w:r>
        <w:t xml:space="preserve"> p. 41</w:t>
      </w:r>
    </w:p>
  </w:footnote>
  <w:footnote w:id="11">
    <w:p w14:paraId="61C76A41" w14:textId="77777777" w:rsidR="00BF5577" w:rsidRDefault="00BF5577" w:rsidP="00BF5577">
      <w:pPr>
        <w:pStyle w:val="FootnoteText"/>
      </w:pPr>
      <w:r>
        <w:rPr>
          <w:rStyle w:val="FootnoteReference"/>
        </w:rPr>
        <w:footnoteRef/>
      </w:r>
      <w:r>
        <w:t xml:space="preserve"> P. Mac Cana, </w:t>
      </w:r>
      <w:r w:rsidRPr="00C24C37">
        <w:rPr>
          <w:i/>
        </w:rPr>
        <w:t xml:space="preserve">The </w:t>
      </w:r>
      <w:proofErr w:type="spellStart"/>
      <w:r w:rsidRPr="00C24C37">
        <w:rPr>
          <w:i/>
        </w:rPr>
        <w:t>Mabinogi</w:t>
      </w:r>
      <w:proofErr w:type="spellEnd"/>
      <w:r>
        <w:t xml:space="preserve"> (Cardiff: University of Wales Press, 1992) p. 33</w:t>
      </w:r>
    </w:p>
  </w:footnote>
  <w:footnote w:id="12">
    <w:p w14:paraId="3A441ED9" w14:textId="77777777" w:rsidR="00BF5577" w:rsidRDefault="00BF5577" w:rsidP="00BF5577">
      <w:pPr>
        <w:pStyle w:val="FootnoteText"/>
      </w:pPr>
      <w:r>
        <w:rPr>
          <w:rStyle w:val="FootnoteReference"/>
        </w:rPr>
        <w:footnoteRef/>
      </w:r>
      <w:r>
        <w:t xml:space="preserve"> A. Welsh, ‘The Traditional Narrative Motifs of </w:t>
      </w:r>
      <w:r>
        <w:rPr>
          <w:i/>
        </w:rPr>
        <w:t>T</w:t>
      </w:r>
      <w:r w:rsidRPr="006D1513">
        <w:rPr>
          <w:i/>
        </w:rPr>
        <w:t xml:space="preserve">he Four Branches of the </w:t>
      </w:r>
      <w:proofErr w:type="spellStart"/>
      <w:r w:rsidRPr="006D1513">
        <w:rPr>
          <w:i/>
        </w:rPr>
        <w:t>Mabinogi</w:t>
      </w:r>
      <w:proofErr w:type="spellEnd"/>
      <w:r>
        <w:t xml:space="preserve">’, </w:t>
      </w:r>
      <w:r w:rsidRPr="00FD7FBF">
        <w:rPr>
          <w:i/>
        </w:rPr>
        <w:t>Cambridge Medieval Celtic Studies</w:t>
      </w:r>
      <w:r>
        <w:t xml:space="preserve"> Vol 15 (1988) pp. 51-62 p. 51</w:t>
      </w:r>
    </w:p>
  </w:footnote>
  <w:footnote w:id="13">
    <w:p w14:paraId="62603F80" w14:textId="77777777" w:rsidR="00BF5577" w:rsidRDefault="00BF5577" w:rsidP="00BF5577">
      <w:pPr>
        <w:pStyle w:val="FootnoteText"/>
      </w:pPr>
      <w:r>
        <w:rPr>
          <w:rStyle w:val="FootnoteReference"/>
        </w:rPr>
        <w:footnoteRef/>
      </w:r>
      <w:r>
        <w:t xml:space="preserve"> Davies, </w:t>
      </w:r>
      <w:r w:rsidRPr="009D7A1C">
        <w:rPr>
          <w:i/>
        </w:rPr>
        <w:t>The Four Branches</w:t>
      </w:r>
      <w:r>
        <w:t xml:space="preserve"> p. 24</w:t>
      </w:r>
    </w:p>
  </w:footnote>
  <w:footnote w:id="14">
    <w:p w14:paraId="2170F515" w14:textId="77777777" w:rsidR="00BF5577" w:rsidRDefault="00BF5577" w:rsidP="00BF5577">
      <w:pPr>
        <w:pStyle w:val="FootnoteText"/>
      </w:pPr>
      <w:r>
        <w:rPr>
          <w:rStyle w:val="FootnoteReference"/>
        </w:rPr>
        <w:footnoteRef/>
      </w:r>
      <w:r>
        <w:t xml:space="preserve"> Davies, (trans) </w:t>
      </w:r>
      <w:r w:rsidRPr="00FC3689">
        <w:rPr>
          <w:i/>
        </w:rPr>
        <w:t xml:space="preserve">The </w:t>
      </w:r>
      <w:proofErr w:type="spellStart"/>
      <w:r w:rsidRPr="00FC3689">
        <w:rPr>
          <w:i/>
        </w:rPr>
        <w:t>Mabinogion</w:t>
      </w:r>
      <w:proofErr w:type="spellEnd"/>
      <w:r>
        <w:t xml:space="preserve"> p. 10</w:t>
      </w:r>
    </w:p>
  </w:footnote>
  <w:footnote w:id="15">
    <w:p w14:paraId="0576E978" w14:textId="77777777" w:rsidR="00BF5577" w:rsidRDefault="00BF5577" w:rsidP="00BF5577">
      <w:pPr>
        <w:pStyle w:val="FootnoteText"/>
      </w:pPr>
      <w:r>
        <w:rPr>
          <w:rStyle w:val="FootnoteReference"/>
        </w:rPr>
        <w:footnoteRef/>
      </w:r>
      <w:r>
        <w:t xml:space="preserve"> Davies, </w:t>
      </w:r>
      <w:r w:rsidRPr="009D7A1C">
        <w:rPr>
          <w:i/>
        </w:rPr>
        <w:t>The Four Branches</w:t>
      </w:r>
      <w:r>
        <w:t xml:space="preserve"> p. 30</w:t>
      </w:r>
    </w:p>
  </w:footnote>
  <w:footnote w:id="16">
    <w:p w14:paraId="3DE754F8" w14:textId="554D77E3" w:rsidR="00BF5577" w:rsidRDefault="00BF5577" w:rsidP="00BF5577">
      <w:pPr>
        <w:pStyle w:val="FootnoteText"/>
      </w:pPr>
      <w:r>
        <w:rPr>
          <w:rStyle w:val="FootnoteReference"/>
        </w:rPr>
        <w:footnoteRef/>
      </w:r>
      <w:r>
        <w:t xml:space="preserve"> J.K. Bollard, (trans) and Griffiths</w:t>
      </w:r>
      <w:r w:rsidR="00276F74">
        <w:t>, A</w:t>
      </w:r>
      <w:r>
        <w:t xml:space="preserve"> (photography) The </w:t>
      </w:r>
      <w:proofErr w:type="spellStart"/>
      <w:r>
        <w:t>Mabinogi</w:t>
      </w:r>
      <w:proofErr w:type="spellEnd"/>
      <w:r>
        <w:t>: legend and landscape of Wales (</w:t>
      </w:r>
      <w:proofErr w:type="spellStart"/>
      <w:r>
        <w:t>Llandysul</w:t>
      </w:r>
      <w:proofErr w:type="spellEnd"/>
      <w:r>
        <w:t>: Gomer Press, 2006) p. 14</w:t>
      </w:r>
    </w:p>
  </w:footnote>
  <w:footnote w:id="17">
    <w:p w14:paraId="6EB386A8" w14:textId="77777777" w:rsidR="00BF5577" w:rsidRDefault="00BF5577" w:rsidP="00BF5577">
      <w:pPr>
        <w:pStyle w:val="FootnoteText"/>
      </w:pPr>
      <w:r>
        <w:rPr>
          <w:rStyle w:val="FootnoteReference"/>
        </w:rPr>
        <w:footnoteRef/>
      </w:r>
      <w:r>
        <w:t xml:space="preserve"> Davies, (trans) </w:t>
      </w:r>
      <w:r w:rsidRPr="00FC3689">
        <w:rPr>
          <w:i/>
        </w:rPr>
        <w:t xml:space="preserve">The </w:t>
      </w:r>
      <w:proofErr w:type="spellStart"/>
      <w:r w:rsidRPr="00FC3689">
        <w:rPr>
          <w:i/>
        </w:rPr>
        <w:t>Mabinogion</w:t>
      </w:r>
      <w:proofErr w:type="spellEnd"/>
      <w:r>
        <w:t xml:space="preserve"> p. 10</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4B6C"/>
    <w:rsid w:val="00013C42"/>
    <w:rsid w:val="00037312"/>
    <w:rsid w:val="000400BE"/>
    <w:rsid w:val="000901F2"/>
    <w:rsid w:val="000A5D7B"/>
    <w:rsid w:val="001622D7"/>
    <w:rsid w:val="0018279C"/>
    <w:rsid w:val="00183964"/>
    <w:rsid w:val="001C373B"/>
    <w:rsid w:val="001F2541"/>
    <w:rsid w:val="002033F4"/>
    <w:rsid w:val="0020481F"/>
    <w:rsid w:val="00237944"/>
    <w:rsid w:val="00271875"/>
    <w:rsid w:val="00276F74"/>
    <w:rsid w:val="003153C5"/>
    <w:rsid w:val="003436C8"/>
    <w:rsid w:val="00344EBA"/>
    <w:rsid w:val="0035667E"/>
    <w:rsid w:val="003F49A2"/>
    <w:rsid w:val="004134E6"/>
    <w:rsid w:val="00415947"/>
    <w:rsid w:val="00430586"/>
    <w:rsid w:val="00432D30"/>
    <w:rsid w:val="004E3D5A"/>
    <w:rsid w:val="00532299"/>
    <w:rsid w:val="005575F4"/>
    <w:rsid w:val="005E00C7"/>
    <w:rsid w:val="005F5208"/>
    <w:rsid w:val="00613A53"/>
    <w:rsid w:val="0066309B"/>
    <w:rsid w:val="00722F5B"/>
    <w:rsid w:val="007B3432"/>
    <w:rsid w:val="007D0590"/>
    <w:rsid w:val="007E4084"/>
    <w:rsid w:val="0084375A"/>
    <w:rsid w:val="008E6A43"/>
    <w:rsid w:val="00907292"/>
    <w:rsid w:val="009613C6"/>
    <w:rsid w:val="009C2041"/>
    <w:rsid w:val="009C47DE"/>
    <w:rsid w:val="009E0556"/>
    <w:rsid w:val="00A211DC"/>
    <w:rsid w:val="00A374B7"/>
    <w:rsid w:val="00A85464"/>
    <w:rsid w:val="00AB4E1C"/>
    <w:rsid w:val="00B3034F"/>
    <w:rsid w:val="00B35787"/>
    <w:rsid w:val="00B81916"/>
    <w:rsid w:val="00BD4B6C"/>
    <w:rsid w:val="00BF5577"/>
    <w:rsid w:val="00CA0AF8"/>
    <w:rsid w:val="00CB7F31"/>
    <w:rsid w:val="00CC110E"/>
    <w:rsid w:val="00CC7E7A"/>
    <w:rsid w:val="00CD556F"/>
    <w:rsid w:val="00D27C30"/>
    <w:rsid w:val="00D51EB4"/>
    <w:rsid w:val="00DE726C"/>
    <w:rsid w:val="00E375EB"/>
    <w:rsid w:val="00E737E1"/>
    <w:rsid w:val="00E85AEB"/>
    <w:rsid w:val="00EA2A6D"/>
    <w:rsid w:val="00EA5A48"/>
    <w:rsid w:val="00EB4A73"/>
    <w:rsid w:val="00EC0142"/>
    <w:rsid w:val="00EC0B7F"/>
    <w:rsid w:val="00F0700D"/>
    <w:rsid w:val="00F862AC"/>
    <w:rsid w:val="00FF44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C943B"/>
  <w15:chartTrackingRefBased/>
  <w15:docId w15:val="{E5E0DCB1-793B-4E8D-A91F-78369516F0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D4B6C"/>
    <w:pPr>
      <w:spacing w:after="0" w:line="240" w:lineRule="auto"/>
    </w:pPr>
    <w:rPr>
      <w:rFonts w:ascii="Times New Roman" w:eastAsia="SimSun" w:hAnsi="Times New Roman" w:cs="Times New Roman"/>
      <w:sz w:val="24"/>
      <w:szCs w:val="24"/>
      <w:lang w:eastAsia="zh-CN"/>
    </w:rPr>
  </w:style>
  <w:style w:type="paragraph" w:styleId="Heading3">
    <w:name w:val="heading 3"/>
    <w:basedOn w:val="Normal"/>
    <w:link w:val="Heading3Char"/>
    <w:semiHidden/>
    <w:unhideWhenUsed/>
    <w:qFormat/>
    <w:rsid w:val="00BD4B6C"/>
    <w:pPr>
      <w:keepNext/>
      <w:ind w:left="720"/>
      <w:jc w:val="both"/>
      <w:outlineLvl w:val="2"/>
    </w:pPr>
    <w:rPr>
      <w:rFonts w:ascii="Tahoma" w:eastAsia="Times New Roman"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semiHidden/>
    <w:rsid w:val="00BD4B6C"/>
    <w:rPr>
      <w:rFonts w:ascii="Tahoma" w:eastAsia="Times New Roman" w:hAnsi="Tahoma" w:cs="Tahoma"/>
      <w:b/>
      <w:bCs/>
      <w:sz w:val="20"/>
      <w:szCs w:val="20"/>
      <w:lang w:eastAsia="zh-CN"/>
    </w:rPr>
  </w:style>
  <w:style w:type="paragraph" w:styleId="NormalWeb">
    <w:name w:val="Normal (Web)"/>
    <w:basedOn w:val="Normal"/>
    <w:uiPriority w:val="99"/>
    <w:unhideWhenUsed/>
    <w:rsid w:val="00BD4B6C"/>
    <w:pPr>
      <w:spacing w:before="100" w:beforeAutospacing="1" w:after="100" w:afterAutospacing="1"/>
    </w:pPr>
    <w:rPr>
      <w:rFonts w:ascii="Georgia" w:hAnsi="Georgia"/>
      <w:color w:val="000000"/>
      <w:sz w:val="21"/>
      <w:szCs w:val="21"/>
    </w:rPr>
  </w:style>
  <w:style w:type="paragraph" w:styleId="FootnoteText">
    <w:name w:val="footnote text"/>
    <w:basedOn w:val="Normal"/>
    <w:link w:val="FootnoteTextChar"/>
    <w:uiPriority w:val="99"/>
    <w:semiHidden/>
    <w:unhideWhenUsed/>
    <w:rsid w:val="00BF5577"/>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BF5577"/>
    <w:rPr>
      <w:sz w:val="20"/>
      <w:szCs w:val="20"/>
    </w:rPr>
  </w:style>
  <w:style w:type="character" w:styleId="FootnoteReference">
    <w:name w:val="footnote reference"/>
    <w:basedOn w:val="DefaultParagraphFont"/>
    <w:uiPriority w:val="99"/>
    <w:semiHidden/>
    <w:unhideWhenUsed/>
    <w:rsid w:val="00BF5577"/>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7151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TotalTime>
  <Pages>8</Pages>
  <Words>1591</Words>
  <Characters>9074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Griffiths</dc:creator>
  <cp:keywords/>
  <dc:description/>
  <cp:lastModifiedBy>Sarah Griffiths</cp:lastModifiedBy>
  <cp:revision>69</cp:revision>
  <dcterms:created xsi:type="dcterms:W3CDTF">2018-11-21T20:35:00Z</dcterms:created>
  <dcterms:modified xsi:type="dcterms:W3CDTF">2018-11-27T20:39:00Z</dcterms:modified>
</cp:coreProperties>
</file>