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BB862" w14:textId="77777777" w:rsidR="006133A7" w:rsidRDefault="006133A7" w:rsidP="006133A7">
      <w:pPr>
        <w:spacing w:line="360" w:lineRule="auto"/>
        <w:jc w:val="center"/>
        <w:rPr>
          <w:rFonts w:ascii="Times New Roman" w:eastAsia="Times New Roman" w:hAnsi="Times New Roman" w:cs="Times New Roman"/>
          <w:b/>
          <w:sz w:val="32"/>
          <w:szCs w:val="32"/>
        </w:rPr>
      </w:pPr>
    </w:p>
    <w:p w14:paraId="35A290FA" w14:textId="77777777" w:rsidR="006133A7" w:rsidRDefault="006133A7" w:rsidP="006133A7">
      <w:pPr>
        <w:spacing w:line="360" w:lineRule="auto"/>
        <w:jc w:val="center"/>
        <w:rPr>
          <w:rFonts w:ascii="Times New Roman" w:eastAsia="Times New Roman" w:hAnsi="Times New Roman" w:cs="Times New Roman"/>
          <w:b/>
          <w:sz w:val="32"/>
          <w:szCs w:val="32"/>
        </w:rPr>
      </w:pPr>
    </w:p>
    <w:p w14:paraId="0437D0F8" w14:textId="77777777" w:rsidR="006133A7" w:rsidRDefault="006133A7" w:rsidP="006133A7">
      <w:pPr>
        <w:spacing w:line="360" w:lineRule="auto"/>
        <w:jc w:val="center"/>
        <w:rPr>
          <w:rFonts w:ascii="Times New Roman" w:eastAsia="Times New Roman" w:hAnsi="Times New Roman" w:cs="Times New Roman"/>
          <w:b/>
          <w:sz w:val="32"/>
          <w:szCs w:val="32"/>
        </w:rPr>
      </w:pPr>
    </w:p>
    <w:p w14:paraId="16B29440" w14:textId="77777777" w:rsidR="006133A7" w:rsidRDefault="006133A7" w:rsidP="006133A7">
      <w:pPr>
        <w:spacing w:line="360" w:lineRule="auto"/>
        <w:jc w:val="center"/>
        <w:rPr>
          <w:rFonts w:ascii="Times New Roman" w:eastAsia="Times New Roman" w:hAnsi="Times New Roman" w:cs="Times New Roman"/>
          <w:b/>
          <w:sz w:val="32"/>
          <w:szCs w:val="32"/>
        </w:rPr>
      </w:pPr>
    </w:p>
    <w:p w14:paraId="572AC211" w14:textId="77777777" w:rsidR="006133A7" w:rsidRDefault="006133A7" w:rsidP="006133A7">
      <w:pPr>
        <w:spacing w:line="360" w:lineRule="auto"/>
        <w:jc w:val="center"/>
        <w:rPr>
          <w:rFonts w:ascii="Times New Roman" w:eastAsia="Times New Roman" w:hAnsi="Times New Roman" w:cs="Times New Roman"/>
          <w:b/>
          <w:sz w:val="32"/>
          <w:szCs w:val="32"/>
        </w:rPr>
      </w:pPr>
    </w:p>
    <w:p w14:paraId="7C8F5D57" w14:textId="77777777" w:rsidR="006133A7" w:rsidRDefault="006133A7" w:rsidP="006133A7">
      <w:pPr>
        <w:spacing w:line="360" w:lineRule="auto"/>
        <w:jc w:val="center"/>
        <w:rPr>
          <w:rFonts w:ascii="Times New Roman" w:eastAsia="Times New Roman" w:hAnsi="Times New Roman" w:cs="Times New Roman"/>
          <w:b/>
          <w:sz w:val="32"/>
          <w:szCs w:val="32"/>
        </w:rPr>
      </w:pPr>
    </w:p>
    <w:p w14:paraId="57F6A388" w14:textId="77777777" w:rsidR="006133A7" w:rsidRDefault="006133A7" w:rsidP="006133A7">
      <w:pPr>
        <w:spacing w:line="360" w:lineRule="auto"/>
        <w:jc w:val="center"/>
        <w:rPr>
          <w:rFonts w:ascii="Times New Roman" w:eastAsia="Times New Roman" w:hAnsi="Times New Roman" w:cs="Times New Roman"/>
          <w:b/>
          <w:sz w:val="32"/>
          <w:szCs w:val="32"/>
        </w:rPr>
      </w:pPr>
    </w:p>
    <w:p w14:paraId="2ABC377B" w14:textId="77777777" w:rsidR="006133A7" w:rsidRDefault="006133A7" w:rsidP="006133A7">
      <w:pPr>
        <w:spacing w:line="360" w:lineRule="auto"/>
        <w:jc w:val="center"/>
        <w:rPr>
          <w:rFonts w:ascii="Times New Roman" w:eastAsia="Times New Roman" w:hAnsi="Times New Roman" w:cs="Times New Roman"/>
          <w:b/>
          <w:sz w:val="32"/>
          <w:szCs w:val="32"/>
        </w:rPr>
      </w:pPr>
    </w:p>
    <w:p w14:paraId="2290BFE2" w14:textId="77777777" w:rsidR="006133A7" w:rsidRDefault="006133A7" w:rsidP="006133A7">
      <w:pPr>
        <w:spacing w:line="360" w:lineRule="auto"/>
        <w:jc w:val="center"/>
        <w:rPr>
          <w:rFonts w:ascii="Times New Roman" w:eastAsia="Times New Roman" w:hAnsi="Times New Roman" w:cs="Times New Roman"/>
          <w:b/>
          <w:sz w:val="32"/>
          <w:szCs w:val="32"/>
        </w:rPr>
      </w:pPr>
    </w:p>
    <w:p w14:paraId="7A038F6B" w14:textId="77777777" w:rsidR="00E34C95" w:rsidRDefault="006133A7" w:rsidP="006133A7">
      <w:pPr>
        <w:spacing w:line="360" w:lineRule="auto"/>
        <w:jc w:val="center"/>
        <w:rPr>
          <w:rFonts w:ascii="Times New Roman" w:eastAsia="Times New Roman" w:hAnsi="Times New Roman" w:cs="Times New Roman"/>
          <w:b/>
          <w:sz w:val="32"/>
          <w:szCs w:val="32"/>
        </w:rPr>
      </w:pPr>
      <w:r w:rsidRPr="006133A7">
        <w:rPr>
          <w:rFonts w:ascii="Times New Roman" w:eastAsia="Times New Roman" w:hAnsi="Times New Roman" w:cs="Times New Roman"/>
          <w:b/>
          <w:sz w:val="32"/>
          <w:szCs w:val="32"/>
        </w:rPr>
        <w:t>The case of Sarah Jones</w:t>
      </w:r>
    </w:p>
    <w:p w14:paraId="72E18AC1" w14:textId="77777777" w:rsidR="00E34C95" w:rsidRDefault="00E34C95" w:rsidP="006133A7">
      <w:pPr>
        <w:spacing w:line="360" w:lineRule="auto"/>
        <w:jc w:val="center"/>
        <w:rPr>
          <w:rFonts w:ascii="Times New Roman" w:eastAsia="Times New Roman" w:hAnsi="Times New Roman" w:cs="Times New Roman"/>
          <w:b/>
          <w:sz w:val="32"/>
          <w:szCs w:val="32"/>
        </w:rPr>
      </w:pPr>
    </w:p>
    <w:p w14:paraId="5F476BA4" w14:textId="77777777" w:rsidR="00E34C95" w:rsidRDefault="00E34C95" w:rsidP="006133A7">
      <w:pPr>
        <w:spacing w:line="360" w:lineRule="auto"/>
        <w:jc w:val="center"/>
        <w:rPr>
          <w:rFonts w:ascii="Times New Roman" w:eastAsia="Times New Roman" w:hAnsi="Times New Roman" w:cs="Times New Roman"/>
          <w:b/>
          <w:sz w:val="32"/>
          <w:szCs w:val="32"/>
        </w:rPr>
      </w:pPr>
    </w:p>
    <w:p w14:paraId="68BB1F94" w14:textId="77777777" w:rsidR="00E34C95" w:rsidRDefault="00E34C95" w:rsidP="006133A7">
      <w:pPr>
        <w:spacing w:line="360" w:lineRule="auto"/>
        <w:jc w:val="center"/>
        <w:rPr>
          <w:rFonts w:ascii="Times New Roman" w:eastAsia="Times New Roman" w:hAnsi="Times New Roman" w:cs="Times New Roman"/>
          <w:b/>
          <w:sz w:val="32"/>
          <w:szCs w:val="32"/>
        </w:rPr>
      </w:pPr>
    </w:p>
    <w:p w14:paraId="2DA177DE" w14:textId="77777777" w:rsidR="00E34C95" w:rsidRDefault="00E34C95" w:rsidP="006133A7">
      <w:pPr>
        <w:spacing w:line="360" w:lineRule="auto"/>
        <w:jc w:val="center"/>
        <w:rPr>
          <w:rFonts w:ascii="Times New Roman" w:eastAsia="Times New Roman" w:hAnsi="Times New Roman" w:cs="Times New Roman"/>
          <w:b/>
          <w:sz w:val="32"/>
          <w:szCs w:val="32"/>
        </w:rPr>
      </w:pPr>
    </w:p>
    <w:p w14:paraId="6D9A3865" w14:textId="77777777" w:rsidR="00E34C95" w:rsidRPr="00E34C95" w:rsidRDefault="00E34C95" w:rsidP="00E34C95">
      <w:pPr>
        <w:spacing w:line="240" w:lineRule="auto"/>
        <w:jc w:val="right"/>
        <w:rPr>
          <w:rFonts w:eastAsia="Times New Roman"/>
          <w:b/>
          <w:sz w:val="28"/>
          <w:szCs w:val="28"/>
          <w:lang w:val="en-GB" w:eastAsia="en-GB"/>
        </w:rPr>
      </w:pPr>
      <w:r w:rsidRPr="00E34C95">
        <w:rPr>
          <w:rFonts w:eastAsia="Times New Roman"/>
          <w:noProof/>
          <w:sz w:val="20"/>
          <w:szCs w:val="20"/>
          <w:lang w:val="en-GB" w:eastAsia="en-GB"/>
        </w:rPr>
        <w:drawing>
          <wp:anchor distT="0" distB="0" distL="114300" distR="114300" simplePos="0" relativeHeight="251659264" behindDoc="0" locked="0" layoutInCell="1" allowOverlap="1" wp14:anchorId="4C839E7D" wp14:editId="7063F8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34C95">
        <w:rPr>
          <w:rFonts w:eastAsia="Times New Roman"/>
          <w:sz w:val="20"/>
          <w:szCs w:val="20"/>
          <w:lang w:val="en-GB" w:eastAsia="en-GB"/>
        </w:rPr>
        <w:t xml:space="preserve"> </w:t>
      </w:r>
      <w:r w:rsidRPr="00E34C95">
        <w:rPr>
          <w:rFonts w:eastAsia="Times New Roman"/>
          <w:sz w:val="20"/>
          <w:szCs w:val="20"/>
          <w:lang w:val="en-GB" w:eastAsia="en-GB"/>
        </w:rPr>
        <w:br w:type="textWrapping" w:clear="all"/>
      </w:r>
      <w:r w:rsidRPr="00E34C95">
        <w:rPr>
          <w:rFonts w:eastAsia="Times New Roman"/>
          <w:b/>
          <w:sz w:val="28"/>
          <w:szCs w:val="28"/>
          <w:lang w:val="en-GB" w:eastAsia="en-GB"/>
        </w:rPr>
        <w:t>APPENDIX GA36a</w:t>
      </w:r>
    </w:p>
    <w:p w14:paraId="50725B46" w14:textId="77777777" w:rsidR="00E34C95" w:rsidRPr="00E34C95" w:rsidRDefault="00E34C95" w:rsidP="00E34C95">
      <w:pPr>
        <w:spacing w:line="240" w:lineRule="auto"/>
        <w:rPr>
          <w:rFonts w:eastAsia="Times New Roman"/>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7"/>
      </w:tblGrid>
      <w:tr w:rsidR="00E34C95" w:rsidRPr="00E34C95" w14:paraId="663D6DAF" w14:textId="77777777" w:rsidTr="00CB7263">
        <w:tc>
          <w:tcPr>
            <w:tcW w:w="9922" w:type="dxa"/>
            <w:shd w:val="clear" w:color="auto" w:fill="C0C0C0"/>
          </w:tcPr>
          <w:p w14:paraId="4E246B83" w14:textId="77777777" w:rsidR="00E34C95" w:rsidRPr="00E34C95" w:rsidRDefault="00E34C95" w:rsidP="00E34C95">
            <w:pPr>
              <w:keepNext/>
              <w:spacing w:before="120" w:after="120" w:line="240" w:lineRule="auto"/>
              <w:jc w:val="center"/>
              <w:outlineLvl w:val="3"/>
              <w:rPr>
                <w:rFonts w:eastAsia="Times New Roman"/>
                <w:b/>
                <w:sz w:val="40"/>
                <w:szCs w:val="20"/>
                <w:lang w:val="en-GB" w:eastAsia="en-GB"/>
              </w:rPr>
            </w:pPr>
            <w:r w:rsidRPr="00E34C95">
              <w:rPr>
                <w:rFonts w:eastAsia="Times New Roman"/>
                <w:b/>
                <w:sz w:val="40"/>
                <w:szCs w:val="20"/>
                <w:lang w:val="en-GB" w:eastAsia="en-GB"/>
              </w:rPr>
              <w:t xml:space="preserve">LEVEL 4 ASSESSMENT SPECIFICATION </w:t>
            </w:r>
          </w:p>
        </w:tc>
      </w:tr>
    </w:tbl>
    <w:p w14:paraId="5DA5BE65" w14:textId="77777777" w:rsidR="00E34C95" w:rsidRPr="00E34C95" w:rsidRDefault="00E34C95" w:rsidP="00E34C95">
      <w:pPr>
        <w:spacing w:line="240" w:lineRule="auto"/>
        <w:jc w:val="center"/>
        <w:rPr>
          <w:rFonts w:eastAsia="Times New Roman"/>
          <w:b/>
          <w:i/>
          <w:sz w:val="32"/>
          <w:szCs w:val="20"/>
          <w:lang w:val="en-GB"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34C95" w:rsidRPr="00E34C95" w14:paraId="344524AF" w14:textId="77777777" w:rsidTr="00CB7263">
        <w:tc>
          <w:tcPr>
            <w:tcW w:w="2093" w:type="dxa"/>
            <w:shd w:val="pct15" w:color="auto" w:fill="auto"/>
          </w:tcPr>
          <w:p w14:paraId="3A861124"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Student name:</w:t>
            </w:r>
          </w:p>
        </w:tc>
        <w:tc>
          <w:tcPr>
            <w:tcW w:w="3293" w:type="dxa"/>
          </w:tcPr>
          <w:p w14:paraId="444C73DC"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fldChar w:fldCharType="begin">
                <w:ffData>
                  <w:name w:val="Text2"/>
                  <w:enabled/>
                  <w:calcOnExit w:val="0"/>
                  <w:textInput/>
                </w:ffData>
              </w:fldChar>
            </w:r>
            <w:r w:rsidRPr="00E34C95">
              <w:rPr>
                <w:rFonts w:eastAsia="Times New Roman"/>
                <w:b/>
                <w:lang w:val="en-GB" w:eastAsia="en-GB"/>
              </w:rPr>
              <w:instrText xml:space="preserve"> FORMTEXT </w:instrText>
            </w:r>
            <w:r w:rsidRPr="00E34C95">
              <w:rPr>
                <w:rFonts w:eastAsia="Times New Roman"/>
                <w:b/>
                <w:lang w:val="en-GB" w:eastAsia="en-GB"/>
              </w:rPr>
            </w:r>
            <w:r w:rsidRPr="00E34C95">
              <w:rPr>
                <w:rFonts w:eastAsia="Times New Roman"/>
                <w:b/>
                <w:lang w:val="en-GB" w:eastAsia="en-GB"/>
              </w:rPr>
              <w:fldChar w:fldCharType="separate"/>
            </w:r>
            <w:r w:rsidRPr="00E34C95">
              <w:rPr>
                <w:rFonts w:eastAsia="Times New Roman"/>
                <w:b/>
                <w:noProof/>
                <w:lang w:val="en-GB" w:eastAsia="en-GB"/>
              </w:rPr>
              <w:t> </w:t>
            </w:r>
            <w:r w:rsidRPr="00E34C95">
              <w:rPr>
                <w:rFonts w:eastAsia="Times New Roman"/>
                <w:b/>
                <w:noProof/>
                <w:lang w:val="en-GB" w:eastAsia="en-GB"/>
              </w:rPr>
              <w:t> </w:t>
            </w:r>
            <w:r w:rsidRPr="00E34C95">
              <w:rPr>
                <w:rFonts w:eastAsia="Times New Roman"/>
                <w:b/>
                <w:noProof/>
                <w:lang w:val="en-GB" w:eastAsia="en-GB"/>
              </w:rPr>
              <w:t> </w:t>
            </w:r>
            <w:r w:rsidRPr="00E34C95">
              <w:rPr>
                <w:rFonts w:eastAsia="Times New Roman"/>
                <w:b/>
                <w:noProof/>
                <w:lang w:val="en-GB" w:eastAsia="en-GB"/>
              </w:rPr>
              <w:t> </w:t>
            </w:r>
            <w:r w:rsidRPr="00E34C95">
              <w:rPr>
                <w:rFonts w:eastAsia="Times New Roman"/>
                <w:b/>
                <w:noProof/>
                <w:lang w:val="en-GB" w:eastAsia="en-GB"/>
              </w:rPr>
              <w:t> </w:t>
            </w:r>
            <w:r w:rsidRPr="00E34C95">
              <w:rPr>
                <w:rFonts w:eastAsia="Times New Roman"/>
                <w:b/>
                <w:lang w:val="en-GB" w:eastAsia="en-GB"/>
              </w:rPr>
              <w:fldChar w:fldCharType="end"/>
            </w:r>
          </w:p>
        </w:tc>
        <w:tc>
          <w:tcPr>
            <w:tcW w:w="2268" w:type="dxa"/>
            <w:shd w:val="clear" w:color="auto" w:fill="D9D9D9"/>
          </w:tcPr>
          <w:p w14:paraId="44059A56"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Student ID number:</w:t>
            </w:r>
          </w:p>
        </w:tc>
        <w:tc>
          <w:tcPr>
            <w:tcW w:w="2268" w:type="dxa"/>
          </w:tcPr>
          <w:p w14:paraId="25FE9FCC" w14:textId="77777777" w:rsidR="00E34C95" w:rsidRPr="00E34C95" w:rsidRDefault="00E34C95" w:rsidP="00E34C95">
            <w:pPr>
              <w:spacing w:before="120" w:after="120" w:line="240" w:lineRule="auto"/>
              <w:jc w:val="both"/>
              <w:rPr>
                <w:rFonts w:eastAsia="Times New Roman"/>
                <w:b/>
                <w:lang w:val="en-GB" w:eastAsia="en-GB"/>
              </w:rPr>
            </w:pPr>
          </w:p>
        </w:tc>
      </w:tr>
      <w:tr w:rsidR="00E34C95" w:rsidRPr="00E34C95" w14:paraId="3AA71291" w14:textId="77777777" w:rsidTr="00CB7263">
        <w:tc>
          <w:tcPr>
            <w:tcW w:w="2093" w:type="dxa"/>
            <w:shd w:val="pct15" w:color="auto" w:fill="auto"/>
          </w:tcPr>
          <w:p w14:paraId="5B9D23AA"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Programme:</w:t>
            </w:r>
          </w:p>
        </w:tc>
        <w:tc>
          <w:tcPr>
            <w:tcW w:w="7829" w:type="dxa"/>
            <w:gridSpan w:val="3"/>
          </w:tcPr>
          <w:p w14:paraId="366E25A6"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Law and Legal Practice</w:t>
            </w:r>
          </w:p>
        </w:tc>
      </w:tr>
      <w:tr w:rsidR="00E34C95" w:rsidRPr="00E34C95" w14:paraId="26DE38D1" w14:textId="77777777" w:rsidTr="00CB7263">
        <w:tc>
          <w:tcPr>
            <w:tcW w:w="2093" w:type="dxa"/>
            <w:shd w:val="pct15" w:color="auto" w:fill="auto"/>
          </w:tcPr>
          <w:p w14:paraId="36802688"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Module:</w:t>
            </w:r>
          </w:p>
        </w:tc>
        <w:tc>
          <w:tcPr>
            <w:tcW w:w="7829" w:type="dxa"/>
            <w:gridSpan w:val="3"/>
            <w:shd w:val="clear" w:color="auto" w:fill="auto"/>
          </w:tcPr>
          <w:p w14:paraId="6D5311C9"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Criminal Litigation</w:t>
            </w:r>
          </w:p>
        </w:tc>
      </w:tr>
      <w:tr w:rsidR="00E34C95" w:rsidRPr="00E34C95" w14:paraId="216AB102" w14:textId="77777777" w:rsidTr="00CB7263">
        <w:tc>
          <w:tcPr>
            <w:tcW w:w="2093" w:type="dxa"/>
            <w:shd w:val="pct15" w:color="auto" w:fill="auto"/>
          </w:tcPr>
          <w:p w14:paraId="363679E0"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Module code:</w:t>
            </w:r>
          </w:p>
        </w:tc>
        <w:tc>
          <w:tcPr>
            <w:tcW w:w="3293" w:type="dxa"/>
          </w:tcPr>
          <w:p w14:paraId="62EE58F2"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BMLW4000</w:t>
            </w:r>
          </w:p>
        </w:tc>
        <w:tc>
          <w:tcPr>
            <w:tcW w:w="2268" w:type="dxa"/>
            <w:shd w:val="clear" w:color="auto" w:fill="D9D9D9"/>
          </w:tcPr>
          <w:p w14:paraId="6CD71C32" w14:textId="77777777" w:rsidR="00E34C95" w:rsidRPr="00E34C95" w:rsidRDefault="00E34C95" w:rsidP="00E34C95">
            <w:pPr>
              <w:keepNext/>
              <w:spacing w:line="240" w:lineRule="auto"/>
              <w:jc w:val="both"/>
              <w:outlineLvl w:val="1"/>
              <w:rPr>
                <w:rFonts w:eastAsia="Times New Roman"/>
                <w:b/>
                <w:lang w:val="en-GB" w:eastAsia="en-GB"/>
              </w:rPr>
            </w:pPr>
            <w:r w:rsidRPr="00E34C95">
              <w:rPr>
                <w:rFonts w:eastAsia="Times New Roman"/>
                <w:b/>
                <w:lang w:val="en-GB" w:eastAsia="en-GB"/>
              </w:rPr>
              <w:t>Contribution to Overall Module Assessment (%):</w:t>
            </w:r>
          </w:p>
        </w:tc>
        <w:tc>
          <w:tcPr>
            <w:tcW w:w="2268" w:type="dxa"/>
          </w:tcPr>
          <w:p w14:paraId="136193AB"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50%</w:t>
            </w:r>
          </w:p>
        </w:tc>
      </w:tr>
      <w:tr w:rsidR="00E34C95" w:rsidRPr="00E34C95" w14:paraId="280F9CA0" w14:textId="77777777" w:rsidTr="00CB7263">
        <w:tc>
          <w:tcPr>
            <w:tcW w:w="2093" w:type="dxa"/>
            <w:shd w:val="pct15" w:color="auto" w:fill="auto"/>
          </w:tcPr>
          <w:p w14:paraId="151561CF"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Lecturer:</w:t>
            </w:r>
          </w:p>
        </w:tc>
        <w:tc>
          <w:tcPr>
            <w:tcW w:w="3293" w:type="dxa"/>
          </w:tcPr>
          <w:p w14:paraId="705611FF"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James Drew</w:t>
            </w:r>
          </w:p>
        </w:tc>
        <w:tc>
          <w:tcPr>
            <w:tcW w:w="2268" w:type="dxa"/>
            <w:shd w:val="clear" w:color="auto" w:fill="D9D9D9"/>
          </w:tcPr>
          <w:p w14:paraId="30FD4EA3"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Internal Verifier:</w:t>
            </w:r>
          </w:p>
        </w:tc>
        <w:tc>
          <w:tcPr>
            <w:tcW w:w="2268" w:type="dxa"/>
          </w:tcPr>
          <w:p w14:paraId="00BE8561"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Sian Turvey</w:t>
            </w:r>
          </w:p>
        </w:tc>
      </w:tr>
      <w:tr w:rsidR="00E34C95" w:rsidRPr="00E34C95" w14:paraId="6219D9DF" w14:textId="77777777" w:rsidTr="00CB7263">
        <w:tc>
          <w:tcPr>
            <w:tcW w:w="2093" w:type="dxa"/>
            <w:shd w:val="pct15" w:color="auto" w:fill="auto"/>
          </w:tcPr>
          <w:p w14:paraId="79F87D6A"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lastRenderedPageBreak/>
              <w:t>Assignment Title:</w:t>
            </w:r>
          </w:p>
        </w:tc>
        <w:tc>
          <w:tcPr>
            <w:tcW w:w="3293" w:type="dxa"/>
          </w:tcPr>
          <w:p w14:paraId="4CF0484D"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 xml:space="preserve">The Case of Miss Sarah Jones </w:t>
            </w:r>
          </w:p>
        </w:tc>
        <w:tc>
          <w:tcPr>
            <w:tcW w:w="2268" w:type="dxa"/>
            <w:shd w:val="pct15" w:color="auto" w:fill="auto"/>
          </w:tcPr>
          <w:p w14:paraId="39128CB6"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Word count (or equivalent):</w:t>
            </w:r>
          </w:p>
        </w:tc>
        <w:tc>
          <w:tcPr>
            <w:tcW w:w="2268" w:type="dxa"/>
          </w:tcPr>
          <w:p w14:paraId="17ACFAAF"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1500</w:t>
            </w:r>
          </w:p>
        </w:tc>
      </w:tr>
      <w:tr w:rsidR="00E34C95" w:rsidRPr="00E34C95" w14:paraId="7E56F08B" w14:textId="77777777" w:rsidTr="00CB7263">
        <w:tc>
          <w:tcPr>
            <w:tcW w:w="2093" w:type="dxa"/>
            <w:shd w:val="pct15" w:color="auto" w:fill="auto"/>
          </w:tcPr>
          <w:p w14:paraId="14C83919"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Submission deadline:</w:t>
            </w:r>
          </w:p>
        </w:tc>
        <w:tc>
          <w:tcPr>
            <w:tcW w:w="3293" w:type="dxa"/>
            <w:shd w:val="clear" w:color="auto" w:fill="auto"/>
          </w:tcPr>
          <w:p w14:paraId="60433BF0" w14:textId="77777777" w:rsidR="00E34C95" w:rsidRPr="00E34C95" w:rsidRDefault="00E34C95" w:rsidP="00E34C95">
            <w:pPr>
              <w:spacing w:before="120" w:after="120" w:line="240" w:lineRule="auto"/>
              <w:jc w:val="both"/>
              <w:rPr>
                <w:rFonts w:eastAsia="Times New Roman"/>
                <w:b/>
                <w:lang w:val="en-GB" w:eastAsia="en-GB"/>
              </w:rPr>
            </w:pPr>
          </w:p>
        </w:tc>
        <w:tc>
          <w:tcPr>
            <w:tcW w:w="2268" w:type="dxa"/>
            <w:shd w:val="pct15" w:color="auto" w:fill="auto"/>
          </w:tcPr>
          <w:p w14:paraId="0E5F4773"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Return date of provisional marks &amp; written feedback:</w:t>
            </w:r>
          </w:p>
        </w:tc>
        <w:tc>
          <w:tcPr>
            <w:tcW w:w="2268" w:type="dxa"/>
          </w:tcPr>
          <w:p w14:paraId="7844B169" w14:textId="77777777" w:rsidR="00E34C95" w:rsidRPr="00E34C95" w:rsidRDefault="00E34C95" w:rsidP="00E34C95">
            <w:pPr>
              <w:spacing w:before="120" w:after="120" w:line="240" w:lineRule="auto"/>
              <w:jc w:val="both"/>
              <w:rPr>
                <w:rFonts w:eastAsia="Times New Roman"/>
                <w:b/>
                <w:lang w:val="en-GB" w:eastAsia="en-GB"/>
              </w:rPr>
            </w:pPr>
          </w:p>
        </w:tc>
      </w:tr>
      <w:tr w:rsidR="00E34C95" w:rsidRPr="00E34C95" w14:paraId="19648650" w14:textId="77777777" w:rsidTr="00CB7263">
        <w:tc>
          <w:tcPr>
            <w:tcW w:w="2093" w:type="dxa"/>
            <w:shd w:val="pct15" w:color="auto" w:fill="auto"/>
          </w:tcPr>
          <w:p w14:paraId="6856F7CF"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Submission method:</w:t>
            </w:r>
          </w:p>
        </w:tc>
        <w:tc>
          <w:tcPr>
            <w:tcW w:w="7829" w:type="dxa"/>
            <w:gridSpan w:val="3"/>
            <w:shd w:val="clear" w:color="auto" w:fill="auto"/>
          </w:tcPr>
          <w:p w14:paraId="6B6DAF04" w14:textId="77777777" w:rsidR="00E34C95" w:rsidRPr="00E34C95" w:rsidRDefault="00E34C95" w:rsidP="00E34C95">
            <w:pPr>
              <w:spacing w:line="240" w:lineRule="auto"/>
              <w:rPr>
                <w:rFonts w:eastAsia="Times New Roman"/>
                <w:lang w:val="en-GB" w:eastAsia="en-GB"/>
              </w:rPr>
            </w:pPr>
            <w:r w:rsidRPr="00E34C95">
              <w:rPr>
                <w:rFonts w:eastAsia="Times New Roman"/>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E01F17"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 xml:space="preserve">Alternative submission method (if applicable): </w:t>
            </w:r>
          </w:p>
          <w:p w14:paraId="5615B243" w14:textId="77777777" w:rsidR="00E34C95" w:rsidRPr="00E34C95" w:rsidRDefault="00E34C95" w:rsidP="00E34C95">
            <w:pPr>
              <w:spacing w:before="120" w:after="120" w:line="240" w:lineRule="auto"/>
              <w:jc w:val="both"/>
              <w:rPr>
                <w:rFonts w:eastAsia="Times New Roman"/>
                <w:b/>
                <w:lang w:val="en-GB" w:eastAsia="en-GB"/>
              </w:rPr>
            </w:pPr>
            <w:r w:rsidRPr="00E34C95">
              <w:rPr>
                <w:rFonts w:eastAsia="Times New Roman"/>
                <w:b/>
                <w:lang w:val="en-GB" w:eastAsia="en-GB"/>
              </w:rPr>
              <w:t xml:space="preserve">Late submission of the assessment will result in a late penalty mark.  </w:t>
            </w:r>
            <w:r w:rsidRPr="00E34C95">
              <w:rPr>
                <w:rFonts w:eastAsia="Times New Roman"/>
                <w:lang w:val="en-GB" w:eastAsia="en-GB"/>
              </w:rPr>
              <w:t>Penalties for late submission: Up to one week late, maximum mark of 40%.  Over one week late, 0%.  Only the Extenuating Circumstances Panel may approve a change to submission dates.</w:t>
            </w:r>
          </w:p>
        </w:tc>
      </w:tr>
      <w:tr w:rsidR="00E34C95" w:rsidRPr="00E34C95" w14:paraId="61D50D35" w14:textId="77777777" w:rsidTr="00CB7263">
        <w:tc>
          <w:tcPr>
            <w:tcW w:w="2093" w:type="dxa"/>
            <w:shd w:val="pct15" w:color="auto" w:fill="auto"/>
          </w:tcPr>
          <w:p w14:paraId="408179F6" w14:textId="77777777" w:rsidR="00E34C95" w:rsidRPr="00E34C95" w:rsidRDefault="00E34C95" w:rsidP="00E34C95">
            <w:pPr>
              <w:spacing w:before="120" w:after="120" w:line="240" w:lineRule="auto"/>
              <w:rPr>
                <w:rFonts w:eastAsia="Times New Roman"/>
                <w:b/>
                <w:lang w:val="en-GB" w:eastAsia="en-GB"/>
              </w:rPr>
            </w:pPr>
            <w:r w:rsidRPr="00E34C95">
              <w:rPr>
                <w:rFonts w:eastAsia="Times New Roman"/>
                <w:b/>
                <w:lang w:val="en-GB" w:eastAsia="en-GB"/>
              </w:rPr>
              <w:t>Academic honesty / referencing:</w:t>
            </w:r>
          </w:p>
        </w:tc>
        <w:tc>
          <w:tcPr>
            <w:tcW w:w="7829" w:type="dxa"/>
            <w:gridSpan w:val="3"/>
            <w:shd w:val="clear" w:color="auto" w:fill="auto"/>
          </w:tcPr>
          <w:p w14:paraId="4230B679" w14:textId="77777777" w:rsidR="00E34C95" w:rsidRPr="00E34C95" w:rsidRDefault="00E34C95" w:rsidP="00E34C95">
            <w:pPr>
              <w:spacing w:before="120" w:after="120" w:line="240" w:lineRule="auto"/>
              <w:jc w:val="both"/>
              <w:rPr>
                <w:rFonts w:eastAsia="Times New Roman"/>
                <w:lang w:val="en-GB" w:eastAsia="en-GB"/>
              </w:rPr>
            </w:pPr>
            <w:r w:rsidRPr="00E34C95">
              <w:rPr>
                <w:rFonts w:eastAsia="Times New Roman"/>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5688E82" w14:textId="77777777" w:rsidR="00E34C95" w:rsidRPr="00E34C95" w:rsidRDefault="00E34C95" w:rsidP="00E34C95">
      <w:pPr>
        <w:spacing w:line="240" w:lineRule="auto"/>
        <w:rPr>
          <w:rFonts w:eastAsia="Times New Roman"/>
          <w:sz w:val="32"/>
          <w:szCs w:val="20"/>
          <w:lang w:val="en-GB" w:eastAsia="en-GB"/>
        </w:rPr>
      </w:pPr>
    </w:p>
    <w:p w14:paraId="572FEC6A" w14:textId="77777777" w:rsidR="00E34C95" w:rsidRPr="00E34C95" w:rsidRDefault="00E34C95" w:rsidP="00E34C95">
      <w:pPr>
        <w:spacing w:line="240" w:lineRule="auto"/>
        <w:rPr>
          <w:rFonts w:eastAsia="Times New Roman"/>
          <w:sz w:val="32"/>
          <w:szCs w:val="20"/>
          <w:lang w:val="en-GB" w:eastAsia="en-GB"/>
        </w:rPr>
      </w:pPr>
    </w:p>
    <w:p w14:paraId="648D7A85" w14:textId="77777777" w:rsidR="00E34C95" w:rsidRPr="00E34C95" w:rsidRDefault="00E34C95" w:rsidP="00E34C95">
      <w:pPr>
        <w:spacing w:line="240" w:lineRule="auto"/>
        <w:rPr>
          <w:rFonts w:eastAsia="Times New Roman"/>
          <w:sz w:val="32"/>
          <w:szCs w:val="20"/>
          <w:lang w:val="en-GB" w:eastAsia="en-GB"/>
        </w:rPr>
      </w:pPr>
    </w:p>
    <w:p w14:paraId="22A21C41" w14:textId="77777777" w:rsidR="00E34C95" w:rsidRPr="00E34C95" w:rsidRDefault="00E34C95" w:rsidP="00E34C95">
      <w:pPr>
        <w:spacing w:line="240" w:lineRule="auto"/>
        <w:rPr>
          <w:rFonts w:eastAsia="Times New Roman"/>
          <w:sz w:val="32"/>
          <w:szCs w:val="20"/>
          <w:lang w:val="en-GB" w:eastAsia="en-GB"/>
        </w:rPr>
      </w:pPr>
    </w:p>
    <w:p w14:paraId="4022BE95" w14:textId="77777777" w:rsidR="00E34C95" w:rsidRPr="00E34C95" w:rsidRDefault="00E34C95" w:rsidP="00E34C95">
      <w:pPr>
        <w:spacing w:line="240" w:lineRule="auto"/>
        <w:rPr>
          <w:rFonts w:eastAsia="Times New Roman"/>
          <w:sz w:val="32"/>
          <w:szCs w:val="20"/>
          <w:lang w:val="en-GB" w:eastAsia="en-GB"/>
        </w:rPr>
      </w:pPr>
    </w:p>
    <w:p w14:paraId="0FF63339" w14:textId="77777777" w:rsidR="00E34C95" w:rsidRPr="00E34C95" w:rsidRDefault="00E34C95" w:rsidP="00E34C95">
      <w:pPr>
        <w:spacing w:line="240" w:lineRule="auto"/>
        <w:rPr>
          <w:rFonts w:eastAsia="Times New Roman"/>
          <w:sz w:val="32"/>
          <w:szCs w:val="20"/>
          <w:lang w:val="en-GB" w:eastAsia="en-GB"/>
        </w:rPr>
      </w:pPr>
    </w:p>
    <w:p w14:paraId="7317C40E" w14:textId="77777777" w:rsidR="00E34C95" w:rsidRPr="00E34C95" w:rsidRDefault="00E34C95" w:rsidP="00E34C95">
      <w:pPr>
        <w:spacing w:line="240" w:lineRule="auto"/>
        <w:rPr>
          <w:rFonts w:eastAsia="Times New Roman"/>
          <w:sz w:val="32"/>
          <w:szCs w:val="20"/>
          <w:lang w:val="en-GB" w:eastAsia="en-GB"/>
        </w:rPr>
      </w:pPr>
      <w:r w:rsidRPr="00E34C95">
        <w:rPr>
          <w:rFonts w:eastAsia="Times New Roman"/>
          <w:sz w:val="32"/>
          <w:szCs w:val="20"/>
          <w:lang w:val="en-GB" w:eastAsia="en-GB"/>
        </w:rPr>
        <w:br w:type="page"/>
      </w:r>
    </w:p>
    <w:p w14:paraId="71C94FAF" w14:textId="77777777" w:rsidR="00E34C95" w:rsidRPr="00E34C95" w:rsidRDefault="00E34C95" w:rsidP="00E34C95">
      <w:pPr>
        <w:spacing w:line="240" w:lineRule="auto"/>
        <w:rPr>
          <w:rFonts w:eastAsia="Times New Roman"/>
          <w:sz w:val="32"/>
          <w:szCs w:val="20"/>
          <w:lang w:val="en-GB"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34C95" w:rsidRPr="00E34C95" w14:paraId="574EDE4B" w14:textId="77777777" w:rsidTr="00CB7263">
        <w:tc>
          <w:tcPr>
            <w:tcW w:w="9747" w:type="dxa"/>
            <w:shd w:val="pct10" w:color="auto" w:fill="auto"/>
          </w:tcPr>
          <w:p w14:paraId="5302DD7E" w14:textId="77777777" w:rsidR="00E34C95" w:rsidRPr="00E34C95" w:rsidRDefault="00E34C95" w:rsidP="00E34C95">
            <w:pPr>
              <w:spacing w:line="240" w:lineRule="auto"/>
              <w:rPr>
                <w:rFonts w:eastAsia="Times New Roman"/>
                <w:b/>
                <w:lang w:val="en-GB" w:eastAsia="en-GB"/>
              </w:rPr>
            </w:pPr>
            <w:r w:rsidRPr="00E34C95">
              <w:rPr>
                <w:rFonts w:eastAsia="Times New Roman"/>
                <w:b/>
                <w:lang w:val="en-GB" w:eastAsia="en-GB"/>
              </w:rPr>
              <w:t xml:space="preserve">Module Learning Outcomes </w:t>
            </w:r>
          </w:p>
          <w:p w14:paraId="2FF7FA6C" w14:textId="77777777" w:rsidR="00E34C95" w:rsidRPr="00E34C95" w:rsidRDefault="00E34C95" w:rsidP="00E34C95">
            <w:pPr>
              <w:spacing w:line="240" w:lineRule="auto"/>
              <w:rPr>
                <w:rFonts w:eastAsia="Times New Roman"/>
                <w:lang w:val="en-GB" w:eastAsia="en-GB"/>
              </w:rPr>
            </w:pPr>
            <w:r w:rsidRPr="00E34C95">
              <w:rPr>
                <w:rFonts w:eastAsia="Times New Roman"/>
                <w:b/>
                <w:lang w:val="en-GB" w:eastAsia="en-GB"/>
              </w:rPr>
              <w:t>(from module syllabus)</w:t>
            </w:r>
          </w:p>
        </w:tc>
      </w:tr>
      <w:tr w:rsidR="00E34C95" w:rsidRPr="00E34C95" w14:paraId="54278DC8" w14:textId="77777777" w:rsidTr="00CB7263">
        <w:tc>
          <w:tcPr>
            <w:tcW w:w="9747" w:type="dxa"/>
          </w:tcPr>
          <w:p w14:paraId="07B2D404" w14:textId="77777777" w:rsidR="00E34C95" w:rsidRPr="00E34C95" w:rsidRDefault="00E34C95" w:rsidP="00E34C95">
            <w:pPr>
              <w:spacing w:line="240" w:lineRule="auto"/>
              <w:rPr>
                <w:rFonts w:eastAsia="Times New Roman"/>
                <w:lang w:val="en-GB" w:eastAsia="en-GB"/>
              </w:rPr>
            </w:pPr>
          </w:p>
          <w:p w14:paraId="727C5F16" w14:textId="77777777" w:rsidR="00E34C95" w:rsidRPr="00E34C95" w:rsidRDefault="00E34C95" w:rsidP="00E34C95">
            <w:pPr>
              <w:numPr>
                <w:ilvl w:val="0"/>
                <w:numId w:val="1"/>
              </w:numPr>
              <w:overflowPunct w:val="0"/>
              <w:autoSpaceDE w:val="0"/>
              <w:autoSpaceDN w:val="0"/>
              <w:adjustRightInd w:val="0"/>
              <w:spacing w:before="120" w:line="240" w:lineRule="auto"/>
              <w:ind w:left="851" w:hanging="567"/>
              <w:jc w:val="both"/>
              <w:textAlignment w:val="baseline"/>
              <w:rPr>
                <w:rFonts w:eastAsia="Times New Roman"/>
                <w:sz w:val="20"/>
                <w:szCs w:val="20"/>
                <w:lang w:val="en-GB" w:eastAsia="en-GB"/>
              </w:rPr>
            </w:pPr>
            <w:r w:rsidRPr="00E34C95">
              <w:rPr>
                <w:rFonts w:eastAsia="Times New Roman"/>
                <w:sz w:val="20"/>
                <w:szCs w:val="20"/>
                <w:lang w:val="en-GB" w:eastAsia="en-GB"/>
              </w:rPr>
              <w:t xml:space="preserve">Demonstrate knowledge and understanding of the key concepts of the structure of the courts, criminal jurisdiction and the role of the police </w:t>
            </w:r>
          </w:p>
          <w:p w14:paraId="2858D3B1" w14:textId="77777777" w:rsidR="00E34C95" w:rsidRPr="00E34C95" w:rsidRDefault="00E34C95" w:rsidP="00E34C95">
            <w:pPr>
              <w:numPr>
                <w:ilvl w:val="0"/>
                <w:numId w:val="1"/>
              </w:numPr>
              <w:overflowPunct w:val="0"/>
              <w:autoSpaceDE w:val="0"/>
              <w:autoSpaceDN w:val="0"/>
              <w:adjustRightInd w:val="0"/>
              <w:spacing w:before="120" w:line="240" w:lineRule="auto"/>
              <w:ind w:left="851" w:hanging="567"/>
              <w:jc w:val="both"/>
              <w:textAlignment w:val="baseline"/>
              <w:rPr>
                <w:rFonts w:eastAsia="Times New Roman"/>
                <w:sz w:val="20"/>
                <w:szCs w:val="20"/>
                <w:lang w:val="en-GB" w:eastAsia="en-GB"/>
              </w:rPr>
            </w:pPr>
            <w:r w:rsidRPr="00E34C95">
              <w:rPr>
                <w:rFonts w:eastAsia="Times New Roman"/>
                <w:sz w:val="20"/>
                <w:szCs w:val="20"/>
                <w:lang w:val="en-GB" w:eastAsia="en-GB"/>
              </w:rPr>
              <w:t xml:space="preserve">Understand the various stages of criminal proceedings, bail and funding to prepare for and to advise a client for criminal proceedings.  </w:t>
            </w:r>
          </w:p>
          <w:p w14:paraId="72BDFB26" w14:textId="77777777" w:rsidR="00E34C95" w:rsidRPr="00E34C95" w:rsidRDefault="00E34C95" w:rsidP="00E34C95">
            <w:pPr>
              <w:spacing w:line="240" w:lineRule="auto"/>
              <w:ind w:left="360"/>
              <w:rPr>
                <w:rFonts w:eastAsia="Times New Roman"/>
                <w:lang w:val="en-GB" w:eastAsia="en-GB"/>
              </w:rPr>
            </w:pPr>
          </w:p>
          <w:p w14:paraId="7D58D670" w14:textId="77777777" w:rsidR="00E34C95" w:rsidRPr="00E34C95" w:rsidRDefault="00E34C95" w:rsidP="00E34C95">
            <w:pPr>
              <w:spacing w:line="240" w:lineRule="auto"/>
              <w:rPr>
                <w:rFonts w:eastAsia="Times New Roman"/>
                <w:lang w:val="en-GB" w:eastAsia="en-GB"/>
              </w:rPr>
            </w:pPr>
          </w:p>
        </w:tc>
      </w:tr>
    </w:tbl>
    <w:p w14:paraId="0C771EAE" w14:textId="77777777" w:rsidR="00E34C95" w:rsidRPr="00E34C95" w:rsidRDefault="00E34C95" w:rsidP="00E34C95">
      <w:pPr>
        <w:spacing w:line="240" w:lineRule="auto"/>
        <w:rPr>
          <w:rFonts w:eastAsia="Times New Roman"/>
          <w:b/>
          <w:sz w:val="20"/>
          <w:szCs w:val="20"/>
          <w:lang w:val="en-GB" w:eastAsia="en-GB"/>
        </w:rPr>
      </w:pPr>
    </w:p>
    <w:p w14:paraId="50E0B7B3" w14:textId="77777777" w:rsidR="00E34C95" w:rsidRPr="00E34C95" w:rsidRDefault="00E34C95" w:rsidP="00E34C95">
      <w:pPr>
        <w:spacing w:line="240" w:lineRule="auto"/>
        <w:rPr>
          <w:rFonts w:eastAsia="Times New Roman"/>
          <w:b/>
          <w:sz w:val="20"/>
          <w:szCs w:val="20"/>
          <w:lang w:val="en-GB" w:eastAsia="en-GB"/>
        </w:rPr>
      </w:pPr>
    </w:p>
    <w:p w14:paraId="57F43A99" w14:textId="77777777" w:rsidR="00E34C95" w:rsidRPr="00E34C95" w:rsidRDefault="00E34C95" w:rsidP="00E34C95">
      <w:pPr>
        <w:spacing w:line="240" w:lineRule="auto"/>
        <w:rPr>
          <w:rFonts w:eastAsia="Times New Roman"/>
          <w:b/>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7"/>
      </w:tblGrid>
      <w:tr w:rsidR="00E34C95" w:rsidRPr="00E34C95" w14:paraId="6B5C28D8" w14:textId="77777777" w:rsidTr="00CB7263">
        <w:tc>
          <w:tcPr>
            <w:tcW w:w="9781" w:type="dxa"/>
            <w:shd w:val="clear" w:color="auto" w:fill="C0C0C0"/>
          </w:tcPr>
          <w:p w14:paraId="4F78E0FD" w14:textId="77777777" w:rsidR="00E34C95" w:rsidRPr="00E34C95" w:rsidRDefault="00E34C95" w:rsidP="00E34C95">
            <w:pPr>
              <w:spacing w:line="240" w:lineRule="auto"/>
              <w:jc w:val="center"/>
              <w:rPr>
                <w:rFonts w:eastAsia="Times New Roman"/>
                <w:b/>
                <w:sz w:val="40"/>
                <w:szCs w:val="40"/>
                <w:lang w:val="en-GB" w:eastAsia="en-GB"/>
              </w:rPr>
            </w:pPr>
            <w:r w:rsidRPr="00E34C95">
              <w:rPr>
                <w:rFonts w:eastAsia="Times New Roman"/>
                <w:sz w:val="32"/>
                <w:szCs w:val="20"/>
                <w:lang w:val="en-GB" w:eastAsia="en-GB"/>
              </w:rPr>
              <w:br w:type="page"/>
            </w:r>
            <w:r w:rsidRPr="00E34C95">
              <w:rPr>
                <w:rFonts w:eastAsia="Times New Roman"/>
                <w:b/>
                <w:sz w:val="40"/>
                <w:szCs w:val="40"/>
                <w:lang w:val="en-GB" w:eastAsia="en-GB"/>
              </w:rPr>
              <w:t>TASK DESCRIPTION</w:t>
            </w:r>
          </w:p>
        </w:tc>
      </w:tr>
    </w:tbl>
    <w:p w14:paraId="4997C5A1" w14:textId="77777777" w:rsidR="00E34C95" w:rsidRPr="00E34C95" w:rsidRDefault="00E34C95" w:rsidP="00E34C95">
      <w:pPr>
        <w:spacing w:line="240" w:lineRule="auto"/>
        <w:jc w:val="both"/>
        <w:rPr>
          <w:rFonts w:eastAsia="Times New Roman"/>
          <w:lang w:val="en-GB" w:eastAsia="en-GB"/>
        </w:rPr>
      </w:pPr>
    </w:p>
    <w:p w14:paraId="5E857F56" w14:textId="77777777" w:rsidR="00E34C95" w:rsidRPr="00E34C95" w:rsidRDefault="00E34C95" w:rsidP="00E34C95">
      <w:pPr>
        <w:spacing w:line="240" w:lineRule="auto"/>
        <w:ind w:left="720"/>
        <w:rPr>
          <w:rFonts w:eastAsia="Times New Roman"/>
          <w:sz w:val="24"/>
          <w:szCs w:val="24"/>
          <w:lang w:val="en-GB" w:eastAsia="en-GB"/>
        </w:rPr>
      </w:pPr>
    </w:p>
    <w:p w14:paraId="4272FBE1" w14:textId="77777777" w:rsidR="00E34C95" w:rsidRPr="00E34C95" w:rsidRDefault="00E34C95" w:rsidP="00E34C95">
      <w:pPr>
        <w:spacing w:line="240" w:lineRule="auto"/>
        <w:rPr>
          <w:rFonts w:eastAsia="Times New Roman"/>
          <w:b/>
          <w:bCs/>
          <w:sz w:val="24"/>
          <w:szCs w:val="24"/>
          <w:u w:val="single"/>
          <w:lang w:val="en-GB" w:eastAsia="en-GB"/>
        </w:rPr>
      </w:pPr>
      <w:r w:rsidRPr="00E34C95">
        <w:rPr>
          <w:rFonts w:eastAsia="Times New Roman"/>
          <w:b/>
          <w:bCs/>
          <w:sz w:val="24"/>
          <w:szCs w:val="24"/>
          <w:u w:val="single"/>
          <w:lang w:val="en-GB" w:eastAsia="en-GB"/>
        </w:rPr>
        <w:t>Background</w:t>
      </w:r>
    </w:p>
    <w:p w14:paraId="5035C752" w14:textId="77777777" w:rsidR="00E34C95" w:rsidRPr="00E34C95" w:rsidRDefault="00E34C95" w:rsidP="00E34C95">
      <w:pPr>
        <w:spacing w:line="240" w:lineRule="auto"/>
        <w:rPr>
          <w:rFonts w:eastAsia="Times New Roman"/>
          <w:b/>
          <w:bCs/>
          <w:sz w:val="24"/>
          <w:szCs w:val="24"/>
          <w:u w:val="single"/>
          <w:lang w:val="en-GB" w:eastAsia="en-GB"/>
        </w:rPr>
      </w:pPr>
    </w:p>
    <w:p w14:paraId="3A2C73CC" w14:textId="77777777" w:rsidR="00E34C95" w:rsidRPr="00E34C95" w:rsidRDefault="00E34C95" w:rsidP="00E34C95">
      <w:pPr>
        <w:spacing w:line="240" w:lineRule="auto"/>
        <w:rPr>
          <w:rFonts w:eastAsia="Times New Roman"/>
          <w:sz w:val="24"/>
          <w:szCs w:val="24"/>
          <w:lang w:val="en-GB" w:eastAsia="en-GB"/>
        </w:rPr>
      </w:pPr>
      <w:r w:rsidRPr="00E34C95">
        <w:rPr>
          <w:rFonts w:eastAsia="Times New Roman"/>
          <w:sz w:val="24"/>
          <w:szCs w:val="24"/>
          <w:lang w:val="en-GB" w:eastAsia="en-GB"/>
        </w:rPr>
        <w:t xml:space="preserve">You are a trainee lawyer with the firm ‘Trinity Solicitors’. You are currently working in the Criminal Litigation Department of the firm, which has a standard criminal contract and participates in a number of local duty solicitor schemes. Among the cases being handled by the Department at the present time is the matter of: </w:t>
      </w:r>
      <w:r w:rsidRPr="00E34C95">
        <w:rPr>
          <w:rFonts w:eastAsia="Times New Roman"/>
          <w:b/>
          <w:bCs/>
          <w:sz w:val="24"/>
          <w:szCs w:val="24"/>
          <w:lang w:val="en-GB" w:eastAsia="en-GB"/>
        </w:rPr>
        <w:t>Miss Sarah Jones.</w:t>
      </w:r>
    </w:p>
    <w:p w14:paraId="56633F3C" w14:textId="77777777" w:rsidR="00E34C95" w:rsidRPr="00E34C95" w:rsidRDefault="00E34C95" w:rsidP="00E34C95">
      <w:pPr>
        <w:spacing w:line="240" w:lineRule="auto"/>
        <w:rPr>
          <w:rFonts w:eastAsia="Times New Roman"/>
          <w:sz w:val="24"/>
          <w:szCs w:val="24"/>
          <w:lang w:val="en-GB" w:eastAsia="en-GB"/>
        </w:rPr>
      </w:pPr>
    </w:p>
    <w:p w14:paraId="387DD0BE"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t xml:space="preserve">This client, aged 35, is charged with one offence of theft of a Gucci handbag valued at £5000 and one count of assault. </w:t>
      </w:r>
    </w:p>
    <w:p w14:paraId="4DBDCABC"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0517739B"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t xml:space="preserve">Sarah Jones (Miss Jones) is from a troubled neighbourhood and succumbed to a life of crime during her teens and early twenties. She is currently unemployed but volunteers at the local catholic church having found religion a few years ago.  </w:t>
      </w:r>
    </w:p>
    <w:p w14:paraId="6FBAA499"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664970A0"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t xml:space="preserve">Your client was sentenced to four years for robbery five years ago but was paroled after two years for good behaviour. She is an active member of the church and participates in a number of charitable causes. </w:t>
      </w:r>
    </w:p>
    <w:p w14:paraId="2A728B75"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075CDF79"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t xml:space="preserve">Miss Jones tells you that she did not steal the Handbag; she found it in a lane just off Wind Street in Swansea while on a night out. As she picked up the Handbag, an individual known to the client as Miss Nora Davies, attacked her and snatched the Handbag from her grasp shouting “Oi, that’s my Gucci handbag!!”. </w:t>
      </w:r>
    </w:p>
    <w:p w14:paraId="10F5E1E0"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43E71BB3"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t xml:space="preserve">Miss Jones tells you that Miss Davies is also from a bad neighbourhood, has always been unemployed, and there is no way that she could afford to purchase a Gucci handbag. </w:t>
      </w:r>
    </w:p>
    <w:p w14:paraId="141E8D41"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731DA750"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t xml:space="preserve">PC Norman Jenkins was on routine patrol on Wind Street when he saw the two women fighting. Miss Jones told the officer that Miss Davies had stolen her Gucci handbag and was merely attempting to recover her property. Miss Davies said that her Grandmother had gifted her the handbag some years ago but she does not have a receipt and her Grandmother is now deceased.  </w:t>
      </w:r>
    </w:p>
    <w:p w14:paraId="53A8AAD0"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08ADC60E"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lastRenderedPageBreak/>
        <w:t xml:space="preserve">PC Jenkins arrested Miss Jones on suspicion of theft of the Gucci handbag and for assault. </w:t>
      </w:r>
    </w:p>
    <w:p w14:paraId="0D93CE6C"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7A62B5B6"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r w:rsidRPr="00E34C95">
        <w:rPr>
          <w:rFonts w:asciiTheme="minorBidi" w:eastAsia="Times New Roman" w:hAnsiTheme="minorBidi" w:cstheme="minorBidi"/>
          <w:sz w:val="24"/>
          <w:szCs w:val="24"/>
          <w:lang w:val="en-GB" w:eastAsia="en-GB"/>
        </w:rPr>
        <w:t xml:space="preserve">Your client is due to attend South Wales Police Headquarters for her first interview relating to this incident. Miss Jones is adamant that she is innocent on both charges.  </w:t>
      </w:r>
    </w:p>
    <w:p w14:paraId="37E1F4F7" w14:textId="77777777" w:rsidR="00E34C95" w:rsidRPr="00E34C95" w:rsidRDefault="00E34C95" w:rsidP="00E34C95">
      <w:pPr>
        <w:spacing w:line="240" w:lineRule="auto"/>
        <w:rPr>
          <w:rFonts w:asciiTheme="minorBidi" w:eastAsia="Times New Roman" w:hAnsiTheme="minorBidi" w:cstheme="minorBidi"/>
          <w:sz w:val="24"/>
          <w:szCs w:val="24"/>
          <w:lang w:val="en-GB" w:eastAsia="en-GB"/>
        </w:rPr>
      </w:pPr>
    </w:p>
    <w:p w14:paraId="727F664B" w14:textId="77777777" w:rsidR="00E34C95" w:rsidRPr="00E34C95" w:rsidRDefault="00E34C95" w:rsidP="00E34C95">
      <w:pPr>
        <w:spacing w:line="240" w:lineRule="auto"/>
        <w:rPr>
          <w:rFonts w:eastAsia="Times New Roman"/>
          <w:b/>
          <w:bCs/>
          <w:sz w:val="24"/>
          <w:szCs w:val="24"/>
          <w:u w:val="single"/>
          <w:lang w:val="en-GB" w:eastAsia="en-GB"/>
        </w:rPr>
      </w:pPr>
    </w:p>
    <w:p w14:paraId="1C843ECA" w14:textId="77777777" w:rsidR="00E34C95" w:rsidRPr="00E34C95" w:rsidRDefault="00E34C95" w:rsidP="00E34C95">
      <w:pPr>
        <w:spacing w:line="240" w:lineRule="auto"/>
        <w:rPr>
          <w:rFonts w:eastAsia="Times New Roman"/>
          <w:b/>
          <w:bCs/>
          <w:sz w:val="24"/>
          <w:szCs w:val="24"/>
          <w:u w:val="single"/>
          <w:lang w:val="en-GB" w:eastAsia="en-GB"/>
        </w:rPr>
      </w:pPr>
    </w:p>
    <w:p w14:paraId="18698275" w14:textId="77777777" w:rsidR="00E34C95" w:rsidRPr="00E34C95" w:rsidRDefault="00E34C95" w:rsidP="00E34C95">
      <w:pPr>
        <w:spacing w:line="240" w:lineRule="auto"/>
        <w:rPr>
          <w:rFonts w:eastAsia="Times New Roman"/>
          <w:b/>
          <w:bCs/>
          <w:sz w:val="24"/>
          <w:szCs w:val="24"/>
          <w:u w:val="single"/>
          <w:lang w:val="en-GB" w:eastAsia="en-GB"/>
        </w:rPr>
      </w:pPr>
      <w:r w:rsidRPr="00E34C95">
        <w:rPr>
          <w:rFonts w:eastAsia="Times New Roman"/>
          <w:b/>
          <w:bCs/>
          <w:sz w:val="24"/>
          <w:szCs w:val="24"/>
          <w:u w:val="single"/>
          <w:lang w:val="en-GB" w:eastAsia="en-GB"/>
        </w:rPr>
        <w:t>Instructions</w:t>
      </w:r>
    </w:p>
    <w:p w14:paraId="22BE8963" w14:textId="77777777" w:rsidR="00E34C95" w:rsidRPr="00E34C95" w:rsidRDefault="00E34C95" w:rsidP="00E34C95">
      <w:pPr>
        <w:spacing w:line="240" w:lineRule="auto"/>
        <w:rPr>
          <w:rFonts w:eastAsia="Times New Roman"/>
          <w:b/>
          <w:bCs/>
          <w:sz w:val="24"/>
          <w:szCs w:val="24"/>
          <w:u w:val="single"/>
          <w:lang w:val="en-GB" w:eastAsia="en-GB"/>
        </w:rPr>
      </w:pPr>
    </w:p>
    <w:p w14:paraId="02A96E5D" w14:textId="77777777" w:rsidR="00E34C95" w:rsidRPr="00E34C95" w:rsidRDefault="00E34C95" w:rsidP="00E34C95">
      <w:pPr>
        <w:spacing w:line="240" w:lineRule="auto"/>
        <w:rPr>
          <w:rFonts w:eastAsia="Times New Roman"/>
          <w:sz w:val="24"/>
          <w:szCs w:val="24"/>
          <w:lang w:val="en-GB" w:eastAsia="en-GB"/>
        </w:rPr>
      </w:pPr>
      <w:r w:rsidRPr="00E34C95">
        <w:rPr>
          <w:rFonts w:eastAsia="Times New Roman"/>
          <w:sz w:val="24"/>
          <w:szCs w:val="24"/>
          <w:lang w:val="en-GB" w:eastAsia="en-GB"/>
        </w:rPr>
        <w:t xml:space="preserve">Your supervisor at the firm, Mr Thomas Trinity, has asked you to prepare a comprehensive internal memorandum/file note so that he may consider what advice to give to the client. </w:t>
      </w:r>
    </w:p>
    <w:p w14:paraId="38FB9FA1" w14:textId="77777777" w:rsidR="00E34C95" w:rsidRPr="00E34C95" w:rsidRDefault="00E34C95" w:rsidP="00E34C95">
      <w:pPr>
        <w:spacing w:line="240" w:lineRule="auto"/>
        <w:rPr>
          <w:rFonts w:eastAsia="Times New Roman"/>
          <w:sz w:val="24"/>
          <w:szCs w:val="24"/>
          <w:lang w:val="en-GB" w:eastAsia="en-GB"/>
        </w:rPr>
      </w:pPr>
    </w:p>
    <w:p w14:paraId="2827C606" w14:textId="77777777" w:rsidR="00E34C95" w:rsidRPr="00E34C95" w:rsidRDefault="00E34C95" w:rsidP="00E34C95">
      <w:pPr>
        <w:spacing w:line="240" w:lineRule="auto"/>
        <w:rPr>
          <w:rFonts w:eastAsia="Times New Roman"/>
          <w:sz w:val="24"/>
          <w:szCs w:val="24"/>
          <w:lang w:val="en-GB" w:eastAsia="en-GB"/>
        </w:rPr>
      </w:pPr>
      <w:r w:rsidRPr="00E34C95">
        <w:rPr>
          <w:rFonts w:eastAsia="Times New Roman"/>
          <w:sz w:val="24"/>
          <w:szCs w:val="24"/>
          <w:lang w:val="en-GB" w:eastAsia="en-GB"/>
        </w:rPr>
        <w:t xml:space="preserve">The memorandum should be business-like in tone and layout and be professional. </w:t>
      </w:r>
    </w:p>
    <w:p w14:paraId="18E49931" w14:textId="77777777" w:rsidR="00E34C95" w:rsidRPr="00E34C95" w:rsidRDefault="00E34C95" w:rsidP="00E34C95">
      <w:pPr>
        <w:spacing w:line="240" w:lineRule="auto"/>
        <w:rPr>
          <w:rFonts w:eastAsia="Times New Roman"/>
          <w:sz w:val="24"/>
          <w:szCs w:val="24"/>
          <w:lang w:val="en-GB" w:eastAsia="en-GB"/>
        </w:rPr>
      </w:pPr>
    </w:p>
    <w:p w14:paraId="14D5AB72" w14:textId="77777777" w:rsidR="00E34C95" w:rsidRPr="00E34C95" w:rsidRDefault="00E34C95" w:rsidP="00E34C95">
      <w:pPr>
        <w:spacing w:line="240" w:lineRule="auto"/>
        <w:rPr>
          <w:rFonts w:eastAsia="Times New Roman"/>
          <w:sz w:val="24"/>
          <w:szCs w:val="24"/>
          <w:lang w:val="en-GB" w:eastAsia="en-GB"/>
        </w:rPr>
      </w:pPr>
      <w:r w:rsidRPr="00E34C95">
        <w:rPr>
          <w:rFonts w:eastAsia="Times New Roman"/>
          <w:sz w:val="24"/>
          <w:szCs w:val="24"/>
          <w:lang w:val="en-GB" w:eastAsia="en-GB"/>
        </w:rPr>
        <w:t>The memorandum should address the following matters: -</w:t>
      </w:r>
    </w:p>
    <w:p w14:paraId="641EE232" w14:textId="77777777" w:rsidR="00E34C95" w:rsidRPr="00E34C95" w:rsidRDefault="00E34C95" w:rsidP="00E34C95">
      <w:pPr>
        <w:spacing w:line="240" w:lineRule="auto"/>
        <w:rPr>
          <w:rFonts w:eastAsia="Times New Roman"/>
          <w:sz w:val="24"/>
          <w:szCs w:val="24"/>
          <w:lang w:val="en-GB" w:eastAsia="en-GB"/>
        </w:rPr>
      </w:pPr>
    </w:p>
    <w:p w14:paraId="0FD87155" w14:textId="77777777" w:rsidR="00E34C95" w:rsidRPr="00E34C95" w:rsidRDefault="00E34C95" w:rsidP="00E34C95">
      <w:pPr>
        <w:numPr>
          <w:ilvl w:val="0"/>
          <w:numId w:val="2"/>
        </w:numPr>
        <w:spacing w:line="240" w:lineRule="auto"/>
        <w:contextualSpacing/>
        <w:rPr>
          <w:rFonts w:eastAsia="Times New Roman"/>
          <w:sz w:val="24"/>
          <w:szCs w:val="24"/>
          <w:lang w:val="en-GB" w:eastAsia="en-GB"/>
        </w:rPr>
      </w:pPr>
      <w:r w:rsidRPr="00E34C95">
        <w:rPr>
          <w:rFonts w:eastAsia="Times New Roman"/>
          <w:sz w:val="24"/>
          <w:szCs w:val="24"/>
          <w:lang w:val="en-GB" w:eastAsia="en-GB"/>
        </w:rPr>
        <w:t xml:space="preserve">You must review and set out the law for the offences and be able to explain the </w:t>
      </w:r>
      <w:proofErr w:type="spellStart"/>
      <w:r w:rsidRPr="00E34C95">
        <w:rPr>
          <w:rFonts w:eastAsia="Times New Roman"/>
          <w:sz w:val="24"/>
          <w:szCs w:val="24"/>
          <w:lang w:val="en-GB" w:eastAsia="en-GB"/>
        </w:rPr>
        <w:t>mens</w:t>
      </w:r>
      <w:proofErr w:type="spellEnd"/>
      <w:r w:rsidRPr="00E34C95">
        <w:rPr>
          <w:rFonts w:eastAsia="Times New Roman"/>
          <w:sz w:val="24"/>
          <w:szCs w:val="24"/>
          <w:lang w:val="en-GB" w:eastAsia="en-GB"/>
        </w:rPr>
        <w:t xml:space="preserve"> rea and actus reus.</w:t>
      </w:r>
    </w:p>
    <w:p w14:paraId="7D808332" w14:textId="77777777" w:rsidR="00E34C95" w:rsidRPr="00E34C95" w:rsidRDefault="00E34C95" w:rsidP="00E34C95">
      <w:pPr>
        <w:numPr>
          <w:ilvl w:val="0"/>
          <w:numId w:val="2"/>
        </w:numPr>
        <w:spacing w:line="240" w:lineRule="auto"/>
        <w:contextualSpacing/>
        <w:rPr>
          <w:rFonts w:eastAsia="Times New Roman"/>
          <w:sz w:val="24"/>
          <w:szCs w:val="24"/>
          <w:lang w:val="en-GB" w:eastAsia="en-GB"/>
        </w:rPr>
      </w:pPr>
      <w:r w:rsidRPr="00E34C95">
        <w:rPr>
          <w:rFonts w:eastAsia="Times New Roman"/>
          <w:sz w:val="24"/>
          <w:szCs w:val="24"/>
          <w:lang w:val="en-GB" w:eastAsia="en-GB"/>
        </w:rPr>
        <w:t xml:space="preserve">Explain the range of possible sentences for the alleged offences. </w:t>
      </w:r>
    </w:p>
    <w:p w14:paraId="463613A5" w14:textId="77777777" w:rsidR="00E34C95" w:rsidRPr="00E34C95" w:rsidRDefault="00E34C95" w:rsidP="00E34C95">
      <w:pPr>
        <w:numPr>
          <w:ilvl w:val="0"/>
          <w:numId w:val="2"/>
        </w:numPr>
        <w:spacing w:line="240" w:lineRule="auto"/>
        <w:contextualSpacing/>
        <w:rPr>
          <w:rFonts w:eastAsia="Times New Roman"/>
          <w:sz w:val="24"/>
          <w:szCs w:val="24"/>
          <w:lang w:val="en-GB" w:eastAsia="en-GB"/>
        </w:rPr>
      </w:pPr>
      <w:r w:rsidRPr="00E34C95">
        <w:rPr>
          <w:rFonts w:eastAsia="Times New Roman"/>
          <w:sz w:val="24"/>
          <w:szCs w:val="24"/>
          <w:lang w:val="en-GB" w:eastAsia="en-GB"/>
        </w:rPr>
        <w:t xml:space="preserve">Evaluate the strength of the evidence against the client. </w:t>
      </w:r>
    </w:p>
    <w:p w14:paraId="239C6BCC" w14:textId="77777777" w:rsidR="00E34C95" w:rsidRPr="00E34C95" w:rsidRDefault="00E34C95" w:rsidP="00E34C95">
      <w:pPr>
        <w:numPr>
          <w:ilvl w:val="0"/>
          <w:numId w:val="2"/>
        </w:numPr>
        <w:spacing w:line="240" w:lineRule="auto"/>
        <w:contextualSpacing/>
        <w:rPr>
          <w:rFonts w:eastAsia="Times New Roman"/>
          <w:sz w:val="24"/>
          <w:szCs w:val="24"/>
          <w:lang w:val="en-GB" w:eastAsia="en-GB"/>
        </w:rPr>
      </w:pPr>
      <w:r w:rsidRPr="00E34C95">
        <w:rPr>
          <w:rFonts w:eastAsia="Times New Roman"/>
          <w:sz w:val="24"/>
          <w:szCs w:val="24"/>
          <w:lang w:val="en-GB" w:eastAsia="en-GB"/>
        </w:rPr>
        <w:t xml:space="preserve">Evaluate the value/strength of Miss Davies’ claims and how this impacts upon Miss Jones’ case. </w:t>
      </w:r>
    </w:p>
    <w:p w14:paraId="42E03632" w14:textId="77777777" w:rsidR="00E34C95" w:rsidRPr="00E34C95" w:rsidRDefault="00E34C95" w:rsidP="00E34C95">
      <w:pPr>
        <w:numPr>
          <w:ilvl w:val="0"/>
          <w:numId w:val="2"/>
        </w:numPr>
        <w:spacing w:line="240" w:lineRule="auto"/>
        <w:contextualSpacing/>
        <w:rPr>
          <w:rFonts w:eastAsia="Times New Roman"/>
          <w:sz w:val="24"/>
          <w:szCs w:val="24"/>
          <w:lang w:val="en-GB" w:eastAsia="en-GB"/>
        </w:rPr>
      </w:pPr>
      <w:r w:rsidRPr="00E34C95">
        <w:rPr>
          <w:rFonts w:eastAsia="Times New Roman"/>
          <w:sz w:val="24"/>
          <w:szCs w:val="24"/>
          <w:lang w:val="en-GB" w:eastAsia="en-GB"/>
        </w:rPr>
        <w:t>Explain the advantages and disadvantages in advising the client to remain silent during the police interview.</w:t>
      </w:r>
    </w:p>
    <w:p w14:paraId="2E8BE1C6" w14:textId="77777777" w:rsidR="00E34C95" w:rsidRPr="00E34C95" w:rsidRDefault="00E34C95" w:rsidP="00E34C95">
      <w:pPr>
        <w:numPr>
          <w:ilvl w:val="0"/>
          <w:numId w:val="2"/>
        </w:numPr>
        <w:spacing w:after="160" w:line="259" w:lineRule="auto"/>
        <w:contextualSpacing/>
        <w:rPr>
          <w:rFonts w:eastAsia="Times New Roman"/>
          <w:sz w:val="24"/>
          <w:szCs w:val="24"/>
          <w:lang w:val="en-GB" w:eastAsia="en-GB"/>
        </w:rPr>
      </w:pPr>
      <w:r w:rsidRPr="00E34C95">
        <w:rPr>
          <w:rFonts w:eastAsia="Times New Roman"/>
          <w:sz w:val="24"/>
          <w:szCs w:val="24"/>
          <w:lang w:val="en-GB" w:eastAsia="en-GB"/>
        </w:rPr>
        <w:t>Discuss what factors the court will take into account when allocating Miss Jones’ case for trial.</w:t>
      </w:r>
    </w:p>
    <w:p w14:paraId="476138F4" w14:textId="77777777" w:rsidR="00E34C95" w:rsidRPr="00E34C95" w:rsidRDefault="00E34C95" w:rsidP="00E34C95">
      <w:pPr>
        <w:spacing w:after="160" w:line="259" w:lineRule="auto"/>
        <w:ind w:left="360"/>
        <w:rPr>
          <w:rFonts w:eastAsia="Times New Roman"/>
          <w:sz w:val="24"/>
          <w:szCs w:val="24"/>
          <w:lang w:val="en-GB" w:eastAsia="en-GB"/>
        </w:rPr>
      </w:pPr>
    </w:p>
    <w:p w14:paraId="77D2C22D" w14:textId="77777777" w:rsidR="00E34C95" w:rsidRPr="00E34C95" w:rsidRDefault="00E34C95" w:rsidP="00E34C95">
      <w:pPr>
        <w:spacing w:line="240" w:lineRule="auto"/>
        <w:rPr>
          <w:rFonts w:eastAsia="Times New Roman"/>
          <w:b/>
          <w:bCs/>
          <w:sz w:val="24"/>
          <w:szCs w:val="24"/>
          <w:u w:val="single"/>
          <w:lang w:val="en-GB" w:eastAsia="en-GB"/>
        </w:rPr>
      </w:pPr>
      <w:r w:rsidRPr="00E34C95">
        <w:rPr>
          <w:rFonts w:eastAsia="Times New Roman"/>
          <w:b/>
          <w:bCs/>
          <w:sz w:val="24"/>
          <w:szCs w:val="24"/>
          <w:u w:val="single"/>
          <w:lang w:val="en-GB" w:eastAsia="en-GB"/>
        </w:rPr>
        <w:t>INTERNAL MEMORANDUM</w:t>
      </w:r>
    </w:p>
    <w:p w14:paraId="6B703ADF" w14:textId="77777777" w:rsidR="00E34C95" w:rsidRPr="00E34C95" w:rsidRDefault="00E34C95" w:rsidP="00E34C95">
      <w:pPr>
        <w:spacing w:line="240" w:lineRule="auto"/>
        <w:rPr>
          <w:rFonts w:eastAsia="Times New Roman"/>
          <w:b/>
          <w:bCs/>
          <w:sz w:val="24"/>
          <w:szCs w:val="24"/>
          <w:u w:val="single"/>
          <w:lang w:val="en-GB" w:eastAsia="en-GB"/>
        </w:rPr>
      </w:pPr>
    </w:p>
    <w:p w14:paraId="4B8F6709" w14:textId="77777777" w:rsidR="00E34C95" w:rsidRPr="00E34C95" w:rsidRDefault="00E34C95" w:rsidP="00E34C95">
      <w:pPr>
        <w:spacing w:line="240" w:lineRule="auto"/>
        <w:rPr>
          <w:rFonts w:eastAsia="Times New Roman"/>
          <w:b/>
          <w:bCs/>
          <w:sz w:val="24"/>
          <w:szCs w:val="24"/>
          <w:lang w:val="en-GB" w:eastAsia="en-GB"/>
        </w:rPr>
      </w:pPr>
      <w:r w:rsidRPr="00E34C95">
        <w:rPr>
          <w:rFonts w:eastAsia="Times New Roman"/>
          <w:b/>
          <w:bCs/>
          <w:sz w:val="24"/>
          <w:szCs w:val="24"/>
          <w:lang w:val="en-GB" w:eastAsia="en-GB"/>
        </w:rPr>
        <w:t>TO: Thomas Trinity</w:t>
      </w:r>
    </w:p>
    <w:p w14:paraId="57709F02" w14:textId="77777777" w:rsidR="00E34C95" w:rsidRPr="00E34C95" w:rsidRDefault="00E34C95" w:rsidP="00E34C95">
      <w:pPr>
        <w:spacing w:line="240" w:lineRule="auto"/>
        <w:rPr>
          <w:rFonts w:eastAsia="Times New Roman"/>
          <w:b/>
          <w:bCs/>
          <w:sz w:val="24"/>
          <w:szCs w:val="24"/>
          <w:lang w:val="en-GB" w:eastAsia="en-GB"/>
        </w:rPr>
      </w:pPr>
    </w:p>
    <w:p w14:paraId="1690E84B" w14:textId="6E934CCD" w:rsidR="00E34C95" w:rsidRPr="00E34C95" w:rsidRDefault="00E34C95" w:rsidP="00E34C95">
      <w:pPr>
        <w:spacing w:line="240" w:lineRule="auto"/>
        <w:rPr>
          <w:rFonts w:eastAsia="Times New Roman"/>
          <w:b/>
          <w:bCs/>
          <w:sz w:val="24"/>
          <w:szCs w:val="24"/>
          <w:lang w:val="en-GB" w:eastAsia="en-GB"/>
        </w:rPr>
      </w:pPr>
      <w:r w:rsidRPr="00E34C95">
        <w:rPr>
          <w:rFonts w:eastAsia="Times New Roman"/>
          <w:b/>
          <w:bCs/>
          <w:sz w:val="24"/>
          <w:szCs w:val="24"/>
          <w:lang w:val="en-GB" w:eastAsia="en-GB"/>
        </w:rPr>
        <w:t xml:space="preserve">FROM: </w:t>
      </w:r>
      <w:r w:rsidR="00770D8C">
        <w:rPr>
          <w:rFonts w:eastAsia="Times New Roman"/>
          <w:b/>
          <w:bCs/>
          <w:sz w:val="24"/>
          <w:szCs w:val="24"/>
          <w:lang w:val="en-GB" w:eastAsia="en-GB"/>
        </w:rPr>
        <w:t xml:space="preserve">Ghisoiu Dorin </w:t>
      </w:r>
      <w:proofErr w:type="spellStart"/>
      <w:r w:rsidR="00770D8C">
        <w:rPr>
          <w:rFonts w:eastAsia="Times New Roman"/>
          <w:b/>
          <w:bCs/>
          <w:sz w:val="24"/>
          <w:szCs w:val="24"/>
          <w:lang w:val="en-GB" w:eastAsia="en-GB"/>
        </w:rPr>
        <w:t>ilie</w:t>
      </w:r>
      <w:proofErr w:type="spellEnd"/>
    </w:p>
    <w:p w14:paraId="502C538C" w14:textId="77777777" w:rsidR="00E34C95" w:rsidRPr="00E34C95" w:rsidRDefault="00E34C95" w:rsidP="00E34C95">
      <w:pPr>
        <w:spacing w:line="240" w:lineRule="auto"/>
        <w:rPr>
          <w:rFonts w:eastAsia="Times New Roman"/>
          <w:b/>
          <w:bCs/>
          <w:sz w:val="24"/>
          <w:szCs w:val="24"/>
          <w:lang w:val="en-GB" w:eastAsia="en-GB"/>
        </w:rPr>
      </w:pPr>
    </w:p>
    <w:p w14:paraId="4F8DF494" w14:textId="77777777" w:rsidR="00E34C95" w:rsidRPr="00E34C95" w:rsidRDefault="00E34C95" w:rsidP="00E34C95">
      <w:pPr>
        <w:spacing w:line="240" w:lineRule="auto"/>
        <w:rPr>
          <w:rFonts w:eastAsia="Times New Roman"/>
          <w:b/>
          <w:bCs/>
          <w:sz w:val="24"/>
          <w:szCs w:val="24"/>
          <w:lang w:val="en-GB" w:eastAsia="en-GB"/>
        </w:rPr>
      </w:pPr>
      <w:r w:rsidRPr="00E34C95">
        <w:rPr>
          <w:rFonts w:eastAsia="Times New Roman"/>
          <w:b/>
          <w:bCs/>
          <w:sz w:val="24"/>
          <w:szCs w:val="24"/>
          <w:lang w:val="en-GB" w:eastAsia="en-GB"/>
        </w:rPr>
        <w:t>MATTER: The case of SARAH JONES</w:t>
      </w:r>
    </w:p>
    <w:p w14:paraId="13ECBFFD" w14:textId="77777777" w:rsidR="00E34C95" w:rsidRPr="00E34C95" w:rsidRDefault="00E34C95" w:rsidP="00E34C95">
      <w:pPr>
        <w:spacing w:line="240" w:lineRule="auto"/>
        <w:rPr>
          <w:rFonts w:eastAsia="Times New Roman"/>
          <w:b/>
          <w:bCs/>
          <w:sz w:val="24"/>
          <w:szCs w:val="24"/>
          <w:lang w:val="en-GB" w:eastAsia="en-GB"/>
        </w:rPr>
      </w:pPr>
    </w:p>
    <w:p w14:paraId="7C8E07CD" w14:textId="18DF5201" w:rsidR="00E34C95" w:rsidRPr="00E34C95" w:rsidRDefault="00E34C95" w:rsidP="00E34C95">
      <w:pPr>
        <w:spacing w:line="240" w:lineRule="auto"/>
        <w:rPr>
          <w:rFonts w:eastAsia="Times New Roman"/>
          <w:b/>
          <w:bCs/>
          <w:sz w:val="24"/>
          <w:szCs w:val="24"/>
          <w:lang w:val="en-GB" w:eastAsia="en-GB"/>
        </w:rPr>
      </w:pPr>
      <w:r w:rsidRPr="00E34C95">
        <w:rPr>
          <w:rFonts w:eastAsia="Times New Roman"/>
          <w:b/>
          <w:bCs/>
          <w:sz w:val="24"/>
          <w:szCs w:val="24"/>
          <w:lang w:val="en-GB" w:eastAsia="en-GB"/>
        </w:rPr>
        <w:t xml:space="preserve">DATE: </w:t>
      </w:r>
      <w:r w:rsidR="00770D8C">
        <w:rPr>
          <w:rFonts w:eastAsia="Times New Roman"/>
          <w:b/>
          <w:bCs/>
          <w:sz w:val="24"/>
          <w:szCs w:val="24"/>
          <w:lang w:val="en-GB" w:eastAsia="en-GB"/>
        </w:rPr>
        <w:t>11/11</w:t>
      </w:r>
      <w:r w:rsidR="008126BA">
        <w:rPr>
          <w:rFonts w:eastAsia="Times New Roman"/>
          <w:b/>
          <w:bCs/>
          <w:sz w:val="24"/>
          <w:szCs w:val="24"/>
          <w:lang w:val="en-GB" w:eastAsia="en-GB"/>
        </w:rPr>
        <w:t>/2022</w:t>
      </w:r>
    </w:p>
    <w:p w14:paraId="6FCE3AD5" w14:textId="77777777" w:rsidR="00E34C95" w:rsidRPr="00E34C95" w:rsidRDefault="00E34C95" w:rsidP="00E34C95">
      <w:pPr>
        <w:spacing w:line="240" w:lineRule="auto"/>
        <w:rPr>
          <w:rFonts w:eastAsia="Times New Roman"/>
          <w:b/>
          <w:bCs/>
          <w:sz w:val="24"/>
          <w:szCs w:val="24"/>
          <w:lang w:val="en-GB" w:eastAsia="en-GB"/>
        </w:rPr>
      </w:pPr>
    </w:p>
    <w:p w14:paraId="55B3E4DB" w14:textId="77777777" w:rsidR="00E34C95" w:rsidRPr="00E34C95" w:rsidRDefault="00E34C95" w:rsidP="00E34C95">
      <w:pPr>
        <w:spacing w:line="240" w:lineRule="auto"/>
        <w:rPr>
          <w:rFonts w:eastAsia="Times New Roman"/>
          <w:b/>
          <w:bCs/>
          <w:sz w:val="24"/>
          <w:szCs w:val="24"/>
          <w:lang w:val="en-GB" w:eastAsia="en-GB"/>
        </w:rPr>
      </w:pPr>
    </w:p>
    <w:p w14:paraId="715F798D" w14:textId="77777777" w:rsidR="00E34C95" w:rsidRPr="00E34C95" w:rsidRDefault="00E34C95" w:rsidP="00E34C95">
      <w:pPr>
        <w:spacing w:line="240" w:lineRule="auto"/>
        <w:rPr>
          <w:rFonts w:eastAsia="Times New Roman"/>
          <w:b/>
          <w:bCs/>
          <w:sz w:val="24"/>
          <w:szCs w:val="24"/>
          <w:lang w:val="en-GB" w:eastAsia="en-GB"/>
        </w:rPr>
      </w:pPr>
      <w:r w:rsidRPr="00E34C95">
        <w:rPr>
          <w:rFonts w:eastAsia="Times New Roman"/>
          <w:b/>
          <w:bCs/>
          <w:sz w:val="24"/>
          <w:szCs w:val="24"/>
          <w:lang w:val="en-GB" w:eastAsia="en-GB"/>
        </w:rPr>
        <w:t xml:space="preserve">This is the case of Miss Sarah Jones. </w:t>
      </w:r>
    </w:p>
    <w:p w14:paraId="22C83B2C" w14:textId="76C707D0" w:rsidR="00E34C95" w:rsidRDefault="00E34C95" w:rsidP="00E34C95">
      <w:pPr>
        <w:spacing w:line="360" w:lineRule="auto"/>
        <w:jc w:val="center"/>
        <w:rPr>
          <w:rFonts w:ascii="Times New Roman" w:eastAsia="Times New Roman" w:hAnsi="Times New Roman" w:cs="Times New Roman"/>
          <w:b/>
          <w:sz w:val="32"/>
          <w:szCs w:val="32"/>
        </w:rPr>
      </w:pPr>
      <w:r w:rsidRPr="00E34C95">
        <w:rPr>
          <w:rFonts w:eastAsia="Times New Roman"/>
          <w:b/>
          <w:bCs/>
          <w:sz w:val="24"/>
          <w:szCs w:val="24"/>
          <w:lang w:val="en-GB" w:eastAsia="en-GB"/>
        </w:rPr>
        <w:t>I will set out below the following</w:t>
      </w:r>
    </w:p>
    <w:p w14:paraId="1064A7F9" w14:textId="77777777" w:rsidR="00E34C95" w:rsidRDefault="00E34C95" w:rsidP="006133A7">
      <w:pPr>
        <w:spacing w:line="360" w:lineRule="auto"/>
        <w:jc w:val="center"/>
        <w:rPr>
          <w:rFonts w:ascii="Times New Roman" w:eastAsia="Times New Roman" w:hAnsi="Times New Roman" w:cs="Times New Roman"/>
          <w:b/>
          <w:sz w:val="32"/>
          <w:szCs w:val="32"/>
        </w:rPr>
      </w:pPr>
    </w:p>
    <w:p w14:paraId="327B7D57" w14:textId="77777777" w:rsidR="00E34C95" w:rsidRDefault="00E34C95" w:rsidP="006133A7">
      <w:pPr>
        <w:spacing w:line="360" w:lineRule="auto"/>
        <w:jc w:val="center"/>
        <w:rPr>
          <w:rFonts w:ascii="Times New Roman" w:eastAsia="Times New Roman" w:hAnsi="Times New Roman" w:cs="Times New Roman"/>
          <w:b/>
          <w:sz w:val="32"/>
          <w:szCs w:val="32"/>
        </w:rPr>
      </w:pPr>
    </w:p>
    <w:p w14:paraId="00000001" w14:textId="0978F6AB" w:rsidR="00D41D31" w:rsidRPr="006133A7" w:rsidRDefault="00E34C95" w:rsidP="00ED3177">
      <w:pPr>
        <w:spacing w:line="360" w:lineRule="auto"/>
        <w:rPr>
          <w:rFonts w:ascii="Times New Roman" w:eastAsia="Times New Roman" w:hAnsi="Times New Roman" w:cs="Times New Roman"/>
          <w:b/>
          <w:sz w:val="32"/>
          <w:szCs w:val="32"/>
        </w:rPr>
      </w:pPr>
      <w:r>
        <w:rPr>
          <w:b/>
          <w:sz w:val="32"/>
          <w:szCs w:val="32"/>
        </w:rPr>
        <w:t xml:space="preserve">                                                                    </w:t>
      </w:r>
      <w:r w:rsidR="006133A7" w:rsidRPr="006133A7">
        <w:rPr>
          <w:b/>
          <w:sz w:val="32"/>
          <w:szCs w:val="32"/>
        </w:rPr>
        <w:br w:type="page"/>
      </w:r>
    </w:p>
    <w:p w14:paraId="00000008" w14:textId="3A17B9E5" w:rsidR="00D41D31" w:rsidRDefault="00D41D31" w:rsidP="6519B0E3">
      <w:pPr>
        <w:spacing w:line="360" w:lineRule="auto"/>
        <w:jc w:val="both"/>
        <w:rPr>
          <w:rFonts w:ascii="Times New Roman" w:eastAsia="Times New Roman" w:hAnsi="Times New Roman" w:cs="Times New Roman"/>
          <w:b/>
          <w:bCs/>
          <w:sz w:val="24"/>
          <w:szCs w:val="24"/>
        </w:rPr>
      </w:pPr>
    </w:p>
    <w:p w14:paraId="00000009"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“Review and setting out of the law for the offences and be able to explain the </w:t>
      </w:r>
      <w:proofErr w:type="spellStart"/>
      <w:r>
        <w:rPr>
          <w:rFonts w:ascii="Times New Roman" w:eastAsia="Times New Roman" w:hAnsi="Times New Roman" w:cs="Times New Roman"/>
          <w:b/>
          <w:sz w:val="24"/>
          <w:szCs w:val="24"/>
        </w:rPr>
        <w:t>mens</w:t>
      </w:r>
      <w:proofErr w:type="spellEnd"/>
      <w:r>
        <w:rPr>
          <w:rFonts w:ascii="Times New Roman" w:eastAsia="Times New Roman" w:hAnsi="Times New Roman" w:cs="Times New Roman"/>
          <w:b/>
          <w:sz w:val="24"/>
          <w:szCs w:val="24"/>
        </w:rPr>
        <w:t xml:space="preserve"> rea and actus reus”</w:t>
      </w:r>
    </w:p>
    <w:p w14:paraId="0000000A" w14:textId="77777777" w:rsidR="00D41D31" w:rsidRDefault="006133A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primary concept of criminal law, there are mainly two aspects of any crime or criminal liability. The </w:t>
      </w:r>
      <w:r>
        <w:rPr>
          <w:rFonts w:ascii="Times New Roman" w:eastAsia="Times New Roman" w:hAnsi="Times New Roman" w:cs="Times New Roman"/>
          <w:b/>
          <w:i/>
          <w:sz w:val="24"/>
          <w:szCs w:val="24"/>
        </w:rPr>
        <w:t xml:space="preserve">“prohibited conduct or actus </w:t>
      </w:r>
      <w:proofErr w:type="spellStart"/>
      <w:r>
        <w:rPr>
          <w:rFonts w:ascii="Times New Roman" w:eastAsia="Times New Roman" w:hAnsi="Times New Roman" w:cs="Times New Roman"/>
          <w:b/>
          <w:i/>
          <w:sz w:val="24"/>
          <w:szCs w:val="24"/>
        </w:rPr>
        <w:t>reas</w:t>
      </w:r>
      <w:proofErr w:type="spellEnd"/>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and the “mentality to commit the prohibited conduct or the </w:t>
      </w:r>
      <w:r>
        <w:rPr>
          <w:rFonts w:ascii="Times New Roman" w:eastAsia="Times New Roman" w:hAnsi="Times New Roman" w:cs="Times New Roman"/>
          <w:b/>
          <w:i/>
          <w:sz w:val="24"/>
          <w:szCs w:val="24"/>
        </w:rPr>
        <w:t xml:space="preserve">mental element or </w:t>
      </w:r>
      <w:proofErr w:type="spellStart"/>
      <w:r>
        <w:rPr>
          <w:rFonts w:ascii="Times New Roman" w:eastAsia="Times New Roman" w:hAnsi="Times New Roman" w:cs="Times New Roman"/>
          <w:b/>
          <w:i/>
          <w:sz w:val="24"/>
          <w:szCs w:val="24"/>
        </w:rPr>
        <w:t>mens</w:t>
      </w:r>
      <w:proofErr w:type="spellEnd"/>
      <w:r>
        <w:rPr>
          <w:rFonts w:ascii="Times New Roman" w:eastAsia="Times New Roman" w:hAnsi="Times New Roman" w:cs="Times New Roman"/>
          <w:b/>
          <w:i/>
          <w:sz w:val="24"/>
          <w:szCs w:val="24"/>
        </w:rPr>
        <w:t xml:space="preserve"> rea”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Iclr</w:t>
      </w:r>
      <w:proofErr w:type="spellEnd"/>
      <w:r>
        <w:rPr>
          <w:rFonts w:ascii="Times New Roman" w:eastAsia="Times New Roman" w:hAnsi="Times New Roman" w:cs="Times New Roman"/>
          <w:sz w:val="24"/>
          <w:szCs w:val="24"/>
        </w:rPr>
        <w:t xml:space="preserve">, 2022). A crime is committed when both elements play significantly. By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details of the case of Miss Sarah Jones, significantly two offences can be identified. The first one is the suspect of the Gucci handbag made by the patrolling officer. The other offence was the assault that was committed on Nora Davies. The offences are to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under existing criminal legislation. </w:t>
      </w:r>
      <w:r>
        <w:rPr>
          <w:rFonts w:ascii="Times New Roman" w:eastAsia="Times New Roman" w:hAnsi="Times New Roman" w:cs="Times New Roman"/>
          <w:b/>
          <w:i/>
          <w:sz w:val="24"/>
          <w:szCs w:val="24"/>
        </w:rPr>
        <w:t>“The Offences against the Person Act 1861”</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“Crime and Disorder Act 1998”</w:t>
      </w:r>
      <w:r>
        <w:rPr>
          <w:rFonts w:ascii="Times New Roman" w:eastAsia="Times New Roman" w:hAnsi="Times New Roman" w:cs="Times New Roman"/>
          <w:sz w:val="24"/>
          <w:szCs w:val="24"/>
        </w:rPr>
        <w:t xml:space="preserve"> and the </w:t>
      </w:r>
      <w:r>
        <w:rPr>
          <w:rFonts w:ascii="Times New Roman" w:eastAsia="Times New Roman" w:hAnsi="Times New Roman" w:cs="Times New Roman"/>
          <w:b/>
          <w:i/>
          <w:sz w:val="24"/>
          <w:szCs w:val="24"/>
        </w:rPr>
        <w:t>“Criminal Justice Act 1988”</w:t>
      </w:r>
      <w:r>
        <w:rPr>
          <w:rFonts w:ascii="Times New Roman" w:eastAsia="Times New Roman" w:hAnsi="Times New Roman" w:cs="Times New Roman"/>
          <w:sz w:val="24"/>
          <w:szCs w:val="24"/>
        </w:rPr>
        <w:t xml:space="preserve"> can be the basis of the analysis of the case of Miss Sarah Jones (Gov, 2022). </w:t>
      </w:r>
    </w:p>
    <w:p w14:paraId="0000000B" w14:textId="77777777" w:rsidR="00D41D31" w:rsidRDefault="006133A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privileged details about the case here indicate the absence of any guilt by Miss Sarah Jones, the client. However, it has also been observed and noted that in the previous years the client Miss Sarah Jones was accused of robbery and received a sentence of four years which however was paroled. Hence, the “</w:t>
      </w:r>
      <w:r>
        <w:rPr>
          <w:rFonts w:ascii="Times New Roman" w:eastAsia="Times New Roman" w:hAnsi="Times New Roman" w:cs="Times New Roman"/>
          <w:b/>
          <w:i/>
          <w:sz w:val="24"/>
          <w:szCs w:val="24"/>
        </w:rPr>
        <w:t xml:space="preserve">mental element or </w:t>
      </w:r>
      <w:proofErr w:type="spellStart"/>
      <w:r>
        <w:rPr>
          <w:rFonts w:ascii="Times New Roman" w:eastAsia="Times New Roman" w:hAnsi="Times New Roman" w:cs="Times New Roman"/>
          <w:b/>
          <w:i/>
          <w:sz w:val="24"/>
          <w:szCs w:val="24"/>
        </w:rPr>
        <w:t>mens</w:t>
      </w:r>
      <w:proofErr w:type="spellEnd"/>
      <w:r>
        <w:rPr>
          <w:rFonts w:ascii="Times New Roman" w:eastAsia="Times New Roman" w:hAnsi="Times New Roman" w:cs="Times New Roman"/>
          <w:b/>
          <w:i/>
          <w:sz w:val="24"/>
          <w:szCs w:val="24"/>
        </w:rPr>
        <w:t xml:space="preserve"> rea”</w:t>
      </w:r>
      <w:r>
        <w:rPr>
          <w:rFonts w:ascii="Times New Roman" w:eastAsia="Times New Roman" w:hAnsi="Times New Roman" w:cs="Times New Roman"/>
          <w:sz w:val="24"/>
          <w:szCs w:val="24"/>
        </w:rPr>
        <w:t xml:space="preserve"> can be taken to be present in this case. In this context, the fact of the client was previously accused may also be another point that may be against her. On the other hand, the </w:t>
      </w:r>
      <w:r>
        <w:rPr>
          <w:rFonts w:ascii="Times New Roman" w:eastAsia="Times New Roman" w:hAnsi="Times New Roman" w:cs="Times New Roman"/>
          <w:b/>
          <w:i/>
          <w:sz w:val="24"/>
          <w:szCs w:val="24"/>
        </w:rPr>
        <w:t xml:space="preserve">“act of prohibition or actus </w:t>
      </w:r>
      <w:proofErr w:type="spellStart"/>
      <w:r>
        <w:rPr>
          <w:rFonts w:ascii="Times New Roman" w:eastAsia="Times New Roman" w:hAnsi="Times New Roman" w:cs="Times New Roman"/>
          <w:b/>
          <w:i/>
          <w:sz w:val="24"/>
          <w:szCs w:val="24"/>
        </w:rPr>
        <w:t>reas</w:t>
      </w:r>
      <w:proofErr w:type="spellEnd"/>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can be applied in this case when the client, as per her statement, picked up the Gucci handbag despite the fact that it did not belong to her. The absence of actus </w:t>
      </w:r>
      <w:proofErr w:type="spellStart"/>
      <w:r>
        <w:rPr>
          <w:rFonts w:ascii="Times New Roman" w:eastAsia="Times New Roman" w:hAnsi="Times New Roman" w:cs="Times New Roman"/>
          <w:sz w:val="24"/>
          <w:szCs w:val="24"/>
        </w:rPr>
        <w:t>reas</w:t>
      </w:r>
      <w:proofErr w:type="spellEnd"/>
      <w:r>
        <w:rPr>
          <w:rFonts w:ascii="Times New Roman" w:eastAsia="Times New Roman" w:hAnsi="Times New Roman" w:cs="Times New Roman"/>
          <w:sz w:val="24"/>
          <w:szCs w:val="24"/>
        </w:rPr>
        <w:t xml:space="preserve"> could have been proved if Miss Sarah Jones left the bag as it was and the charges would not exist then.</w:t>
      </w:r>
    </w:p>
    <w:p w14:paraId="0000000C"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“Explanation of the range of possible sentences for the alleged offences”</w:t>
      </w:r>
    </w:p>
    <w:p w14:paraId="0000000D" w14:textId="77777777" w:rsidR="00D41D31" w:rsidRDefault="006133A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identified earlier that two types of offences have been charged against the client theft of the Gucci handbag and assault. In this context, the sentences that may be brought upon will ultimately depend on the final verdict of the case. However, the analysis can be done on the basis of the Sentencing Act 2020. Section 60 of this act describes the guidelines for the determination of sentences (Legislation, 2022). Previous convictions if any are also essential to be considered when sentencing according to Section 65 of the Sentencing Act 2020. For the offence of assault, the sentence may range from six months to even life imprisonment depending on the type of assault (</w:t>
      </w:r>
      <w:proofErr w:type="spellStart"/>
      <w:r>
        <w:rPr>
          <w:rFonts w:ascii="Times New Roman" w:eastAsia="Times New Roman" w:hAnsi="Times New Roman" w:cs="Times New Roman"/>
          <w:color w:val="222222"/>
          <w:sz w:val="24"/>
          <w:szCs w:val="24"/>
          <w:highlight w:val="white"/>
        </w:rPr>
        <w:t>Sentencingcouncil</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Common assault, actual bodily harm and grievous bodily harm are the three types. As in the case of Miss Sarah Jones, no such </w:t>
      </w:r>
      <w:r>
        <w:rPr>
          <w:rFonts w:ascii="Times New Roman" w:eastAsia="Times New Roman" w:hAnsi="Times New Roman" w:cs="Times New Roman"/>
          <w:sz w:val="24"/>
          <w:szCs w:val="24"/>
        </w:rPr>
        <w:lastRenderedPageBreak/>
        <w:t>injuries have been reported by the victim of the assault Miss Nora Davies, the assault, in this case, will be considered a common assault and hence the maximum sentence can be six months.</w:t>
      </w:r>
    </w:p>
    <w:p w14:paraId="0000000E"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On the other hand, the sentencing for the charge of theft is dependent on the type and severity of the loss caused. If any person is found guilty of theft, the authority when selecting the sentence will consider the sentencing guidelines as stated in the Sentencing Act 2020 and has been mentioned earlier. The maximum sentence for theft is seven years in custody (</w:t>
      </w:r>
      <w:proofErr w:type="spellStart"/>
      <w:r>
        <w:rPr>
          <w:rFonts w:ascii="Times New Roman" w:eastAsia="Times New Roman" w:hAnsi="Times New Roman" w:cs="Times New Roman"/>
          <w:color w:val="222222"/>
          <w:sz w:val="24"/>
          <w:szCs w:val="24"/>
          <w:highlight w:val="white"/>
        </w:rPr>
        <w:t>Sentencingcouncil</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The duration of sentencing is subject to various other factors. Firstly, while selecting the sentence if proven guilty the authority will obviously consider the previous sentence period of two years that was served by Miss Jones along with the early release for good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Secondly, the aspect of Miss Jones’ volunteering for the religious purpose at present will be considered and may have a positive impact leading to consideration of sentencing. Thirdly, the property of theft is only a Gucci handbag and that too has not been proved to be Miss Nora Davies’. It can be perceived that due to these factors the sentence is going to be much lesser. Hence, for the charge of assault, a maximum of three months of sentencing can be possible and for the charge of theft, the sentence period significantly depends on how the court considers the other factors.</w:t>
      </w:r>
    </w:p>
    <w:p w14:paraId="0000000F"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 of the strength of the evidence against the client”</w:t>
      </w:r>
    </w:p>
    <w:p w14:paraId="00000010" w14:textId="77777777" w:rsidR="00D41D31" w:rsidRDefault="006133A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strength of evidence can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by the legislation Evidence Act 1851, Criminal Justice Act 1988 and Civil Evidence Act 1968.l According to the Criminal Justice Act 1988, expert witnesses and reports are considered admissible evidence in the prosecution service (Gov, 2022). The strength of the evidence against the client Miss Sarah Jones can be taken as weak. It is because there is no concrete evidence produced either by the PC Norman Jenkins or Miss Nora Davies. Circumstantial evidence is only firm evidence and is not cross-checked by the patrolling officer. In this context, the strength of the evidence can be further countered by pointing out the following factors. The Gucci bag has not been proven to originally belong to Miss Nora Davies and is also worth £5000, the acquisition against the client is only based on the statements of Miss Davies whose background is also not good according to the statements of the client. On the contrary, the evidence produced against the client Miss Jones will be stronger when the previous records of the two women involved will be considered by the court. It will be observed that there are no previous criminal records of Miss Nora Davies which increases the chance of acceptability of the evidence. Moreover, Miss Davies has provided a </w:t>
      </w:r>
      <w:r>
        <w:rPr>
          <w:rFonts w:ascii="Times New Roman" w:eastAsia="Times New Roman" w:hAnsi="Times New Roman" w:cs="Times New Roman"/>
          <w:sz w:val="24"/>
          <w:szCs w:val="24"/>
        </w:rPr>
        <w:lastRenderedPageBreak/>
        <w:t>firm reasoning behind the ownership of the Gucci handbag which itself mitigated the fact of her inability to afford a Gucci handbag.</w:t>
      </w:r>
    </w:p>
    <w:p w14:paraId="00000011"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 of the value/strength of Miss Davies’ claims and how this impacts upon Miss Jones’ case”</w:t>
      </w:r>
    </w:p>
    <w:p w14:paraId="00000012" w14:textId="77777777" w:rsidR="00D41D31" w:rsidRDefault="006133A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case, Miss Davies has claimed that she is the original owner of the Gucci handbag which was given to her by her grandmother. On the other hand, she has also claimed that Miss Jones had assaulted her in order to take the bag back. The claims of Miss Davies have an increased chance of being accepted by the court. It is because the claimant has no previous criminal records. The strength of the claims by Miss Davies will also be facilitated by the fact that Miss Jones has previous criminal records and has served a sentence period. </w:t>
      </w:r>
    </w:p>
    <w:p w14:paraId="00000013"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However, it can also be perceived from the details of the case that Miss Jones was released from her previous sentence due to good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Although this could be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for Miss Jones for sentencing if found guilty, it does not weaken the claims by Miss Davies. On the other hand, the other aspect of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value of the claim is subjected to cross-checking the claims made by Mis Davies. It is because the officer has not checked the originality of the handbag and its claimed price of £5000. In this context, the checking of the claims can be done by chasing the original owner through an investigation based on the details found on the bag. Hence, the value of the claims is largely depending upon the acceptance by the court.</w:t>
      </w:r>
    </w:p>
    <w:p w14:paraId="00000014"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“Explanation of the advantages and disadvantages in advising the client to remain silent during the police interview”</w:t>
      </w:r>
    </w:p>
    <w:p w14:paraId="00000015" w14:textId="77777777" w:rsidR="00D41D31" w:rsidRDefault="006133A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general, the accused in a police interview can claim to take legal help from a solicitor. In this context, the solicitor can accompany the accused in the interview. On the other hand, the accused can remain silent in the police interview if there is not sufficient evidence existing, inadequate disclosure and others (</w:t>
      </w:r>
      <w:proofErr w:type="spellStart"/>
      <w:r>
        <w:rPr>
          <w:rFonts w:ascii="Times New Roman" w:eastAsia="Times New Roman" w:hAnsi="Times New Roman" w:cs="Times New Roman"/>
          <w:sz w:val="24"/>
          <w:szCs w:val="24"/>
        </w:rPr>
        <w:t>Inbrief</w:t>
      </w:r>
      <w:proofErr w:type="spellEnd"/>
      <w:r>
        <w:rPr>
          <w:rFonts w:ascii="Times New Roman" w:eastAsia="Times New Roman" w:hAnsi="Times New Roman" w:cs="Times New Roman"/>
          <w:sz w:val="24"/>
          <w:szCs w:val="24"/>
        </w:rPr>
        <w:t>, 2022). In the case of Miss Jones, the claims made by Miss Davies may be countered by pointing out the weak areas of the foundation of the same. On the other hand, there will be the reduced ability of the police to make any confession by Miss Jones if silence is chosen. These can be considered the advantages of being silent. On the contrary, the disadvantage of Miss Jones remaining silent will be the drawing of an adverse interference by the court during trial subjected to sections 34-37 of the Criminal Justice and Public Order Act 1994 (</w:t>
      </w:r>
      <w:proofErr w:type="spellStart"/>
      <w:r>
        <w:rPr>
          <w:rFonts w:ascii="Times New Roman" w:eastAsia="Times New Roman" w:hAnsi="Times New Roman" w:cs="Times New Roman"/>
          <w:sz w:val="24"/>
          <w:szCs w:val="24"/>
        </w:rPr>
        <w:t>Inbrief</w:t>
      </w:r>
      <w:proofErr w:type="spellEnd"/>
      <w:r>
        <w:rPr>
          <w:rFonts w:ascii="Times New Roman" w:eastAsia="Times New Roman" w:hAnsi="Times New Roman" w:cs="Times New Roman"/>
          <w:sz w:val="24"/>
          <w:szCs w:val="24"/>
        </w:rPr>
        <w:t>, 2022).</w:t>
      </w:r>
    </w:p>
    <w:p w14:paraId="00000016" w14:textId="77777777" w:rsidR="00D41D31" w:rsidRDefault="006133A7">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“Discussion of what factors the court will take into account when allocating Miss Jones’ case for trial”</w:t>
      </w:r>
    </w:p>
    <w:p w14:paraId="00000017" w14:textId="77777777" w:rsidR="00D41D31" w:rsidRDefault="006133A7">
      <w:pPr>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factors will be taken into account by the </w:t>
      </w:r>
      <w:proofErr w:type="spellStart"/>
      <w:r>
        <w:rPr>
          <w:rFonts w:ascii="Times New Roman" w:eastAsia="Times New Roman" w:hAnsi="Times New Roman" w:cs="Times New Roman"/>
          <w:sz w:val="24"/>
          <w:szCs w:val="24"/>
        </w:rPr>
        <w:t>honourable</w:t>
      </w:r>
      <w:proofErr w:type="spellEnd"/>
      <w:r>
        <w:rPr>
          <w:rFonts w:ascii="Times New Roman" w:eastAsia="Times New Roman" w:hAnsi="Times New Roman" w:cs="Times New Roman"/>
          <w:sz w:val="24"/>
          <w:szCs w:val="24"/>
        </w:rPr>
        <w:t xml:space="preserve"> court in allocating trial for the case of Miss Jones. The factors of consideration can be presented as follows. a) The types of offence that have been charged. b) The level of harm or damage that has been caused. c) Hierarchy of the court structure. d) The claims made by the accuser and the petition filed in response by the alleged victim. e) The facts that have been noted in the current case and the previous records of both claimant and accused. f) The concerned acts and laws like the </w:t>
      </w:r>
      <w:r>
        <w:rPr>
          <w:rFonts w:ascii="Times New Roman" w:eastAsia="Times New Roman" w:hAnsi="Times New Roman" w:cs="Times New Roman"/>
          <w:b/>
          <w:i/>
          <w:sz w:val="24"/>
          <w:szCs w:val="24"/>
        </w:rPr>
        <w:t>“Sentencing Act 2020”</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“Evidence Act 1851”</w:t>
      </w:r>
      <w:r>
        <w:rPr>
          <w:rFonts w:ascii="Times New Roman" w:eastAsia="Times New Roman" w:hAnsi="Times New Roman" w:cs="Times New Roman"/>
          <w:sz w:val="24"/>
          <w:szCs w:val="24"/>
        </w:rPr>
        <w:t xml:space="preserve"> and others.</w:t>
      </w:r>
      <w:r>
        <w:br w:type="page"/>
      </w:r>
    </w:p>
    <w:p w14:paraId="00000018" w14:textId="77777777" w:rsidR="00D41D31" w:rsidRDefault="006133A7">
      <w:pPr>
        <w:spacing w:before="240"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 list</w:t>
      </w:r>
    </w:p>
    <w:p w14:paraId="6F2644E4" w14:textId="77777777" w:rsidR="006133A7" w:rsidRDefault="006133A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Gov. 2022. </w:t>
      </w:r>
      <w:r>
        <w:rPr>
          <w:rFonts w:ascii="Times New Roman" w:eastAsia="Times New Roman" w:hAnsi="Times New Roman" w:cs="Times New Roman"/>
          <w:i/>
          <w:sz w:val="24"/>
          <w:szCs w:val="24"/>
          <w:highlight w:val="white"/>
        </w:rPr>
        <w:t>Assault Offences.</w:t>
      </w:r>
      <w:r>
        <w:rPr>
          <w:rFonts w:ascii="Times New Roman" w:eastAsia="Times New Roman" w:hAnsi="Times New Roman" w:cs="Times New Roman"/>
          <w:sz w:val="24"/>
          <w:szCs w:val="24"/>
          <w:highlight w:val="white"/>
        </w:rPr>
        <w:t xml:space="preserve"> [online] Available at:&lt;</w:t>
      </w:r>
      <w:hyperlink r:id="rId7">
        <w:r>
          <w:rPr>
            <w:rFonts w:ascii="Times New Roman" w:eastAsia="Times New Roman" w:hAnsi="Times New Roman" w:cs="Times New Roman"/>
            <w:sz w:val="24"/>
            <w:szCs w:val="24"/>
            <w:highlight w:val="white"/>
          </w:rPr>
          <w:t>https://consult.justice.gov.uk/sentencing-council/revised-assault-offences-guideline/</w:t>
        </w:r>
      </w:hyperlink>
      <w:r>
        <w:rPr>
          <w:rFonts w:ascii="Times New Roman" w:eastAsia="Times New Roman" w:hAnsi="Times New Roman" w:cs="Times New Roman"/>
          <w:sz w:val="24"/>
          <w:szCs w:val="24"/>
          <w:highlight w:val="white"/>
        </w:rPr>
        <w:t>&gt; [Accessed on 31st October 2022]</w:t>
      </w:r>
    </w:p>
    <w:p w14:paraId="2A2DCEFF" w14:textId="77777777" w:rsidR="006133A7" w:rsidRDefault="006133A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Gov. 2022. </w:t>
      </w:r>
      <w:r>
        <w:rPr>
          <w:rFonts w:ascii="Times New Roman" w:eastAsia="Times New Roman" w:hAnsi="Times New Roman" w:cs="Times New Roman"/>
          <w:i/>
          <w:sz w:val="24"/>
          <w:szCs w:val="24"/>
          <w:highlight w:val="white"/>
        </w:rPr>
        <w:t>Expert Evidence.</w:t>
      </w:r>
      <w:r>
        <w:rPr>
          <w:rFonts w:ascii="Times New Roman" w:eastAsia="Times New Roman" w:hAnsi="Times New Roman" w:cs="Times New Roman"/>
          <w:sz w:val="24"/>
          <w:szCs w:val="24"/>
          <w:highlight w:val="white"/>
        </w:rPr>
        <w:t xml:space="preserve"> [online] Available at:&lt;</w:t>
      </w:r>
      <w:hyperlink r:id="rId8">
        <w:r>
          <w:rPr>
            <w:rFonts w:ascii="Times New Roman" w:eastAsia="Times New Roman" w:hAnsi="Times New Roman" w:cs="Times New Roman"/>
            <w:sz w:val="24"/>
            <w:szCs w:val="24"/>
            <w:highlight w:val="white"/>
          </w:rPr>
          <w:t>https://www.cps.gov.uk/legal-guidance/expert-evidence</w:t>
        </w:r>
      </w:hyperlink>
      <w:r>
        <w:rPr>
          <w:rFonts w:ascii="Times New Roman" w:eastAsia="Times New Roman" w:hAnsi="Times New Roman" w:cs="Times New Roman"/>
          <w:sz w:val="24"/>
          <w:szCs w:val="24"/>
          <w:highlight w:val="white"/>
        </w:rPr>
        <w:t>&gt; [Accessed on 31st October 2022]</w:t>
      </w:r>
    </w:p>
    <w:p w14:paraId="3A6AE354" w14:textId="77777777" w:rsidR="006133A7" w:rsidRDefault="006133A7">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Iclr</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Mens</w:t>
      </w:r>
      <w:proofErr w:type="spellEnd"/>
      <w:r>
        <w:rPr>
          <w:rFonts w:ascii="Times New Roman" w:eastAsia="Times New Roman" w:hAnsi="Times New Roman" w:cs="Times New Roman"/>
          <w:i/>
          <w:sz w:val="24"/>
          <w:szCs w:val="24"/>
          <w:highlight w:val="white"/>
        </w:rPr>
        <w:t xml:space="preserve"> rea and actus reus</w:t>
      </w:r>
      <w:r>
        <w:rPr>
          <w:rFonts w:ascii="Times New Roman" w:eastAsia="Times New Roman" w:hAnsi="Times New Roman" w:cs="Times New Roman"/>
          <w:sz w:val="24"/>
          <w:szCs w:val="24"/>
          <w:highlight w:val="white"/>
        </w:rPr>
        <w:t>. [online] Available at:&lt;</w:t>
      </w:r>
      <w:hyperlink r:id="rId9">
        <w:r>
          <w:rPr>
            <w:rFonts w:ascii="Times New Roman" w:eastAsia="Times New Roman" w:hAnsi="Times New Roman" w:cs="Times New Roman"/>
            <w:sz w:val="24"/>
            <w:szCs w:val="24"/>
            <w:highlight w:val="white"/>
          </w:rPr>
          <w:t>https://www.iclr.co.uk/knowledge/glossary/mens-rea-and-actus-reus/</w:t>
        </w:r>
      </w:hyperlink>
      <w:r>
        <w:rPr>
          <w:rFonts w:ascii="Times New Roman" w:eastAsia="Times New Roman" w:hAnsi="Times New Roman" w:cs="Times New Roman"/>
          <w:sz w:val="24"/>
          <w:szCs w:val="24"/>
          <w:highlight w:val="white"/>
        </w:rPr>
        <w:t>&gt; [Accessed on 31st October 2022]</w:t>
      </w:r>
    </w:p>
    <w:p w14:paraId="319FED6D" w14:textId="77777777" w:rsidR="006133A7" w:rsidRDefault="006133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Invbrief</w:t>
      </w:r>
      <w:proofErr w:type="spellEnd"/>
      <w:r>
        <w:rPr>
          <w:rFonts w:ascii="Times New Roman" w:eastAsia="Times New Roman" w:hAnsi="Times New Roman" w:cs="Times New Roman"/>
          <w:sz w:val="24"/>
          <w:szCs w:val="24"/>
          <w:highlight w:val="white"/>
        </w:rPr>
        <w:t xml:space="preserve">. 2022. </w:t>
      </w:r>
      <w:r>
        <w:rPr>
          <w:rFonts w:ascii="Times New Roman" w:eastAsia="Times New Roman" w:hAnsi="Times New Roman" w:cs="Times New Roman"/>
          <w:i/>
          <w:sz w:val="24"/>
          <w:szCs w:val="24"/>
          <w:highlight w:val="white"/>
        </w:rPr>
        <w:t xml:space="preserve">What are my options if I am subject to interview conducted by the police? </w:t>
      </w:r>
      <w:r>
        <w:rPr>
          <w:rFonts w:ascii="Times New Roman" w:eastAsia="Times New Roman" w:hAnsi="Times New Roman" w:cs="Times New Roman"/>
          <w:sz w:val="24"/>
          <w:szCs w:val="24"/>
          <w:highlight w:val="white"/>
        </w:rPr>
        <w:t>[online] Available at:&lt;</w:t>
      </w:r>
      <w:hyperlink r:id="rId10">
        <w:r>
          <w:rPr>
            <w:rFonts w:ascii="Times New Roman" w:eastAsia="Times New Roman" w:hAnsi="Times New Roman" w:cs="Times New Roman"/>
            <w:sz w:val="24"/>
            <w:szCs w:val="24"/>
            <w:highlight w:val="white"/>
          </w:rPr>
          <w:t>https://www.inbrief.co.uk/police/police-interviews-remaining-silent/</w:t>
        </w:r>
      </w:hyperlink>
      <w:r>
        <w:rPr>
          <w:rFonts w:ascii="Times New Roman" w:eastAsia="Times New Roman" w:hAnsi="Times New Roman" w:cs="Times New Roman"/>
          <w:sz w:val="24"/>
          <w:szCs w:val="24"/>
          <w:highlight w:val="white"/>
        </w:rPr>
        <w:t>&gt; [Accessed on 31st October 2022]</w:t>
      </w:r>
    </w:p>
    <w:p w14:paraId="5F643541" w14:textId="77777777" w:rsidR="006133A7" w:rsidRDefault="006133A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Legislation. 2022. </w:t>
      </w:r>
      <w:r>
        <w:rPr>
          <w:rFonts w:ascii="Times New Roman" w:eastAsia="Times New Roman" w:hAnsi="Times New Roman" w:cs="Times New Roman"/>
          <w:i/>
          <w:sz w:val="24"/>
          <w:szCs w:val="24"/>
          <w:highlight w:val="white"/>
        </w:rPr>
        <w:t>Sentencing Act 2020.</w:t>
      </w:r>
      <w:r>
        <w:rPr>
          <w:rFonts w:ascii="Times New Roman" w:eastAsia="Times New Roman" w:hAnsi="Times New Roman" w:cs="Times New Roman"/>
          <w:sz w:val="24"/>
          <w:szCs w:val="24"/>
          <w:highlight w:val="white"/>
        </w:rPr>
        <w:t xml:space="preserve"> [online] Available at:&lt;</w:t>
      </w:r>
      <w:hyperlink r:id="rId11">
        <w:r>
          <w:rPr>
            <w:rFonts w:ascii="Times New Roman" w:eastAsia="Times New Roman" w:hAnsi="Times New Roman" w:cs="Times New Roman"/>
            <w:sz w:val="24"/>
            <w:szCs w:val="24"/>
            <w:highlight w:val="white"/>
          </w:rPr>
          <w:t>https://www.legislation.gov.uk/ukpga/2020/17/section/60</w:t>
        </w:r>
      </w:hyperlink>
      <w:r>
        <w:rPr>
          <w:rFonts w:ascii="Times New Roman" w:eastAsia="Times New Roman" w:hAnsi="Times New Roman" w:cs="Times New Roman"/>
          <w:sz w:val="24"/>
          <w:szCs w:val="24"/>
          <w:highlight w:val="white"/>
        </w:rPr>
        <w:t>&gt; [Accessed on 31st October 2022]</w:t>
      </w:r>
    </w:p>
    <w:p w14:paraId="225BE378" w14:textId="77777777" w:rsidR="006133A7" w:rsidRDefault="006133A7">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Sentencingcouncil</w:t>
      </w:r>
      <w:proofErr w:type="spellEnd"/>
      <w:r>
        <w:rPr>
          <w:rFonts w:ascii="Times New Roman" w:eastAsia="Times New Roman" w:hAnsi="Times New Roman" w:cs="Times New Roman"/>
          <w:sz w:val="24"/>
          <w:szCs w:val="24"/>
          <w:highlight w:val="white"/>
        </w:rPr>
        <w:t xml:space="preserve">. 2022. </w:t>
      </w:r>
      <w:r>
        <w:rPr>
          <w:rFonts w:ascii="Times New Roman" w:eastAsia="Times New Roman" w:hAnsi="Times New Roman" w:cs="Times New Roman"/>
          <w:i/>
          <w:sz w:val="24"/>
          <w:szCs w:val="24"/>
          <w:highlight w:val="white"/>
        </w:rPr>
        <w:t>Assault.</w:t>
      </w:r>
      <w:r>
        <w:rPr>
          <w:rFonts w:ascii="Times New Roman" w:eastAsia="Times New Roman" w:hAnsi="Times New Roman" w:cs="Times New Roman"/>
          <w:sz w:val="24"/>
          <w:szCs w:val="24"/>
          <w:highlight w:val="white"/>
        </w:rPr>
        <w:t xml:space="preserve"> [online] Available at:&lt;</w:t>
      </w:r>
      <w:hyperlink r:id="rId12" w:anchor=":~:text=the%20maximum%20sentence%20is%20five%20years'%20custody.,maximum%20sentence%20is%20life%20imprisonment">
        <w:r>
          <w:rPr>
            <w:rFonts w:ascii="Times New Roman" w:eastAsia="Times New Roman" w:hAnsi="Times New Roman" w:cs="Times New Roman"/>
            <w:sz w:val="24"/>
            <w:szCs w:val="24"/>
            <w:highlight w:val="white"/>
          </w:rPr>
          <w:t>https://www.sentencingcouncil.org.uk/outlines/assault/#:~:text=the%20maximum%20sentence%20is%20five%20years'%20custody.,maximum%20sentence%20is%20life%20imprisonment</w:t>
        </w:r>
      </w:hyperlink>
      <w:r>
        <w:rPr>
          <w:rFonts w:ascii="Times New Roman" w:eastAsia="Times New Roman" w:hAnsi="Times New Roman" w:cs="Times New Roman"/>
          <w:sz w:val="24"/>
          <w:szCs w:val="24"/>
          <w:highlight w:val="white"/>
        </w:rPr>
        <w:t>&gt; [Accessed on 31st October 2022]</w:t>
      </w:r>
    </w:p>
    <w:p w14:paraId="3A3238CD" w14:textId="77777777" w:rsidR="006133A7" w:rsidRDefault="006133A7">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Sentencingcouncil</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i/>
          <w:sz w:val="24"/>
          <w:szCs w:val="24"/>
          <w:highlight w:val="white"/>
        </w:rPr>
        <w:t xml:space="preserve"> General theft.</w:t>
      </w:r>
      <w:r>
        <w:rPr>
          <w:rFonts w:ascii="Times New Roman" w:eastAsia="Times New Roman" w:hAnsi="Times New Roman" w:cs="Times New Roman"/>
          <w:sz w:val="24"/>
          <w:szCs w:val="24"/>
          <w:highlight w:val="white"/>
        </w:rPr>
        <w:t xml:space="preserve"> [online] Available at:&lt;</w:t>
      </w:r>
      <w:hyperlink r:id="rId13">
        <w:r>
          <w:rPr>
            <w:rFonts w:ascii="Times New Roman" w:eastAsia="Times New Roman" w:hAnsi="Times New Roman" w:cs="Times New Roman"/>
            <w:sz w:val="24"/>
            <w:szCs w:val="24"/>
            <w:highlight w:val="white"/>
          </w:rPr>
          <w:t>https://www.sentencingcouncil.org.uk/outlines/general-theft/</w:t>
        </w:r>
      </w:hyperlink>
      <w:r>
        <w:rPr>
          <w:rFonts w:ascii="Times New Roman" w:eastAsia="Times New Roman" w:hAnsi="Times New Roman" w:cs="Times New Roman"/>
          <w:sz w:val="24"/>
          <w:szCs w:val="24"/>
          <w:highlight w:val="white"/>
        </w:rPr>
        <w:t>&gt; [Accessed on 31st October 2022]</w:t>
      </w:r>
    </w:p>
    <w:p w14:paraId="00000020" w14:textId="77777777" w:rsidR="00D41D31" w:rsidRDefault="00D41D31">
      <w:pPr>
        <w:spacing w:before="240" w:after="160" w:line="360" w:lineRule="auto"/>
        <w:jc w:val="both"/>
        <w:rPr>
          <w:rFonts w:ascii="Times New Roman" w:eastAsia="Times New Roman" w:hAnsi="Times New Roman" w:cs="Times New Roman"/>
          <w:b/>
          <w:sz w:val="24"/>
          <w:szCs w:val="24"/>
        </w:rPr>
      </w:pPr>
    </w:p>
    <w:p w14:paraId="00000021" w14:textId="77777777" w:rsidR="00D41D31" w:rsidRDefault="00D41D31">
      <w:pPr>
        <w:spacing w:line="360" w:lineRule="auto"/>
        <w:jc w:val="both"/>
        <w:rPr>
          <w:rFonts w:ascii="Times New Roman" w:eastAsia="Times New Roman" w:hAnsi="Times New Roman" w:cs="Times New Roman"/>
          <w:sz w:val="24"/>
          <w:szCs w:val="24"/>
        </w:rPr>
      </w:pPr>
    </w:p>
    <w:p w14:paraId="00000022" w14:textId="77777777" w:rsidR="00D41D31" w:rsidRDefault="00D41D31">
      <w:pPr>
        <w:widowControl w:val="0"/>
        <w:pBdr>
          <w:top w:val="nil"/>
          <w:left w:val="nil"/>
          <w:bottom w:val="nil"/>
          <w:right w:val="nil"/>
          <w:between w:val="nil"/>
        </w:pBdr>
        <w:rPr>
          <w:rFonts w:ascii="Times New Roman" w:eastAsia="Times New Roman" w:hAnsi="Times New Roman" w:cs="Times New Roman"/>
          <w:sz w:val="24"/>
          <w:szCs w:val="24"/>
        </w:rPr>
      </w:pPr>
    </w:p>
    <w:sectPr w:rsidR="00D41D3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537605">
    <w:abstractNumId w:val="1"/>
  </w:num>
  <w:num w:numId="2" w16cid:durableId="1353067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D31"/>
    <w:rsid w:val="00367F56"/>
    <w:rsid w:val="004406E7"/>
    <w:rsid w:val="006133A7"/>
    <w:rsid w:val="00770D8C"/>
    <w:rsid w:val="008126BA"/>
    <w:rsid w:val="00815F36"/>
    <w:rsid w:val="00D41D31"/>
    <w:rsid w:val="00E34C95"/>
    <w:rsid w:val="00ED3177"/>
    <w:rsid w:val="5749FB99"/>
    <w:rsid w:val="6519B0E3"/>
    <w:rsid w:val="6FA513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740D6"/>
  <w15:docId w15:val="{67EF9ECB-8A9B-4365-B64A-032DDD3B8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ps.gov.uk/legal-guidance/expert-evidence" TargetMode="External"/><Relationship Id="rId13" Type="http://schemas.openxmlformats.org/officeDocument/2006/relationships/hyperlink" Target="https://www.sentencingcouncil.org.uk/outlines/general-theft/" TargetMode="External"/><Relationship Id="rId3" Type="http://schemas.openxmlformats.org/officeDocument/2006/relationships/settings" Target="settings.xml"/><Relationship Id="rId7" Type="http://schemas.openxmlformats.org/officeDocument/2006/relationships/hyperlink" Target="https://consult.justice.gov.uk/sentencing-council/revised-assault-offences-guideline/" TargetMode="External"/><Relationship Id="rId12" Type="http://schemas.openxmlformats.org/officeDocument/2006/relationships/hyperlink" Target="https://www.sentencingcouncil.org.uk/outlines/assau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legislation.gov.uk/ukpga/2020/17/section/6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inbrief.co.uk/police/police-interviews-remaining-silent/" TargetMode="External"/><Relationship Id="rId4" Type="http://schemas.openxmlformats.org/officeDocument/2006/relationships/webSettings" Target="webSettings.xml"/><Relationship Id="rId9" Type="http://schemas.openxmlformats.org/officeDocument/2006/relationships/hyperlink" Target="https://www.iclr.co.uk/knowledge/glossary/mens-rea-and-actus-re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2334</Words>
  <Characters>13308</Characters>
  <Application>Microsoft Office Word</Application>
  <DocSecurity>0</DocSecurity>
  <Lines>110</Lines>
  <Paragraphs>31</Paragraphs>
  <ScaleCrop>false</ScaleCrop>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dorin ghisoiu</cp:lastModifiedBy>
  <cp:revision>10</cp:revision>
  <dcterms:created xsi:type="dcterms:W3CDTF">2022-11-06T18:10:00Z</dcterms:created>
  <dcterms:modified xsi:type="dcterms:W3CDTF">2022-11-11T13:16:00Z</dcterms:modified>
</cp:coreProperties>
</file>