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56394BE1" w14:textId="2D7EB582" w:rsidR="007A6FA0" w:rsidRPr="006E7FEC" w:rsidRDefault="006E7FEC">
      <w:pPr>
        <w:rPr>
          <w:rFonts w:cstheme="minorHAnsi"/>
          <w:sz w:val="24"/>
          <w:szCs w:val="24"/>
        </w:rPr>
      </w:pPr>
      <w:r w:rsidRPr="006E7FEC">
        <w:rPr>
          <w:rFonts w:cstheme="minorHAnsi"/>
          <w:sz w:val="24"/>
          <w:szCs w:val="24"/>
        </w:rPr>
        <w:t>Name – Marina Counihan</w:t>
      </w:r>
    </w:p>
    <w:p w14:paraId="0E955DDD" w14:textId="7EEE2321" w:rsidR="006E7FEC" w:rsidRPr="006E7FEC" w:rsidRDefault="006E7FEC">
      <w:pPr>
        <w:rPr>
          <w:rFonts w:cstheme="minorHAnsi"/>
          <w:sz w:val="24"/>
          <w:szCs w:val="24"/>
        </w:rPr>
      </w:pPr>
      <w:r w:rsidRPr="006E7FEC">
        <w:rPr>
          <w:rFonts w:cstheme="minorHAnsi"/>
          <w:sz w:val="24"/>
          <w:szCs w:val="24"/>
        </w:rPr>
        <w:t xml:space="preserve">Student ID – </w:t>
      </w:r>
      <w:r w:rsidRPr="006E7FEC">
        <w:rPr>
          <w:rFonts w:cstheme="minorHAnsi"/>
          <w:sz w:val="24"/>
          <w:szCs w:val="24"/>
        </w:rPr>
        <w:t>2309624</w:t>
      </w:r>
    </w:p>
    <w:p w14:paraId="4A279582" w14:textId="183E45A0" w:rsidR="006E7FEC" w:rsidRPr="006E7FEC" w:rsidRDefault="006E7FEC">
      <w:pPr>
        <w:rPr>
          <w:rFonts w:cstheme="minorHAnsi"/>
          <w:sz w:val="24"/>
          <w:szCs w:val="24"/>
        </w:rPr>
      </w:pPr>
      <w:r w:rsidRPr="006E7FEC">
        <w:rPr>
          <w:rFonts w:cstheme="minorHAnsi"/>
          <w:sz w:val="24"/>
          <w:szCs w:val="24"/>
        </w:rPr>
        <w:t xml:space="preserve">Module – </w:t>
      </w:r>
      <w:r w:rsidRPr="006E7FEC">
        <w:rPr>
          <w:rFonts w:cstheme="minorHAnsi"/>
          <w:sz w:val="24"/>
          <w:szCs w:val="24"/>
        </w:rPr>
        <w:t>Health, Wellbeing and Sustainable Development</w:t>
      </w:r>
    </w:p>
    <w:p w14:paraId="3BBD7C9C" w14:textId="3F869E2D" w:rsidR="006E7FEC" w:rsidRPr="006E7FEC" w:rsidRDefault="006E7FEC">
      <w:pPr>
        <w:rPr>
          <w:rFonts w:cstheme="minorHAnsi"/>
          <w:sz w:val="24"/>
          <w:szCs w:val="24"/>
        </w:rPr>
      </w:pPr>
      <w:r w:rsidRPr="006E7FEC">
        <w:rPr>
          <w:rFonts w:cstheme="minorHAnsi"/>
          <w:sz w:val="24"/>
          <w:szCs w:val="24"/>
        </w:rPr>
        <w:t xml:space="preserve">Module code - </w:t>
      </w:r>
      <w:r w:rsidRPr="006E7FEC">
        <w:rPr>
          <w:rFonts w:cstheme="minorHAnsi"/>
          <w:sz w:val="24"/>
          <w:szCs w:val="24"/>
        </w:rPr>
        <w:t>BMHP6030</w:t>
      </w:r>
    </w:p>
    <w:p w14:paraId="42C80E5D" w14:textId="0FD8A704" w:rsidR="006E7FEC" w:rsidRPr="006E7FEC" w:rsidRDefault="006E7FEC">
      <w:pPr>
        <w:rPr>
          <w:rFonts w:cstheme="minorHAnsi"/>
          <w:sz w:val="24"/>
          <w:szCs w:val="24"/>
        </w:rPr>
      </w:pPr>
      <w:r w:rsidRPr="006E7FEC">
        <w:rPr>
          <w:rFonts w:eastAsia="Arial" w:cstheme="minorHAnsi"/>
          <w:color w:val="000000" w:themeColor="text1"/>
          <w:sz w:val="24"/>
          <w:szCs w:val="24"/>
        </w:rPr>
        <w:t>Philip Jones</w:t>
      </w:r>
    </w:p>
    <w:p w14:paraId="7E30908C" w14:textId="77777777" w:rsidR="006E7FEC" w:rsidRDefault="006E7FEC">
      <w:pPr>
        <w:rPr>
          <w:rFonts w:ascii="Arial" w:hAnsi="Arial" w:cs="Arial"/>
        </w:rPr>
      </w:pPr>
    </w:p>
    <w:p w14:paraId="603FD4CD" w14:textId="77777777" w:rsidR="006E7FEC" w:rsidRDefault="006E7FEC">
      <w:pPr>
        <w:rPr>
          <w:rFonts w:ascii="Arial" w:hAnsi="Arial" w:cs="Arial"/>
        </w:rPr>
      </w:pPr>
    </w:p>
    <w:p w14:paraId="52A1458C" w14:textId="77777777" w:rsidR="006E7FEC" w:rsidRDefault="006E7FEC">
      <w:pPr>
        <w:rPr>
          <w:rFonts w:ascii="Arial" w:hAnsi="Arial" w:cs="Arial"/>
        </w:rPr>
      </w:pPr>
    </w:p>
    <w:p w14:paraId="6A009899" w14:textId="77777777" w:rsidR="006E7FEC" w:rsidRDefault="006E7FEC">
      <w:pPr>
        <w:rPr>
          <w:rFonts w:ascii="Arial" w:hAnsi="Arial" w:cs="Arial"/>
        </w:rPr>
      </w:pPr>
    </w:p>
    <w:p w14:paraId="5E0A0DB8" w14:textId="77777777" w:rsidR="006E7FEC" w:rsidRDefault="006E7FEC">
      <w:pPr>
        <w:rPr>
          <w:rFonts w:ascii="Arial" w:hAnsi="Arial" w:cs="Arial"/>
        </w:rPr>
      </w:pPr>
    </w:p>
    <w:p w14:paraId="6D3BDDAB" w14:textId="77777777" w:rsidR="006E7FEC" w:rsidRDefault="006E7FEC">
      <w:pPr>
        <w:rPr>
          <w:rFonts w:ascii="Arial" w:hAnsi="Arial" w:cs="Arial"/>
        </w:rPr>
      </w:pPr>
    </w:p>
    <w:p w14:paraId="08453DF1" w14:textId="77777777" w:rsidR="006E7FEC" w:rsidRDefault="006E7FEC">
      <w:pPr>
        <w:rPr>
          <w:rFonts w:ascii="Arial" w:hAnsi="Arial" w:cs="Arial"/>
        </w:rPr>
      </w:pPr>
    </w:p>
    <w:p w14:paraId="5A3E4FD3" w14:textId="77777777" w:rsidR="006E7FEC" w:rsidRDefault="006E7FEC">
      <w:pPr>
        <w:rPr>
          <w:rFonts w:ascii="Arial" w:hAnsi="Arial" w:cs="Arial"/>
        </w:rPr>
      </w:pPr>
    </w:p>
    <w:p w14:paraId="642A8658" w14:textId="77777777" w:rsidR="006E7FEC" w:rsidRDefault="006E7FEC">
      <w:pPr>
        <w:rPr>
          <w:rFonts w:ascii="Arial" w:hAnsi="Arial" w:cs="Arial"/>
        </w:rPr>
      </w:pPr>
    </w:p>
    <w:p w14:paraId="57565A34" w14:textId="77777777" w:rsidR="006E7FEC" w:rsidRDefault="006E7FEC">
      <w:pPr>
        <w:rPr>
          <w:rFonts w:ascii="Arial" w:hAnsi="Arial" w:cs="Arial"/>
        </w:rPr>
      </w:pPr>
    </w:p>
    <w:p w14:paraId="7D24DFBF" w14:textId="77777777" w:rsidR="006E7FEC" w:rsidRDefault="006E7FEC">
      <w:pPr>
        <w:rPr>
          <w:rFonts w:ascii="Arial" w:hAnsi="Arial" w:cs="Arial"/>
        </w:rPr>
      </w:pPr>
    </w:p>
    <w:p w14:paraId="017DF7AD" w14:textId="77777777" w:rsidR="006E7FEC" w:rsidRDefault="006E7FEC">
      <w:pPr>
        <w:rPr>
          <w:rFonts w:ascii="Arial" w:hAnsi="Arial" w:cs="Arial"/>
        </w:rPr>
      </w:pPr>
    </w:p>
    <w:p w14:paraId="25299319" w14:textId="77777777" w:rsidR="006E7FEC" w:rsidRDefault="006E7FEC">
      <w:pPr>
        <w:rPr>
          <w:rFonts w:ascii="Arial" w:hAnsi="Arial" w:cs="Arial"/>
        </w:rPr>
      </w:pPr>
    </w:p>
    <w:p w14:paraId="7188A2B3" w14:textId="77777777" w:rsidR="006E7FEC" w:rsidRDefault="006E7FEC">
      <w:pPr>
        <w:rPr>
          <w:rFonts w:ascii="Arial" w:hAnsi="Arial" w:cs="Arial"/>
        </w:rPr>
      </w:pPr>
    </w:p>
    <w:p w14:paraId="410321BC" w14:textId="77777777" w:rsidR="006E7FEC" w:rsidRDefault="006E7FEC">
      <w:pPr>
        <w:rPr>
          <w:rFonts w:ascii="Arial" w:hAnsi="Arial" w:cs="Arial"/>
        </w:rPr>
      </w:pPr>
    </w:p>
    <w:p w14:paraId="0BDFAE2C" w14:textId="77777777" w:rsidR="006E7FEC" w:rsidRDefault="006E7FEC">
      <w:pPr>
        <w:rPr>
          <w:rFonts w:ascii="Arial" w:hAnsi="Arial" w:cs="Arial"/>
        </w:rPr>
      </w:pPr>
    </w:p>
    <w:p w14:paraId="1694BAD3" w14:textId="77777777" w:rsidR="006E7FEC" w:rsidRDefault="006E7FEC">
      <w:pPr>
        <w:rPr>
          <w:rFonts w:ascii="Arial" w:hAnsi="Arial" w:cs="Arial"/>
        </w:rPr>
      </w:pPr>
    </w:p>
    <w:p w14:paraId="60A58729" w14:textId="77777777" w:rsidR="006E7FEC" w:rsidRDefault="006E7FEC">
      <w:pPr>
        <w:rPr>
          <w:rFonts w:ascii="Arial" w:hAnsi="Arial" w:cs="Arial"/>
        </w:rPr>
      </w:pPr>
    </w:p>
    <w:p w14:paraId="1672F449" w14:textId="77777777" w:rsidR="006E7FEC" w:rsidRDefault="006E7FEC">
      <w:pPr>
        <w:rPr>
          <w:rFonts w:ascii="Arial" w:hAnsi="Arial" w:cs="Arial"/>
        </w:rPr>
      </w:pPr>
    </w:p>
    <w:p w14:paraId="0094657A" w14:textId="77777777" w:rsidR="006E7FEC" w:rsidRDefault="006E7FEC">
      <w:pPr>
        <w:rPr>
          <w:rFonts w:ascii="Arial" w:hAnsi="Arial" w:cs="Arial"/>
        </w:rPr>
      </w:pPr>
    </w:p>
    <w:p w14:paraId="69DA6147" w14:textId="77777777" w:rsidR="006E7FEC" w:rsidRDefault="006E7FEC">
      <w:pPr>
        <w:rPr>
          <w:rFonts w:ascii="Arial" w:hAnsi="Arial" w:cs="Arial"/>
        </w:rPr>
      </w:pPr>
    </w:p>
    <w:p w14:paraId="24EFA348" w14:textId="77777777" w:rsidR="006E7FEC" w:rsidRDefault="006E7FEC">
      <w:pPr>
        <w:rPr>
          <w:rFonts w:ascii="Arial" w:hAnsi="Arial" w:cs="Arial"/>
        </w:rPr>
      </w:pPr>
    </w:p>
    <w:p w14:paraId="7D56BBDB" w14:textId="77777777" w:rsidR="006E7FEC" w:rsidRDefault="006E7FEC">
      <w:pPr>
        <w:rPr>
          <w:rFonts w:ascii="Arial" w:hAnsi="Arial" w:cs="Arial"/>
        </w:rPr>
      </w:pPr>
    </w:p>
    <w:p w14:paraId="1BA9483B" w14:textId="77777777" w:rsidR="006E7FEC" w:rsidRDefault="006E7FEC" w:rsidP="006E7FEC">
      <w:pPr>
        <w:rPr>
          <w:rFonts w:ascii="Arial" w:hAnsi="Arial" w:cs="Arial"/>
        </w:rPr>
      </w:pPr>
    </w:p>
    <w:p w14:paraId="59014FC0" w14:textId="1CC0632C" w:rsidR="006E7FEC" w:rsidRPr="006E7FEC" w:rsidRDefault="006E7FEC" w:rsidP="006E7FEC">
      <w:pPr>
        <w:rPr>
          <w:rFonts w:cstheme="minorHAnsi"/>
          <w:b/>
          <w:bCs/>
        </w:rPr>
      </w:pPr>
      <w:r w:rsidRPr="006E7FEC">
        <w:rPr>
          <w:rFonts w:cstheme="minorHAnsi"/>
          <w:b/>
          <w:bCs/>
        </w:rPr>
        <w:t>Introduction</w:t>
      </w:r>
    </w:p>
    <w:p w14:paraId="225D6B2B" w14:textId="77777777" w:rsidR="006E7FEC" w:rsidRPr="006E7FEC" w:rsidRDefault="006E7FEC" w:rsidP="006E7FEC">
      <w:pPr>
        <w:rPr>
          <w:rFonts w:cstheme="minorHAnsi"/>
        </w:rPr>
      </w:pPr>
      <w:r w:rsidRPr="006E7FEC">
        <w:rPr>
          <w:rFonts w:cstheme="minorHAnsi"/>
        </w:rPr>
        <w:t xml:space="preserve">The United Nations Sustainable Development Goals (SDGs), adopted in 2015 as part of the 2030 Agenda for Sustainable Development, provide a global framework for improving health, reducing </w:t>
      </w:r>
      <w:r w:rsidRPr="006E7FEC">
        <w:rPr>
          <w:rFonts w:cstheme="minorHAnsi"/>
        </w:rPr>
        <w:lastRenderedPageBreak/>
        <w:t>inequalities, protecting the environment, and promoting sustainable economic growth (United Nations, 2015). The 17 interconnected goals recognise that health and wellbeing are influenced by a wide range of social, economic and environmental factors and therefore require coordinated action at global, national and local levels. Within health and social care, the SDGs provide an important framework for developing policies and initiatives that aim to improve population health while addressing wider determinants of wellbeing.</w:t>
      </w:r>
    </w:p>
    <w:p w14:paraId="74E5121B" w14:textId="77777777" w:rsidR="006E7FEC" w:rsidRPr="006E7FEC" w:rsidRDefault="006E7FEC" w:rsidP="006E7FEC">
      <w:pPr>
        <w:rPr>
          <w:rFonts w:cstheme="minorHAnsi"/>
        </w:rPr>
      </w:pPr>
      <w:r w:rsidRPr="006E7FEC">
        <w:rPr>
          <w:rFonts w:cstheme="minorHAnsi"/>
        </w:rPr>
        <w:t xml:space="preserve">This report critically examines </w:t>
      </w:r>
      <w:r w:rsidRPr="006E7FEC">
        <w:rPr>
          <w:rFonts w:cstheme="minorHAnsi"/>
          <w:b/>
          <w:bCs/>
        </w:rPr>
        <w:t>Sustainable Development Goal 3 (Good Health and Wellbeing)</w:t>
      </w:r>
      <w:r w:rsidRPr="006E7FEC">
        <w:rPr>
          <w:rFonts w:cstheme="minorHAnsi"/>
        </w:rPr>
        <w:t xml:space="preserve"> alongside </w:t>
      </w:r>
      <w:r w:rsidRPr="006E7FEC">
        <w:rPr>
          <w:rFonts w:cstheme="minorHAnsi"/>
          <w:b/>
          <w:bCs/>
        </w:rPr>
        <w:t>Sustainable Development Goal 10 (Reduced Inequalities)</w:t>
      </w:r>
      <w:r w:rsidRPr="006E7FEC">
        <w:rPr>
          <w:rFonts w:cstheme="minorHAnsi"/>
        </w:rPr>
        <w:t>. These two goals have been selected because reducing health inequalities is fundamental to achieving positive health outcomes and ensuring equitable access to healthcare services for all members of society. The report evaluates how international organisations, the United Kingdom government and local authorities have implemented policies and initiatives to support these goals. It also critically assesses the effectiveness of these approaches using relevant public health theories and evidence from current academic literature.</w:t>
      </w:r>
    </w:p>
    <w:p w14:paraId="6ECD94B0" w14:textId="77777777" w:rsidR="006E7FEC" w:rsidRPr="006E7FEC" w:rsidRDefault="006E7FEC" w:rsidP="006E7FEC">
      <w:pPr>
        <w:rPr>
          <w:rFonts w:cstheme="minorHAnsi"/>
          <w:b/>
          <w:bCs/>
        </w:rPr>
      </w:pPr>
      <w:r w:rsidRPr="006E7FEC">
        <w:rPr>
          <w:rFonts w:cstheme="minorHAnsi"/>
          <w:b/>
          <w:bCs/>
        </w:rPr>
        <w:t>Sustainable Development Goal 3 – Good Health and Wellbeing</w:t>
      </w:r>
    </w:p>
    <w:p w14:paraId="5FCE1CB8" w14:textId="77777777" w:rsidR="006E7FEC" w:rsidRPr="006E7FEC" w:rsidRDefault="006E7FEC" w:rsidP="006E7FEC">
      <w:pPr>
        <w:rPr>
          <w:rFonts w:cstheme="minorHAnsi"/>
          <w:b/>
          <w:bCs/>
        </w:rPr>
      </w:pPr>
      <w:r w:rsidRPr="006E7FEC">
        <w:rPr>
          <w:rFonts w:cstheme="minorHAnsi"/>
          <w:b/>
          <w:bCs/>
        </w:rPr>
        <w:t>Overview of SDG 3</w:t>
      </w:r>
    </w:p>
    <w:p w14:paraId="0130B78F" w14:textId="77777777" w:rsidR="006E7FEC" w:rsidRPr="006E7FEC" w:rsidRDefault="006E7FEC" w:rsidP="006E7FEC">
      <w:pPr>
        <w:rPr>
          <w:rFonts w:cstheme="minorHAnsi"/>
        </w:rPr>
      </w:pPr>
      <w:r w:rsidRPr="006E7FEC">
        <w:rPr>
          <w:rFonts w:cstheme="minorHAnsi"/>
        </w:rPr>
        <w:t>Sustainable Development Goal 3 aims to “ensure healthy lives and promote well-being for all at all ages” by 2030 (United Nations, 2015). It contains 13 targets addressing major global health priorities, including maternal and infant mortality, communicable diseases, non-communicable diseases, mental health, substance misuse, road traffic injuries, universal health coverage and access to affordable medicines and vaccines. SDG 3 is therefore broader than providing medical treatment because it recognises the importance of prevention, health promotion, accessible services and the social and environmental conditions influencing health.</w:t>
      </w:r>
    </w:p>
    <w:p w14:paraId="44FE8DF7" w14:textId="77777777" w:rsidR="006E7FEC" w:rsidRPr="006E7FEC" w:rsidRDefault="006E7FEC" w:rsidP="006E7FEC">
      <w:pPr>
        <w:rPr>
          <w:rFonts w:cstheme="minorHAnsi"/>
        </w:rPr>
      </w:pPr>
      <w:r w:rsidRPr="006E7FEC">
        <w:rPr>
          <w:rFonts w:cstheme="minorHAnsi"/>
        </w:rPr>
        <w:t xml:space="preserve">Although progress has been achieved in areas such as life expectancy, infectious-disease control and child survival, progress remains unequal and insufficient. The World Health Organization’s </w:t>
      </w:r>
      <w:r w:rsidRPr="006E7FEC">
        <w:rPr>
          <w:rFonts w:cstheme="minorHAnsi"/>
          <w:i/>
          <w:iCs/>
        </w:rPr>
        <w:t>World Health Statistics 2025</w:t>
      </w:r>
      <w:r w:rsidRPr="006E7FEC">
        <w:rPr>
          <w:rFonts w:cstheme="minorHAnsi"/>
        </w:rPr>
        <w:t xml:space="preserve"> reports that many health-related SDG targets are not on course to be achieved by 2030 and identifies persistent inequalities in immunisation, healthy life expectancy and premature mortality (WHO, 2025). The COVID-19 pandemic additionally disrupted health services and increased the global prevalence of anxiety and depression, demonstrating the vulnerability of health systems to major emergencies.</w:t>
      </w:r>
    </w:p>
    <w:p w14:paraId="74990C3A" w14:textId="77777777" w:rsidR="006E7FEC" w:rsidRPr="006E7FEC" w:rsidRDefault="006E7FEC" w:rsidP="006E7FEC">
      <w:pPr>
        <w:rPr>
          <w:rFonts w:cstheme="minorHAnsi"/>
          <w:b/>
          <w:bCs/>
        </w:rPr>
      </w:pPr>
      <w:r w:rsidRPr="006E7FEC">
        <w:rPr>
          <w:rFonts w:cstheme="minorHAnsi"/>
          <w:b/>
          <w:bCs/>
        </w:rPr>
        <w:t>Global policies and initiatives</w:t>
      </w:r>
    </w:p>
    <w:p w14:paraId="2E770E06" w14:textId="77777777" w:rsidR="006E7FEC" w:rsidRPr="006E7FEC" w:rsidRDefault="006E7FEC" w:rsidP="006E7FEC">
      <w:pPr>
        <w:rPr>
          <w:rFonts w:cstheme="minorHAnsi"/>
        </w:rPr>
      </w:pPr>
      <w:r w:rsidRPr="006E7FEC">
        <w:rPr>
          <w:rFonts w:cstheme="minorHAnsi"/>
        </w:rPr>
        <w:t>The United Nations’ 2030 Agenda provides the main international framework for implementing SDG 3. This is supported by the WHO through technical guidance, disease-surveillance systems and international programmes promoting universal health coverage. The SDG 3 Global Action Plan was established to improve collaboration between major international health organisations and accelerate progress in individual countries. Its strengths included recognising that fragmented programmes and competition between organisations could reduce effectiveness. However, an independent evaluation found that the framework had not delivered as intended, and participating agencies agreed to close the initiative in 2025. This demonstrates that international collaboration alone does not guarantee improved outcomes unless responsibilities, funding arrangements and accountability mechanisms are clearly established.</w:t>
      </w:r>
    </w:p>
    <w:p w14:paraId="2861C6E3" w14:textId="77777777" w:rsidR="006E7FEC" w:rsidRPr="006E7FEC" w:rsidRDefault="006E7FEC" w:rsidP="006E7FEC">
      <w:pPr>
        <w:rPr>
          <w:rFonts w:cstheme="minorHAnsi"/>
        </w:rPr>
      </w:pPr>
      <w:r w:rsidRPr="006E7FEC">
        <w:rPr>
          <w:rFonts w:cstheme="minorHAnsi"/>
        </w:rPr>
        <w:t xml:space="preserve">Global progress is also limited by differences in national wealth, workforce capacity, political stability and healthcare infrastructure. Low- and middle-income countries may lack sufficient healthcare </w:t>
      </w:r>
      <w:r w:rsidRPr="006E7FEC">
        <w:rPr>
          <w:rFonts w:cstheme="minorHAnsi"/>
        </w:rPr>
        <w:lastRenderedPageBreak/>
        <w:t>professionals, medicines, diagnostic services and reliable health data. Consequently, universal targets may fail to reflect the different starting positions of individual countries. Greater financial support, technology transfer and workforce development are therefore necessary to prevent SDG 3 from becoming an aspiration without practical implementation.</w:t>
      </w:r>
    </w:p>
    <w:p w14:paraId="4A17A99D" w14:textId="77777777" w:rsidR="006E7FEC" w:rsidRPr="006E7FEC" w:rsidRDefault="006E7FEC" w:rsidP="006E7FEC">
      <w:pPr>
        <w:rPr>
          <w:rFonts w:cstheme="minorHAnsi"/>
          <w:b/>
          <w:bCs/>
        </w:rPr>
      </w:pPr>
      <w:r w:rsidRPr="006E7FEC">
        <w:rPr>
          <w:rFonts w:cstheme="minorHAnsi"/>
          <w:b/>
          <w:bCs/>
        </w:rPr>
        <w:t>National policies and initiatives in Wales</w:t>
      </w:r>
    </w:p>
    <w:p w14:paraId="08D2B9E4" w14:textId="77777777" w:rsidR="006E7FEC" w:rsidRPr="006E7FEC" w:rsidRDefault="006E7FEC" w:rsidP="006E7FEC">
      <w:pPr>
        <w:rPr>
          <w:rFonts w:cstheme="minorHAnsi"/>
        </w:rPr>
      </w:pPr>
      <w:r w:rsidRPr="006E7FEC">
        <w:rPr>
          <w:rFonts w:cstheme="minorHAnsi"/>
        </w:rPr>
        <w:t xml:space="preserve">In Wales, SDG 3 is reflected in </w:t>
      </w:r>
      <w:r w:rsidRPr="006E7FEC">
        <w:rPr>
          <w:rFonts w:cstheme="minorHAnsi"/>
          <w:i/>
          <w:iCs/>
        </w:rPr>
        <w:t>A Healthier Wales</w:t>
      </w:r>
      <w:r w:rsidRPr="006E7FEC">
        <w:rPr>
          <w:rFonts w:cstheme="minorHAnsi"/>
        </w:rPr>
        <w:t>, the Welsh Government’s long-term plan for health and social care. The policy proposes an integrated “whole-system” approach that shifts attention from hospital-based treatment towards prevention, early intervention, community services and support for individuals to manage their health (Welsh Government, 2018). The refreshed 2024 actions also prioritise primary and community care, integrated services and care delivered closer to people’s homes.</w:t>
      </w:r>
    </w:p>
    <w:p w14:paraId="173208BE" w14:textId="77777777" w:rsidR="006E7FEC" w:rsidRPr="006E7FEC" w:rsidRDefault="006E7FEC" w:rsidP="006E7FEC">
      <w:pPr>
        <w:rPr>
          <w:rFonts w:cstheme="minorHAnsi"/>
        </w:rPr>
      </w:pPr>
      <w:r w:rsidRPr="006E7FEC">
        <w:rPr>
          <w:rFonts w:cstheme="minorHAnsi"/>
        </w:rPr>
        <w:t>A major strength of this policy is its recognition that good health cannot be achieved by the NHS alone. Public Health Wales identifies employment, income, education, housing and the physical environment as wider determinants that influence health outcomes and inequalities. Its long-term strategy for 2023–2035 prioritises influencing these determinants, promoting mental wellbeing, encouraging healthy behaviour and reducing inequalities. This approach is consistent with the Well-being of Future Generations (Wales) Act 2015, which requires public bodies to consider prevention, collaboration and the long-term consequences of decision-making.</w:t>
      </w:r>
    </w:p>
    <w:p w14:paraId="75861B3D" w14:textId="77777777" w:rsidR="006E7FEC" w:rsidRPr="006E7FEC" w:rsidRDefault="006E7FEC" w:rsidP="006E7FEC">
      <w:pPr>
        <w:rPr>
          <w:rFonts w:cstheme="minorHAnsi"/>
        </w:rPr>
      </w:pPr>
      <w:r w:rsidRPr="006E7FEC">
        <w:rPr>
          <w:rFonts w:cstheme="minorHAnsi"/>
        </w:rPr>
        <w:t>Nevertheless, significant inequalities remain. Public Health Wales reports that people living in the most disadvantaged Welsh communities can experience 13 fewer years of healthy life for men and 17 fewer years for women than those in the least disadvantaged communities. This suggests that national policies have correctly identified prevention and inequality as priorities but have not yet produced equal improvements across the population. Financial pressures, workforce shortages, waiting lists and continuing demand for urgent care may also encourage resources to be directed towards immediate treatment rather than long-term prevention.</w:t>
      </w:r>
    </w:p>
    <w:p w14:paraId="34CFF889" w14:textId="77777777" w:rsidR="006E7FEC" w:rsidRPr="006E7FEC" w:rsidRDefault="006E7FEC" w:rsidP="006E7FEC">
      <w:pPr>
        <w:rPr>
          <w:rFonts w:cstheme="minorHAnsi"/>
          <w:b/>
          <w:bCs/>
        </w:rPr>
      </w:pPr>
      <w:r w:rsidRPr="006E7FEC">
        <w:rPr>
          <w:rFonts w:cstheme="minorHAnsi"/>
          <w:b/>
          <w:bCs/>
        </w:rPr>
        <w:t>Local initiatives</w:t>
      </w:r>
    </w:p>
    <w:p w14:paraId="297E5F89" w14:textId="77777777" w:rsidR="006E7FEC" w:rsidRPr="006E7FEC" w:rsidRDefault="006E7FEC" w:rsidP="006E7FEC">
      <w:pPr>
        <w:rPr>
          <w:rFonts w:cstheme="minorHAnsi"/>
        </w:rPr>
      </w:pPr>
      <w:r w:rsidRPr="006E7FEC">
        <w:rPr>
          <w:rFonts w:cstheme="minorHAnsi"/>
        </w:rPr>
        <w:t>At local level, Swansea Bay University Health Board’s Population Health Strategy focuses on prevention, equity and reducing health differences between deprived and affluent communities. Its current planning includes vaccination, health protection, early intervention and action on wider determinants. However, the Health Board acknowledges that inequalities contribute to higher levels of long-term illness, later presentation and greater reliance on emergency services. Swansea’s Whole System Approach to Healthy Weight also involves collaboration between health services, the council and community partners. This is valuable because obesity is affected by food affordability, transport, education, opportunities for physical activity and the local environment rather than individual choice alone.</w:t>
      </w:r>
    </w:p>
    <w:p w14:paraId="7023D459" w14:textId="77777777" w:rsidR="006E7FEC" w:rsidRPr="006E7FEC" w:rsidRDefault="006E7FEC" w:rsidP="006E7FEC">
      <w:pPr>
        <w:rPr>
          <w:rFonts w:cstheme="minorHAnsi"/>
          <w:b/>
          <w:bCs/>
        </w:rPr>
      </w:pPr>
      <w:r w:rsidRPr="006E7FEC">
        <w:rPr>
          <w:rFonts w:cstheme="minorHAnsi"/>
          <w:b/>
          <w:bCs/>
        </w:rPr>
        <w:t>Application of health theories</w:t>
      </w:r>
    </w:p>
    <w:p w14:paraId="29964269" w14:textId="77777777" w:rsidR="006E7FEC" w:rsidRPr="006E7FEC" w:rsidRDefault="006E7FEC" w:rsidP="006E7FEC">
      <w:pPr>
        <w:rPr>
          <w:rFonts w:cstheme="minorHAnsi"/>
        </w:rPr>
      </w:pPr>
      <w:r w:rsidRPr="006E7FEC">
        <w:rPr>
          <w:rFonts w:cstheme="minorHAnsi"/>
        </w:rPr>
        <w:t>The Health Belief Model can explain participation in vaccination, screening and disease-prevention programmes. Individuals are more likely to act when they believe they are susceptible to a condition, consider its consequences serious, recognise the benefits of action and perceive limited barriers. Policies should therefore provide understandable risk information while reducing practical barriers such as transport difficulties, appointment availability and language needs.</w:t>
      </w:r>
    </w:p>
    <w:p w14:paraId="047E752A" w14:textId="77777777" w:rsidR="006E7FEC" w:rsidRPr="006E7FEC" w:rsidRDefault="006E7FEC" w:rsidP="006E7FEC">
      <w:pPr>
        <w:rPr>
          <w:rFonts w:cstheme="minorHAnsi"/>
        </w:rPr>
      </w:pPr>
      <w:r w:rsidRPr="006E7FEC">
        <w:rPr>
          <w:rFonts w:cstheme="minorHAnsi"/>
        </w:rPr>
        <w:t xml:space="preserve">Social Cognitive Theory is also relevant because health behaviours are influenced by personal beliefs, social environments and observation of others. Community-based programmes, peer support and </w:t>
      </w:r>
      <w:r w:rsidRPr="006E7FEC">
        <w:rPr>
          <w:rFonts w:cstheme="minorHAnsi"/>
        </w:rPr>
        <w:lastRenderedPageBreak/>
        <w:t xml:space="preserve">culturally appropriate role models may increase self-efficacy and make healthy behaviour appear achievable. However, both theories may overemphasise individual responsibility when poverty, insecure housing and </w:t>
      </w:r>
      <w:proofErr w:type="gramStart"/>
      <w:r w:rsidRPr="006E7FEC">
        <w:rPr>
          <w:rFonts w:cstheme="minorHAnsi"/>
        </w:rPr>
        <w:t>limited service</w:t>
      </w:r>
      <w:proofErr w:type="gramEnd"/>
      <w:r w:rsidRPr="006E7FEC">
        <w:rPr>
          <w:rFonts w:cstheme="minorHAnsi"/>
        </w:rPr>
        <w:t xml:space="preserve"> access restrict people’s choices.</w:t>
      </w:r>
    </w:p>
    <w:p w14:paraId="51F54C7D" w14:textId="32DC4EC6" w:rsidR="006E7FEC" w:rsidRPr="006E7FEC" w:rsidRDefault="006E7FEC" w:rsidP="006E7FEC">
      <w:pPr>
        <w:rPr>
          <w:rFonts w:cstheme="minorHAnsi"/>
          <w:b/>
          <w:bCs/>
        </w:rPr>
      </w:pPr>
      <w:r w:rsidRPr="006E7FEC">
        <w:rPr>
          <w:rFonts w:cstheme="minorHAnsi"/>
          <w:b/>
          <w:bCs/>
        </w:rPr>
        <w:t xml:space="preserve">Section 2: Sustainable Development Goal 10 </w:t>
      </w:r>
    </w:p>
    <w:p w14:paraId="4A843CB6" w14:textId="77777777" w:rsidR="006E7FEC" w:rsidRPr="006E7FEC" w:rsidRDefault="006E7FEC" w:rsidP="006E7FEC">
      <w:pPr>
        <w:rPr>
          <w:rFonts w:cstheme="minorHAnsi"/>
          <w:b/>
          <w:bCs/>
        </w:rPr>
      </w:pPr>
      <w:r w:rsidRPr="006E7FEC">
        <w:rPr>
          <w:rFonts w:cstheme="minorHAnsi"/>
          <w:b/>
          <w:bCs/>
        </w:rPr>
        <w:t>Overview of SDG 10</w:t>
      </w:r>
    </w:p>
    <w:p w14:paraId="00AADCB3" w14:textId="77777777" w:rsidR="006E7FEC" w:rsidRPr="006E7FEC" w:rsidRDefault="006E7FEC" w:rsidP="006E7FEC">
      <w:pPr>
        <w:rPr>
          <w:rFonts w:cstheme="minorHAnsi"/>
        </w:rPr>
      </w:pPr>
      <w:r w:rsidRPr="006E7FEC">
        <w:rPr>
          <w:rFonts w:cstheme="minorHAnsi"/>
        </w:rPr>
        <w:t>Sustainable Development Goal 10 (SDG 10) aims to reduce inequalities within and between countries by promoting equal opportunities regardless of income, age, disability, gender or ethnicity (United Nations, 2015). The goal recognises that inequality extends beyond financial differences to include unequal access to healthcare, education and employment. As these factors influence health outcomes, SDG 10 is closely linked to SDG 3 (Good Health and Wellbeing).</w:t>
      </w:r>
    </w:p>
    <w:p w14:paraId="35E17700" w14:textId="77777777" w:rsidR="006E7FEC" w:rsidRPr="006E7FEC" w:rsidRDefault="006E7FEC" w:rsidP="006E7FEC">
      <w:pPr>
        <w:rPr>
          <w:rFonts w:cstheme="minorHAnsi"/>
          <w:b/>
          <w:bCs/>
        </w:rPr>
      </w:pPr>
      <w:r w:rsidRPr="006E7FEC">
        <w:rPr>
          <w:rFonts w:cstheme="minorHAnsi"/>
          <w:b/>
          <w:bCs/>
        </w:rPr>
        <w:t>Global policies and initiatives</w:t>
      </w:r>
    </w:p>
    <w:p w14:paraId="259F08C7" w14:textId="77777777" w:rsidR="006E7FEC" w:rsidRPr="006E7FEC" w:rsidRDefault="006E7FEC" w:rsidP="006E7FEC">
      <w:pPr>
        <w:rPr>
          <w:rFonts w:cstheme="minorHAnsi"/>
        </w:rPr>
      </w:pPr>
      <w:r w:rsidRPr="006E7FEC">
        <w:rPr>
          <w:rFonts w:cstheme="minorHAnsi"/>
        </w:rPr>
        <w:t xml:space="preserve">The United Nations 2030 Agenda provides the international framework for reducing inequalities, while the World Health Organization promotes the </w:t>
      </w:r>
      <w:r w:rsidRPr="006E7FEC">
        <w:rPr>
          <w:rFonts w:cstheme="minorHAnsi"/>
          <w:b/>
          <w:bCs/>
        </w:rPr>
        <w:t>Health in All Policies</w:t>
      </w:r>
      <w:r w:rsidRPr="006E7FEC">
        <w:rPr>
          <w:rFonts w:cstheme="minorHAnsi"/>
        </w:rPr>
        <w:t xml:space="preserve"> approach, encouraging governments to consider health across all policy areas. The WHO Commission on Social Determinants of Health (2008) concluded that inequalities in income, education and living conditions contribute significantly to poor health.</w:t>
      </w:r>
    </w:p>
    <w:p w14:paraId="61208E10" w14:textId="77777777" w:rsidR="006E7FEC" w:rsidRPr="006E7FEC" w:rsidRDefault="006E7FEC" w:rsidP="006E7FEC">
      <w:pPr>
        <w:rPr>
          <w:rFonts w:cstheme="minorHAnsi"/>
        </w:rPr>
      </w:pPr>
      <w:r w:rsidRPr="006E7FEC">
        <w:rPr>
          <w:rFonts w:cstheme="minorHAnsi"/>
        </w:rPr>
        <w:t>These global initiatives have increased awareness of health inequalities and encouraged governments to adopt preventative approaches. However, progress remains uneven because implementation depends on national priorities and available resources. Many countries continue to experience widening health inequalities due to poverty, conflict and economic instability.</w:t>
      </w:r>
    </w:p>
    <w:p w14:paraId="38F6D880" w14:textId="77777777" w:rsidR="006E7FEC" w:rsidRPr="006E7FEC" w:rsidRDefault="006E7FEC" w:rsidP="006E7FEC">
      <w:pPr>
        <w:rPr>
          <w:rFonts w:cstheme="minorHAnsi"/>
          <w:b/>
          <w:bCs/>
        </w:rPr>
      </w:pPr>
      <w:r w:rsidRPr="006E7FEC">
        <w:rPr>
          <w:rFonts w:cstheme="minorHAnsi"/>
          <w:b/>
          <w:bCs/>
        </w:rPr>
        <w:t>National policies and initiatives</w:t>
      </w:r>
    </w:p>
    <w:p w14:paraId="70DC746C" w14:textId="77777777" w:rsidR="006E7FEC" w:rsidRPr="006E7FEC" w:rsidRDefault="006E7FEC" w:rsidP="006E7FEC">
      <w:pPr>
        <w:rPr>
          <w:rFonts w:cstheme="minorHAnsi"/>
        </w:rPr>
      </w:pPr>
      <w:r w:rsidRPr="006E7FEC">
        <w:rPr>
          <w:rFonts w:cstheme="minorHAnsi"/>
        </w:rPr>
        <w:t xml:space="preserve">In Wales, reducing inequalities is supported by the </w:t>
      </w:r>
      <w:r w:rsidRPr="006E7FEC">
        <w:rPr>
          <w:rFonts w:cstheme="minorHAnsi"/>
          <w:b/>
          <w:bCs/>
        </w:rPr>
        <w:t>Well-being of Future Generations (Wales) Act 2015</w:t>
      </w:r>
      <w:r w:rsidRPr="006E7FEC">
        <w:rPr>
          <w:rFonts w:cstheme="minorHAnsi"/>
        </w:rPr>
        <w:t xml:space="preserve">, which encourages prevention, collaboration and long-term planning across public services. The Welsh Government's </w:t>
      </w:r>
      <w:r w:rsidRPr="006E7FEC">
        <w:rPr>
          <w:rFonts w:cstheme="minorHAnsi"/>
          <w:b/>
          <w:bCs/>
        </w:rPr>
        <w:t>A Healthier Wales</w:t>
      </w:r>
      <w:r w:rsidRPr="006E7FEC">
        <w:rPr>
          <w:rFonts w:cstheme="minorHAnsi"/>
        </w:rPr>
        <w:t xml:space="preserve"> strategy also promotes integrated health and social care while addressing the wider determinants of health, including housing, education and employment.</w:t>
      </w:r>
    </w:p>
    <w:p w14:paraId="546B4FD7" w14:textId="77777777" w:rsidR="006E7FEC" w:rsidRPr="006E7FEC" w:rsidRDefault="006E7FEC" w:rsidP="006E7FEC">
      <w:pPr>
        <w:rPr>
          <w:rFonts w:cstheme="minorHAnsi"/>
        </w:rPr>
      </w:pPr>
      <w:r w:rsidRPr="006E7FEC">
        <w:rPr>
          <w:rFonts w:cstheme="minorHAnsi"/>
        </w:rPr>
        <w:t>Although these policies provide a strong strategic framework, health inequalities remain. Public Health Wales continues to report large differences in healthy life expectancy between deprived and affluent communities. Financial pressures, workforce shortages and increasing demand on NHS services have also reduced opportunities to invest in prevention.</w:t>
      </w:r>
    </w:p>
    <w:p w14:paraId="33E2C7A5" w14:textId="77777777" w:rsidR="006E7FEC" w:rsidRPr="006E7FEC" w:rsidRDefault="006E7FEC" w:rsidP="006E7FEC">
      <w:pPr>
        <w:rPr>
          <w:rFonts w:cstheme="minorHAnsi"/>
          <w:b/>
          <w:bCs/>
        </w:rPr>
      </w:pPr>
      <w:r w:rsidRPr="006E7FEC">
        <w:rPr>
          <w:rFonts w:cstheme="minorHAnsi"/>
          <w:b/>
          <w:bCs/>
        </w:rPr>
        <w:t>Local initiatives</w:t>
      </w:r>
    </w:p>
    <w:p w14:paraId="1E11C4EF" w14:textId="77777777" w:rsidR="006E7FEC" w:rsidRPr="006E7FEC" w:rsidRDefault="006E7FEC" w:rsidP="006E7FEC">
      <w:pPr>
        <w:rPr>
          <w:rFonts w:cstheme="minorHAnsi"/>
        </w:rPr>
      </w:pPr>
      <w:r w:rsidRPr="006E7FEC">
        <w:rPr>
          <w:rFonts w:cstheme="minorHAnsi"/>
        </w:rPr>
        <w:t>Locally, Swansea Bay University Health Board works with local authorities to improve population health through prevention, mental health support and community partnerships. Regional Partnership Boards coordinate health, housing and social care services for vulnerable groups.</w:t>
      </w:r>
    </w:p>
    <w:p w14:paraId="2ABCBCF2" w14:textId="77777777" w:rsidR="006E7FEC" w:rsidRPr="006E7FEC" w:rsidRDefault="006E7FEC" w:rsidP="006E7FEC">
      <w:pPr>
        <w:rPr>
          <w:rFonts w:cstheme="minorHAnsi"/>
        </w:rPr>
      </w:pPr>
      <w:r w:rsidRPr="006E7FEC">
        <w:rPr>
          <w:rFonts w:cstheme="minorHAnsi"/>
        </w:rPr>
        <w:t>Despite these initiatives, barriers such as poverty, transport, digital exclusion and limited access to community services continue to reduce healthcare access for disadvantaged populations. This demonstrates that healthcare services alone cannot eliminate health inequalities.</w:t>
      </w:r>
    </w:p>
    <w:p w14:paraId="25A96BA1" w14:textId="77777777" w:rsidR="006E7FEC" w:rsidRPr="006E7FEC" w:rsidRDefault="006E7FEC" w:rsidP="006E7FEC">
      <w:pPr>
        <w:rPr>
          <w:rFonts w:cstheme="minorHAnsi"/>
          <w:b/>
          <w:bCs/>
        </w:rPr>
      </w:pPr>
      <w:r w:rsidRPr="006E7FEC">
        <w:rPr>
          <w:rFonts w:cstheme="minorHAnsi"/>
          <w:b/>
          <w:bCs/>
        </w:rPr>
        <w:t>Application of theory</w:t>
      </w:r>
    </w:p>
    <w:p w14:paraId="6F92BF8D" w14:textId="77777777" w:rsidR="006E7FEC" w:rsidRPr="006E7FEC" w:rsidRDefault="006E7FEC" w:rsidP="006E7FEC">
      <w:pPr>
        <w:rPr>
          <w:rFonts w:cstheme="minorHAnsi"/>
        </w:rPr>
      </w:pPr>
      <w:r w:rsidRPr="006E7FEC">
        <w:rPr>
          <w:rFonts w:cstheme="minorHAnsi"/>
        </w:rPr>
        <w:t xml:space="preserve">The </w:t>
      </w:r>
      <w:r w:rsidRPr="006E7FEC">
        <w:rPr>
          <w:rFonts w:cstheme="minorHAnsi"/>
          <w:b/>
          <w:bCs/>
        </w:rPr>
        <w:t>Social Determinants of Health Framework</w:t>
      </w:r>
      <w:r w:rsidRPr="006E7FEC">
        <w:rPr>
          <w:rFonts w:cstheme="minorHAnsi"/>
        </w:rPr>
        <w:t xml:space="preserve"> (Dahlgren and Whitehead, 1991) explains that health is influenced by income, education, employment, housing and wider social conditions rather than </w:t>
      </w:r>
      <w:r w:rsidRPr="006E7FEC">
        <w:rPr>
          <w:rFonts w:cstheme="minorHAnsi"/>
        </w:rPr>
        <w:lastRenderedPageBreak/>
        <w:t>medical care alone. This framework supports SDG 10 by emphasising that reducing inequalities requires coordinated action across government.</w:t>
      </w:r>
    </w:p>
    <w:p w14:paraId="6BCB69AC" w14:textId="77777777" w:rsidR="006E7FEC" w:rsidRPr="006E7FEC" w:rsidRDefault="006E7FEC" w:rsidP="006E7FEC">
      <w:pPr>
        <w:rPr>
          <w:rFonts w:cstheme="minorHAnsi"/>
        </w:rPr>
      </w:pPr>
      <w:r w:rsidRPr="006E7FEC">
        <w:rPr>
          <w:rFonts w:cstheme="minorHAnsi"/>
        </w:rPr>
        <w:t>Social Cognitive Theory also highlights that health behaviours are influenced by social environments and self-efficacy. However, behavioural theories alone cannot explain inequalities because they overlook structural barriers such as poverty and unemployment. Therefore, both approaches should be considered when developing public health policy.</w:t>
      </w:r>
    </w:p>
    <w:p w14:paraId="75A1E996" w14:textId="77777777" w:rsidR="006E7FEC" w:rsidRPr="006E7FEC" w:rsidRDefault="006E7FEC" w:rsidP="006E7FEC">
      <w:pPr>
        <w:rPr>
          <w:rFonts w:cstheme="minorHAnsi"/>
          <w:b/>
          <w:bCs/>
        </w:rPr>
      </w:pPr>
      <w:r w:rsidRPr="006E7FEC">
        <w:rPr>
          <w:rFonts w:cstheme="minorHAnsi"/>
          <w:b/>
          <w:bCs/>
        </w:rPr>
        <w:t>Recommendations</w:t>
      </w:r>
    </w:p>
    <w:p w14:paraId="5F8B144E" w14:textId="77777777" w:rsidR="006E7FEC" w:rsidRPr="006E7FEC" w:rsidRDefault="006E7FEC" w:rsidP="006E7FEC">
      <w:pPr>
        <w:rPr>
          <w:rFonts w:cstheme="minorHAnsi"/>
        </w:rPr>
      </w:pPr>
      <w:r w:rsidRPr="006E7FEC">
        <w:rPr>
          <w:rFonts w:cstheme="minorHAnsi"/>
        </w:rPr>
        <w:t>Greater investment should be directed towards preventative services in deprived communities through proportionate universalism, ensuring support is available to everyone while targeting additional resources where need is greatest. Health, education, housing and employment services should continue working together to address the wider determinants of health. Finally, governments should strengthen monitoring of health inequalities and protect funding for preventative public health programmes to improve long-term health outcomes and achieve SDG 10.</w:t>
      </w:r>
    </w:p>
    <w:p w14:paraId="786174DB" w14:textId="77777777" w:rsidR="006E7FEC" w:rsidRPr="006E7FEC" w:rsidRDefault="006E7FEC" w:rsidP="006E7FEC">
      <w:pPr>
        <w:rPr>
          <w:rFonts w:cstheme="minorHAnsi"/>
          <w:b/>
          <w:bCs/>
        </w:rPr>
      </w:pPr>
      <w:r w:rsidRPr="006E7FEC">
        <w:rPr>
          <w:rFonts w:cstheme="minorHAnsi"/>
          <w:b/>
          <w:bCs/>
        </w:rPr>
        <w:t>Conclusion</w:t>
      </w:r>
    </w:p>
    <w:p w14:paraId="4DCCE580" w14:textId="77777777" w:rsidR="006E7FEC" w:rsidRPr="006E7FEC" w:rsidRDefault="006E7FEC" w:rsidP="006E7FEC">
      <w:pPr>
        <w:rPr>
          <w:rFonts w:cstheme="minorHAnsi"/>
        </w:rPr>
      </w:pPr>
      <w:r w:rsidRPr="006E7FEC">
        <w:rPr>
          <w:rFonts w:cstheme="minorHAnsi"/>
        </w:rPr>
        <w:t xml:space="preserve">This report has critically examined Sustainable Development Goal 3 (Good Health and Wellbeing) and Sustainable Development Goal 10 (Reduced Inequalities), demonstrating that both goals are closely interconnected and essential for improving population health. The evidence shows that although significant progress has been made through international frameworks such as the United Nations Sustainable Development Goals and national strategies including </w:t>
      </w:r>
      <w:r w:rsidRPr="006E7FEC">
        <w:rPr>
          <w:rFonts w:cstheme="minorHAnsi"/>
          <w:i/>
          <w:iCs/>
        </w:rPr>
        <w:t>A Healthier Wales</w:t>
      </w:r>
      <w:r w:rsidRPr="006E7FEC">
        <w:rPr>
          <w:rFonts w:cstheme="minorHAnsi"/>
        </w:rPr>
        <w:t xml:space="preserve"> and the </w:t>
      </w:r>
      <w:r w:rsidRPr="006E7FEC">
        <w:rPr>
          <w:rFonts w:cstheme="minorHAnsi"/>
          <w:i/>
          <w:iCs/>
        </w:rPr>
        <w:t>Well-being of Future Generations (Wales) Act 2015</w:t>
      </w:r>
      <w:r w:rsidRPr="006E7FEC">
        <w:rPr>
          <w:rFonts w:cstheme="minorHAnsi"/>
        </w:rPr>
        <w:t>, considerable health inequalities continue to exist.</w:t>
      </w:r>
    </w:p>
    <w:p w14:paraId="488D47BA" w14:textId="77777777" w:rsidR="006E7FEC" w:rsidRPr="006E7FEC" w:rsidRDefault="006E7FEC" w:rsidP="006E7FEC">
      <w:pPr>
        <w:rPr>
          <w:rFonts w:cstheme="minorHAnsi"/>
        </w:rPr>
      </w:pPr>
      <w:r w:rsidRPr="006E7FEC">
        <w:rPr>
          <w:rFonts w:cstheme="minorHAnsi"/>
        </w:rPr>
        <w:t>The report identified that health outcomes are influenced by wider social determinants, including education, housing, employment and income, meaning that healthcare services alone cannot achieve sustainable improvements in health and wellbeing. The application of the Health Belief Model, Social Cognitive Theory and the Social Determinants of Health Framework highlighted the importance of combining individual behaviour change with wider policy interventions that address structural inequalities.</w:t>
      </w:r>
    </w:p>
    <w:p w14:paraId="6F057772" w14:textId="77777777" w:rsidR="006E7FEC" w:rsidRPr="006E7FEC" w:rsidRDefault="006E7FEC" w:rsidP="006E7FEC">
      <w:pPr>
        <w:rPr>
          <w:rFonts w:cstheme="minorHAnsi"/>
        </w:rPr>
      </w:pPr>
      <w:r w:rsidRPr="006E7FEC">
        <w:rPr>
          <w:rFonts w:cstheme="minorHAnsi"/>
        </w:rPr>
        <w:t>Although global, national and local initiatives have strengthened collaboration and prioritised prevention, challenges including workforce shortages, financial pressures and unequal access to services continue to limit progress. To achieve the ambitions of the 2030 Agenda, governments and healthcare organisations must continue investing in preventative services, strengthen partnerships across sectors and target resources towards the most disadvantaged communities. Ultimately, reducing inequalities and improving health are mutually dependent objectives, and sustained collaboration across all levels of society will be essential to ensure that no one is left behind.</w:t>
      </w:r>
    </w:p>
    <w:p w14:paraId="4614E98E" w14:textId="4A6C2BE2" w:rsidR="006E7FEC" w:rsidRPr="006E7FEC" w:rsidRDefault="006E7FEC" w:rsidP="006E7FEC">
      <w:pPr>
        <w:rPr>
          <w:rFonts w:cstheme="minorHAnsi"/>
          <w:b/>
          <w:bCs/>
        </w:rPr>
      </w:pPr>
      <w:r w:rsidRPr="006E7FEC">
        <w:rPr>
          <w:rFonts w:cstheme="minorHAnsi"/>
          <w:b/>
          <w:bCs/>
        </w:rPr>
        <w:t xml:space="preserve">Reference List </w:t>
      </w:r>
    </w:p>
    <w:p w14:paraId="2B50C17B" w14:textId="77777777" w:rsidR="006E7FEC" w:rsidRPr="006E7FEC" w:rsidRDefault="006E7FEC" w:rsidP="006E7FEC">
      <w:pPr>
        <w:rPr>
          <w:rFonts w:cstheme="minorHAnsi"/>
        </w:rPr>
      </w:pPr>
      <w:r w:rsidRPr="006E7FEC">
        <w:rPr>
          <w:rFonts w:cstheme="minorHAnsi"/>
        </w:rPr>
        <w:t xml:space="preserve">Dahlgren, G. and Whitehead, M. (1991) </w:t>
      </w:r>
      <w:r w:rsidRPr="006E7FEC">
        <w:rPr>
          <w:rFonts w:cstheme="minorHAnsi"/>
          <w:i/>
          <w:iCs/>
        </w:rPr>
        <w:t>Policies and Strategies to Promote Social Equity in Health</w:t>
      </w:r>
      <w:r w:rsidRPr="006E7FEC">
        <w:rPr>
          <w:rFonts w:cstheme="minorHAnsi"/>
        </w:rPr>
        <w:t>. Stockholm: Institute for Futures Studies.</w:t>
      </w:r>
    </w:p>
    <w:p w14:paraId="541B5DCE" w14:textId="77777777" w:rsidR="006E7FEC" w:rsidRPr="006E7FEC" w:rsidRDefault="006E7FEC" w:rsidP="006E7FEC">
      <w:pPr>
        <w:rPr>
          <w:rFonts w:cstheme="minorHAnsi"/>
        </w:rPr>
      </w:pPr>
      <w:r w:rsidRPr="006E7FEC">
        <w:rPr>
          <w:rFonts w:cstheme="minorHAnsi"/>
        </w:rPr>
        <w:t xml:space="preserve">NHS England (2019) </w:t>
      </w:r>
      <w:r w:rsidRPr="006E7FEC">
        <w:rPr>
          <w:rFonts w:cstheme="minorHAnsi"/>
          <w:i/>
          <w:iCs/>
        </w:rPr>
        <w:t>The NHS Long Term Plan</w:t>
      </w:r>
      <w:r w:rsidRPr="006E7FEC">
        <w:rPr>
          <w:rFonts w:cstheme="minorHAnsi"/>
        </w:rPr>
        <w:t xml:space="preserve">. Available at: </w:t>
      </w:r>
      <w:hyperlink r:id="rId4" w:tgtFrame="_new" w:history="1">
        <w:r w:rsidRPr="006E7FEC">
          <w:rPr>
            <w:rStyle w:val="Hyperlink"/>
            <w:rFonts w:cstheme="minorHAnsi"/>
          </w:rPr>
          <w:t>https://www.longtermplan.nhs.uk/</w:t>
        </w:r>
      </w:hyperlink>
      <w:r w:rsidRPr="006E7FEC">
        <w:rPr>
          <w:rFonts w:cstheme="minorHAnsi"/>
        </w:rPr>
        <w:t xml:space="preserve"> (Accessed: 16 July 2026).</w:t>
      </w:r>
    </w:p>
    <w:p w14:paraId="38EA84AC" w14:textId="77777777" w:rsidR="006E7FEC" w:rsidRPr="006E7FEC" w:rsidRDefault="006E7FEC" w:rsidP="006E7FEC">
      <w:pPr>
        <w:rPr>
          <w:rFonts w:cstheme="minorHAnsi"/>
        </w:rPr>
      </w:pPr>
      <w:r w:rsidRPr="006E7FEC">
        <w:rPr>
          <w:rFonts w:cstheme="minorHAnsi"/>
        </w:rPr>
        <w:t xml:space="preserve">Public Health Wales (2023) </w:t>
      </w:r>
      <w:r w:rsidRPr="006E7FEC">
        <w:rPr>
          <w:rFonts w:cstheme="minorHAnsi"/>
          <w:i/>
          <w:iCs/>
        </w:rPr>
        <w:t>Our Long-Term Strategy 2023–2035</w:t>
      </w:r>
      <w:r w:rsidRPr="006E7FEC">
        <w:rPr>
          <w:rFonts w:cstheme="minorHAnsi"/>
        </w:rPr>
        <w:t xml:space="preserve">. Cardiff: Public Health Wales. Available at: </w:t>
      </w:r>
      <w:hyperlink r:id="rId5" w:tgtFrame="_new" w:history="1">
        <w:r w:rsidRPr="006E7FEC">
          <w:rPr>
            <w:rStyle w:val="Hyperlink"/>
            <w:rFonts w:cstheme="minorHAnsi"/>
          </w:rPr>
          <w:t>https://phw.nhs.wales</w:t>
        </w:r>
      </w:hyperlink>
      <w:r w:rsidRPr="006E7FEC">
        <w:rPr>
          <w:rFonts w:cstheme="minorHAnsi"/>
        </w:rPr>
        <w:t xml:space="preserve"> (Accessed: 16 July 2026).</w:t>
      </w:r>
    </w:p>
    <w:p w14:paraId="17F09659" w14:textId="77777777" w:rsidR="006E7FEC" w:rsidRPr="006E7FEC" w:rsidRDefault="006E7FEC" w:rsidP="006E7FEC">
      <w:pPr>
        <w:rPr>
          <w:rFonts w:cstheme="minorHAnsi"/>
        </w:rPr>
      </w:pPr>
      <w:r w:rsidRPr="006E7FEC">
        <w:rPr>
          <w:rFonts w:cstheme="minorHAnsi"/>
        </w:rPr>
        <w:lastRenderedPageBreak/>
        <w:t xml:space="preserve">Swansea Bay University Health Board (2024) </w:t>
      </w:r>
      <w:r w:rsidRPr="006E7FEC">
        <w:rPr>
          <w:rFonts w:cstheme="minorHAnsi"/>
          <w:i/>
          <w:iCs/>
        </w:rPr>
        <w:t>Population Health Strategy</w:t>
      </w:r>
      <w:r w:rsidRPr="006E7FEC">
        <w:rPr>
          <w:rFonts w:cstheme="minorHAnsi"/>
        </w:rPr>
        <w:t xml:space="preserve">. Available at: </w:t>
      </w:r>
      <w:hyperlink r:id="rId6" w:tgtFrame="_new" w:history="1">
        <w:r w:rsidRPr="006E7FEC">
          <w:rPr>
            <w:rStyle w:val="Hyperlink"/>
            <w:rFonts w:cstheme="minorHAnsi"/>
          </w:rPr>
          <w:t>https://sbuhb.nhs.wales</w:t>
        </w:r>
      </w:hyperlink>
      <w:r w:rsidRPr="006E7FEC">
        <w:rPr>
          <w:rFonts w:cstheme="minorHAnsi"/>
        </w:rPr>
        <w:t xml:space="preserve"> (Accessed: 16 July 2026).</w:t>
      </w:r>
    </w:p>
    <w:p w14:paraId="03C4A256" w14:textId="77777777" w:rsidR="006E7FEC" w:rsidRPr="006E7FEC" w:rsidRDefault="006E7FEC" w:rsidP="006E7FEC">
      <w:pPr>
        <w:rPr>
          <w:rFonts w:cstheme="minorHAnsi"/>
        </w:rPr>
      </w:pPr>
      <w:r w:rsidRPr="006E7FEC">
        <w:rPr>
          <w:rFonts w:cstheme="minorHAnsi"/>
        </w:rPr>
        <w:t xml:space="preserve">United Nations (2015) </w:t>
      </w:r>
      <w:r w:rsidRPr="006E7FEC">
        <w:rPr>
          <w:rFonts w:cstheme="minorHAnsi"/>
          <w:i/>
          <w:iCs/>
        </w:rPr>
        <w:t>Transforming our world: The 2030 Agenda for Sustainable Development</w:t>
      </w:r>
      <w:r w:rsidRPr="006E7FEC">
        <w:rPr>
          <w:rFonts w:cstheme="minorHAnsi"/>
        </w:rPr>
        <w:t xml:space="preserve">. New York: United Nations. Available at: </w:t>
      </w:r>
      <w:hyperlink r:id="rId7" w:tgtFrame="_new" w:history="1">
        <w:r w:rsidRPr="006E7FEC">
          <w:rPr>
            <w:rStyle w:val="Hyperlink"/>
            <w:rFonts w:cstheme="minorHAnsi"/>
          </w:rPr>
          <w:t>https://sdgs.un.org/2030agenda</w:t>
        </w:r>
      </w:hyperlink>
      <w:r w:rsidRPr="006E7FEC">
        <w:rPr>
          <w:rFonts w:cstheme="minorHAnsi"/>
        </w:rPr>
        <w:t xml:space="preserve"> (Accessed: 16 July 2026).</w:t>
      </w:r>
    </w:p>
    <w:p w14:paraId="29947417" w14:textId="77777777" w:rsidR="006E7FEC" w:rsidRPr="006E7FEC" w:rsidRDefault="006E7FEC" w:rsidP="006E7FEC">
      <w:pPr>
        <w:rPr>
          <w:rFonts w:cstheme="minorHAnsi"/>
        </w:rPr>
      </w:pPr>
      <w:r w:rsidRPr="006E7FEC">
        <w:rPr>
          <w:rFonts w:cstheme="minorHAnsi"/>
        </w:rPr>
        <w:t xml:space="preserve">Welsh Government (2015) </w:t>
      </w:r>
      <w:r w:rsidRPr="006E7FEC">
        <w:rPr>
          <w:rFonts w:cstheme="minorHAnsi"/>
          <w:i/>
          <w:iCs/>
        </w:rPr>
        <w:t>Well-being of Future Generations (Wales) Act 2015</w:t>
      </w:r>
      <w:r w:rsidRPr="006E7FEC">
        <w:rPr>
          <w:rFonts w:cstheme="minorHAnsi"/>
        </w:rPr>
        <w:t>. Cardiff: Welsh Government. Available at: https://www.gov.wales/well-being-future-generations-wales-act-2015 (Accessed: 16 July 2026).</w:t>
      </w:r>
    </w:p>
    <w:p w14:paraId="3F366EB2" w14:textId="77777777" w:rsidR="006E7FEC" w:rsidRPr="006E7FEC" w:rsidRDefault="006E7FEC" w:rsidP="006E7FEC">
      <w:pPr>
        <w:rPr>
          <w:rFonts w:cstheme="minorHAnsi"/>
        </w:rPr>
      </w:pPr>
      <w:r w:rsidRPr="006E7FEC">
        <w:rPr>
          <w:rFonts w:cstheme="minorHAnsi"/>
        </w:rPr>
        <w:t xml:space="preserve">Welsh Government (2018) </w:t>
      </w:r>
      <w:r w:rsidRPr="006E7FEC">
        <w:rPr>
          <w:rFonts w:cstheme="minorHAnsi"/>
          <w:i/>
          <w:iCs/>
        </w:rPr>
        <w:t>A Healthier Wales: Our Plan for Health and Social Care</w:t>
      </w:r>
      <w:r w:rsidRPr="006E7FEC">
        <w:rPr>
          <w:rFonts w:cstheme="minorHAnsi"/>
        </w:rPr>
        <w:t xml:space="preserve">. Cardiff: Welsh Government. Available at: </w:t>
      </w:r>
      <w:hyperlink r:id="rId8" w:tgtFrame="_new" w:history="1">
        <w:r w:rsidRPr="006E7FEC">
          <w:rPr>
            <w:rStyle w:val="Hyperlink"/>
            <w:rFonts w:cstheme="minorHAnsi"/>
          </w:rPr>
          <w:t>https://www.gov.wales/healthier-wales-long-term-plan-health-and-social-care</w:t>
        </w:r>
      </w:hyperlink>
      <w:r w:rsidRPr="006E7FEC">
        <w:rPr>
          <w:rFonts w:cstheme="minorHAnsi"/>
        </w:rPr>
        <w:t xml:space="preserve"> (Accessed: 16 July 2026).</w:t>
      </w:r>
    </w:p>
    <w:p w14:paraId="2641826D" w14:textId="77777777" w:rsidR="006E7FEC" w:rsidRPr="006E7FEC" w:rsidRDefault="006E7FEC" w:rsidP="006E7FEC">
      <w:pPr>
        <w:rPr>
          <w:rFonts w:cstheme="minorHAnsi"/>
        </w:rPr>
      </w:pPr>
      <w:r w:rsidRPr="006E7FEC">
        <w:rPr>
          <w:rFonts w:cstheme="minorHAnsi"/>
        </w:rPr>
        <w:t xml:space="preserve">World Health Organization (2008) </w:t>
      </w:r>
      <w:r w:rsidRPr="006E7FEC">
        <w:rPr>
          <w:rFonts w:cstheme="minorHAnsi"/>
          <w:i/>
          <w:iCs/>
        </w:rPr>
        <w:t>Closing the Gap in a Generation: Health Equity through Action on the Social Determinants of Health</w:t>
      </w:r>
      <w:r w:rsidRPr="006E7FEC">
        <w:rPr>
          <w:rFonts w:cstheme="minorHAnsi"/>
        </w:rPr>
        <w:t>. Geneva: World Health Organization.</w:t>
      </w:r>
    </w:p>
    <w:p w14:paraId="3A354852" w14:textId="77777777" w:rsidR="006E7FEC" w:rsidRPr="006E7FEC" w:rsidRDefault="006E7FEC" w:rsidP="006E7FEC">
      <w:pPr>
        <w:rPr>
          <w:rFonts w:cstheme="minorHAnsi"/>
        </w:rPr>
      </w:pPr>
      <w:r w:rsidRPr="006E7FEC">
        <w:rPr>
          <w:rFonts w:cstheme="minorHAnsi"/>
        </w:rPr>
        <w:t xml:space="preserve">World Health Organization (2023) </w:t>
      </w:r>
      <w:r w:rsidRPr="006E7FEC">
        <w:rPr>
          <w:rFonts w:cstheme="minorHAnsi"/>
          <w:i/>
          <w:iCs/>
        </w:rPr>
        <w:t>World Report on the Social Determinants of Health Equity</w:t>
      </w:r>
      <w:r w:rsidRPr="006E7FEC">
        <w:rPr>
          <w:rFonts w:cstheme="minorHAnsi"/>
        </w:rPr>
        <w:t xml:space="preserve">. Geneva: World Health Organization. Available at: </w:t>
      </w:r>
      <w:hyperlink r:id="rId9" w:tgtFrame="_new" w:history="1">
        <w:r w:rsidRPr="006E7FEC">
          <w:rPr>
            <w:rStyle w:val="Hyperlink"/>
            <w:rFonts w:cstheme="minorHAnsi"/>
          </w:rPr>
          <w:t>https://www.who.int</w:t>
        </w:r>
      </w:hyperlink>
      <w:r w:rsidRPr="006E7FEC">
        <w:rPr>
          <w:rFonts w:cstheme="minorHAnsi"/>
        </w:rPr>
        <w:t xml:space="preserve"> (Accessed: 16 July 2026).</w:t>
      </w:r>
    </w:p>
    <w:p w14:paraId="29243886" w14:textId="77777777" w:rsidR="006E7FEC" w:rsidRPr="006E7FEC" w:rsidRDefault="006E7FEC" w:rsidP="006E7FEC">
      <w:pPr>
        <w:rPr>
          <w:rFonts w:cstheme="minorHAnsi"/>
        </w:rPr>
      </w:pPr>
      <w:r w:rsidRPr="006E7FEC">
        <w:rPr>
          <w:rFonts w:cstheme="minorHAnsi"/>
        </w:rPr>
        <w:t xml:space="preserve">World Health Organization (2025) </w:t>
      </w:r>
      <w:r w:rsidRPr="006E7FEC">
        <w:rPr>
          <w:rFonts w:cstheme="minorHAnsi"/>
          <w:i/>
          <w:iCs/>
        </w:rPr>
        <w:t>World Health Statistics 2025: Monitoring Health for the Sustainable Development Goals</w:t>
      </w:r>
      <w:r w:rsidRPr="006E7FEC">
        <w:rPr>
          <w:rFonts w:cstheme="minorHAnsi"/>
        </w:rPr>
        <w:t xml:space="preserve">. Geneva: World Health Organization. Available at: </w:t>
      </w:r>
      <w:hyperlink r:id="rId10" w:tgtFrame="_new" w:history="1">
        <w:r w:rsidRPr="006E7FEC">
          <w:rPr>
            <w:rStyle w:val="Hyperlink"/>
            <w:rFonts w:cstheme="minorHAnsi"/>
          </w:rPr>
          <w:t>https://www.who.int</w:t>
        </w:r>
      </w:hyperlink>
      <w:r w:rsidRPr="006E7FEC">
        <w:rPr>
          <w:rFonts w:cstheme="minorHAnsi"/>
        </w:rPr>
        <w:t xml:space="preserve"> (Accessed: 16 July 2026).</w:t>
      </w:r>
    </w:p>
    <w:p w14:paraId="7707D5A2" w14:textId="77777777" w:rsidR="006E7FEC" w:rsidRPr="006E7FEC" w:rsidRDefault="006E7FEC">
      <w:pPr>
        <w:rPr>
          <w:rFonts w:cstheme="minorHAnsi"/>
        </w:rPr>
      </w:pPr>
    </w:p>
    <w:sectPr w:rsidR="006E7FEC" w:rsidRPr="006E7FEC">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E7FEC"/>
    <w:rsid w:val="002F0625"/>
    <w:rsid w:val="006E7FEC"/>
    <w:rsid w:val="007A6FA0"/>
    <w:rsid w:val="00815CAB"/>
    <w:rsid w:val="008C088A"/>
    <w:rsid w:val="00A607A8"/>
    <w:rsid w:val="00BC24F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7DA6E88"/>
  <w15:chartTrackingRefBased/>
  <w15:docId w15:val="{986AA912-709A-434A-897F-AD1D1C74346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6E7FEC"/>
    <w:pPr>
      <w:keepNext/>
      <w:keepLines/>
      <w:spacing w:before="360" w:after="80"/>
      <w:outlineLvl w:val="0"/>
    </w:pPr>
    <w:rPr>
      <w:rFonts w:asciiTheme="majorHAnsi" w:eastAsiaTheme="majorEastAsia" w:hAnsiTheme="majorHAnsi" w:cstheme="majorBidi"/>
      <w:color w:val="2F5496" w:themeColor="accent1" w:themeShade="BF"/>
      <w:sz w:val="40"/>
      <w:szCs w:val="40"/>
    </w:rPr>
  </w:style>
  <w:style w:type="paragraph" w:styleId="Heading2">
    <w:name w:val="heading 2"/>
    <w:basedOn w:val="Normal"/>
    <w:next w:val="Normal"/>
    <w:link w:val="Heading2Char"/>
    <w:uiPriority w:val="9"/>
    <w:semiHidden/>
    <w:unhideWhenUsed/>
    <w:qFormat/>
    <w:rsid w:val="006E7FEC"/>
    <w:pPr>
      <w:keepNext/>
      <w:keepLines/>
      <w:spacing w:before="160" w:after="80"/>
      <w:outlineLvl w:val="1"/>
    </w:pPr>
    <w:rPr>
      <w:rFonts w:asciiTheme="majorHAnsi" w:eastAsiaTheme="majorEastAsia" w:hAnsiTheme="majorHAnsi" w:cstheme="majorBidi"/>
      <w:color w:val="2F5496" w:themeColor="accent1" w:themeShade="BF"/>
      <w:sz w:val="32"/>
      <w:szCs w:val="32"/>
    </w:rPr>
  </w:style>
  <w:style w:type="paragraph" w:styleId="Heading3">
    <w:name w:val="heading 3"/>
    <w:basedOn w:val="Normal"/>
    <w:next w:val="Normal"/>
    <w:link w:val="Heading3Char"/>
    <w:uiPriority w:val="9"/>
    <w:semiHidden/>
    <w:unhideWhenUsed/>
    <w:qFormat/>
    <w:rsid w:val="006E7FEC"/>
    <w:pPr>
      <w:keepNext/>
      <w:keepLines/>
      <w:spacing w:before="160" w:after="80"/>
      <w:outlineLvl w:val="2"/>
    </w:pPr>
    <w:rPr>
      <w:rFonts w:eastAsiaTheme="majorEastAsia" w:cstheme="majorBidi"/>
      <w:color w:val="2F5496" w:themeColor="accent1" w:themeShade="BF"/>
      <w:sz w:val="28"/>
      <w:szCs w:val="28"/>
    </w:rPr>
  </w:style>
  <w:style w:type="paragraph" w:styleId="Heading4">
    <w:name w:val="heading 4"/>
    <w:basedOn w:val="Normal"/>
    <w:next w:val="Normal"/>
    <w:link w:val="Heading4Char"/>
    <w:uiPriority w:val="9"/>
    <w:semiHidden/>
    <w:unhideWhenUsed/>
    <w:qFormat/>
    <w:rsid w:val="006E7FEC"/>
    <w:pPr>
      <w:keepNext/>
      <w:keepLines/>
      <w:spacing w:before="80" w:after="40"/>
      <w:outlineLvl w:val="3"/>
    </w:pPr>
    <w:rPr>
      <w:rFonts w:eastAsiaTheme="majorEastAsia" w:cstheme="majorBidi"/>
      <w:i/>
      <w:iCs/>
      <w:color w:val="2F5496" w:themeColor="accent1" w:themeShade="BF"/>
    </w:rPr>
  </w:style>
  <w:style w:type="paragraph" w:styleId="Heading5">
    <w:name w:val="heading 5"/>
    <w:basedOn w:val="Normal"/>
    <w:next w:val="Normal"/>
    <w:link w:val="Heading5Char"/>
    <w:uiPriority w:val="9"/>
    <w:semiHidden/>
    <w:unhideWhenUsed/>
    <w:qFormat/>
    <w:rsid w:val="006E7FEC"/>
    <w:pPr>
      <w:keepNext/>
      <w:keepLines/>
      <w:spacing w:before="80" w:after="40"/>
      <w:outlineLvl w:val="4"/>
    </w:pPr>
    <w:rPr>
      <w:rFonts w:eastAsiaTheme="majorEastAsia" w:cstheme="majorBidi"/>
      <w:color w:val="2F5496" w:themeColor="accent1" w:themeShade="BF"/>
    </w:rPr>
  </w:style>
  <w:style w:type="paragraph" w:styleId="Heading6">
    <w:name w:val="heading 6"/>
    <w:basedOn w:val="Normal"/>
    <w:next w:val="Normal"/>
    <w:link w:val="Heading6Char"/>
    <w:uiPriority w:val="9"/>
    <w:semiHidden/>
    <w:unhideWhenUsed/>
    <w:qFormat/>
    <w:rsid w:val="006E7FEC"/>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6E7FEC"/>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6E7FEC"/>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6E7FEC"/>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6E7FEC"/>
    <w:rPr>
      <w:rFonts w:asciiTheme="majorHAnsi" w:eastAsiaTheme="majorEastAsia" w:hAnsiTheme="majorHAnsi" w:cstheme="majorBidi"/>
      <w:color w:val="2F5496" w:themeColor="accent1" w:themeShade="BF"/>
      <w:sz w:val="40"/>
      <w:szCs w:val="40"/>
    </w:rPr>
  </w:style>
  <w:style w:type="character" w:customStyle="1" w:styleId="Heading2Char">
    <w:name w:val="Heading 2 Char"/>
    <w:basedOn w:val="DefaultParagraphFont"/>
    <w:link w:val="Heading2"/>
    <w:uiPriority w:val="9"/>
    <w:semiHidden/>
    <w:rsid w:val="006E7FEC"/>
    <w:rPr>
      <w:rFonts w:asciiTheme="majorHAnsi" w:eastAsiaTheme="majorEastAsia" w:hAnsiTheme="majorHAnsi" w:cstheme="majorBidi"/>
      <w:color w:val="2F5496" w:themeColor="accent1" w:themeShade="BF"/>
      <w:sz w:val="32"/>
      <w:szCs w:val="32"/>
    </w:rPr>
  </w:style>
  <w:style w:type="character" w:customStyle="1" w:styleId="Heading3Char">
    <w:name w:val="Heading 3 Char"/>
    <w:basedOn w:val="DefaultParagraphFont"/>
    <w:link w:val="Heading3"/>
    <w:uiPriority w:val="9"/>
    <w:semiHidden/>
    <w:rsid w:val="006E7FEC"/>
    <w:rPr>
      <w:rFonts w:eastAsiaTheme="majorEastAsia" w:cstheme="majorBidi"/>
      <w:color w:val="2F5496" w:themeColor="accent1" w:themeShade="BF"/>
      <w:sz w:val="28"/>
      <w:szCs w:val="28"/>
    </w:rPr>
  </w:style>
  <w:style w:type="character" w:customStyle="1" w:styleId="Heading4Char">
    <w:name w:val="Heading 4 Char"/>
    <w:basedOn w:val="DefaultParagraphFont"/>
    <w:link w:val="Heading4"/>
    <w:uiPriority w:val="9"/>
    <w:semiHidden/>
    <w:rsid w:val="006E7FEC"/>
    <w:rPr>
      <w:rFonts w:eastAsiaTheme="majorEastAsia" w:cstheme="majorBidi"/>
      <w:i/>
      <w:iCs/>
      <w:color w:val="2F5496" w:themeColor="accent1" w:themeShade="BF"/>
    </w:rPr>
  </w:style>
  <w:style w:type="character" w:customStyle="1" w:styleId="Heading5Char">
    <w:name w:val="Heading 5 Char"/>
    <w:basedOn w:val="DefaultParagraphFont"/>
    <w:link w:val="Heading5"/>
    <w:uiPriority w:val="9"/>
    <w:semiHidden/>
    <w:rsid w:val="006E7FEC"/>
    <w:rPr>
      <w:rFonts w:eastAsiaTheme="majorEastAsia" w:cstheme="majorBidi"/>
      <w:color w:val="2F5496" w:themeColor="accent1" w:themeShade="BF"/>
    </w:rPr>
  </w:style>
  <w:style w:type="character" w:customStyle="1" w:styleId="Heading6Char">
    <w:name w:val="Heading 6 Char"/>
    <w:basedOn w:val="DefaultParagraphFont"/>
    <w:link w:val="Heading6"/>
    <w:uiPriority w:val="9"/>
    <w:semiHidden/>
    <w:rsid w:val="006E7FEC"/>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6E7FEC"/>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6E7FEC"/>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6E7FEC"/>
    <w:rPr>
      <w:rFonts w:eastAsiaTheme="majorEastAsia" w:cstheme="majorBidi"/>
      <w:color w:val="272727" w:themeColor="text1" w:themeTint="D8"/>
    </w:rPr>
  </w:style>
  <w:style w:type="paragraph" w:styleId="Title">
    <w:name w:val="Title"/>
    <w:basedOn w:val="Normal"/>
    <w:next w:val="Normal"/>
    <w:link w:val="TitleChar"/>
    <w:uiPriority w:val="10"/>
    <w:qFormat/>
    <w:rsid w:val="006E7FEC"/>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6E7FEC"/>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6E7FEC"/>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6E7FEC"/>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6E7FEC"/>
    <w:pPr>
      <w:spacing w:before="160"/>
      <w:jc w:val="center"/>
    </w:pPr>
    <w:rPr>
      <w:i/>
      <w:iCs/>
      <w:color w:val="404040" w:themeColor="text1" w:themeTint="BF"/>
    </w:rPr>
  </w:style>
  <w:style w:type="character" w:customStyle="1" w:styleId="QuoteChar">
    <w:name w:val="Quote Char"/>
    <w:basedOn w:val="DefaultParagraphFont"/>
    <w:link w:val="Quote"/>
    <w:uiPriority w:val="29"/>
    <w:rsid w:val="006E7FEC"/>
    <w:rPr>
      <w:i/>
      <w:iCs/>
      <w:color w:val="404040" w:themeColor="text1" w:themeTint="BF"/>
    </w:rPr>
  </w:style>
  <w:style w:type="paragraph" w:styleId="ListParagraph">
    <w:name w:val="List Paragraph"/>
    <w:basedOn w:val="Normal"/>
    <w:uiPriority w:val="34"/>
    <w:qFormat/>
    <w:rsid w:val="006E7FEC"/>
    <w:pPr>
      <w:ind w:left="720"/>
      <w:contextualSpacing/>
    </w:pPr>
  </w:style>
  <w:style w:type="character" w:styleId="IntenseEmphasis">
    <w:name w:val="Intense Emphasis"/>
    <w:basedOn w:val="DefaultParagraphFont"/>
    <w:uiPriority w:val="21"/>
    <w:qFormat/>
    <w:rsid w:val="006E7FEC"/>
    <w:rPr>
      <w:i/>
      <w:iCs/>
      <w:color w:val="2F5496" w:themeColor="accent1" w:themeShade="BF"/>
    </w:rPr>
  </w:style>
  <w:style w:type="paragraph" w:styleId="IntenseQuote">
    <w:name w:val="Intense Quote"/>
    <w:basedOn w:val="Normal"/>
    <w:next w:val="Normal"/>
    <w:link w:val="IntenseQuoteChar"/>
    <w:uiPriority w:val="30"/>
    <w:qFormat/>
    <w:rsid w:val="006E7FEC"/>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6E7FEC"/>
    <w:rPr>
      <w:i/>
      <w:iCs/>
      <w:color w:val="2F5496" w:themeColor="accent1" w:themeShade="BF"/>
    </w:rPr>
  </w:style>
  <w:style w:type="character" w:styleId="IntenseReference">
    <w:name w:val="Intense Reference"/>
    <w:basedOn w:val="DefaultParagraphFont"/>
    <w:uiPriority w:val="32"/>
    <w:qFormat/>
    <w:rsid w:val="006E7FEC"/>
    <w:rPr>
      <w:b/>
      <w:bCs/>
      <w:smallCaps/>
      <w:color w:val="2F5496" w:themeColor="accent1" w:themeShade="BF"/>
      <w:spacing w:val="5"/>
    </w:rPr>
  </w:style>
  <w:style w:type="character" w:styleId="Hyperlink">
    <w:name w:val="Hyperlink"/>
    <w:basedOn w:val="DefaultParagraphFont"/>
    <w:uiPriority w:val="99"/>
    <w:unhideWhenUsed/>
    <w:rsid w:val="006E7FEC"/>
    <w:rPr>
      <w:color w:val="0563C1" w:themeColor="hyperlink"/>
      <w:u w:val="single"/>
    </w:rPr>
  </w:style>
  <w:style w:type="character" w:styleId="UnresolvedMention">
    <w:name w:val="Unresolved Mention"/>
    <w:basedOn w:val="DefaultParagraphFont"/>
    <w:uiPriority w:val="99"/>
    <w:semiHidden/>
    <w:unhideWhenUsed/>
    <w:rsid w:val="006E7FEC"/>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gov.wales/healthier-wales-long-term-plan-health-and-social-care?utm_source=chatgpt.com" TargetMode="External"/><Relationship Id="rId3" Type="http://schemas.openxmlformats.org/officeDocument/2006/relationships/webSettings" Target="webSettings.xml"/><Relationship Id="rId7" Type="http://schemas.openxmlformats.org/officeDocument/2006/relationships/hyperlink" Target="https://sdgs.un.org/2030agenda?utm_source=chatgpt.com" TargetMode="External"/><Relationship Id="rId12" Type="http://schemas.openxmlformats.org/officeDocument/2006/relationships/theme" Target="theme/theme1.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yperlink" Target="https://sbuhb.nhs.wales" TargetMode="External"/><Relationship Id="rId11" Type="http://schemas.openxmlformats.org/officeDocument/2006/relationships/fontTable" Target="fontTable.xml"/><Relationship Id="rId5" Type="http://schemas.openxmlformats.org/officeDocument/2006/relationships/hyperlink" Target="https://phw.nhs.wales" TargetMode="External"/><Relationship Id="rId10" Type="http://schemas.openxmlformats.org/officeDocument/2006/relationships/hyperlink" Target="https://www.who.int" TargetMode="External"/><Relationship Id="rId4" Type="http://schemas.openxmlformats.org/officeDocument/2006/relationships/hyperlink" Target="https://www.longtermplan.nhs.uk/" TargetMode="External"/><Relationship Id="rId9" Type="http://schemas.openxmlformats.org/officeDocument/2006/relationships/hyperlink" Target="https://www.who.in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7</TotalTime>
  <Pages>6</Pages>
  <Words>2376</Words>
  <Characters>13545</Characters>
  <Application>Microsoft Office Word</Application>
  <DocSecurity>0</DocSecurity>
  <Lines>112</Lines>
  <Paragraphs>31</Paragraphs>
  <ScaleCrop>false</ScaleCrop>
  <Company/>
  <LinksUpToDate>false</LinksUpToDate>
  <CharactersWithSpaces>15890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Melissa Dunnion (2309623)</dc:creator>
  <cp:keywords/>
  <dc:description/>
  <cp:lastModifiedBy>Melissa Dunnion (2309623)</cp:lastModifiedBy>
  <cp:revision>1</cp:revision>
  <dcterms:created xsi:type="dcterms:W3CDTF">2026-07-16T18:53:00Z</dcterms:created>
  <dcterms:modified xsi:type="dcterms:W3CDTF">2026-07-16T19:03:00Z</dcterms:modified>
</cp:coreProperties>
</file>