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E4C94" w14:textId="188E1367" w:rsidR="001E2667" w:rsidRPr="002D65C6" w:rsidRDefault="00937591" w:rsidP="00937591">
      <w:pPr>
        <w:rPr>
          <w:rStyle w:val="Strong"/>
          <w:rFonts w:ascii="Times New Roman" w:hAnsi="Times New Roman" w:cs="Times New Roman"/>
          <w:sz w:val="28"/>
          <w:szCs w:val="24"/>
          <w:u w:val="single"/>
        </w:rPr>
      </w:pPr>
      <w:r w:rsidRPr="002D65C6">
        <w:rPr>
          <w:rFonts w:ascii="Times New Roman" w:hAnsi="Times New Roman" w:cs="Times New Roman"/>
          <w:noProof/>
        </w:rPr>
        <w:drawing>
          <wp:inline distT="0" distB="0" distL="0" distR="0" wp14:anchorId="25D6AC66" wp14:editId="029DE7F6">
            <wp:extent cx="1981200" cy="695592"/>
            <wp:effectExtent l="0" t="0" r="0" b="9525"/>
            <wp:docPr id="46972736"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88517" cy="698161"/>
                    </a:xfrm>
                    <a:prstGeom prst="rect">
                      <a:avLst/>
                    </a:prstGeom>
                    <a:noFill/>
                    <a:ln>
                      <a:noFill/>
                    </a:ln>
                  </pic:spPr>
                </pic:pic>
              </a:graphicData>
            </a:graphic>
          </wp:inline>
        </w:drawing>
      </w:r>
    </w:p>
    <w:p w14:paraId="7A86A9D6" w14:textId="77777777" w:rsidR="001E2667" w:rsidRPr="002D65C6" w:rsidRDefault="001E2667" w:rsidP="001E2667">
      <w:pPr>
        <w:jc w:val="center"/>
        <w:rPr>
          <w:rStyle w:val="Strong"/>
          <w:rFonts w:ascii="Times New Roman" w:hAnsi="Times New Roman" w:cs="Times New Roman"/>
          <w:sz w:val="28"/>
          <w:szCs w:val="24"/>
          <w:u w:val="single"/>
        </w:rPr>
      </w:pPr>
    </w:p>
    <w:p w14:paraId="5F3A2362" w14:textId="77777777" w:rsidR="001E2667" w:rsidRPr="002D65C6" w:rsidRDefault="001E2667" w:rsidP="001E2667">
      <w:pPr>
        <w:jc w:val="center"/>
        <w:rPr>
          <w:rStyle w:val="Strong"/>
          <w:rFonts w:ascii="Times New Roman" w:hAnsi="Times New Roman" w:cs="Times New Roman"/>
          <w:sz w:val="28"/>
          <w:szCs w:val="24"/>
          <w:u w:val="single"/>
        </w:rPr>
      </w:pPr>
    </w:p>
    <w:p w14:paraId="59F38992" w14:textId="77777777" w:rsidR="001E2667" w:rsidRPr="002D65C6" w:rsidRDefault="001E2667" w:rsidP="001E2667">
      <w:pPr>
        <w:jc w:val="center"/>
        <w:rPr>
          <w:rStyle w:val="Strong"/>
          <w:rFonts w:ascii="Times New Roman" w:hAnsi="Times New Roman" w:cs="Times New Roman"/>
          <w:sz w:val="28"/>
          <w:szCs w:val="24"/>
          <w:u w:val="single"/>
        </w:rPr>
      </w:pPr>
    </w:p>
    <w:p w14:paraId="4621DA1A" w14:textId="77777777" w:rsidR="001E2667" w:rsidRPr="002D65C6" w:rsidRDefault="001E2667" w:rsidP="001E2667">
      <w:pPr>
        <w:jc w:val="center"/>
        <w:rPr>
          <w:rStyle w:val="Strong"/>
          <w:rFonts w:ascii="Times New Roman" w:hAnsi="Times New Roman" w:cs="Times New Roman"/>
          <w:sz w:val="28"/>
          <w:szCs w:val="24"/>
          <w:u w:val="single"/>
        </w:rPr>
      </w:pPr>
    </w:p>
    <w:p w14:paraId="223841BE" w14:textId="77777777" w:rsidR="001E2667" w:rsidRPr="002D65C6" w:rsidRDefault="001E2667" w:rsidP="001E2667">
      <w:pPr>
        <w:jc w:val="center"/>
        <w:rPr>
          <w:rStyle w:val="Strong"/>
          <w:rFonts w:ascii="Times New Roman" w:hAnsi="Times New Roman" w:cs="Times New Roman"/>
          <w:sz w:val="28"/>
          <w:szCs w:val="24"/>
          <w:u w:val="single"/>
        </w:rPr>
      </w:pPr>
    </w:p>
    <w:p w14:paraId="7F768F1C" w14:textId="7234FF64" w:rsidR="001E2667" w:rsidRPr="002D65C6" w:rsidRDefault="00937591" w:rsidP="001E2667">
      <w:pPr>
        <w:jc w:val="center"/>
        <w:rPr>
          <w:rStyle w:val="Strong"/>
          <w:rFonts w:ascii="Times New Roman" w:hAnsi="Times New Roman" w:cs="Times New Roman"/>
          <w:sz w:val="28"/>
          <w:szCs w:val="24"/>
        </w:rPr>
      </w:pPr>
      <w:r w:rsidRPr="002D65C6">
        <w:rPr>
          <w:rStyle w:val="Strong"/>
          <w:rFonts w:ascii="Times New Roman" w:hAnsi="Times New Roman" w:cs="Times New Roman"/>
          <w:sz w:val="28"/>
          <w:szCs w:val="24"/>
        </w:rPr>
        <w:t>Leading and Developing People</w:t>
      </w:r>
    </w:p>
    <w:p w14:paraId="38423536" w14:textId="678FBCB1" w:rsidR="00937591" w:rsidRPr="002D65C6" w:rsidRDefault="00937591" w:rsidP="001E2667">
      <w:pPr>
        <w:jc w:val="center"/>
        <w:rPr>
          <w:rStyle w:val="Strong"/>
          <w:rFonts w:ascii="Times New Roman" w:hAnsi="Times New Roman" w:cs="Times New Roman"/>
          <w:sz w:val="28"/>
          <w:szCs w:val="24"/>
        </w:rPr>
      </w:pPr>
      <w:r w:rsidRPr="002D65C6">
        <w:rPr>
          <w:rStyle w:val="Strong"/>
          <w:rFonts w:ascii="Times New Roman" w:hAnsi="Times New Roman" w:cs="Times New Roman"/>
          <w:sz w:val="28"/>
          <w:szCs w:val="24"/>
        </w:rPr>
        <w:t>BMBM6023</w:t>
      </w:r>
    </w:p>
    <w:p w14:paraId="4AEE1FEE" w14:textId="63D5FAA9" w:rsidR="001E2667" w:rsidRDefault="00937591" w:rsidP="00937591">
      <w:pPr>
        <w:jc w:val="center"/>
        <w:rPr>
          <w:rStyle w:val="Strong"/>
          <w:rFonts w:ascii="Times New Roman" w:hAnsi="Times New Roman" w:cs="Times New Roman"/>
          <w:sz w:val="28"/>
          <w:szCs w:val="24"/>
        </w:rPr>
      </w:pPr>
      <w:r w:rsidRPr="002D65C6">
        <w:rPr>
          <w:rStyle w:val="Strong"/>
          <w:rFonts w:ascii="Times New Roman" w:hAnsi="Times New Roman" w:cs="Times New Roman"/>
          <w:sz w:val="28"/>
          <w:szCs w:val="24"/>
        </w:rPr>
        <w:t>Essay</w:t>
      </w:r>
      <w:r w:rsidR="002D65C6">
        <w:rPr>
          <w:rStyle w:val="Strong"/>
          <w:rFonts w:ascii="Times New Roman" w:hAnsi="Times New Roman" w:cs="Times New Roman"/>
          <w:sz w:val="28"/>
          <w:szCs w:val="24"/>
        </w:rPr>
        <w:t>:</w:t>
      </w:r>
      <w:r w:rsidRPr="002D65C6">
        <w:rPr>
          <w:rStyle w:val="Strong"/>
          <w:rFonts w:ascii="Times New Roman" w:hAnsi="Times New Roman" w:cs="Times New Roman"/>
          <w:sz w:val="28"/>
          <w:szCs w:val="24"/>
        </w:rPr>
        <w:t xml:space="preserve"> A critical analysis of Employee and Leadership Development</w:t>
      </w:r>
    </w:p>
    <w:p w14:paraId="0529F2FD" w14:textId="77777777" w:rsidR="002D65C6" w:rsidRDefault="002D65C6" w:rsidP="002D65C6">
      <w:pPr>
        <w:rPr>
          <w:rStyle w:val="Strong"/>
          <w:rFonts w:ascii="Times New Roman" w:hAnsi="Times New Roman" w:cs="Times New Roman"/>
          <w:sz w:val="28"/>
          <w:szCs w:val="24"/>
        </w:rPr>
      </w:pPr>
    </w:p>
    <w:p w14:paraId="15CCD6F7" w14:textId="77777777" w:rsidR="002D65C6" w:rsidRDefault="002D65C6" w:rsidP="002D65C6">
      <w:pPr>
        <w:rPr>
          <w:rStyle w:val="Strong"/>
          <w:rFonts w:ascii="Times New Roman" w:hAnsi="Times New Roman" w:cs="Times New Roman"/>
          <w:sz w:val="28"/>
          <w:szCs w:val="24"/>
        </w:rPr>
      </w:pPr>
    </w:p>
    <w:p w14:paraId="5F2043ED" w14:textId="77777777" w:rsidR="002D65C6" w:rsidRDefault="002D65C6" w:rsidP="002D65C6">
      <w:pPr>
        <w:rPr>
          <w:rStyle w:val="Strong"/>
          <w:rFonts w:ascii="Times New Roman" w:hAnsi="Times New Roman" w:cs="Times New Roman"/>
          <w:sz w:val="28"/>
          <w:szCs w:val="24"/>
        </w:rPr>
      </w:pPr>
    </w:p>
    <w:p w14:paraId="2850AD61" w14:textId="77777777" w:rsidR="002D65C6" w:rsidRDefault="002D65C6" w:rsidP="002D65C6">
      <w:pPr>
        <w:rPr>
          <w:rStyle w:val="Strong"/>
          <w:rFonts w:ascii="Times New Roman" w:hAnsi="Times New Roman" w:cs="Times New Roman"/>
          <w:sz w:val="28"/>
          <w:szCs w:val="24"/>
        </w:rPr>
      </w:pPr>
    </w:p>
    <w:p w14:paraId="4B72C338" w14:textId="77777777" w:rsidR="002D65C6" w:rsidRDefault="002D65C6" w:rsidP="002D65C6">
      <w:pPr>
        <w:rPr>
          <w:rStyle w:val="Strong"/>
          <w:rFonts w:ascii="Times New Roman" w:hAnsi="Times New Roman" w:cs="Times New Roman"/>
          <w:sz w:val="28"/>
          <w:szCs w:val="24"/>
        </w:rPr>
      </w:pPr>
    </w:p>
    <w:p w14:paraId="0BD54BFA" w14:textId="77777777" w:rsidR="002D65C6" w:rsidRDefault="002D65C6" w:rsidP="002D65C6">
      <w:pPr>
        <w:rPr>
          <w:rStyle w:val="Strong"/>
          <w:rFonts w:ascii="Times New Roman" w:hAnsi="Times New Roman" w:cs="Times New Roman"/>
          <w:sz w:val="28"/>
          <w:szCs w:val="24"/>
        </w:rPr>
      </w:pPr>
    </w:p>
    <w:p w14:paraId="2544E737" w14:textId="77777777" w:rsidR="002D65C6" w:rsidRDefault="002D65C6" w:rsidP="002D65C6">
      <w:pPr>
        <w:rPr>
          <w:rStyle w:val="Strong"/>
          <w:rFonts w:ascii="Times New Roman" w:hAnsi="Times New Roman" w:cs="Times New Roman"/>
          <w:sz w:val="28"/>
          <w:szCs w:val="24"/>
        </w:rPr>
      </w:pPr>
    </w:p>
    <w:p w14:paraId="0C5755D0" w14:textId="20C66932" w:rsidR="002D65C6" w:rsidRDefault="002D65C6" w:rsidP="002D65C6">
      <w:pPr>
        <w:rPr>
          <w:rStyle w:val="Strong"/>
          <w:rFonts w:ascii="Times New Roman" w:hAnsi="Times New Roman" w:cs="Times New Roman"/>
          <w:sz w:val="28"/>
          <w:szCs w:val="24"/>
        </w:rPr>
      </w:pPr>
      <w:r>
        <w:rPr>
          <w:rStyle w:val="Strong"/>
          <w:rFonts w:ascii="Times New Roman" w:hAnsi="Times New Roman" w:cs="Times New Roman"/>
          <w:sz w:val="28"/>
          <w:szCs w:val="24"/>
        </w:rPr>
        <w:t>Student ID:</w:t>
      </w:r>
      <w:r w:rsidR="00C80AFF">
        <w:rPr>
          <w:rStyle w:val="Strong"/>
          <w:rFonts w:ascii="Times New Roman" w:hAnsi="Times New Roman" w:cs="Times New Roman"/>
          <w:sz w:val="28"/>
          <w:szCs w:val="24"/>
        </w:rPr>
        <w:t>2207918</w:t>
      </w:r>
    </w:p>
    <w:p w14:paraId="22A88B7E" w14:textId="6B5DA55E" w:rsidR="002D65C6" w:rsidRPr="002D65C6" w:rsidRDefault="002D65C6" w:rsidP="002D65C6">
      <w:pPr>
        <w:rPr>
          <w:rStyle w:val="Strong"/>
          <w:rFonts w:ascii="Times New Roman" w:hAnsi="Times New Roman" w:cs="Times New Roman"/>
          <w:sz w:val="28"/>
          <w:szCs w:val="24"/>
        </w:rPr>
      </w:pPr>
      <w:r>
        <w:rPr>
          <w:rStyle w:val="Strong"/>
          <w:rFonts w:ascii="Times New Roman" w:hAnsi="Times New Roman" w:cs="Times New Roman"/>
          <w:sz w:val="28"/>
          <w:szCs w:val="24"/>
        </w:rPr>
        <w:t xml:space="preserve">Student </w:t>
      </w:r>
      <w:r w:rsidR="00C80AFF">
        <w:rPr>
          <w:rStyle w:val="Strong"/>
          <w:rFonts w:ascii="Times New Roman" w:hAnsi="Times New Roman" w:cs="Times New Roman"/>
          <w:sz w:val="28"/>
          <w:szCs w:val="24"/>
        </w:rPr>
        <w:t>Name: Vimal Maddichetti</w:t>
      </w:r>
    </w:p>
    <w:p w14:paraId="69318C01" w14:textId="2095B921" w:rsidR="00C60171" w:rsidRPr="002D65C6" w:rsidRDefault="00C60171" w:rsidP="001E2667">
      <w:pPr>
        <w:jc w:val="center"/>
        <w:rPr>
          <w:rFonts w:ascii="Times New Roman" w:hAnsi="Times New Roman" w:cs="Times New Roman"/>
          <w:sz w:val="28"/>
          <w:szCs w:val="24"/>
          <w:u w:val="single"/>
        </w:rPr>
      </w:pPr>
      <w:r w:rsidRPr="002D65C6">
        <w:rPr>
          <w:rFonts w:ascii="Times New Roman" w:hAnsi="Times New Roman" w:cs="Times New Roman"/>
          <w:sz w:val="28"/>
          <w:szCs w:val="24"/>
          <w:u w:val="single"/>
        </w:rPr>
        <w:br w:type="page"/>
      </w:r>
    </w:p>
    <w:p w14:paraId="6CA5CE57" w14:textId="2D0BE7A9" w:rsidR="001E2667" w:rsidRPr="002D65C6" w:rsidRDefault="001E2667" w:rsidP="001E2667">
      <w:pPr>
        <w:rPr>
          <w:rFonts w:ascii="Times New Roman" w:hAnsi="Times New Roman" w:cs="Times New Roman"/>
        </w:rPr>
      </w:pPr>
      <w:r w:rsidRPr="002D65C6">
        <w:rPr>
          <w:rFonts w:ascii="Times New Roman" w:hAnsi="Times New Roman" w:cs="Times New Roman"/>
        </w:rPr>
        <w:lastRenderedPageBreak/>
        <w:t xml:space="preserve">The term ‘strategic employee development’ means an </w:t>
      </w:r>
      <w:r w:rsidR="002D65C6">
        <w:rPr>
          <w:rFonts w:ascii="Times New Roman" w:hAnsi="Times New Roman" w:cs="Times New Roman"/>
        </w:rPr>
        <w:t>organisation</w:t>
      </w:r>
      <w:r w:rsidRPr="002D65C6">
        <w:rPr>
          <w:rFonts w:ascii="Times New Roman" w:hAnsi="Times New Roman" w:cs="Times New Roman"/>
        </w:rPr>
        <w:t xml:space="preserve">’s planned and intentional attempt to develop the employee’s skills, capabilities and leadership skills as per the </w:t>
      </w:r>
      <w:r w:rsidR="001D5AEA" w:rsidRPr="002D65C6">
        <w:rPr>
          <w:rFonts w:ascii="Times New Roman" w:hAnsi="Times New Roman" w:cs="Times New Roman"/>
        </w:rPr>
        <w:t>long-term</w:t>
      </w:r>
      <w:r w:rsidRPr="002D65C6">
        <w:rPr>
          <w:rFonts w:ascii="Times New Roman" w:hAnsi="Times New Roman" w:cs="Times New Roman"/>
        </w:rPr>
        <w:t xml:space="preserve"> objectives of </w:t>
      </w:r>
      <w:r w:rsidR="002D65C6">
        <w:rPr>
          <w:rFonts w:ascii="Times New Roman" w:hAnsi="Times New Roman" w:cs="Times New Roman"/>
        </w:rPr>
        <w:t>organisation</w:t>
      </w:r>
      <w:r w:rsidRPr="002D65C6">
        <w:rPr>
          <w:rFonts w:ascii="Times New Roman" w:hAnsi="Times New Roman" w:cs="Times New Roman"/>
        </w:rPr>
        <w:t xml:space="preserve">. Strategic development involves continuous learning, succession planning, and competency-based frameworks which are embedded in the </w:t>
      </w:r>
      <w:r w:rsidR="002D65C6">
        <w:rPr>
          <w:rFonts w:ascii="Times New Roman" w:hAnsi="Times New Roman" w:cs="Times New Roman"/>
        </w:rPr>
        <w:t>organisation</w:t>
      </w:r>
      <w:r w:rsidRPr="002D65C6">
        <w:rPr>
          <w:rFonts w:ascii="Times New Roman" w:hAnsi="Times New Roman" w:cs="Times New Roman"/>
        </w:rPr>
        <w:t>’s mission and competitive strategy and contrasts with ad hoc training programmes (Khattak et al., 2023; Watson &amp; Reissner, 2023). Rather than becoming discretionary, it is now a critical pillar in supporting innovation, productivity and leadership effectiveness in a volatile business environment.</w:t>
      </w:r>
    </w:p>
    <w:p w14:paraId="35A165E6" w14:textId="22D90F3B"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This report critically evaluates the role of strategic employee development in empowering employees and leaders to perform accordingly and jointly achieve </w:t>
      </w:r>
      <w:r w:rsidR="002D65C6">
        <w:rPr>
          <w:rFonts w:ascii="Times New Roman" w:hAnsi="Times New Roman" w:cs="Times New Roman"/>
        </w:rPr>
        <w:t>organisation</w:t>
      </w:r>
      <w:r w:rsidRPr="002D65C6">
        <w:rPr>
          <w:rFonts w:ascii="Times New Roman" w:hAnsi="Times New Roman" w:cs="Times New Roman"/>
        </w:rPr>
        <w:t xml:space="preserve">’s goals and secure competitive advantage. The source of the value of these programmes is explored drawing on contemporary academic literature, leadership theory and </w:t>
      </w:r>
      <w:r w:rsidR="002D65C6" w:rsidRPr="002D65C6">
        <w:rPr>
          <w:rFonts w:ascii="Times New Roman" w:hAnsi="Times New Roman" w:cs="Times New Roman"/>
        </w:rPr>
        <w:t>real-world</w:t>
      </w:r>
      <w:r w:rsidRPr="002D65C6">
        <w:rPr>
          <w:rFonts w:ascii="Times New Roman" w:hAnsi="Times New Roman" w:cs="Times New Roman"/>
        </w:rPr>
        <w:t xml:space="preserve"> examples.</w:t>
      </w:r>
    </w:p>
    <w:p w14:paraId="0BCEFA88" w14:textId="77777777" w:rsidR="001E2667" w:rsidRPr="002D65C6" w:rsidRDefault="001E2667" w:rsidP="001E2667">
      <w:pPr>
        <w:rPr>
          <w:rFonts w:ascii="Times New Roman" w:hAnsi="Times New Roman" w:cs="Times New Roman"/>
        </w:rPr>
      </w:pPr>
      <w:r w:rsidRPr="002D65C6">
        <w:rPr>
          <w:rFonts w:ascii="Times New Roman" w:hAnsi="Times New Roman" w:cs="Times New Roman"/>
        </w:rPr>
        <w:t>It can also cover the advantages of strategic development in constructing human and social capital, the integration of the leadership theory in practice, the challenges in the implementation—especially in setting that has limited financial resource—and the enabling functions of the digital and AI powered development tools. Consistent with the above, the study adopted a three—dimensional approach, which revolves around strategic significance, barriers to implementation, and the necessity of leadership in facilitating effective development practice.</w:t>
      </w:r>
    </w:p>
    <w:p w14:paraId="4D73907C" w14:textId="08BF7E72" w:rsidR="001E2667" w:rsidRPr="002D65C6" w:rsidRDefault="001E2667" w:rsidP="001E2667">
      <w:pPr>
        <w:rPr>
          <w:rFonts w:ascii="Times New Roman" w:hAnsi="Times New Roman" w:cs="Times New Roman"/>
        </w:rPr>
      </w:pPr>
      <w:r w:rsidRPr="002D65C6">
        <w:rPr>
          <w:rFonts w:ascii="Times New Roman" w:hAnsi="Times New Roman" w:cs="Times New Roman"/>
        </w:rPr>
        <w:t>Employee development plays a core enabling role in both performance of the individual and in organisational capacity. Khattak et al. (2023) report that development interventions of mergers, acquisitions and partnerships have impact on both employee competencies and firm performance. Based on a sample of 800 Pakistani firms, their study found that employee development mediated the positive impact of acquisition and partnership on financial performance, thus supporting the notion that development is not secondary but essential to achieving strategic growth.</w:t>
      </w:r>
    </w:p>
    <w:p w14:paraId="2C902486" w14:textId="4D9DDE22" w:rsidR="00831C4D" w:rsidRPr="002D65C6" w:rsidRDefault="00831C4D" w:rsidP="00831C4D">
      <w:pPr>
        <w:jc w:val="center"/>
        <w:rPr>
          <w:rFonts w:ascii="Times New Roman" w:hAnsi="Times New Roman" w:cs="Times New Roman"/>
        </w:rPr>
      </w:pPr>
      <w:r w:rsidRPr="002D65C6">
        <w:rPr>
          <w:rFonts w:ascii="Times New Roman" w:hAnsi="Times New Roman" w:cs="Times New Roman"/>
          <w:noProof/>
        </w:rPr>
        <w:lastRenderedPageBreak/>
        <w:drawing>
          <wp:inline distT="0" distB="0" distL="0" distR="0" wp14:anchorId="4E69BD98" wp14:editId="16DC59A4">
            <wp:extent cx="4443730" cy="3515204"/>
            <wp:effectExtent l="0" t="0" r="0" b="0"/>
            <wp:docPr id="1" name="Picture 1" descr="How Are Employee Development Practices Strate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re Employee Development Practices Strategi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45641" cy="3516715"/>
                    </a:xfrm>
                    <a:prstGeom prst="rect">
                      <a:avLst/>
                    </a:prstGeom>
                    <a:noFill/>
                    <a:ln>
                      <a:noFill/>
                    </a:ln>
                  </pic:spPr>
                </pic:pic>
              </a:graphicData>
            </a:graphic>
          </wp:inline>
        </w:drawing>
      </w:r>
    </w:p>
    <w:p w14:paraId="0A169D07" w14:textId="1F4CACEA" w:rsidR="00831C4D" w:rsidRPr="002D65C6" w:rsidRDefault="00831C4D" w:rsidP="00831C4D">
      <w:pPr>
        <w:jc w:val="center"/>
        <w:rPr>
          <w:rFonts w:ascii="Times New Roman" w:hAnsi="Times New Roman" w:cs="Times New Roman"/>
        </w:rPr>
      </w:pPr>
      <w:r w:rsidRPr="002D65C6">
        <w:rPr>
          <w:rFonts w:ascii="Times New Roman" w:hAnsi="Times New Roman" w:cs="Times New Roman"/>
        </w:rPr>
        <w:t>Fig: Employee development cycle</w:t>
      </w:r>
    </w:p>
    <w:p w14:paraId="187AFBC9" w14:textId="6708E4F4" w:rsidR="00831C4D" w:rsidRPr="002D65C6" w:rsidRDefault="00831C4D" w:rsidP="00831C4D">
      <w:pPr>
        <w:jc w:val="center"/>
        <w:rPr>
          <w:rFonts w:ascii="Times New Roman" w:hAnsi="Times New Roman" w:cs="Times New Roman"/>
        </w:rPr>
      </w:pPr>
      <w:r w:rsidRPr="002D65C6">
        <w:rPr>
          <w:rFonts w:ascii="Times New Roman" w:hAnsi="Times New Roman" w:cs="Times New Roman"/>
        </w:rPr>
        <w:t xml:space="preserve">(Source: </w:t>
      </w:r>
      <w:proofErr w:type="spellStart"/>
      <w:r w:rsidRPr="002D65C6">
        <w:rPr>
          <w:rFonts w:ascii="Times New Roman" w:hAnsi="Times New Roman" w:cs="Times New Roman"/>
        </w:rPr>
        <w:t>Trainual</w:t>
      </w:r>
      <w:proofErr w:type="spellEnd"/>
      <w:r w:rsidRPr="002D65C6">
        <w:rPr>
          <w:rFonts w:ascii="Times New Roman" w:hAnsi="Times New Roman" w:cs="Times New Roman"/>
        </w:rPr>
        <w:t>, n.d.)</w:t>
      </w:r>
    </w:p>
    <w:p w14:paraId="3238EDC8" w14:textId="6210D2AF"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In theoretical terms, this fits well in Barney’s Resource Based View (RBV), which argues that organisations have lasting competitive advantage through valuable, rare, inimitable, and non-substitutable resources – the first of which is human capital. </w:t>
      </w:r>
      <w:r w:rsidR="00831C4D" w:rsidRPr="002D65C6">
        <w:rPr>
          <w:rFonts w:ascii="Times New Roman" w:hAnsi="Times New Roman" w:cs="Times New Roman"/>
        </w:rPr>
        <w:t xml:space="preserve">In this figure above, the employee development practices, e.g. training programs, mentoring opportunities, performance evaluations, feedback sessions and job rotation assignments are considered strategic, when taking place within an </w:t>
      </w:r>
      <w:r w:rsidR="002D65C6">
        <w:rPr>
          <w:rFonts w:ascii="Times New Roman" w:hAnsi="Times New Roman" w:cs="Times New Roman"/>
        </w:rPr>
        <w:t>organisation</w:t>
      </w:r>
      <w:r w:rsidR="00831C4D" w:rsidRPr="002D65C6">
        <w:rPr>
          <w:rFonts w:ascii="Times New Roman" w:hAnsi="Times New Roman" w:cs="Times New Roman"/>
        </w:rPr>
        <w:t xml:space="preserve">'s culture of learning and growth. While it is focused on the fact that such practices can help in increasing employee engagement, trust, and retaining them which further enhances the success of </w:t>
      </w:r>
      <w:r w:rsidR="002D65C6">
        <w:rPr>
          <w:rFonts w:ascii="Times New Roman" w:hAnsi="Times New Roman" w:cs="Times New Roman"/>
        </w:rPr>
        <w:t>organisation</w:t>
      </w:r>
      <w:r w:rsidR="00831C4D" w:rsidRPr="002D65C6">
        <w:rPr>
          <w:rFonts w:ascii="Times New Roman" w:hAnsi="Times New Roman" w:cs="Times New Roman"/>
        </w:rPr>
        <w:t xml:space="preserve"> in the long run. </w:t>
      </w:r>
      <w:r w:rsidRPr="002D65C6">
        <w:rPr>
          <w:rFonts w:ascii="Times New Roman" w:hAnsi="Times New Roman" w:cs="Times New Roman"/>
        </w:rPr>
        <w:t xml:space="preserve">Similarly, </w:t>
      </w:r>
      <w:proofErr w:type="spellStart"/>
      <w:r w:rsidRPr="002D65C6">
        <w:rPr>
          <w:rFonts w:ascii="Times New Roman" w:hAnsi="Times New Roman" w:cs="Times New Roman"/>
        </w:rPr>
        <w:t>Agustian</w:t>
      </w:r>
      <w:proofErr w:type="spellEnd"/>
      <w:r w:rsidRPr="002D65C6">
        <w:rPr>
          <w:rFonts w:ascii="Times New Roman" w:hAnsi="Times New Roman" w:cs="Times New Roman"/>
        </w:rPr>
        <w:t xml:space="preserve"> et al. (2023) also argue that competitive differentiation is a core pillar in securing success which can only be achieved through prioritizing recruitment quality, continuous development, and digital responsiveness. Moreover, this strategic orientation is integrated into the Strategic Human Resource Management (SHRM) frameworks which are of the view that HR practices must be aligned with the business goals to enhance the organisational adaptability and market responsiveness.</w:t>
      </w:r>
    </w:p>
    <w:p w14:paraId="1DE4148B" w14:textId="0085D1CC"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More critically, employee development is significant beyond its capability to build immediate skills. According to Al-Tit et al. (2022), these practices not only develop human capital in terms </w:t>
      </w:r>
      <w:r w:rsidRPr="002D65C6">
        <w:rPr>
          <w:rFonts w:ascii="Times New Roman" w:hAnsi="Times New Roman" w:cs="Times New Roman"/>
        </w:rPr>
        <w:lastRenderedPageBreak/>
        <w:t>of skills, knowledge and attitudes but also the social capital as relational trust, networks, and collaborative culture. According to their study, knowledge management mediates this relationship such that the developmental gains become collective organisational assets.</w:t>
      </w:r>
    </w:p>
    <w:p w14:paraId="39CE63C6" w14:textId="7C5268A7"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While the importance of development strategies becomes even more pronounced in sector specific settings especially in manufacturing and IT. As an example, </w:t>
      </w:r>
      <w:proofErr w:type="spellStart"/>
      <w:r w:rsidRPr="002D65C6">
        <w:rPr>
          <w:rFonts w:ascii="Times New Roman" w:hAnsi="Times New Roman" w:cs="Times New Roman"/>
        </w:rPr>
        <w:t>Olurin</w:t>
      </w:r>
      <w:proofErr w:type="spellEnd"/>
      <w:r w:rsidRPr="002D65C6">
        <w:rPr>
          <w:rFonts w:ascii="Times New Roman" w:hAnsi="Times New Roman" w:cs="Times New Roman"/>
        </w:rPr>
        <w:t xml:space="preserve"> et al. (2024) mention that in manufacturing, automation needs to be balanced with workforce development to prevent skills obsolescence. The research shows that the implementation of strategic development frameworks leads to higher productivity and adaptability of organisational environments in Industry 4.0. In IT sectors, the development focused talent management reduces the turnover intentions significantly which in turn keeps institutional knowledge stable and drives innovation (Kumar 2022).</w:t>
      </w:r>
    </w:p>
    <w:p w14:paraId="3DD66D8F" w14:textId="77777777" w:rsidR="001E2667" w:rsidRPr="002D65C6" w:rsidRDefault="001E2667" w:rsidP="001E2667">
      <w:pPr>
        <w:rPr>
          <w:rFonts w:ascii="Times New Roman" w:hAnsi="Times New Roman" w:cs="Times New Roman"/>
        </w:rPr>
      </w:pPr>
      <w:r w:rsidRPr="002D65C6">
        <w:rPr>
          <w:rFonts w:ascii="Times New Roman" w:hAnsi="Times New Roman" w:cs="Times New Roman"/>
        </w:rPr>
        <w:t>In the long run though, strategic employee development is not just about learning and growth, it is an investment in both organisational resilience as well as the development of future leaders, which in turn ensures sustained value creation in dynamic market conditions.</w:t>
      </w:r>
    </w:p>
    <w:p w14:paraId="1A38A6A0" w14:textId="23CBC99F"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However, employee development programmes are often the most met with </w:t>
      </w:r>
      <w:r w:rsidR="002D65C6">
        <w:rPr>
          <w:rFonts w:ascii="Times New Roman" w:hAnsi="Times New Roman" w:cs="Times New Roman"/>
        </w:rPr>
        <w:t>organisation</w:t>
      </w:r>
      <w:r w:rsidRPr="002D65C6">
        <w:rPr>
          <w:rFonts w:ascii="Times New Roman" w:hAnsi="Times New Roman" w:cs="Times New Roman"/>
        </w:rPr>
        <w:t xml:space="preserve">al, structural and cultural obstacles. The most critical challenge in resource constrained environment is </w:t>
      </w:r>
      <w:proofErr w:type="gramStart"/>
      <w:r w:rsidRPr="002D65C6">
        <w:rPr>
          <w:rFonts w:ascii="Times New Roman" w:hAnsi="Times New Roman" w:cs="Times New Roman"/>
        </w:rPr>
        <w:t>financial—</w:t>
      </w:r>
      <w:r w:rsidR="002D65C6">
        <w:rPr>
          <w:rFonts w:ascii="Times New Roman" w:hAnsi="Times New Roman" w:cs="Times New Roman"/>
        </w:rPr>
        <w:t>organisation</w:t>
      </w:r>
      <w:r w:rsidRPr="002D65C6">
        <w:rPr>
          <w:rFonts w:ascii="Times New Roman" w:hAnsi="Times New Roman" w:cs="Times New Roman"/>
        </w:rPr>
        <w:t>s</w:t>
      </w:r>
      <w:proofErr w:type="gramEnd"/>
      <w:r w:rsidRPr="002D65C6">
        <w:rPr>
          <w:rFonts w:ascii="Times New Roman" w:hAnsi="Times New Roman" w:cs="Times New Roman"/>
        </w:rPr>
        <w:t xml:space="preserve"> rarely have resources to build comprehensive programs or invest in learning technologies. Bristol‐</w:t>
      </w:r>
      <w:proofErr w:type="spellStart"/>
      <w:r w:rsidRPr="002D65C6">
        <w:rPr>
          <w:rFonts w:ascii="Times New Roman" w:hAnsi="Times New Roman" w:cs="Times New Roman"/>
        </w:rPr>
        <w:t>Alagbariya</w:t>
      </w:r>
      <w:proofErr w:type="spellEnd"/>
      <w:r w:rsidRPr="002D65C6">
        <w:rPr>
          <w:rFonts w:ascii="Times New Roman" w:hAnsi="Times New Roman" w:cs="Times New Roman"/>
        </w:rPr>
        <w:t xml:space="preserve"> et al. (2024) explore how funding gaps, high turnover and lack of professional development tools all lead to retention issues and poor leadership continuity in low resource settings. As </w:t>
      </w:r>
      <w:r w:rsidR="001D5AEA" w:rsidRPr="002D65C6">
        <w:rPr>
          <w:rFonts w:ascii="Times New Roman" w:hAnsi="Times New Roman" w:cs="Times New Roman"/>
        </w:rPr>
        <w:t>cost-effective</w:t>
      </w:r>
      <w:r w:rsidRPr="002D65C6">
        <w:rPr>
          <w:rFonts w:ascii="Times New Roman" w:hAnsi="Times New Roman" w:cs="Times New Roman"/>
        </w:rPr>
        <w:t xml:space="preserve"> alternatives these propose digital mentorship, but even this comes with a cost of initial investment and leadership buy in.</w:t>
      </w:r>
    </w:p>
    <w:p w14:paraId="3009E821" w14:textId="5D2B1F56"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The other critical barrier is leadership alignment. According to Khattak et al. (2023), developmental </w:t>
      </w:r>
      <w:r w:rsidR="00E90626" w:rsidRPr="002D65C6">
        <w:rPr>
          <w:rFonts w:ascii="Times New Roman" w:hAnsi="Times New Roman" w:cs="Times New Roman"/>
        </w:rPr>
        <w:t>endeavours</w:t>
      </w:r>
      <w:r w:rsidRPr="002D65C6">
        <w:rPr>
          <w:rFonts w:ascii="Times New Roman" w:hAnsi="Times New Roman" w:cs="Times New Roman"/>
        </w:rPr>
        <w:t xml:space="preserve"> in </w:t>
      </w:r>
      <w:r w:rsidR="002D65C6">
        <w:rPr>
          <w:rFonts w:ascii="Times New Roman" w:hAnsi="Times New Roman" w:cs="Times New Roman"/>
        </w:rPr>
        <w:t>organisation</w:t>
      </w:r>
      <w:r w:rsidRPr="002D65C6">
        <w:rPr>
          <w:rFonts w:ascii="Times New Roman" w:hAnsi="Times New Roman" w:cs="Times New Roman"/>
        </w:rPr>
        <w:t>s undertaking mergers and acquisitions fail in integrating leadership values and mentoring due to lack of integration. In SMEs, this issue is further exacerbated by the fact that leaders might not have dedicated HR infrastructure or strategic vision to embed the development in the core business processes (Bristol-</w:t>
      </w:r>
      <w:proofErr w:type="spellStart"/>
      <w:r w:rsidRPr="002D65C6">
        <w:rPr>
          <w:rFonts w:ascii="Times New Roman" w:hAnsi="Times New Roman" w:cs="Times New Roman"/>
        </w:rPr>
        <w:t>Alagbariya</w:t>
      </w:r>
      <w:proofErr w:type="spellEnd"/>
      <w:r w:rsidRPr="002D65C6">
        <w:rPr>
          <w:rFonts w:ascii="Times New Roman" w:hAnsi="Times New Roman" w:cs="Times New Roman"/>
        </w:rPr>
        <w:t xml:space="preserve"> et al., 2024). The lack of clear leadership support makes employee engagement suffer and undermines the potential impact of even </w:t>
      </w:r>
      <w:r w:rsidR="001D5AEA" w:rsidRPr="002D65C6">
        <w:rPr>
          <w:rFonts w:ascii="Times New Roman" w:hAnsi="Times New Roman" w:cs="Times New Roman"/>
        </w:rPr>
        <w:t>well-designed</w:t>
      </w:r>
      <w:r w:rsidRPr="002D65C6">
        <w:rPr>
          <w:rFonts w:ascii="Times New Roman" w:hAnsi="Times New Roman" w:cs="Times New Roman"/>
        </w:rPr>
        <w:t xml:space="preserve"> development programmes.</w:t>
      </w:r>
    </w:p>
    <w:p w14:paraId="35083B5C" w14:textId="0E0FCAC6"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In addition, unequal distribution of development resources between hierarchical levels, or between geographical locations, contributes to the workplace inequity. According to </w:t>
      </w:r>
      <w:proofErr w:type="spellStart"/>
      <w:r w:rsidRPr="002D65C6">
        <w:rPr>
          <w:rFonts w:ascii="Times New Roman" w:hAnsi="Times New Roman" w:cs="Times New Roman"/>
        </w:rPr>
        <w:t>Mutiarin</w:t>
      </w:r>
      <w:proofErr w:type="spellEnd"/>
      <w:r w:rsidRPr="002D65C6">
        <w:rPr>
          <w:rFonts w:ascii="Times New Roman" w:hAnsi="Times New Roman" w:cs="Times New Roman"/>
        </w:rPr>
        <w:t xml:space="preserve"> et al. (2023), although increased accessibility results from digital platforms such as e-</w:t>
      </w:r>
      <w:r w:rsidRPr="002D65C6">
        <w:rPr>
          <w:rFonts w:ascii="Times New Roman" w:hAnsi="Times New Roman" w:cs="Times New Roman"/>
        </w:rPr>
        <w:lastRenderedPageBreak/>
        <w:t xml:space="preserve">mentoring, they may however exclude employees with limited digital literacy or device access. Their study points to the necessity of including design in development strategies, </w:t>
      </w:r>
      <w:proofErr w:type="gramStart"/>
      <w:r w:rsidRPr="002D65C6">
        <w:rPr>
          <w:rFonts w:ascii="Times New Roman" w:hAnsi="Times New Roman" w:cs="Times New Roman"/>
        </w:rPr>
        <w:t>in particular in</w:t>
      </w:r>
      <w:proofErr w:type="gramEnd"/>
      <w:r w:rsidRPr="002D65C6">
        <w:rPr>
          <w:rFonts w:ascii="Times New Roman" w:hAnsi="Times New Roman" w:cs="Times New Roman"/>
        </w:rPr>
        <w:t xml:space="preserve"> global organisations or public sector institutions working in rural settings.</w:t>
      </w:r>
    </w:p>
    <w:p w14:paraId="3945B496" w14:textId="12469522"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Cultural resistance also plays a large part in exposing the media. According to Varney (2021), inertia from the established practices, departmental silos, and employee </w:t>
      </w:r>
      <w:r w:rsidR="00CF4C7E" w:rsidRPr="002D65C6">
        <w:rPr>
          <w:rFonts w:ascii="Times New Roman" w:hAnsi="Times New Roman" w:cs="Times New Roman"/>
        </w:rPr>
        <w:t>scepticism</w:t>
      </w:r>
      <w:r w:rsidRPr="002D65C6">
        <w:rPr>
          <w:rFonts w:ascii="Times New Roman" w:hAnsi="Times New Roman" w:cs="Times New Roman"/>
        </w:rPr>
        <w:t xml:space="preserve"> prevail in organisations participating in transformational change. These legacy systems can even stifle innovation and prevent the spread of development projects even when new leadership or technology is introduced. From a systems theory perspective, organisations are complex, adaptive systems and therefore, shifts in leadership, culture, technology, etc must happen in alignment when one domain—like learning—is changed (Watson &amp; Reissner, 2023). However, decentralised decision making and matrix structures in larger MNCs can also weaken accountability for development outcomes. In contrast, the lack of formal policy within SMEs translates to reactive as opposed to proactive approaches to leadership growth (Gold, 2010). The need for context specific strategy is supported by these sectoral differences, in which leadership theory, particularly Northouse (2019)’s transformational leadership, serves to provide direction for change.</w:t>
      </w:r>
    </w:p>
    <w:p w14:paraId="50018E25" w14:textId="77777777" w:rsidR="001E2667" w:rsidRPr="002D65C6" w:rsidRDefault="001E2667" w:rsidP="001E2667">
      <w:pPr>
        <w:rPr>
          <w:rFonts w:ascii="Times New Roman" w:hAnsi="Times New Roman" w:cs="Times New Roman"/>
        </w:rPr>
      </w:pPr>
      <w:r w:rsidRPr="002D65C6">
        <w:rPr>
          <w:rFonts w:ascii="Times New Roman" w:hAnsi="Times New Roman" w:cs="Times New Roman"/>
        </w:rPr>
        <w:t>As such, the potential benefits of strategic employee development are compelling, but the implementation has been a complex process that necessitates deliberate alignment of leadership vision, financial planning, inclusive systems design and cultural transformation.</w:t>
      </w:r>
    </w:p>
    <w:p w14:paraId="7E3A1B8A" w14:textId="49C0E795"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With the rapid technological advancements, especially the infusion of Artificial Intelligence (AI), the landscape of employee development has been changed through highly personalized and highly scalable learning systems. </w:t>
      </w:r>
      <w:proofErr w:type="spellStart"/>
      <w:r w:rsidRPr="002D65C6">
        <w:rPr>
          <w:rFonts w:ascii="Times New Roman" w:hAnsi="Times New Roman" w:cs="Times New Roman"/>
        </w:rPr>
        <w:t>Madhumithaa</w:t>
      </w:r>
      <w:proofErr w:type="spellEnd"/>
      <w:r w:rsidRPr="002D65C6">
        <w:rPr>
          <w:rFonts w:ascii="Times New Roman" w:hAnsi="Times New Roman" w:cs="Times New Roman"/>
        </w:rPr>
        <w:t xml:space="preserve"> et al. </w:t>
      </w:r>
      <w:r w:rsidR="001D5AEA" w:rsidRPr="002D65C6">
        <w:rPr>
          <w:rFonts w:ascii="Times New Roman" w:hAnsi="Times New Roman" w:cs="Times New Roman"/>
        </w:rPr>
        <w:t>(</w:t>
      </w:r>
      <w:r w:rsidRPr="002D65C6">
        <w:rPr>
          <w:rFonts w:ascii="Times New Roman" w:hAnsi="Times New Roman" w:cs="Times New Roman"/>
        </w:rPr>
        <w:t>2025</w:t>
      </w:r>
      <w:r w:rsidR="001D5AEA" w:rsidRPr="002D65C6">
        <w:rPr>
          <w:rFonts w:ascii="Times New Roman" w:hAnsi="Times New Roman" w:cs="Times New Roman"/>
        </w:rPr>
        <w:t>)</w:t>
      </w:r>
      <w:r w:rsidRPr="002D65C6">
        <w:rPr>
          <w:rFonts w:ascii="Times New Roman" w:hAnsi="Times New Roman" w:cs="Times New Roman"/>
        </w:rPr>
        <w:t xml:space="preserve"> indicate</w:t>
      </w:r>
      <w:r w:rsidR="00D1190E" w:rsidRPr="002D65C6">
        <w:rPr>
          <w:rFonts w:ascii="Times New Roman" w:hAnsi="Times New Roman" w:cs="Times New Roman"/>
        </w:rPr>
        <w:t>s</w:t>
      </w:r>
      <w:r w:rsidRPr="002D65C6">
        <w:rPr>
          <w:rFonts w:ascii="Times New Roman" w:hAnsi="Times New Roman" w:cs="Times New Roman"/>
        </w:rPr>
        <w:t xml:space="preserve"> that </w:t>
      </w:r>
      <w:r w:rsidR="001D5AEA" w:rsidRPr="002D65C6">
        <w:rPr>
          <w:rFonts w:ascii="Times New Roman" w:hAnsi="Times New Roman" w:cs="Times New Roman"/>
        </w:rPr>
        <w:t>AI Based</w:t>
      </w:r>
      <w:r w:rsidRPr="002D65C6">
        <w:rPr>
          <w:rFonts w:ascii="Times New Roman" w:hAnsi="Times New Roman" w:cs="Times New Roman"/>
        </w:rPr>
        <w:t xml:space="preserve"> platforms enable personalized learning paths with adaptive content, sentiment analysis, and </w:t>
      </w:r>
      <w:r w:rsidR="00D1190E" w:rsidRPr="002D65C6">
        <w:rPr>
          <w:rFonts w:ascii="Times New Roman" w:hAnsi="Times New Roman" w:cs="Times New Roman"/>
        </w:rPr>
        <w:t>real-time</w:t>
      </w:r>
      <w:r w:rsidRPr="002D65C6">
        <w:rPr>
          <w:rFonts w:ascii="Times New Roman" w:hAnsi="Times New Roman" w:cs="Times New Roman"/>
        </w:rPr>
        <w:t xml:space="preserve"> feedback mechanisms. Their study underlines how much these platforms enhance engagement and development efficiency of employees, enabling organisations to deploy training according to the demands of evolving skills in a granular manner.</w:t>
      </w:r>
    </w:p>
    <w:p w14:paraId="19DDFED7" w14:textId="31A9A151" w:rsidR="001E2667" w:rsidRPr="002D65C6" w:rsidRDefault="001E2667" w:rsidP="001D5AEA">
      <w:pPr>
        <w:rPr>
          <w:rFonts w:ascii="Times New Roman" w:hAnsi="Times New Roman" w:cs="Times New Roman"/>
        </w:rPr>
      </w:pPr>
      <w:r w:rsidRPr="002D65C6">
        <w:rPr>
          <w:rFonts w:ascii="Times New Roman" w:hAnsi="Times New Roman" w:cs="Times New Roman"/>
        </w:rPr>
        <w:t xml:space="preserve">Development programmes are further extended and made more inclusive through use of e-mentoring and e-coaching technologies. According to </w:t>
      </w:r>
      <w:proofErr w:type="spellStart"/>
      <w:r w:rsidRPr="002D65C6">
        <w:rPr>
          <w:rFonts w:ascii="Times New Roman" w:hAnsi="Times New Roman" w:cs="Times New Roman"/>
        </w:rPr>
        <w:t>Mutiarin</w:t>
      </w:r>
      <w:proofErr w:type="spellEnd"/>
      <w:r w:rsidRPr="002D65C6">
        <w:rPr>
          <w:rFonts w:ascii="Times New Roman" w:hAnsi="Times New Roman" w:cs="Times New Roman"/>
        </w:rPr>
        <w:t xml:space="preserve"> et al. (2023), these tools are not simply replacement of conventional mentoring, but revolutionize how to mitigate the gap of location, culture, </w:t>
      </w:r>
      <w:proofErr w:type="gramStart"/>
      <w:r w:rsidRPr="002D65C6">
        <w:rPr>
          <w:rFonts w:ascii="Times New Roman" w:hAnsi="Times New Roman" w:cs="Times New Roman"/>
        </w:rPr>
        <w:t>and also</w:t>
      </w:r>
      <w:proofErr w:type="gramEnd"/>
      <w:r w:rsidRPr="002D65C6">
        <w:rPr>
          <w:rFonts w:ascii="Times New Roman" w:hAnsi="Times New Roman" w:cs="Times New Roman"/>
        </w:rPr>
        <w:t xml:space="preserve"> organisation. E-mentoring platforms provide the benefits of asynchronous learning, cross cultural collaboration as well as real time consultation, which would be very critical in places where available face to face interaction is limited or impossible.</w:t>
      </w:r>
      <w:r w:rsidR="001D5AEA" w:rsidRPr="002D65C6">
        <w:rPr>
          <w:rFonts w:ascii="Times New Roman" w:hAnsi="Times New Roman" w:cs="Times New Roman"/>
        </w:rPr>
        <w:t xml:space="preserve"> </w:t>
      </w:r>
      <w:r w:rsidR="001D5AEA" w:rsidRPr="002D65C6">
        <w:rPr>
          <w:rFonts w:ascii="Times New Roman" w:hAnsi="Times New Roman" w:cs="Times New Roman"/>
        </w:rPr>
        <w:lastRenderedPageBreak/>
        <w:t>Adaptability to the situational and relational demands is what makes leadership effective (Yukl, 2020). According to Gold (2010), leadership development is highest impact when it is in the context of the organisation and the individual learning needs.</w:t>
      </w:r>
    </w:p>
    <w:p w14:paraId="5DC6B4AB" w14:textId="0DCDA76F"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This has huge implications for scalability and access. According to Hargitai and Bencsik (2023), new types of leadership are needed in the digital transformation of learning </w:t>
      </w:r>
      <w:r w:rsidR="002D65C6">
        <w:rPr>
          <w:rFonts w:ascii="Times New Roman" w:hAnsi="Times New Roman" w:cs="Times New Roman"/>
        </w:rPr>
        <w:t>organisation</w:t>
      </w:r>
      <w:r w:rsidRPr="002D65C6">
        <w:rPr>
          <w:rFonts w:ascii="Times New Roman" w:hAnsi="Times New Roman" w:cs="Times New Roman"/>
        </w:rPr>
        <w:t>s to develop trust in virtual environments. Digital trust becomes the cornerstone to encourage engagement with remote learning tools and to build psychologically safe environments for learners to experiment, reflect, and apply knowledge.</w:t>
      </w:r>
    </w:p>
    <w:p w14:paraId="4DCF7AA0" w14:textId="1273F2D0" w:rsidR="001E2667" w:rsidRPr="002D65C6" w:rsidRDefault="001E2667" w:rsidP="001E2667">
      <w:pPr>
        <w:rPr>
          <w:rFonts w:ascii="Times New Roman" w:hAnsi="Times New Roman" w:cs="Times New Roman"/>
        </w:rPr>
      </w:pPr>
      <w:r w:rsidRPr="002D65C6">
        <w:rPr>
          <w:rFonts w:ascii="Times New Roman" w:hAnsi="Times New Roman" w:cs="Times New Roman"/>
        </w:rPr>
        <w:t xml:space="preserve">These innovations are based on e-learning and knowledge management theory. According to Al-Tit et al. (2022), knowledge management is a mediating factor of employee development and formation of intellectual capital. Technology is used as an enabling factor that binds learning to the knowledge systems of the </w:t>
      </w:r>
      <w:r w:rsidR="002D65C6">
        <w:rPr>
          <w:rFonts w:ascii="Times New Roman" w:hAnsi="Times New Roman" w:cs="Times New Roman"/>
        </w:rPr>
        <w:t>organisation</w:t>
      </w:r>
      <w:r w:rsidRPr="002D65C6">
        <w:rPr>
          <w:rFonts w:ascii="Times New Roman" w:hAnsi="Times New Roman" w:cs="Times New Roman"/>
        </w:rPr>
        <w:t xml:space="preserve"> as well as promotes collaborative knowledge sharing. Given the fact that Industry 4.0 framework necessitates such an integration, more so in the case of manufacturing sectors, where automation and digital competencies are closely intertwined (</w:t>
      </w:r>
      <w:proofErr w:type="spellStart"/>
      <w:r w:rsidRPr="002D65C6">
        <w:rPr>
          <w:rFonts w:ascii="Times New Roman" w:hAnsi="Times New Roman" w:cs="Times New Roman"/>
        </w:rPr>
        <w:t>Olurin</w:t>
      </w:r>
      <w:proofErr w:type="spellEnd"/>
      <w:r w:rsidRPr="002D65C6">
        <w:rPr>
          <w:rFonts w:ascii="Times New Roman" w:hAnsi="Times New Roman" w:cs="Times New Roman"/>
        </w:rPr>
        <w:t xml:space="preserve"> et al., 2024). They find that in the presence of a competitive environment, </w:t>
      </w:r>
      <w:proofErr w:type="gramStart"/>
      <w:r w:rsidRPr="002D65C6">
        <w:rPr>
          <w:rFonts w:ascii="Times New Roman" w:hAnsi="Times New Roman" w:cs="Times New Roman"/>
        </w:rPr>
        <w:t>digitally-developing</w:t>
      </w:r>
      <w:proofErr w:type="gramEnd"/>
      <w:r w:rsidRPr="002D65C6">
        <w:rPr>
          <w:rFonts w:ascii="Times New Roman" w:hAnsi="Times New Roman" w:cs="Times New Roman"/>
        </w:rPr>
        <w:t xml:space="preserve"> organisations that also invest in upskilling their workforce exhibit higher rates of productivity and agility.</w:t>
      </w:r>
    </w:p>
    <w:p w14:paraId="6FADDBFC" w14:textId="77777777" w:rsidR="00D1190E" w:rsidRPr="002D65C6" w:rsidRDefault="001E2667" w:rsidP="001E2667">
      <w:pPr>
        <w:rPr>
          <w:rFonts w:ascii="Times New Roman" w:hAnsi="Times New Roman" w:cs="Times New Roman"/>
        </w:rPr>
      </w:pPr>
      <w:r w:rsidRPr="002D65C6">
        <w:rPr>
          <w:rFonts w:ascii="Times New Roman" w:hAnsi="Times New Roman" w:cs="Times New Roman"/>
        </w:rPr>
        <w:t>In fact, technology is no longer an adjunct to employee development, but a structural pillar that alters access, increases relevance and integrates learning into the organisational DNA.</w:t>
      </w:r>
    </w:p>
    <w:p w14:paraId="32CB3B50" w14:textId="20556605" w:rsidR="00D1190E" w:rsidRPr="002D65C6" w:rsidRDefault="00D1190E" w:rsidP="00D1190E">
      <w:pPr>
        <w:rPr>
          <w:rFonts w:ascii="Times New Roman" w:hAnsi="Times New Roman" w:cs="Times New Roman"/>
        </w:rPr>
      </w:pPr>
      <w:r w:rsidRPr="002D65C6">
        <w:rPr>
          <w:rFonts w:ascii="Times New Roman" w:hAnsi="Times New Roman" w:cs="Times New Roman"/>
        </w:rPr>
        <w:t xml:space="preserve">Critical engagement of various theoretical models is necessary to understand leadership’s role on employee development. As differentiated by Northouse (2019), transformational leadership is a model that motivates and raises followers to a higher level of performance based on a shared vision and personalised attention. In fact, this style is best for innovation and motivation-oriented development-oriented environments. On the other hand, situational leadership is behaviour oriented, and leader behaviour is changed according to the employee’s maturity levels which are flexible but may not have the </w:t>
      </w:r>
      <w:r w:rsidR="001D5AEA" w:rsidRPr="002D65C6">
        <w:rPr>
          <w:rFonts w:ascii="Times New Roman" w:hAnsi="Times New Roman" w:cs="Times New Roman"/>
        </w:rPr>
        <w:t>long-term</w:t>
      </w:r>
      <w:r w:rsidRPr="002D65C6">
        <w:rPr>
          <w:rFonts w:ascii="Times New Roman" w:hAnsi="Times New Roman" w:cs="Times New Roman"/>
        </w:rPr>
        <w:t xml:space="preserve"> development effect present in the transformational models. Meanwhile, authentic leadership focuses on self-awareness and relational transparency thereby creating trust and psychological safety, key attributes when designing a digital or a hybrid learning environment (Northouse, 2019).</w:t>
      </w:r>
    </w:p>
    <w:p w14:paraId="13BD84BB" w14:textId="49779AA9" w:rsidR="00D1190E" w:rsidRPr="002D65C6" w:rsidRDefault="00D1190E" w:rsidP="00D1190E">
      <w:pPr>
        <w:rPr>
          <w:rFonts w:ascii="Times New Roman" w:hAnsi="Times New Roman" w:cs="Times New Roman"/>
        </w:rPr>
      </w:pPr>
      <w:r w:rsidRPr="002D65C6">
        <w:rPr>
          <w:rFonts w:ascii="Times New Roman" w:hAnsi="Times New Roman" w:cs="Times New Roman"/>
        </w:rPr>
        <w:t xml:space="preserve">Leadership competency in digital learning organisations </w:t>
      </w:r>
      <w:proofErr w:type="gramStart"/>
      <w:r w:rsidRPr="002D65C6">
        <w:rPr>
          <w:rFonts w:ascii="Times New Roman" w:hAnsi="Times New Roman" w:cs="Times New Roman"/>
        </w:rPr>
        <w:t>has to</w:t>
      </w:r>
      <w:proofErr w:type="gramEnd"/>
      <w:r w:rsidRPr="002D65C6">
        <w:rPr>
          <w:rFonts w:ascii="Times New Roman" w:hAnsi="Times New Roman" w:cs="Times New Roman"/>
        </w:rPr>
        <w:t xml:space="preserve"> evolve. Hargitai and Bencsik (2023), however, argue that leaders now </w:t>
      </w:r>
      <w:proofErr w:type="gramStart"/>
      <w:r w:rsidRPr="002D65C6">
        <w:rPr>
          <w:rFonts w:ascii="Times New Roman" w:hAnsi="Times New Roman" w:cs="Times New Roman"/>
        </w:rPr>
        <w:t>have to</w:t>
      </w:r>
      <w:proofErr w:type="gramEnd"/>
      <w:r w:rsidRPr="002D65C6">
        <w:rPr>
          <w:rFonts w:ascii="Times New Roman" w:hAnsi="Times New Roman" w:cs="Times New Roman"/>
        </w:rPr>
        <w:t xml:space="preserve"> deal with the more intricate points of contact between media competence and empathy, as well as trust building. Their empirical findings </w:t>
      </w:r>
      <w:r w:rsidRPr="002D65C6">
        <w:rPr>
          <w:rFonts w:ascii="Times New Roman" w:hAnsi="Times New Roman" w:cs="Times New Roman"/>
        </w:rPr>
        <w:lastRenderedPageBreak/>
        <w:t>also show that the leaders of digitally mature firms must have high adaptability, cross functional collaboration skills and emotional intelligence. These are necessary skills in creating learning environments that allow employees to feel part of continuous professional development.</w:t>
      </w:r>
    </w:p>
    <w:p w14:paraId="6D110A9F" w14:textId="5F653A3A" w:rsidR="00D1190E" w:rsidRPr="002D65C6" w:rsidRDefault="00D1190E" w:rsidP="00D1190E">
      <w:pPr>
        <w:rPr>
          <w:rFonts w:ascii="Times New Roman" w:hAnsi="Times New Roman" w:cs="Times New Roman"/>
        </w:rPr>
      </w:pPr>
      <w:r w:rsidRPr="002D65C6">
        <w:rPr>
          <w:rFonts w:ascii="Times New Roman" w:hAnsi="Times New Roman" w:cs="Times New Roman"/>
        </w:rPr>
        <w:t>Deliberate alignment to these competencies is required as part of the succession planning and leadership pipeline strategies. This is explored by Bristol‐</w:t>
      </w:r>
      <w:proofErr w:type="spellStart"/>
      <w:r w:rsidRPr="002D65C6">
        <w:rPr>
          <w:rFonts w:ascii="Times New Roman" w:hAnsi="Times New Roman" w:cs="Times New Roman"/>
        </w:rPr>
        <w:t>Alagbariya</w:t>
      </w:r>
      <w:proofErr w:type="spellEnd"/>
      <w:r w:rsidRPr="002D65C6">
        <w:rPr>
          <w:rFonts w:ascii="Times New Roman" w:hAnsi="Times New Roman" w:cs="Times New Roman"/>
        </w:rPr>
        <w:t xml:space="preserve"> et al. (2024), who consider the implementation of succession planning in constrained resource settings; and how it must be integrated with low-cost development frameworks such as virtual mentoring and peer coaching. The key mechanism identified by their work is mentorship as a critical mechanism in guaranteeing leadership continuity in organisations with weak financial and institutional capacity.</w:t>
      </w:r>
    </w:p>
    <w:p w14:paraId="192EF2EE" w14:textId="2061B1DC" w:rsidR="00D1190E" w:rsidRPr="002D65C6" w:rsidRDefault="00D1190E" w:rsidP="00D1190E">
      <w:pPr>
        <w:rPr>
          <w:rFonts w:ascii="Times New Roman" w:hAnsi="Times New Roman" w:cs="Times New Roman"/>
        </w:rPr>
      </w:pPr>
      <w:r w:rsidRPr="002D65C6">
        <w:rPr>
          <w:rFonts w:ascii="Times New Roman" w:hAnsi="Times New Roman" w:cs="Times New Roman"/>
        </w:rPr>
        <w:t>Further empirical validation is provided by Khattak et al. (2023) who demonstrate that strategic organisational development interventions directly increase employee development and leadership capacity. However, in their study of Pakistani firms, merger and partnership strategies helped transfer leadership knowledge and enhance competence by means of employee development which was a partial mediator. This corresponds to the principle that leadership development is a key component of the organisational transformation and not something separate from the HR function.</w:t>
      </w:r>
    </w:p>
    <w:p w14:paraId="2AB3FEB5" w14:textId="68264CEB" w:rsidR="00D1190E" w:rsidRPr="002D65C6" w:rsidRDefault="00D1190E" w:rsidP="00D1190E">
      <w:pPr>
        <w:rPr>
          <w:rFonts w:ascii="Times New Roman" w:hAnsi="Times New Roman" w:cs="Times New Roman"/>
        </w:rPr>
      </w:pPr>
      <w:r w:rsidRPr="002D65C6">
        <w:rPr>
          <w:rFonts w:ascii="Times New Roman" w:hAnsi="Times New Roman" w:cs="Times New Roman"/>
        </w:rPr>
        <w:t xml:space="preserve">In addition, change acceptance is a result of leadership. </w:t>
      </w:r>
      <w:proofErr w:type="spellStart"/>
      <w:r w:rsidRPr="002D65C6">
        <w:rPr>
          <w:rFonts w:ascii="Times New Roman" w:hAnsi="Times New Roman" w:cs="Times New Roman"/>
        </w:rPr>
        <w:t>Olurin</w:t>
      </w:r>
      <w:proofErr w:type="spellEnd"/>
      <w:r w:rsidRPr="002D65C6">
        <w:rPr>
          <w:rFonts w:ascii="Times New Roman" w:hAnsi="Times New Roman" w:cs="Times New Roman"/>
        </w:rPr>
        <w:t xml:space="preserve"> et al. (2024) discovered that in manufacturing firms undergoing automation, employee buy-in and adaptability heavily depended on leadership involvement in development planning. Firms where leaders clearly communicated upskilling pathways and got out there in front of their workforce to learn were least resistant to change. This reinforces Lussier and Achua’s (2022) point that leadership is in the business of being a behavioural model, supporting the strategic importance of development by means of constant engagement and being transparent.</w:t>
      </w:r>
    </w:p>
    <w:p w14:paraId="563F395F" w14:textId="77777777" w:rsidR="00D1190E" w:rsidRPr="002D65C6" w:rsidRDefault="00D1190E" w:rsidP="00D1190E">
      <w:pPr>
        <w:rPr>
          <w:rFonts w:ascii="Times New Roman" w:hAnsi="Times New Roman" w:cs="Times New Roman"/>
        </w:rPr>
      </w:pPr>
      <w:r w:rsidRPr="002D65C6">
        <w:rPr>
          <w:rFonts w:ascii="Times New Roman" w:hAnsi="Times New Roman" w:cs="Times New Roman"/>
        </w:rPr>
        <w:t xml:space="preserve">Therefore, the theoretical application </w:t>
      </w:r>
      <w:proofErr w:type="gramStart"/>
      <w:r w:rsidRPr="002D65C6">
        <w:rPr>
          <w:rFonts w:ascii="Times New Roman" w:hAnsi="Times New Roman" w:cs="Times New Roman"/>
        </w:rPr>
        <w:t>has to</w:t>
      </w:r>
      <w:proofErr w:type="gramEnd"/>
      <w:r w:rsidRPr="002D65C6">
        <w:rPr>
          <w:rFonts w:ascii="Times New Roman" w:hAnsi="Times New Roman" w:cs="Times New Roman"/>
        </w:rPr>
        <w:t xml:space="preserve"> go beyond a surface adoption. Contextual awareness, continuous reinforcement and structural integration with wider organisational goals are necessary to develop effective leadership.</w:t>
      </w:r>
    </w:p>
    <w:p w14:paraId="3DE97145" w14:textId="3411DF9F" w:rsidR="00D1190E" w:rsidRPr="002D65C6" w:rsidRDefault="00D1190E" w:rsidP="00D1190E">
      <w:pPr>
        <w:rPr>
          <w:rFonts w:ascii="Times New Roman" w:hAnsi="Times New Roman" w:cs="Times New Roman"/>
        </w:rPr>
      </w:pPr>
      <w:r w:rsidRPr="002D65C6">
        <w:rPr>
          <w:rFonts w:ascii="Times New Roman" w:hAnsi="Times New Roman" w:cs="Times New Roman"/>
        </w:rPr>
        <w:t xml:space="preserve">Employee development thus proves to be an important strategic mechanism for improving organisational performance and leadership effectiveness. Developmental interventions that are aligned to long term business strategy deliver measurable retention of talent, knowledge capital and operational agility across sectors (Khattak et al., 2023; Al-Tit et al., 2022). The structural </w:t>
      </w:r>
      <w:r w:rsidRPr="002D65C6">
        <w:rPr>
          <w:rFonts w:ascii="Times New Roman" w:hAnsi="Times New Roman" w:cs="Times New Roman"/>
        </w:rPr>
        <w:lastRenderedPageBreak/>
        <w:t>barriers to the widespread and inclusive development have been significantly lowered through digital innovations especially AI-driven personalised learning and scalable e-mentoring platforms (</w:t>
      </w:r>
      <w:proofErr w:type="spellStart"/>
      <w:r w:rsidRPr="002D65C6">
        <w:rPr>
          <w:rFonts w:ascii="Times New Roman" w:hAnsi="Times New Roman" w:cs="Times New Roman"/>
        </w:rPr>
        <w:t>Madhumithaa</w:t>
      </w:r>
      <w:proofErr w:type="spellEnd"/>
      <w:r w:rsidRPr="002D65C6">
        <w:rPr>
          <w:rFonts w:ascii="Times New Roman" w:hAnsi="Times New Roman" w:cs="Times New Roman"/>
        </w:rPr>
        <w:t xml:space="preserve"> et al., 2025; </w:t>
      </w:r>
      <w:proofErr w:type="spellStart"/>
      <w:r w:rsidRPr="002D65C6">
        <w:rPr>
          <w:rFonts w:ascii="Times New Roman" w:hAnsi="Times New Roman" w:cs="Times New Roman"/>
        </w:rPr>
        <w:t>Mutiarin</w:t>
      </w:r>
      <w:proofErr w:type="spellEnd"/>
      <w:r w:rsidRPr="002D65C6">
        <w:rPr>
          <w:rFonts w:ascii="Times New Roman" w:hAnsi="Times New Roman" w:cs="Times New Roman"/>
        </w:rPr>
        <w:t xml:space="preserve"> et al., 2023). Moreover, these tools are a means of support for knowledge management systems that ensure the competitive advantage of the digital economy (Al-Tit et al., 2022). However, leadership is the fulcrum on which development success rests. Aside from supporting development strategies, these leaders also practice the behaviours and mindsets that are needed to incorporate learning into the culture of an organisation (Hargitai &amp; Bencsik, 2023). Failure of leadership to correspond to the strategic vision can cause development initiatives to break apart or become obsolete (Bristol – </w:t>
      </w:r>
      <w:proofErr w:type="spellStart"/>
      <w:r w:rsidRPr="002D65C6">
        <w:rPr>
          <w:rFonts w:ascii="Times New Roman" w:hAnsi="Times New Roman" w:cs="Times New Roman"/>
        </w:rPr>
        <w:t>Alagbariya</w:t>
      </w:r>
      <w:proofErr w:type="spellEnd"/>
      <w:r w:rsidRPr="002D65C6">
        <w:rPr>
          <w:rFonts w:ascii="Times New Roman" w:hAnsi="Times New Roman" w:cs="Times New Roman"/>
        </w:rPr>
        <w:t xml:space="preserve"> et al., 2024).</w:t>
      </w:r>
    </w:p>
    <w:p w14:paraId="339E8C10" w14:textId="7228C18A" w:rsidR="00C60171" w:rsidRPr="002D65C6" w:rsidRDefault="00D1190E" w:rsidP="00D1190E">
      <w:pPr>
        <w:rPr>
          <w:rFonts w:ascii="Times New Roman" w:hAnsi="Times New Roman" w:cs="Times New Roman"/>
          <w:b/>
        </w:rPr>
      </w:pPr>
      <w:r w:rsidRPr="002D65C6">
        <w:rPr>
          <w:rFonts w:ascii="Times New Roman" w:hAnsi="Times New Roman" w:cs="Times New Roman"/>
        </w:rPr>
        <w:t xml:space="preserve">Sustainable employee ecosystems </w:t>
      </w:r>
      <w:proofErr w:type="gramStart"/>
      <w:r w:rsidRPr="002D65C6">
        <w:rPr>
          <w:rFonts w:ascii="Times New Roman" w:hAnsi="Times New Roman" w:cs="Times New Roman"/>
        </w:rPr>
        <w:t>have to</w:t>
      </w:r>
      <w:proofErr w:type="gramEnd"/>
      <w:r w:rsidRPr="002D65C6">
        <w:rPr>
          <w:rFonts w:ascii="Times New Roman" w:hAnsi="Times New Roman" w:cs="Times New Roman"/>
        </w:rPr>
        <w:t xml:space="preserve"> </w:t>
      </w:r>
      <w:proofErr w:type="gramStart"/>
      <w:r w:rsidRPr="002D65C6">
        <w:rPr>
          <w:rFonts w:ascii="Times New Roman" w:hAnsi="Times New Roman" w:cs="Times New Roman"/>
        </w:rPr>
        <w:t>plan ahead</w:t>
      </w:r>
      <w:proofErr w:type="gramEnd"/>
      <w:r w:rsidRPr="002D65C6">
        <w:rPr>
          <w:rFonts w:ascii="Times New Roman" w:hAnsi="Times New Roman" w:cs="Times New Roman"/>
        </w:rPr>
        <w:t xml:space="preserve"> and merge leadership agility, technological foresight and inclusive policy framework. The route </w:t>
      </w:r>
      <w:r w:rsidR="002D65C6" w:rsidRPr="002D65C6">
        <w:rPr>
          <w:rFonts w:ascii="Times New Roman" w:hAnsi="Times New Roman" w:cs="Times New Roman"/>
        </w:rPr>
        <w:t>travelled</w:t>
      </w:r>
      <w:r w:rsidRPr="002D65C6">
        <w:rPr>
          <w:rFonts w:ascii="Times New Roman" w:hAnsi="Times New Roman" w:cs="Times New Roman"/>
        </w:rPr>
        <w:t xml:space="preserve"> to accurate, knowledge based and ethically sound organisations in a world of complexity and change, lies in this integration.</w:t>
      </w:r>
      <w:r w:rsidR="00C60171" w:rsidRPr="002D65C6">
        <w:rPr>
          <w:rFonts w:ascii="Times New Roman" w:hAnsi="Times New Roman" w:cs="Times New Roman"/>
          <w:b/>
        </w:rPr>
        <w:br w:type="page"/>
      </w:r>
    </w:p>
    <w:p w14:paraId="39D39F02" w14:textId="7E232955" w:rsidR="00032D9E" w:rsidRPr="002D65C6" w:rsidRDefault="00C60171" w:rsidP="00D1190E">
      <w:pPr>
        <w:pStyle w:val="Heading1"/>
        <w:rPr>
          <w:rFonts w:ascii="Times New Roman" w:hAnsi="Times New Roman" w:cs="Times New Roman"/>
        </w:rPr>
      </w:pPr>
      <w:r w:rsidRPr="002D65C6">
        <w:rPr>
          <w:rFonts w:ascii="Times New Roman" w:hAnsi="Times New Roman" w:cs="Times New Roman"/>
        </w:rPr>
        <w:lastRenderedPageBreak/>
        <w:t>References</w:t>
      </w:r>
    </w:p>
    <w:p w14:paraId="33B463EF" w14:textId="77777777" w:rsidR="00E90626" w:rsidRPr="002D65C6" w:rsidRDefault="00E90626" w:rsidP="00E90626">
      <w:pPr>
        <w:ind w:left="720" w:hanging="720"/>
        <w:rPr>
          <w:rFonts w:ascii="Times New Roman" w:eastAsia="Times New Roman" w:hAnsi="Times New Roman" w:cs="Times New Roman"/>
          <w:szCs w:val="24"/>
        </w:rPr>
      </w:pPr>
      <w:proofErr w:type="spellStart"/>
      <w:r w:rsidRPr="002D65C6">
        <w:rPr>
          <w:rFonts w:ascii="Times New Roman" w:eastAsia="Times New Roman" w:hAnsi="Times New Roman" w:cs="Times New Roman"/>
          <w:szCs w:val="24"/>
        </w:rPr>
        <w:t>Agustian</w:t>
      </w:r>
      <w:proofErr w:type="spellEnd"/>
      <w:r w:rsidRPr="002D65C6">
        <w:rPr>
          <w:rFonts w:ascii="Times New Roman" w:eastAsia="Times New Roman" w:hAnsi="Times New Roman" w:cs="Times New Roman"/>
          <w:szCs w:val="24"/>
        </w:rPr>
        <w:t xml:space="preserve">, K., </w:t>
      </w:r>
      <w:proofErr w:type="spellStart"/>
      <w:r w:rsidRPr="002D65C6">
        <w:rPr>
          <w:rFonts w:ascii="Times New Roman" w:eastAsia="Times New Roman" w:hAnsi="Times New Roman" w:cs="Times New Roman"/>
          <w:szCs w:val="24"/>
        </w:rPr>
        <w:t>Pohan</w:t>
      </w:r>
      <w:proofErr w:type="spellEnd"/>
      <w:r w:rsidRPr="002D65C6">
        <w:rPr>
          <w:rFonts w:ascii="Times New Roman" w:eastAsia="Times New Roman" w:hAnsi="Times New Roman" w:cs="Times New Roman"/>
          <w:szCs w:val="24"/>
        </w:rPr>
        <w:t xml:space="preserve">, A., Zen, A., </w:t>
      </w:r>
      <w:proofErr w:type="spellStart"/>
      <w:r w:rsidRPr="002D65C6">
        <w:rPr>
          <w:rFonts w:ascii="Times New Roman" w:eastAsia="Times New Roman" w:hAnsi="Times New Roman" w:cs="Times New Roman"/>
          <w:szCs w:val="24"/>
        </w:rPr>
        <w:t>Wiwin</w:t>
      </w:r>
      <w:proofErr w:type="spellEnd"/>
      <w:r w:rsidRPr="002D65C6">
        <w:rPr>
          <w:rFonts w:ascii="Times New Roman" w:eastAsia="Times New Roman" w:hAnsi="Times New Roman" w:cs="Times New Roman"/>
          <w:szCs w:val="24"/>
        </w:rPr>
        <w:t xml:space="preserve">, W., &amp; Malik, A. J. (2023). Human resource management strategies in achieving competitive advantage in business administration. </w:t>
      </w:r>
      <w:r w:rsidRPr="002D65C6">
        <w:rPr>
          <w:rFonts w:ascii="Times New Roman" w:eastAsia="Times New Roman" w:hAnsi="Times New Roman" w:cs="Times New Roman"/>
          <w:i/>
          <w:iCs/>
          <w:szCs w:val="24"/>
        </w:rPr>
        <w:t>Journal of Contemporary Administration and Management (ADMAN)</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1</w:t>
      </w:r>
      <w:r w:rsidRPr="002D65C6">
        <w:rPr>
          <w:rFonts w:ascii="Times New Roman" w:eastAsia="Times New Roman" w:hAnsi="Times New Roman" w:cs="Times New Roman"/>
          <w:szCs w:val="24"/>
        </w:rPr>
        <w:t>(2), 108-117. https://journal.literasisainsnusantara.com/index.php/adman/article/download/53/60</w:t>
      </w:r>
    </w:p>
    <w:p w14:paraId="73EDB1E3" w14:textId="4DB3E44E" w:rsidR="00C60171" w:rsidRPr="002D65C6" w:rsidRDefault="002D65C6" w:rsidP="00E90626">
      <w:pPr>
        <w:ind w:left="720" w:hanging="720"/>
        <w:rPr>
          <w:rFonts w:ascii="Times New Roman" w:eastAsia="Times New Roman" w:hAnsi="Times New Roman" w:cs="Times New Roman"/>
          <w:szCs w:val="24"/>
        </w:rPr>
      </w:pPr>
      <w:r w:rsidRPr="002D65C6">
        <w:rPr>
          <w:rFonts w:ascii="Times New Roman" w:eastAsia="Times New Roman" w:hAnsi="Times New Roman" w:cs="Times New Roman"/>
          <w:szCs w:val="24"/>
        </w:rPr>
        <w:t xml:space="preserve">Al-Tit, A. A., Al-Ayed, S., </w:t>
      </w:r>
      <w:proofErr w:type="spellStart"/>
      <w:r w:rsidRPr="002D65C6">
        <w:rPr>
          <w:rFonts w:ascii="Times New Roman" w:eastAsia="Times New Roman" w:hAnsi="Times New Roman" w:cs="Times New Roman"/>
          <w:szCs w:val="24"/>
        </w:rPr>
        <w:t>Alhammadi</w:t>
      </w:r>
      <w:proofErr w:type="spellEnd"/>
      <w:r w:rsidRPr="002D65C6">
        <w:rPr>
          <w:rFonts w:ascii="Times New Roman" w:eastAsia="Times New Roman" w:hAnsi="Times New Roman" w:cs="Times New Roman"/>
          <w:szCs w:val="24"/>
        </w:rPr>
        <w:t xml:space="preserve">, A., </w:t>
      </w:r>
      <w:proofErr w:type="spellStart"/>
      <w:r w:rsidRPr="002D65C6">
        <w:rPr>
          <w:rFonts w:ascii="Times New Roman" w:eastAsia="Times New Roman" w:hAnsi="Times New Roman" w:cs="Times New Roman"/>
          <w:szCs w:val="24"/>
        </w:rPr>
        <w:t>Hunitie</w:t>
      </w:r>
      <w:proofErr w:type="spellEnd"/>
      <w:r w:rsidRPr="002D65C6">
        <w:rPr>
          <w:rFonts w:ascii="Times New Roman" w:eastAsia="Times New Roman" w:hAnsi="Times New Roman" w:cs="Times New Roman"/>
          <w:szCs w:val="24"/>
        </w:rPr>
        <w:t xml:space="preserve">, M., </w:t>
      </w:r>
      <w:proofErr w:type="spellStart"/>
      <w:r w:rsidRPr="002D65C6">
        <w:rPr>
          <w:rFonts w:ascii="Times New Roman" w:eastAsia="Times New Roman" w:hAnsi="Times New Roman" w:cs="Times New Roman"/>
          <w:szCs w:val="24"/>
        </w:rPr>
        <w:t>Alsarayreh</w:t>
      </w:r>
      <w:proofErr w:type="spellEnd"/>
      <w:r w:rsidRPr="002D65C6">
        <w:rPr>
          <w:rFonts w:ascii="Times New Roman" w:eastAsia="Times New Roman" w:hAnsi="Times New Roman" w:cs="Times New Roman"/>
          <w:szCs w:val="24"/>
        </w:rPr>
        <w:t xml:space="preserve">, A., &amp; </w:t>
      </w:r>
      <w:proofErr w:type="spellStart"/>
      <w:r w:rsidRPr="002D65C6">
        <w:rPr>
          <w:rFonts w:ascii="Times New Roman" w:eastAsia="Times New Roman" w:hAnsi="Times New Roman" w:cs="Times New Roman"/>
          <w:szCs w:val="24"/>
        </w:rPr>
        <w:t>Albassam</w:t>
      </w:r>
      <w:proofErr w:type="spellEnd"/>
      <w:r w:rsidRPr="002D65C6">
        <w:rPr>
          <w:rFonts w:ascii="Times New Roman" w:eastAsia="Times New Roman" w:hAnsi="Times New Roman" w:cs="Times New Roman"/>
          <w:szCs w:val="24"/>
        </w:rPr>
        <w:t xml:space="preserve">, W. (2022). The impact of employee development practices on human capital and social capital: the mediating contribution of knowledge management. </w:t>
      </w:r>
      <w:r w:rsidRPr="002D65C6">
        <w:rPr>
          <w:rFonts w:ascii="Times New Roman" w:eastAsia="Times New Roman" w:hAnsi="Times New Roman" w:cs="Times New Roman"/>
          <w:i/>
          <w:iCs/>
          <w:szCs w:val="24"/>
        </w:rPr>
        <w:t>Journal of Open Innovation: Technology, Market, and Complexity</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8</w:t>
      </w:r>
      <w:r w:rsidRPr="002D65C6">
        <w:rPr>
          <w:rFonts w:ascii="Times New Roman" w:eastAsia="Times New Roman" w:hAnsi="Times New Roman" w:cs="Times New Roman"/>
          <w:szCs w:val="24"/>
        </w:rPr>
        <w:t xml:space="preserve">(4), 218. </w:t>
      </w:r>
      <w:hyperlink r:id="rId9" w:history="1">
        <w:r w:rsidRPr="00C721DE">
          <w:rPr>
            <w:rStyle w:val="Hyperlink"/>
            <w:rFonts w:ascii="Times New Roman" w:eastAsia="Times New Roman" w:hAnsi="Times New Roman" w:cs="Times New Roman"/>
            <w:szCs w:val="24"/>
          </w:rPr>
          <w:t>https://www.mdpi.com/2199-8531/8/4/218/pdf</w:t>
        </w:r>
      </w:hyperlink>
      <w:r>
        <w:rPr>
          <w:rFonts w:ascii="Times New Roman" w:eastAsia="Times New Roman" w:hAnsi="Times New Roman" w:cs="Times New Roman"/>
          <w:szCs w:val="24"/>
        </w:rPr>
        <w:t xml:space="preserve"> </w:t>
      </w:r>
    </w:p>
    <w:p w14:paraId="771572C0" w14:textId="77777777" w:rsidR="00E90626" w:rsidRPr="002D65C6" w:rsidRDefault="00E90626" w:rsidP="00E90626">
      <w:pPr>
        <w:ind w:left="720" w:hanging="720"/>
        <w:rPr>
          <w:rFonts w:ascii="Times New Roman" w:eastAsia="Times New Roman" w:hAnsi="Times New Roman" w:cs="Times New Roman"/>
          <w:szCs w:val="24"/>
        </w:rPr>
      </w:pPr>
      <w:r w:rsidRPr="002D65C6">
        <w:rPr>
          <w:rFonts w:ascii="Times New Roman" w:eastAsia="Times New Roman" w:hAnsi="Times New Roman" w:cs="Times New Roman"/>
          <w:szCs w:val="24"/>
        </w:rPr>
        <w:t>Bristol-</w:t>
      </w:r>
      <w:proofErr w:type="spellStart"/>
      <w:r w:rsidRPr="002D65C6">
        <w:rPr>
          <w:rFonts w:ascii="Times New Roman" w:eastAsia="Times New Roman" w:hAnsi="Times New Roman" w:cs="Times New Roman"/>
          <w:szCs w:val="24"/>
        </w:rPr>
        <w:t>Alagbariya</w:t>
      </w:r>
      <w:proofErr w:type="spellEnd"/>
      <w:r w:rsidRPr="002D65C6">
        <w:rPr>
          <w:rFonts w:ascii="Times New Roman" w:eastAsia="Times New Roman" w:hAnsi="Times New Roman" w:cs="Times New Roman"/>
          <w:szCs w:val="24"/>
        </w:rPr>
        <w:t xml:space="preserve">, B., </w:t>
      </w:r>
      <w:proofErr w:type="spellStart"/>
      <w:r w:rsidRPr="002D65C6">
        <w:rPr>
          <w:rFonts w:ascii="Times New Roman" w:eastAsia="Times New Roman" w:hAnsi="Times New Roman" w:cs="Times New Roman"/>
          <w:szCs w:val="24"/>
        </w:rPr>
        <w:t>Ayanponle</w:t>
      </w:r>
      <w:proofErr w:type="spellEnd"/>
      <w:r w:rsidRPr="002D65C6">
        <w:rPr>
          <w:rFonts w:ascii="Times New Roman" w:eastAsia="Times New Roman" w:hAnsi="Times New Roman" w:cs="Times New Roman"/>
          <w:szCs w:val="24"/>
        </w:rPr>
        <w:t xml:space="preserve">, O. L., &amp; </w:t>
      </w:r>
      <w:proofErr w:type="spellStart"/>
      <w:r w:rsidRPr="002D65C6">
        <w:rPr>
          <w:rFonts w:ascii="Times New Roman" w:eastAsia="Times New Roman" w:hAnsi="Times New Roman" w:cs="Times New Roman"/>
          <w:szCs w:val="24"/>
        </w:rPr>
        <w:t>Ogedengbe</w:t>
      </w:r>
      <w:proofErr w:type="spellEnd"/>
      <w:r w:rsidRPr="002D65C6">
        <w:rPr>
          <w:rFonts w:ascii="Times New Roman" w:eastAsia="Times New Roman" w:hAnsi="Times New Roman" w:cs="Times New Roman"/>
          <w:szCs w:val="24"/>
        </w:rPr>
        <w:t xml:space="preserve">, D. E. (2024). Leadership development and talent management in constrained resource settings: A strategic HR perspective. </w:t>
      </w:r>
      <w:r w:rsidRPr="002D65C6">
        <w:rPr>
          <w:rFonts w:ascii="Times New Roman" w:eastAsia="Times New Roman" w:hAnsi="Times New Roman" w:cs="Times New Roman"/>
          <w:i/>
          <w:iCs/>
          <w:szCs w:val="24"/>
        </w:rPr>
        <w:t>Comprehensive Research and Reviews Journal</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2</w:t>
      </w:r>
      <w:r w:rsidRPr="002D65C6">
        <w:rPr>
          <w:rFonts w:ascii="Times New Roman" w:eastAsia="Times New Roman" w:hAnsi="Times New Roman" w:cs="Times New Roman"/>
          <w:szCs w:val="24"/>
        </w:rPr>
        <w:t xml:space="preserve">(2), 13-22. </w:t>
      </w:r>
      <w:hyperlink r:id="rId10" w:history="1">
        <w:r w:rsidRPr="002D65C6">
          <w:rPr>
            <w:rStyle w:val="Hyperlink"/>
            <w:rFonts w:ascii="Times New Roman" w:eastAsia="Times New Roman" w:hAnsi="Times New Roman" w:cs="Times New Roman"/>
            <w:szCs w:val="24"/>
          </w:rPr>
          <w:t>https://crrjournals.com/crrj/sites/default/files/CRRJ-2024-0031.pdf</w:t>
        </w:r>
      </w:hyperlink>
      <w:r w:rsidRPr="002D65C6">
        <w:rPr>
          <w:rFonts w:ascii="Times New Roman" w:eastAsia="Times New Roman" w:hAnsi="Times New Roman" w:cs="Times New Roman"/>
          <w:szCs w:val="24"/>
        </w:rPr>
        <w:t xml:space="preserve"> </w:t>
      </w:r>
    </w:p>
    <w:p w14:paraId="19F2EDF9" w14:textId="662235A1" w:rsidR="00C60171" w:rsidRPr="002D65C6" w:rsidRDefault="00C60171" w:rsidP="00E90626">
      <w:pPr>
        <w:ind w:left="720" w:hanging="720"/>
        <w:rPr>
          <w:rFonts w:ascii="Times New Roman" w:hAnsi="Times New Roman" w:cs="Times New Roman"/>
        </w:rPr>
      </w:pPr>
      <w:r w:rsidRPr="002D65C6">
        <w:rPr>
          <w:rFonts w:ascii="Times New Roman" w:hAnsi="Times New Roman" w:cs="Times New Roman"/>
        </w:rPr>
        <w:t xml:space="preserve">Gold, J. (2010) </w:t>
      </w:r>
      <w:r w:rsidRPr="002D65C6">
        <w:rPr>
          <w:rFonts w:ascii="Times New Roman" w:hAnsi="Times New Roman" w:cs="Times New Roman"/>
          <w:i/>
          <w:iCs/>
        </w:rPr>
        <w:t>Leadership and Management Development</w:t>
      </w:r>
      <w:r w:rsidRPr="002D65C6">
        <w:rPr>
          <w:rFonts w:ascii="Times New Roman" w:hAnsi="Times New Roman" w:cs="Times New Roman"/>
        </w:rPr>
        <w:t>. London: Chartered Institute of Personnel and Development.</w:t>
      </w:r>
    </w:p>
    <w:p w14:paraId="18764866" w14:textId="77777777" w:rsidR="00E90626" w:rsidRPr="002D65C6" w:rsidRDefault="00E90626" w:rsidP="00E90626">
      <w:pPr>
        <w:ind w:left="720" w:hanging="720"/>
        <w:rPr>
          <w:rFonts w:ascii="Times New Roman" w:eastAsia="Times New Roman" w:hAnsi="Times New Roman" w:cs="Times New Roman"/>
          <w:szCs w:val="24"/>
        </w:rPr>
      </w:pPr>
      <w:r w:rsidRPr="002D65C6">
        <w:rPr>
          <w:rFonts w:ascii="Times New Roman" w:eastAsia="Times New Roman" w:hAnsi="Times New Roman" w:cs="Times New Roman"/>
          <w:szCs w:val="24"/>
        </w:rPr>
        <w:t xml:space="preserve">Hargitai, D. M., &amp; Bencsik, A. (2023). The role of leadership in digital learning </w:t>
      </w:r>
      <w:r>
        <w:rPr>
          <w:rFonts w:ascii="Times New Roman" w:eastAsia="Times New Roman" w:hAnsi="Times New Roman" w:cs="Times New Roman"/>
          <w:szCs w:val="24"/>
        </w:rPr>
        <w:t>organisation</w:t>
      </w:r>
      <w:r w:rsidRPr="002D65C6">
        <w:rPr>
          <w:rFonts w:ascii="Times New Roman" w:eastAsia="Times New Roman" w:hAnsi="Times New Roman" w:cs="Times New Roman"/>
          <w:szCs w:val="24"/>
        </w:rPr>
        <w:t xml:space="preserve">s. </w:t>
      </w:r>
      <w:r w:rsidRPr="002D65C6">
        <w:rPr>
          <w:rFonts w:ascii="Times New Roman" w:eastAsia="Times New Roman" w:hAnsi="Times New Roman" w:cs="Times New Roman"/>
          <w:i/>
          <w:iCs/>
          <w:szCs w:val="24"/>
        </w:rPr>
        <w:t>Emerging Science Journal</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7</w:t>
      </w:r>
      <w:r w:rsidRPr="002D65C6">
        <w:rPr>
          <w:rFonts w:ascii="Times New Roman" w:eastAsia="Times New Roman" w:hAnsi="Times New Roman" w:cs="Times New Roman"/>
          <w:szCs w:val="24"/>
        </w:rPr>
        <w:t xml:space="preserve">, 111-124. </w:t>
      </w:r>
      <w:hyperlink r:id="rId11" w:history="1">
        <w:r w:rsidRPr="002D65C6">
          <w:rPr>
            <w:rStyle w:val="Hyperlink"/>
            <w:rFonts w:ascii="Times New Roman" w:eastAsia="Times New Roman" w:hAnsi="Times New Roman" w:cs="Times New Roman"/>
            <w:szCs w:val="24"/>
          </w:rPr>
          <w:t>https://www.researchgate.net/profile/David-Hargitai-2/publication/370818207_The_Role_of_Leadership_in_Digital_Learning_</w:t>
        </w:r>
        <w:r>
          <w:rPr>
            <w:rStyle w:val="Hyperlink"/>
            <w:rFonts w:ascii="Times New Roman" w:eastAsia="Times New Roman" w:hAnsi="Times New Roman" w:cs="Times New Roman"/>
            <w:szCs w:val="24"/>
          </w:rPr>
          <w:t>Organisation</w:t>
        </w:r>
        <w:r w:rsidRPr="002D65C6">
          <w:rPr>
            <w:rStyle w:val="Hyperlink"/>
            <w:rFonts w:ascii="Times New Roman" w:eastAsia="Times New Roman" w:hAnsi="Times New Roman" w:cs="Times New Roman"/>
            <w:szCs w:val="24"/>
          </w:rPr>
          <w:t>s/links/6464a31666b4cb4f73b914e5/The-Role-of-Leadership-in-Digital-Learning-</w:t>
        </w:r>
        <w:r>
          <w:rPr>
            <w:rStyle w:val="Hyperlink"/>
            <w:rFonts w:ascii="Times New Roman" w:eastAsia="Times New Roman" w:hAnsi="Times New Roman" w:cs="Times New Roman"/>
            <w:szCs w:val="24"/>
          </w:rPr>
          <w:t>Organisation</w:t>
        </w:r>
        <w:r w:rsidRPr="002D65C6">
          <w:rPr>
            <w:rStyle w:val="Hyperlink"/>
            <w:rFonts w:ascii="Times New Roman" w:eastAsia="Times New Roman" w:hAnsi="Times New Roman" w:cs="Times New Roman"/>
            <w:szCs w:val="24"/>
          </w:rPr>
          <w:t>s.pdf</w:t>
        </w:r>
      </w:hyperlink>
    </w:p>
    <w:p w14:paraId="280A8A4E" w14:textId="77777777" w:rsidR="002D65C6" w:rsidRPr="002D65C6" w:rsidRDefault="002D65C6" w:rsidP="00E90626">
      <w:pPr>
        <w:ind w:left="720" w:hanging="720"/>
        <w:rPr>
          <w:rFonts w:ascii="Times New Roman" w:eastAsia="Times New Roman" w:hAnsi="Times New Roman" w:cs="Times New Roman"/>
          <w:szCs w:val="24"/>
        </w:rPr>
      </w:pPr>
      <w:r w:rsidRPr="002D65C6">
        <w:rPr>
          <w:rFonts w:ascii="Times New Roman" w:eastAsia="Times New Roman" w:hAnsi="Times New Roman" w:cs="Times New Roman"/>
          <w:szCs w:val="24"/>
        </w:rPr>
        <w:t xml:space="preserve">Khattak, A. N., Bhatti, G. A., &amp; Khan, I. A. (2023). Employee Development and </w:t>
      </w:r>
      <w:r>
        <w:rPr>
          <w:rFonts w:ascii="Times New Roman" w:eastAsia="Times New Roman" w:hAnsi="Times New Roman" w:cs="Times New Roman"/>
          <w:szCs w:val="24"/>
        </w:rPr>
        <w:t>Organisation</w:t>
      </w:r>
      <w:r w:rsidRPr="002D65C6">
        <w:rPr>
          <w:rFonts w:ascii="Times New Roman" w:eastAsia="Times New Roman" w:hAnsi="Times New Roman" w:cs="Times New Roman"/>
          <w:szCs w:val="24"/>
        </w:rPr>
        <w:t xml:space="preserve">al Performance: The Role of Strategic </w:t>
      </w:r>
      <w:r>
        <w:rPr>
          <w:rFonts w:ascii="Times New Roman" w:eastAsia="Times New Roman" w:hAnsi="Times New Roman" w:cs="Times New Roman"/>
          <w:szCs w:val="24"/>
        </w:rPr>
        <w:t>Organisation</w:t>
      </w:r>
      <w:r w:rsidRPr="002D65C6">
        <w:rPr>
          <w:rFonts w:ascii="Times New Roman" w:eastAsia="Times New Roman" w:hAnsi="Times New Roman" w:cs="Times New Roman"/>
          <w:szCs w:val="24"/>
        </w:rPr>
        <w:t xml:space="preserve"> Development Interventions. </w:t>
      </w:r>
      <w:r w:rsidRPr="002D65C6">
        <w:rPr>
          <w:rFonts w:ascii="Times New Roman" w:eastAsia="Times New Roman" w:hAnsi="Times New Roman" w:cs="Times New Roman"/>
          <w:i/>
          <w:iCs/>
          <w:szCs w:val="24"/>
        </w:rPr>
        <w:t>Pakistan Social Sciences Review</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7</w:t>
      </w:r>
      <w:r w:rsidRPr="002D65C6">
        <w:rPr>
          <w:rFonts w:ascii="Times New Roman" w:eastAsia="Times New Roman" w:hAnsi="Times New Roman" w:cs="Times New Roman"/>
          <w:szCs w:val="24"/>
        </w:rPr>
        <w:t>(4), 175-190. https://www.ojs.pssr.org.pk/journal/article/download/345/201</w:t>
      </w:r>
    </w:p>
    <w:p w14:paraId="07D0CDA9" w14:textId="77777777" w:rsidR="00E90626" w:rsidRPr="002D65C6" w:rsidRDefault="00E90626" w:rsidP="00E90626">
      <w:pPr>
        <w:ind w:left="720" w:hanging="720"/>
        <w:rPr>
          <w:rFonts w:ascii="Times New Roman" w:eastAsia="Times New Roman" w:hAnsi="Times New Roman" w:cs="Times New Roman"/>
          <w:szCs w:val="24"/>
        </w:rPr>
      </w:pPr>
      <w:r w:rsidRPr="002D65C6">
        <w:rPr>
          <w:rFonts w:ascii="Times New Roman" w:eastAsia="Times New Roman" w:hAnsi="Times New Roman" w:cs="Times New Roman"/>
          <w:szCs w:val="24"/>
        </w:rPr>
        <w:t xml:space="preserve">Kumar, S. (2022). The impact of talent management practices on employee turnover and retention intentions. </w:t>
      </w:r>
      <w:r w:rsidRPr="002D65C6">
        <w:rPr>
          <w:rFonts w:ascii="Times New Roman" w:eastAsia="Times New Roman" w:hAnsi="Times New Roman" w:cs="Times New Roman"/>
          <w:i/>
          <w:iCs/>
          <w:szCs w:val="24"/>
        </w:rPr>
        <w:t xml:space="preserve">Global Business and </w:t>
      </w:r>
      <w:r>
        <w:rPr>
          <w:rFonts w:ascii="Times New Roman" w:eastAsia="Times New Roman" w:hAnsi="Times New Roman" w:cs="Times New Roman"/>
          <w:i/>
          <w:iCs/>
          <w:szCs w:val="24"/>
        </w:rPr>
        <w:t>Organisation</w:t>
      </w:r>
      <w:r w:rsidRPr="002D65C6">
        <w:rPr>
          <w:rFonts w:ascii="Times New Roman" w:eastAsia="Times New Roman" w:hAnsi="Times New Roman" w:cs="Times New Roman"/>
          <w:i/>
          <w:iCs/>
          <w:szCs w:val="24"/>
        </w:rPr>
        <w:t>al Excellence</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41</w:t>
      </w:r>
      <w:r w:rsidRPr="002D65C6">
        <w:rPr>
          <w:rFonts w:ascii="Times New Roman" w:eastAsia="Times New Roman" w:hAnsi="Times New Roman" w:cs="Times New Roman"/>
          <w:szCs w:val="24"/>
        </w:rPr>
        <w:t>(2), 21-34. https://onlinelibrary.wiley.com/doi/am-pdf/10.1002/joe.22130</w:t>
      </w:r>
    </w:p>
    <w:p w14:paraId="7D2A4322" w14:textId="77777777" w:rsidR="002D65C6" w:rsidRPr="002D65C6" w:rsidRDefault="002D65C6" w:rsidP="00E90626">
      <w:pPr>
        <w:ind w:left="720" w:hanging="720"/>
        <w:rPr>
          <w:rFonts w:ascii="Times New Roman" w:hAnsi="Times New Roman" w:cs="Times New Roman"/>
        </w:rPr>
      </w:pPr>
      <w:r w:rsidRPr="002D65C6">
        <w:rPr>
          <w:rFonts w:ascii="Times New Roman" w:hAnsi="Times New Roman" w:cs="Times New Roman"/>
        </w:rPr>
        <w:lastRenderedPageBreak/>
        <w:t xml:space="preserve">Lussier, R. N., &amp; Achua, C. F. (2022). Leadership: Theory, application, skill development, 7 </w:t>
      </w:r>
      <w:proofErr w:type="spellStart"/>
      <w:r w:rsidRPr="002D65C6">
        <w:rPr>
          <w:rFonts w:ascii="Times New Roman" w:hAnsi="Times New Roman" w:cs="Times New Roman"/>
        </w:rPr>
        <w:t>th</w:t>
      </w:r>
      <w:proofErr w:type="spellEnd"/>
      <w:r w:rsidRPr="002D65C6">
        <w:rPr>
          <w:rFonts w:ascii="Times New Roman" w:hAnsi="Times New Roman" w:cs="Times New Roman"/>
        </w:rPr>
        <w:t xml:space="preserve"> edition. Boston: Nelson Education.</w:t>
      </w:r>
    </w:p>
    <w:p w14:paraId="421894C2" w14:textId="77777777" w:rsidR="002D65C6" w:rsidRPr="002D65C6" w:rsidRDefault="002D65C6" w:rsidP="00E90626">
      <w:pPr>
        <w:ind w:left="720" w:hanging="720"/>
        <w:rPr>
          <w:rFonts w:ascii="Times New Roman" w:eastAsia="Times New Roman" w:hAnsi="Times New Roman" w:cs="Times New Roman"/>
          <w:szCs w:val="24"/>
        </w:rPr>
      </w:pPr>
      <w:proofErr w:type="spellStart"/>
      <w:r w:rsidRPr="002D65C6">
        <w:rPr>
          <w:rFonts w:ascii="Times New Roman" w:eastAsia="Times New Roman" w:hAnsi="Times New Roman" w:cs="Times New Roman"/>
          <w:szCs w:val="24"/>
        </w:rPr>
        <w:t>Madhumithaa</w:t>
      </w:r>
      <w:proofErr w:type="spellEnd"/>
      <w:r w:rsidRPr="002D65C6">
        <w:rPr>
          <w:rFonts w:ascii="Times New Roman" w:eastAsia="Times New Roman" w:hAnsi="Times New Roman" w:cs="Times New Roman"/>
          <w:szCs w:val="24"/>
        </w:rPr>
        <w:t xml:space="preserve">, N., Sharma, A., Adabala, S. K., Siddiqui, S., &amp; </w:t>
      </w:r>
      <w:proofErr w:type="spellStart"/>
      <w:r w:rsidRPr="002D65C6">
        <w:rPr>
          <w:rFonts w:ascii="Times New Roman" w:eastAsia="Times New Roman" w:hAnsi="Times New Roman" w:cs="Times New Roman"/>
          <w:szCs w:val="24"/>
        </w:rPr>
        <w:t>Kothinti</w:t>
      </w:r>
      <w:proofErr w:type="spellEnd"/>
      <w:r w:rsidRPr="002D65C6">
        <w:rPr>
          <w:rFonts w:ascii="Times New Roman" w:eastAsia="Times New Roman" w:hAnsi="Times New Roman" w:cs="Times New Roman"/>
          <w:szCs w:val="24"/>
        </w:rPr>
        <w:t xml:space="preserve">, R. R. (2025). Leveraging AI for personalized employee development: A new era in human resource management. </w:t>
      </w:r>
      <w:r w:rsidRPr="002D65C6">
        <w:rPr>
          <w:rFonts w:ascii="Times New Roman" w:eastAsia="Times New Roman" w:hAnsi="Times New Roman" w:cs="Times New Roman"/>
          <w:i/>
          <w:iCs/>
          <w:szCs w:val="24"/>
        </w:rPr>
        <w:t>Advances in Consumer Research</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2</w:t>
      </w:r>
      <w:r w:rsidRPr="002D65C6">
        <w:rPr>
          <w:rFonts w:ascii="Times New Roman" w:eastAsia="Times New Roman" w:hAnsi="Times New Roman" w:cs="Times New Roman"/>
          <w:szCs w:val="24"/>
        </w:rPr>
        <w:t xml:space="preserve">, 134-141. </w:t>
      </w:r>
      <w:hyperlink r:id="rId12" w:history="1">
        <w:r w:rsidRPr="002D65C6">
          <w:rPr>
            <w:rStyle w:val="Hyperlink"/>
            <w:rFonts w:ascii="Times New Roman" w:eastAsia="Times New Roman" w:hAnsi="Times New Roman" w:cs="Times New Roman"/>
            <w:szCs w:val="24"/>
          </w:rPr>
          <w:t>https://acr-journal.com/article/leveraging-ai-for-personalized-employee-development-a-new-era-in-human-resource-management-885/</w:t>
        </w:r>
      </w:hyperlink>
    </w:p>
    <w:p w14:paraId="75275CFE" w14:textId="77777777" w:rsidR="00E90626" w:rsidRPr="002D65C6" w:rsidRDefault="00E90626" w:rsidP="00E90626">
      <w:pPr>
        <w:ind w:left="720" w:hanging="720"/>
        <w:rPr>
          <w:rFonts w:ascii="Times New Roman" w:eastAsia="Times New Roman" w:hAnsi="Times New Roman" w:cs="Times New Roman"/>
          <w:szCs w:val="24"/>
        </w:rPr>
      </w:pPr>
      <w:proofErr w:type="spellStart"/>
      <w:r w:rsidRPr="002D65C6">
        <w:rPr>
          <w:rFonts w:ascii="Times New Roman" w:eastAsia="Times New Roman" w:hAnsi="Times New Roman" w:cs="Times New Roman"/>
          <w:szCs w:val="24"/>
        </w:rPr>
        <w:t>Mutiarin</w:t>
      </w:r>
      <w:proofErr w:type="spellEnd"/>
      <w:r w:rsidRPr="002D65C6">
        <w:rPr>
          <w:rFonts w:ascii="Times New Roman" w:eastAsia="Times New Roman" w:hAnsi="Times New Roman" w:cs="Times New Roman"/>
          <w:szCs w:val="24"/>
        </w:rPr>
        <w:t xml:space="preserve">, D., Manaf, H. A., Man, M. N. S., </w:t>
      </w:r>
      <w:proofErr w:type="spellStart"/>
      <w:r w:rsidRPr="002D65C6">
        <w:rPr>
          <w:rFonts w:ascii="Times New Roman" w:eastAsia="Times New Roman" w:hAnsi="Times New Roman" w:cs="Times New Roman"/>
          <w:szCs w:val="24"/>
        </w:rPr>
        <w:t>Kasiwi</w:t>
      </w:r>
      <w:proofErr w:type="spellEnd"/>
      <w:r w:rsidRPr="002D65C6">
        <w:rPr>
          <w:rFonts w:ascii="Times New Roman" w:eastAsia="Times New Roman" w:hAnsi="Times New Roman" w:cs="Times New Roman"/>
          <w:szCs w:val="24"/>
        </w:rPr>
        <w:t xml:space="preserve">, A. N., &amp; </w:t>
      </w:r>
      <w:proofErr w:type="spellStart"/>
      <w:r w:rsidRPr="002D65C6">
        <w:rPr>
          <w:rFonts w:ascii="Times New Roman" w:eastAsia="Times New Roman" w:hAnsi="Times New Roman" w:cs="Times New Roman"/>
          <w:szCs w:val="24"/>
        </w:rPr>
        <w:t>Nurjanah</w:t>
      </w:r>
      <w:proofErr w:type="spellEnd"/>
      <w:r w:rsidRPr="002D65C6">
        <w:rPr>
          <w:rFonts w:ascii="Times New Roman" w:eastAsia="Times New Roman" w:hAnsi="Times New Roman" w:cs="Times New Roman"/>
          <w:szCs w:val="24"/>
        </w:rPr>
        <w:t xml:space="preserve">, A. (2023). Analysis of e-mentoring platform for future leaders’ development: A comprehensive literature. In </w:t>
      </w:r>
      <w:r w:rsidRPr="002D65C6">
        <w:rPr>
          <w:rFonts w:ascii="Times New Roman" w:eastAsia="Times New Roman" w:hAnsi="Times New Roman" w:cs="Times New Roman"/>
          <w:i/>
          <w:iCs/>
          <w:szCs w:val="24"/>
        </w:rPr>
        <w:t>E3S Web of Conferences</w:t>
      </w:r>
      <w:r w:rsidRPr="002D65C6">
        <w:rPr>
          <w:rFonts w:ascii="Times New Roman" w:eastAsia="Times New Roman" w:hAnsi="Times New Roman" w:cs="Times New Roman"/>
          <w:szCs w:val="24"/>
        </w:rPr>
        <w:t xml:space="preserve"> (Vol. 440, p. 03021). EDP Sciences. </w:t>
      </w:r>
      <w:hyperlink r:id="rId13" w:history="1">
        <w:r w:rsidRPr="002D65C6">
          <w:rPr>
            <w:rStyle w:val="Hyperlink"/>
            <w:rFonts w:ascii="Times New Roman" w:eastAsia="Times New Roman" w:hAnsi="Times New Roman" w:cs="Times New Roman"/>
            <w:szCs w:val="24"/>
          </w:rPr>
          <w:t>https://www.e3s-conferences.org/articles/e3sconf/pdf/2023/77/e3sconf_icenso2023_03021.pdf</w:t>
        </w:r>
      </w:hyperlink>
    </w:p>
    <w:p w14:paraId="595E7B2B" w14:textId="77777777" w:rsidR="002D65C6" w:rsidRPr="002D65C6" w:rsidRDefault="002D65C6" w:rsidP="00E90626">
      <w:pPr>
        <w:ind w:left="720" w:hanging="720"/>
        <w:rPr>
          <w:rFonts w:ascii="Times New Roman" w:hAnsi="Times New Roman" w:cs="Times New Roman"/>
        </w:rPr>
      </w:pPr>
      <w:r w:rsidRPr="002D65C6">
        <w:rPr>
          <w:rFonts w:ascii="Times New Roman" w:hAnsi="Times New Roman" w:cs="Times New Roman"/>
        </w:rPr>
        <w:t xml:space="preserve">Northouse, P.G. (2019) Introduction to Leadership: Concepts and Practice (5 </w:t>
      </w:r>
      <w:proofErr w:type="spellStart"/>
      <w:r w:rsidRPr="002D65C6">
        <w:rPr>
          <w:rFonts w:ascii="Times New Roman" w:hAnsi="Times New Roman" w:cs="Times New Roman"/>
        </w:rPr>
        <w:t>th</w:t>
      </w:r>
      <w:proofErr w:type="spellEnd"/>
      <w:r w:rsidRPr="002D65C6">
        <w:rPr>
          <w:rFonts w:ascii="Times New Roman" w:hAnsi="Times New Roman" w:cs="Times New Roman"/>
        </w:rPr>
        <w:t xml:space="preserve"> edition). Thousand Oaks: Sage</w:t>
      </w:r>
    </w:p>
    <w:p w14:paraId="4368DEAC" w14:textId="77777777" w:rsidR="00E90626" w:rsidRPr="002D65C6" w:rsidRDefault="00E90626" w:rsidP="00E90626">
      <w:pPr>
        <w:ind w:left="720" w:hanging="720"/>
        <w:rPr>
          <w:rFonts w:ascii="Times New Roman" w:eastAsia="Times New Roman" w:hAnsi="Times New Roman" w:cs="Times New Roman"/>
          <w:szCs w:val="24"/>
        </w:rPr>
      </w:pPr>
      <w:proofErr w:type="spellStart"/>
      <w:r w:rsidRPr="002D65C6">
        <w:rPr>
          <w:rFonts w:ascii="Times New Roman" w:eastAsia="Times New Roman" w:hAnsi="Times New Roman" w:cs="Times New Roman"/>
          <w:szCs w:val="24"/>
        </w:rPr>
        <w:t>Olurin</w:t>
      </w:r>
      <w:proofErr w:type="spellEnd"/>
      <w:r w:rsidRPr="002D65C6">
        <w:rPr>
          <w:rFonts w:ascii="Times New Roman" w:eastAsia="Times New Roman" w:hAnsi="Times New Roman" w:cs="Times New Roman"/>
          <w:szCs w:val="24"/>
        </w:rPr>
        <w:t xml:space="preserve">, J. O., Okonkwo, F., </w:t>
      </w:r>
      <w:proofErr w:type="spellStart"/>
      <w:r w:rsidRPr="002D65C6">
        <w:rPr>
          <w:rFonts w:ascii="Times New Roman" w:eastAsia="Times New Roman" w:hAnsi="Times New Roman" w:cs="Times New Roman"/>
          <w:szCs w:val="24"/>
        </w:rPr>
        <w:t>Eleogu</w:t>
      </w:r>
      <w:proofErr w:type="spellEnd"/>
      <w:r w:rsidRPr="002D65C6">
        <w:rPr>
          <w:rFonts w:ascii="Times New Roman" w:eastAsia="Times New Roman" w:hAnsi="Times New Roman" w:cs="Times New Roman"/>
          <w:szCs w:val="24"/>
        </w:rPr>
        <w:t xml:space="preserve">, T., James, O. O., Eyo-Udo, N. L., &amp; </w:t>
      </w:r>
      <w:proofErr w:type="spellStart"/>
      <w:r w:rsidRPr="002D65C6">
        <w:rPr>
          <w:rFonts w:ascii="Times New Roman" w:eastAsia="Times New Roman" w:hAnsi="Times New Roman" w:cs="Times New Roman"/>
          <w:szCs w:val="24"/>
        </w:rPr>
        <w:t>Daraojimba</w:t>
      </w:r>
      <w:proofErr w:type="spellEnd"/>
      <w:r w:rsidRPr="002D65C6">
        <w:rPr>
          <w:rFonts w:ascii="Times New Roman" w:eastAsia="Times New Roman" w:hAnsi="Times New Roman" w:cs="Times New Roman"/>
          <w:szCs w:val="24"/>
        </w:rPr>
        <w:t xml:space="preserve">, R. E. (2024). Strategic HR management in the manufacturing industry: balancing automation and workforce development. </w:t>
      </w:r>
      <w:r w:rsidRPr="002D65C6">
        <w:rPr>
          <w:rFonts w:ascii="Times New Roman" w:eastAsia="Times New Roman" w:hAnsi="Times New Roman" w:cs="Times New Roman"/>
          <w:i/>
          <w:iCs/>
          <w:szCs w:val="24"/>
        </w:rPr>
        <w:t>International Journal of Research and Scientific Innovation</w:t>
      </w:r>
      <w:r w:rsidRPr="002D65C6">
        <w:rPr>
          <w:rFonts w:ascii="Times New Roman" w:eastAsia="Times New Roman" w:hAnsi="Times New Roman" w:cs="Times New Roman"/>
          <w:szCs w:val="24"/>
        </w:rPr>
        <w:t xml:space="preserve">, </w:t>
      </w:r>
      <w:r w:rsidRPr="002D65C6">
        <w:rPr>
          <w:rFonts w:ascii="Times New Roman" w:eastAsia="Times New Roman" w:hAnsi="Times New Roman" w:cs="Times New Roman"/>
          <w:i/>
          <w:iCs/>
          <w:szCs w:val="24"/>
        </w:rPr>
        <w:t>10</w:t>
      </w:r>
      <w:r w:rsidRPr="002D65C6">
        <w:rPr>
          <w:rFonts w:ascii="Times New Roman" w:eastAsia="Times New Roman" w:hAnsi="Times New Roman" w:cs="Times New Roman"/>
          <w:szCs w:val="24"/>
        </w:rPr>
        <w:t xml:space="preserve">(12), 380-401. </w:t>
      </w:r>
      <w:hyperlink r:id="rId14" w:history="1">
        <w:r w:rsidRPr="002D65C6">
          <w:rPr>
            <w:rStyle w:val="Hyperlink"/>
            <w:rFonts w:ascii="Times New Roman" w:eastAsia="Times New Roman" w:hAnsi="Times New Roman" w:cs="Times New Roman"/>
            <w:szCs w:val="24"/>
          </w:rPr>
          <w:t>https://www.researchgate.net/profile/Nsisong-Eyo-Udo/publication/377351878_Strategic_HR_Management_in_the_Manufacturing_Industry_Balancing_Automation_and_Workforce_Development/links/67982b70207c0c20fa61159b/Strategic-HR-Management-in-the-Manufacturing-Industry-Balancing-Automation-and-Workforce-Development.pdf</w:t>
        </w:r>
      </w:hyperlink>
    </w:p>
    <w:p w14:paraId="3F18CF11" w14:textId="77777777" w:rsidR="00E90626" w:rsidRPr="002D65C6" w:rsidRDefault="00E90626" w:rsidP="00E90626">
      <w:pPr>
        <w:ind w:left="720" w:hanging="720"/>
        <w:rPr>
          <w:rFonts w:ascii="Times New Roman" w:eastAsia="Times New Roman" w:hAnsi="Times New Roman" w:cs="Times New Roman"/>
          <w:szCs w:val="24"/>
        </w:rPr>
      </w:pPr>
      <w:proofErr w:type="spellStart"/>
      <w:r w:rsidRPr="002D65C6">
        <w:rPr>
          <w:rFonts w:ascii="Times New Roman" w:hAnsi="Times New Roman" w:cs="Times New Roman"/>
        </w:rPr>
        <w:t>Trainual</w:t>
      </w:r>
      <w:proofErr w:type="spellEnd"/>
      <w:r w:rsidRPr="002D65C6">
        <w:rPr>
          <w:rFonts w:ascii="Times New Roman" w:hAnsi="Times New Roman" w:cs="Times New Roman"/>
        </w:rPr>
        <w:t xml:space="preserve"> (n.d.) </w:t>
      </w:r>
      <w:r w:rsidRPr="002D65C6">
        <w:rPr>
          <w:rStyle w:val="Emphasis"/>
          <w:rFonts w:ascii="Times New Roman" w:hAnsi="Times New Roman" w:cs="Times New Roman"/>
        </w:rPr>
        <w:t>How Are Employee Development Practices Strategic?</w:t>
      </w:r>
      <w:r w:rsidRPr="002D65C6">
        <w:rPr>
          <w:rFonts w:ascii="Times New Roman" w:hAnsi="Times New Roman" w:cs="Times New Roman"/>
        </w:rPr>
        <w:t xml:space="preserve"> Available at: </w:t>
      </w:r>
      <w:hyperlink r:id="rId15" w:tgtFrame="_new" w:history="1">
        <w:r w:rsidRPr="002D65C6">
          <w:rPr>
            <w:rStyle w:val="Hyperlink"/>
            <w:rFonts w:ascii="Times New Roman" w:hAnsi="Times New Roman" w:cs="Times New Roman"/>
          </w:rPr>
          <w:t>https://trainual.com/manual/how-are-employee-development-practices-strategic</w:t>
        </w:r>
      </w:hyperlink>
    </w:p>
    <w:p w14:paraId="3C0F6021" w14:textId="41B3C1B5" w:rsidR="00C60171" w:rsidRPr="002D65C6" w:rsidRDefault="00C60171" w:rsidP="00E90626">
      <w:pPr>
        <w:ind w:left="720" w:hanging="720"/>
        <w:rPr>
          <w:rFonts w:ascii="Times New Roman" w:hAnsi="Times New Roman" w:cs="Times New Roman"/>
        </w:rPr>
      </w:pPr>
      <w:r w:rsidRPr="002D65C6">
        <w:rPr>
          <w:rFonts w:ascii="Times New Roman" w:hAnsi="Times New Roman" w:cs="Times New Roman"/>
        </w:rPr>
        <w:t>Varney, S, (2021), Leadership in Complexity and Change. Volume 1, De Gruyter</w:t>
      </w:r>
    </w:p>
    <w:p w14:paraId="7EEFD628" w14:textId="35CC8FF4" w:rsidR="002D65C6" w:rsidRPr="002D65C6" w:rsidRDefault="002D65C6" w:rsidP="00E90626">
      <w:pPr>
        <w:ind w:left="720" w:hanging="720"/>
        <w:rPr>
          <w:rFonts w:ascii="Times New Roman" w:hAnsi="Times New Roman" w:cs="Times New Roman"/>
        </w:rPr>
      </w:pPr>
      <w:r w:rsidRPr="002D65C6">
        <w:rPr>
          <w:rFonts w:ascii="Times New Roman" w:hAnsi="Times New Roman" w:cs="Times New Roman"/>
        </w:rPr>
        <w:t xml:space="preserve">Watson, G, Reissner, S, (2023) Developing Skills for Business Leadership, 3 </w:t>
      </w:r>
      <w:proofErr w:type="spellStart"/>
      <w:r w:rsidRPr="002D65C6">
        <w:rPr>
          <w:rFonts w:ascii="Times New Roman" w:hAnsi="Times New Roman" w:cs="Times New Roman"/>
        </w:rPr>
        <w:t>rd</w:t>
      </w:r>
      <w:proofErr w:type="spellEnd"/>
      <w:r w:rsidRPr="002D65C6">
        <w:rPr>
          <w:rFonts w:ascii="Times New Roman" w:hAnsi="Times New Roman" w:cs="Times New Roman"/>
        </w:rPr>
        <w:t xml:space="preserve"> Edition, CIPD, Kogan Page</w:t>
      </w:r>
      <w:r w:rsidR="00E90626">
        <w:rPr>
          <w:rFonts w:ascii="Times New Roman" w:hAnsi="Times New Roman" w:cs="Times New Roman"/>
        </w:rPr>
        <w:t>.</w:t>
      </w:r>
    </w:p>
    <w:p w14:paraId="5F476D5A" w14:textId="03BB46C8" w:rsidR="002D65C6" w:rsidRDefault="002D65C6" w:rsidP="00E90626">
      <w:pPr>
        <w:ind w:left="720" w:hanging="720"/>
        <w:rPr>
          <w:rFonts w:ascii="Times New Roman" w:hAnsi="Times New Roman" w:cs="Times New Roman"/>
        </w:rPr>
      </w:pPr>
      <w:r w:rsidRPr="002D65C6">
        <w:rPr>
          <w:rFonts w:ascii="Times New Roman" w:hAnsi="Times New Roman" w:cs="Times New Roman"/>
        </w:rPr>
        <w:t xml:space="preserve">Yukl, G. (2020) Leadership in </w:t>
      </w:r>
      <w:r>
        <w:rPr>
          <w:rFonts w:ascii="Times New Roman" w:hAnsi="Times New Roman" w:cs="Times New Roman"/>
        </w:rPr>
        <w:t>Organisation</w:t>
      </w:r>
      <w:r w:rsidRPr="002D65C6">
        <w:rPr>
          <w:rFonts w:ascii="Times New Roman" w:hAnsi="Times New Roman" w:cs="Times New Roman"/>
        </w:rPr>
        <w:t>s (9th edition). Harlow: Pearson Education</w:t>
      </w:r>
      <w:r w:rsidR="00E90626">
        <w:rPr>
          <w:rFonts w:ascii="Times New Roman" w:hAnsi="Times New Roman" w:cs="Times New Roman"/>
        </w:rPr>
        <w:t>.</w:t>
      </w:r>
      <w:r w:rsidRPr="002D65C6">
        <w:rPr>
          <w:rFonts w:ascii="Times New Roman" w:hAnsi="Times New Roman" w:cs="Times New Roman"/>
        </w:rPr>
        <w:t xml:space="preserve"> </w:t>
      </w:r>
    </w:p>
    <w:p w14:paraId="68A449B5" w14:textId="77777777" w:rsidR="00C60171" w:rsidRPr="002D65C6" w:rsidRDefault="00C60171" w:rsidP="001D5AEA">
      <w:pPr>
        <w:rPr>
          <w:rFonts w:ascii="Times New Roman" w:hAnsi="Times New Roman" w:cs="Times New Roman"/>
        </w:rPr>
      </w:pPr>
    </w:p>
    <w:sectPr w:rsidR="00C60171" w:rsidRPr="002D65C6" w:rsidSect="00232827">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76EE7" w14:textId="77777777" w:rsidR="00952F20" w:rsidRDefault="00952F20" w:rsidP="001D5AEA">
      <w:pPr>
        <w:spacing w:after="0" w:line="240" w:lineRule="auto"/>
      </w:pPr>
      <w:r>
        <w:separator/>
      </w:r>
    </w:p>
  </w:endnote>
  <w:endnote w:type="continuationSeparator" w:id="0">
    <w:p w14:paraId="7F39C9E0" w14:textId="77777777" w:rsidR="00952F20" w:rsidRDefault="00952F20" w:rsidP="001D5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EC7EB" w14:textId="77777777" w:rsidR="00952F20" w:rsidRDefault="00952F20" w:rsidP="001D5AEA">
      <w:pPr>
        <w:spacing w:after="0" w:line="240" w:lineRule="auto"/>
      </w:pPr>
      <w:r>
        <w:separator/>
      </w:r>
    </w:p>
  </w:footnote>
  <w:footnote w:type="continuationSeparator" w:id="0">
    <w:p w14:paraId="7DC945B6" w14:textId="77777777" w:rsidR="00952F20" w:rsidRDefault="00952F20" w:rsidP="001D5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107316"/>
      <w:docPartObj>
        <w:docPartGallery w:val="Page Numbers (Top of Page)"/>
        <w:docPartUnique/>
      </w:docPartObj>
    </w:sdtPr>
    <w:sdtEndPr>
      <w:rPr>
        <w:noProof/>
      </w:rPr>
    </w:sdtEndPr>
    <w:sdtContent>
      <w:p w14:paraId="4A12917A" w14:textId="3CCC7642" w:rsidR="001D5AEA" w:rsidRDefault="001D5AE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B6AA1A" w14:textId="77777777" w:rsidR="001D5AEA" w:rsidRDefault="001D5A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31402"/>
    <w:multiLevelType w:val="hybridMultilevel"/>
    <w:tmpl w:val="A83A6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885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171"/>
    <w:rsid w:val="00032D9E"/>
    <w:rsid w:val="000C4BE8"/>
    <w:rsid w:val="00123FD8"/>
    <w:rsid w:val="0012528D"/>
    <w:rsid w:val="001D5AEA"/>
    <w:rsid w:val="001E2667"/>
    <w:rsid w:val="00232827"/>
    <w:rsid w:val="00266118"/>
    <w:rsid w:val="002D65C6"/>
    <w:rsid w:val="0034018A"/>
    <w:rsid w:val="004D2227"/>
    <w:rsid w:val="005017F3"/>
    <w:rsid w:val="005A678A"/>
    <w:rsid w:val="005B1BEB"/>
    <w:rsid w:val="00831C4D"/>
    <w:rsid w:val="00841102"/>
    <w:rsid w:val="00857082"/>
    <w:rsid w:val="008B158C"/>
    <w:rsid w:val="008D4432"/>
    <w:rsid w:val="00937591"/>
    <w:rsid w:val="00952F20"/>
    <w:rsid w:val="00C60171"/>
    <w:rsid w:val="00C61B9E"/>
    <w:rsid w:val="00C80AFF"/>
    <w:rsid w:val="00CD2E21"/>
    <w:rsid w:val="00CF4C7E"/>
    <w:rsid w:val="00D0247C"/>
    <w:rsid w:val="00D1190E"/>
    <w:rsid w:val="00E40DD7"/>
    <w:rsid w:val="00E90626"/>
    <w:rsid w:val="00F9306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34862"/>
  <w15:chartTrackingRefBased/>
  <w15:docId w15:val="{D1109859-DC5F-4FCF-A058-388167B69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GB"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AEA"/>
    <w:rPr>
      <w:rFonts w:ascii="Arial" w:hAnsi="Arial"/>
      <w:sz w:val="24"/>
      <w14:ligatures w14:val="none"/>
    </w:rPr>
  </w:style>
  <w:style w:type="paragraph" w:styleId="Heading1">
    <w:name w:val="heading 1"/>
    <w:basedOn w:val="Normal"/>
    <w:next w:val="Normal"/>
    <w:link w:val="Heading1Char"/>
    <w:autoRedefine/>
    <w:uiPriority w:val="9"/>
    <w:qFormat/>
    <w:rsid w:val="00D1190E"/>
    <w:pPr>
      <w:keepNext/>
      <w:keepLines/>
      <w:spacing w:before="24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autoRedefine/>
    <w:uiPriority w:val="9"/>
    <w:unhideWhenUsed/>
    <w:qFormat/>
    <w:rsid w:val="0012528D"/>
    <w:pPr>
      <w:keepNext/>
      <w:keepLines/>
      <w:spacing w:before="40"/>
      <w:outlineLvl w:val="1"/>
    </w:pPr>
    <w:rPr>
      <w:rFonts w:eastAsiaTheme="majorEastAsia" w:cstheme="majorBidi"/>
      <w:b/>
      <w:color w:val="000000" w:themeColor="text1"/>
      <w:kern w:val="2"/>
      <w:sz w:val="26"/>
      <w:szCs w:val="26"/>
      <w14:ligatures w14:val="standardContextual"/>
    </w:rPr>
  </w:style>
  <w:style w:type="paragraph" w:styleId="Heading3">
    <w:name w:val="heading 3"/>
    <w:basedOn w:val="Normal"/>
    <w:next w:val="Normal"/>
    <w:link w:val="Heading3Char"/>
    <w:autoRedefine/>
    <w:uiPriority w:val="9"/>
    <w:unhideWhenUsed/>
    <w:qFormat/>
    <w:rsid w:val="00CD2E21"/>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90E"/>
    <w:rPr>
      <w:rFonts w:ascii="Times New Roman" w:eastAsiaTheme="majorEastAsia" w:hAnsi="Times New Roman" w:cstheme="majorBidi"/>
      <w:b/>
      <w:kern w:val="2"/>
      <w:sz w:val="28"/>
      <w:szCs w:val="32"/>
    </w:rPr>
  </w:style>
  <w:style w:type="character" w:customStyle="1" w:styleId="Heading2Char">
    <w:name w:val="Heading 2 Char"/>
    <w:basedOn w:val="DefaultParagraphFont"/>
    <w:link w:val="Heading2"/>
    <w:uiPriority w:val="9"/>
    <w:rsid w:val="0012528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CD2E21"/>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D0247C"/>
    <w:rPr>
      <w:color w:val="0563C1" w:themeColor="hyperlink"/>
      <w:u w:val="single"/>
    </w:rPr>
  </w:style>
  <w:style w:type="character" w:styleId="UnresolvedMention">
    <w:name w:val="Unresolved Mention"/>
    <w:basedOn w:val="DefaultParagraphFont"/>
    <w:uiPriority w:val="99"/>
    <w:semiHidden/>
    <w:unhideWhenUsed/>
    <w:rsid w:val="00D0247C"/>
    <w:rPr>
      <w:color w:val="605E5C"/>
      <w:shd w:val="clear" w:color="auto" w:fill="E1DFDD"/>
    </w:rPr>
  </w:style>
  <w:style w:type="paragraph" w:styleId="ListParagraph">
    <w:name w:val="List Paragraph"/>
    <w:basedOn w:val="Normal"/>
    <w:uiPriority w:val="34"/>
    <w:qFormat/>
    <w:rsid w:val="00D0247C"/>
    <w:pPr>
      <w:ind w:left="720"/>
      <w:contextualSpacing/>
    </w:pPr>
  </w:style>
  <w:style w:type="character" w:styleId="FollowedHyperlink">
    <w:name w:val="FollowedHyperlink"/>
    <w:basedOn w:val="DefaultParagraphFont"/>
    <w:uiPriority w:val="99"/>
    <w:semiHidden/>
    <w:unhideWhenUsed/>
    <w:rsid w:val="001E2667"/>
    <w:rPr>
      <w:color w:val="954F72" w:themeColor="followedHyperlink"/>
      <w:u w:val="single"/>
    </w:rPr>
  </w:style>
  <w:style w:type="character" w:styleId="Strong">
    <w:name w:val="Strong"/>
    <w:basedOn w:val="DefaultParagraphFont"/>
    <w:uiPriority w:val="22"/>
    <w:qFormat/>
    <w:rsid w:val="001E2667"/>
    <w:rPr>
      <w:b/>
      <w:bCs/>
    </w:rPr>
  </w:style>
  <w:style w:type="paragraph" w:styleId="TOCHeading">
    <w:name w:val="TOC Heading"/>
    <w:basedOn w:val="Heading1"/>
    <w:next w:val="Normal"/>
    <w:uiPriority w:val="39"/>
    <w:unhideWhenUsed/>
    <w:qFormat/>
    <w:rsid w:val="001D5AEA"/>
    <w:pPr>
      <w:spacing w:after="0"/>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1D5AEA"/>
    <w:pPr>
      <w:spacing w:after="100"/>
    </w:pPr>
  </w:style>
  <w:style w:type="paragraph" w:styleId="Header">
    <w:name w:val="header"/>
    <w:basedOn w:val="Normal"/>
    <w:link w:val="HeaderChar"/>
    <w:uiPriority w:val="99"/>
    <w:unhideWhenUsed/>
    <w:rsid w:val="001D5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AEA"/>
    <w:rPr>
      <w:rFonts w:ascii="Times New Roman" w:hAnsi="Times New Roman"/>
      <w:sz w:val="24"/>
      <w14:ligatures w14:val="none"/>
    </w:rPr>
  </w:style>
  <w:style w:type="paragraph" w:styleId="Footer">
    <w:name w:val="footer"/>
    <w:basedOn w:val="Normal"/>
    <w:link w:val="FooterChar"/>
    <w:uiPriority w:val="99"/>
    <w:unhideWhenUsed/>
    <w:rsid w:val="001D5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AEA"/>
    <w:rPr>
      <w:rFonts w:ascii="Times New Roman" w:hAnsi="Times New Roman"/>
      <w:sz w:val="24"/>
      <w14:ligatures w14:val="none"/>
    </w:rPr>
  </w:style>
  <w:style w:type="character" w:styleId="Emphasis">
    <w:name w:val="Emphasis"/>
    <w:basedOn w:val="DefaultParagraphFont"/>
    <w:uiPriority w:val="20"/>
    <w:qFormat/>
    <w:rsid w:val="00831C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682581">
      <w:bodyDiv w:val="1"/>
      <w:marLeft w:val="0"/>
      <w:marRight w:val="0"/>
      <w:marTop w:val="0"/>
      <w:marBottom w:val="0"/>
      <w:divBdr>
        <w:top w:val="none" w:sz="0" w:space="0" w:color="auto"/>
        <w:left w:val="none" w:sz="0" w:space="0" w:color="auto"/>
        <w:bottom w:val="none" w:sz="0" w:space="0" w:color="auto"/>
        <w:right w:val="none" w:sz="0" w:space="0" w:color="auto"/>
      </w:divBdr>
      <w:divsChild>
        <w:div w:id="1841654401">
          <w:marLeft w:val="0"/>
          <w:marRight w:val="0"/>
          <w:marTop w:val="0"/>
          <w:marBottom w:val="0"/>
          <w:divBdr>
            <w:top w:val="none" w:sz="0" w:space="0" w:color="auto"/>
            <w:left w:val="none" w:sz="0" w:space="0" w:color="auto"/>
            <w:bottom w:val="none" w:sz="0" w:space="0" w:color="auto"/>
            <w:right w:val="none" w:sz="0" w:space="0" w:color="auto"/>
          </w:divBdr>
        </w:div>
      </w:divsChild>
    </w:div>
    <w:div w:id="307785662">
      <w:bodyDiv w:val="1"/>
      <w:marLeft w:val="0"/>
      <w:marRight w:val="0"/>
      <w:marTop w:val="0"/>
      <w:marBottom w:val="0"/>
      <w:divBdr>
        <w:top w:val="none" w:sz="0" w:space="0" w:color="auto"/>
        <w:left w:val="none" w:sz="0" w:space="0" w:color="auto"/>
        <w:bottom w:val="none" w:sz="0" w:space="0" w:color="auto"/>
        <w:right w:val="none" w:sz="0" w:space="0" w:color="auto"/>
      </w:divBdr>
      <w:divsChild>
        <w:div w:id="1614748441">
          <w:marLeft w:val="0"/>
          <w:marRight w:val="0"/>
          <w:marTop w:val="0"/>
          <w:marBottom w:val="0"/>
          <w:divBdr>
            <w:top w:val="none" w:sz="0" w:space="0" w:color="auto"/>
            <w:left w:val="none" w:sz="0" w:space="0" w:color="auto"/>
            <w:bottom w:val="none" w:sz="0" w:space="0" w:color="auto"/>
            <w:right w:val="none" w:sz="0" w:space="0" w:color="auto"/>
          </w:divBdr>
        </w:div>
      </w:divsChild>
    </w:div>
    <w:div w:id="422342051">
      <w:bodyDiv w:val="1"/>
      <w:marLeft w:val="0"/>
      <w:marRight w:val="0"/>
      <w:marTop w:val="0"/>
      <w:marBottom w:val="0"/>
      <w:divBdr>
        <w:top w:val="none" w:sz="0" w:space="0" w:color="auto"/>
        <w:left w:val="none" w:sz="0" w:space="0" w:color="auto"/>
        <w:bottom w:val="none" w:sz="0" w:space="0" w:color="auto"/>
        <w:right w:val="none" w:sz="0" w:space="0" w:color="auto"/>
      </w:divBdr>
      <w:divsChild>
        <w:div w:id="1400666201">
          <w:marLeft w:val="0"/>
          <w:marRight w:val="0"/>
          <w:marTop w:val="0"/>
          <w:marBottom w:val="0"/>
          <w:divBdr>
            <w:top w:val="none" w:sz="0" w:space="0" w:color="auto"/>
            <w:left w:val="none" w:sz="0" w:space="0" w:color="auto"/>
            <w:bottom w:val="none" w:sz="0" w:space="0" w:color="auto"/>
            <w:right w:val="none" w:sz="0" w:space="0" w:color="auto"/>
          </w:divBdr>
        </w:div>
      </w:divsChild>
    </w:div>
    <w:div w:id="496115360">
      <w:bodyDiv w:val="1"/>
      <w:marLeft w:val="0"/>
      <w:marRight w:val="0"/>
      <w:marTop w:val="0"/>
      <w:marBottom w:val="0"/>
      <w:divBdr>
        <w:top w:val="none" w:sz="0" w:space="0" w:color="auto"/>
        <w:left w:val="none" w:sz="0" w:space="0" w:color="auto"/>
        <w:bottom w:val="none" w:sz="0" w:space="0" w:color="auto"/>
        <w:right w:val="none" w:sz="0" w:space="0" w:color="auto"/>
      </w:divBdr>
      <w:divsChild>
        <w:div w:id="1939219069">
          <w:marLeft w:val="0"/>
          <w:marRight w:val="0"/>
          <w:marTop w:val="0"/>
          <w:marBottom w:val="0"/>
          <w:divBdr>
            <w:top w:val="none" w:sz="0" w:space="0" w:color="auto"/>
            <w:left w:val="none" w:sz="0" w:space="0" w:color="auto"/>
            <w:bottom w:val="none" w:sz="0" w:space="0" w:color="auto"/>
            <w:right w:val="none" w:sz="0" w:space="0" w:color="auto"/>
          </w:divBdr>
        </w:div>
      </w:divsChild>
    </w:div>
    <w:div w:id="503204301">
      <w:bodyDiv w:val="1"/>
      <w:marLeft w:val="0"/>
      <w:marRight w:val="0"/>
      <w:marTop w:val="0"/>
      <w:marBottom w:val="0"/>
      <w:divBdr>
        <w:top w:val="none" w:sz="0" w:space="0" w:color="auto"/>
        <w:left w:val="none" w:sz="0" w:space="0" w:color="auto"/>
        <w:bottom w:val="none" w:sz="0" w:space="0" w:color="auto"/>
        <w:right w:val="none" w:sz="0" w:space="0" w:color="auto"/>
      </w:divBdr>
      <w:divsChild>
        <w:div w:id="2081368741">
          <w:marLeft w:val="0"/>
          <w:marRight w:val="0"/>
          <w:marTop w:val="0"/>
          <w:marBottom w:val="0"/>
          <w:divBdr>
            <w:top w:val="none" w:sz="0" w:space="0" w:color="auto"/>
            <w:left w:val="none" w:sz="0" w:space="0" w:color="auto"/>
            <w:bottom w:val="none" w:sz="0" w:space="0" w:color="auto"/>
            <w:right w:val="none" w:sz="0" w:space="0" w:color="auto"/>
          </w:divBdr>
        </w:div>
      </w:divsChild>
    </w:div>
    <w:div w:id="697971800">
      <w:bodyDiv w:val="1"/>
      <w:marLeft w:val="0"/>
      <w:marRight w:val="0"/>
      <w:marTop w:val="0"/>
      <w:marBottom w:val="0"/>
      <w:divBdr>
        <w:top w:val="none" w:sz="0" w:space="0" w:color="auto"/>
        <w:left w:val="none" w:sz="0" w:space="0" w:color="auto"/>
        <w:bottom w:val="none" w:sz="0" w:space="0" w:color="auto"/>
        <w:right w:val="none" w:sz="0" w:space="0" w:color="auto"/>
      </w:divBdr>
      <w:divsChild>
        <w:div w:id="444811453">
          <w:marLeft w:val="0"/>
          <w:marRight w:val="0"/>
          <w:marTop w:val="0"/>
          <w:marBottom w:val="0"/>
          <w:divBdr>
            <w:top w:val="none" w:sz="0" w:space="0" w:color="auto"/>
            <w:left w:val="none" w:sz="0" w:space="0" w:color="auto"/>
            <w:bottom w:val="none" w:sz="0" w:space="0" w:color="auto"/>
            <w:right w:val="none" w:sz="0" w:space="0" w:color="auto"/>
          </w:divBdr>
        </w:div>
      </w:divsChild>
    </w:div>
    <w:div w:id="1215049043">
      <w:bodyDiv w:val="1"/>
      <w:marLeft w:val="0"/>
      <w:marRight w:val="0"/>
      <w:marTop w:val="0"/>
      <w:marBottom w:val="0"/>
      <w:divBdr>
        <w:top w:val="none" w:sz="0" w:space="0" w:color="auto"/>
        <w:left w:val="none" w:sz="0" w:space="0" w:color="auto"/>
        <w:bottom w:val="none" w:sz="0" w:space="0" w:color="auto"/>
        <w:right w:val="none" w:sz="0" w:space="0" w:color="auto"/>
      </w:divBdr>
      <w:divsChild>
        <w:div w:id="342754636">
          <w:marLeft w:val="0"/>
          <w:marRight w:val="0"/>
          <w:marTop w:val="0"/>
          <w:marBottom w:val="0"/>
          <w:divBdr>
            <w:top w:val="none" w:sz="0" w:space="0" w:color="auto"/>
            <w:left w:val="none" w:sz="0" w:space="0" w:color="auto"/>
            <w:bottom w:val="none" w:sz="0" w:space="0" w:color="auto"/>
            <w:right w:val="none" w:sz="0" w:space="0" w:color="auto"/>
          </w:divBdr>
        </w:div>
      </w:divsChild>
    </w:div>
    <w:div w:id="1338651382">
      <w:bodyDiv w:val="1"/>
      <w:marLeft w:val="0"/>
      <w:marRight w:val="0"/>
      <w:marTop w:val="0"/>
      <w:marBottom w:val="0"/>
      <w:divBdr>
        <w:top w:val="none" w:sz="0" w:space="0" w:color="auto"/>
        <w:left w:val="none" w:sz="0" w:space="0" w:color="auto"/>
        <w:bottom w:val="none" w:sz="0" w:space="0" w:color="auto"/>
        <w:right w:val="none" w:sz="0" w:space="0" w:color="auto"/>
      </w:divBdr>
      <w:divsChild>
        <w:div w:id="599726898">
          <w:marLeft w:val="0"/>
          <w:marRight w:val="0"/>
          <w:marTop w:val="0"/>
          <w:marBottom w:val="0"/>
          <w:divBdr>
            <w:top w:val="none" w:sz="0" w:space="0" w:color="auto"/>
            <w:left w:val="none" w:sz="0" w:space="0" w:color="auto"/>
            <w:bottom w:val="none" w:sz="0" w:space="0" w:color="auto"/>
            <w:right w:val="none" w:sz="0" w:space="0" w:color="auto"/>
          </w:divBdr>
        </w:div>
      </w:divsChild>
    </w:div>
    <w:div w:id="1418669645">
      <w:bodyDiv w:val="1"/>
      <w:marLeft w:val="0"/>
      <w:marRight w:val="0"/>
      <w:marTop w:val="0"/>
      <w:marBottom w:val="0"/>
      <w:divBdr>
        <w:top w:val="none" w:sz="0" w:space="0" w:color="auto"/>
        <w:left w:val="none" w:sz="0" w:space="0" w:color="auto"/>
        <w:bottom w:val="none" w:sz="0" w:space="0" w:color="auto"/>
        <w:right w:val="none" w:sz="0" w:space="0" w:color="auto"/>
      </w:divBdr>
      <w:divsChild>
        <w:div w:id="857039954">
          <w:marLeft w:val="0"/>
          <w:marRight w:val="0"/>
          <w:marTop w:val="0"/>
          <w:marBottom w:val="0"/>
          <w:divBdr>
            <w:top w:val="none" w:sz="0" w:space="0" w:color="auto"/>
            <w:left w:val="none" w:sz="0" w:space="0" w:color="auto"/>
            <w:bottom w:val="none" w:sz="0" w:space="0" w:color="auto"/>
            <w:right w:val="none" w:sz="0" w:space="0" w:color="auto"/>
          </w:divBdr>
        </w:div>
      </w:divsChild>
    </w:div>
    <w:div w:id="1424259723">
      <w:bodyDiv w:val="1"/>
      <w:marLeft w:val="0"/>
      <w:marRight w:val="0"/>
      <w:marTop w:val="0"/>
      <w:marBottom w:val="0"/>
      <w:divBdr>
        <w:top w:val="none" w:sz="0" w:space="0" w:color="auto"/>
        <w:left w:val="none" w:sz="0" w:space="0" w:color="auto"/>
        <w:bottom w:val="none" w:sz="0" w:space="0" w:color="auto"/>
        <w:right w:val="none" w:sz="0" w:space="0" w:color="auto"/>
      </w:divBdr>
      <w:divsChild>
        <w:div w:id="63379476">
          <w:marLeft w:val="0"/>
          <w:marRight w:val="0"/>
          <w:marTop w:val="0"/>
          <w:marBottom w:val="0"/>
          <w:divBdr>
            <w:top w:val="none" w:sz="0" w:space="0" w:color="auto"/>
            <w:left w:val="none" w:sz="0" w:space="0" w:color="auto"/>
            <w:bottom w:val="none" w:sz="0" w:space="0" w:color="auto"/>
            <w:right w:val="none" w:sz="0" w:space="0" w:color="auto"/>
          </w:divBdr>
        </w:div>
      </w:divsChild>
    </w:div>
    <w:div w:id="1781291927">
      <w:bodyDiv w:val="1"/>
      <w:marLeft w:val="0"/>
      <w:marRight w:val="0"/>
      <w:marTop w:val="0"/>
      <w:marBottom w:val="0"/>
      <w:divBdr>
        <w:top w:val="none" w:sz="0" w:space="0" w:color="auto"/>
        <w:left w:val="none" w:sz="0" w:space="0" w:color="auto"/>
        <w:bottom w:val="none" w:sz="0" w:space="0" w:color="auto"/>
        <w:right w:val="none" w:sz="0" w:space="0" w:color="auto"/>
      </w:divBdr>
      <w:divsChild>
        <w:div w:id="898319004">
          <w:marLeft w:val="0"/>
          <w:marRight w:val="0"/>
          <w:marTop w:val="0"/>
          <w:marBottom w:val="0"/>
          <w:divBdr>
            <w:top w:val="none" w:sz="0" w:space="0" w:color="auto"/>
            <w:left w:val="none" w:sz="0" w:space="0" w:color="auto"/>
            <w:bottom w:val="none" w:sz="0" w:space="0" w:color="auto"/>
            <w:right w:val="none" w:sz="0" w:space="0" w:color="auto"/>
          </w:divBdr>
        </w:div>
      </w:divsChild>
    </w:div>
    <w:div w:id="2133597453">
      <w:bodyDiv w:val="1"/>
      <w:marLeft w:val="0"/>
      <w:marRight w:val="0"/>
      <w:marTop w:val="0"/>
      <w:marBottom w:val="0"/>
      <w:divBdr>
        <w:top w:val="none" w:sz="0" w:space="0" w:color="auto"/>
        <w:left w:val="none" w:sz="0" w:space="0" w:color="auto"/>
        <w:bottom w:val="none" w:sz="0" w:space="0" w:color="auto"/>
        <w:right w:val="none" w:sz="0" w:space="0" w:color="auto"/>
      </w:divBdr>
      <w:divsChild>
        <w:div w:id="1533151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3s-conferences.org/articles/e3sconf/pdf/2023/77/e3sconf_icenso2023_0302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cr-journal.com/article/leveraging-ai-for-personalized-employee-development-a-new-era-in-human-resource-management-88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David-Hargitai-2/publication/370818207_The_Role_of_Leadership_in_Digital_Learning_Organizations/links/6464a31666b4cb4f73b914e5/The-Role-of-Leadership-in-Digital-Learning-Organizations.pdf" TargetMode="External"/><Relationship Id="rId5" Type="http://schemas.openxmlformats.org/officeDocument/2006/relationships/footnotes" Target="footnotes.xml"/><Relationship Id="rId15" Type="http://schemas.openxmlformats.org/officeDocument/2006/relationships/hyperlink" Target="https://trainual.com/manual/how-are-employee-development-practices-strategic" TargetMode="External"/><Relationship Id="rId10" Type="http://schemas.openxmlformats.org/officeDocument/2006/relationships/hyperlink" Target="https://crrjournals.com/crrj/sites/default/files/CRRJ-2024-0031.pdf" TargetMode="External"/><Relationship Id="rId4" Type="http://schemas.openxmlformats.org/officeDocument/2006/relationships/webSettings" Target="webSettings.xml"/><Relationship Id="rId9" Type="http://schemas.openxmlformats.org/officeDocument/2006/relationships/hyperlink" Target="https://www.mdpi.com/2199-8531/8/4/218/pdf" TargetMode="External"/><Relationship Id="rId14" Type="http://schemas.openxmlformats.org/officeDocument/2006/relationships/hyperlink" Target="https://www.researchgate.net/profile/Nsisong-Eyo-Udo/publication/377351878_Strategic_HR_Management_in_the_Manufacturing_Industry_Balancing_Automation_and_Workforce_Development/links/67982b70207c0c20fa61159b/Strategic-HR-Management-in-the-Manufacturing-Industry-Balancing-Automation-and-Workforce-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10</Pages>
  <Words>2533</Words>
  <Characters>18342</Characters>
  <Application>Microsoft Office Word</Application>
  <DocSecurity>0</DocSecurity>
  <Lines>265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Only You,Always You</dc:creator>
  <cp:keywords/>
  <dc:description/>
  <cp:lastModifiedBy>Mukul Bakkolla (2220398)</cp:lastModifiedBy>
  <cp:revision>7</cp:revision>
  <dcterms:created xsi:type="dcterms:W3CDTF">2025-04-23T12:59:00Z</dcterms:created>
  <dcterms:modified xsi:type="dcterms:W3CDTF">2025-04-25T22:09:00Z</dcterms:modified>
</cp:coreProperties>
</file>