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BCF04" w14:textId="77777777" w:rsidR="00B230E5" w:rsidRPr="000A2871" w:rsidRDefault="00B230E5" w:rsidP="000A2871">
      <w:pPr>
        <w:spacing w:line="360" w:lineRule="auto"/>
        <w:ind w:left="40"/>
        <w:jc w:val="center"/>
        <w:rPr>
          <w:rFonts w:ascii="Arial" w:hAnsi="Arial" w:cs="Arial"/>
        </w:rPr>
      </w:pPr>
    </w:p>
    <w:p w14:paraId="79E19402" w14:textId="77777777" w:rsidR="00B230E5" w:rsidRPr="000A2871" w:rsidRDefault="00B230E5" w:rsidP="000A2871">
      <w:pPr>
        <w:spacing w:line="360" w:lineRule="auto"/>
        <w:ind w:left="40"/>
        <w:jc w:val="center"/>
        <w:rPr>
          <w:rFonts w:ascii="Arial" w:hAnsi="Arial" w:cs="Arial"/>
        </w:rPr>
      </w:pPr>
      <w:r w:rsidRPr="000A2871">
        <w:rPr>
          <w:rFonts w:ascii="Arial" w:hAnsi="Arial" w:cs="Arial"/>
        </w:rPr>
        <w:t xml:space="preserve"> </w:t>
      </w:r>
    </w:p>
    <w:p w14:paraId="5DF7FC79" w14:textId="77777777" w:rsidR="00B230E5" w:rsidRPr="000A2871" w:rsidRDefault="00B230E5" w:rsidP="000A2871">
      <w:pPr>
        <w:spacing w:line="360" w:lineRule="auto"/>
        <w:ind w:left="40"/>
        <w:jc w:val="center"/>
        <w:rPr>
          <w:rFonts w:ascii="Arial" w:hAnsi="Arial" w:cs="Arial"/>
        </w:rPr>
      </w:pPr>
      <w:r w:rsidRPr="000A2871">
        <w:rPr>
          <w:rFonts w:ascii="Arial" w:hAnsi="Arial" w:cs="Arial"/>
          <w:noProof/>
        </w:rPr>
        <w:drawing>
          <wp:inline distT="114300" distB="114300" distL="114300" distR="114300" wp14:anchorId="3B6DBE29" wp14:editId="7C24F96B">
            <wp:extent cx="1981200" cy="825500"/>
            <wp:effectExtent l="0" t="0" r="0" b="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1981200" cy="825500"/>
                    </a:xfrm>
                    <a:prstGeom prst="rect">
                      <a:avLst/>
                    </a:prstGeom>
                    <a:ln/>
                  </pic:spPr>
                </pic:pic>
              </a:graphicData>
            </a:graphic>
          </wp:inline>
        </w:drawing>
      </w:r>
      <w:r w:rsidRPr="000A2871">
        <w:rPr>
          <w:rFonts w:ascii="Arial" w:hAnsi="Arial" w:cs="Arial"/>
        </w:rPr>
        <w:t xml:space="preserve"> </w:t>
      </w:r>
    </w:p>
    <w:p w14:paraId="0D9D8F98" w14:textId="77777777" w:rsidR="00B230E5" w:rsidRPr="000A2871" w:rsidRDefault="00B230E5" w:rsidP="000A2871">
      <w:pPr>
        <w:spacing w:line="360" w:lineRule="auto"/>
        <w:ind w:left="40"/>
        <w:jc w:val="center"/>
        <w:rPr>
          <w:rFonts w:ascii="Arial" w:hAnsi="Arial" w:cs="Arial"/>
        </w:rPr>
      </w:pPr>
      <w:r w:rsidRPr="000A2871">
        <w:rPr>
          <w:rFonts w:ascii="Arial" w:hAnsi="Arial" w:cs="Arial"/>
        </w:rPr>
        <w:t xml:space="preserve"> </w:t>
      </w:r>
    </w:p>
    <w:p w14:paraId="709A6154" w14:textId="77777777" w:rsidR="00B230E5" w:rsidRPr="000A2871" w:rsidRDefault="00B230E5" w:rsidP="000A2871">
      <w:pPr>
        <w:spacing w:after="280" w:line="360" w:lineRule="auto"/>
        <w:ind w:left="40"/>
        <w:jc w:val="center"/>
        <w:rPr>
          <w:rFonts w:ascii="Arial" w:hAnsi="Arial" w:cs="Arial"/>
        </w:rPr>
      </w:pPr>
      <w:r w:rsidRPr="000A2871">
        <w:rPr>
          <w:rFonts w:ascii="Arial" w:hAnsi="Arial" w:cs="Arial"/>
        </w:rPr>
        <w:t xml:space="preserve"> </w:t>
      </w:r>
    </w:p>
    <w:p w14:paraId="6D94CCAC" w14:textId="6A8DCD19" w:rsidR="00B230E5" w:rsidRPr="000A2871" w:rsidRDefault="00B230E5" w:rsidP="000A2871">
      <w:pPr>
        <w:spacing w:line="360" w:lineRule="auto"/>
        <w:ind w:left="80"/>
        <w:jc w:val="center"/>
        <w:rPr>
          <w:rFonts w:ascii="Arial" w:hAnsi="Arial" w:cs="Arial"/>
          <w:sz w:val="36"/>
          <w:szCs w:val="36"/>
        </w:rPr>
      </w:pPr>
      <w:r w:rsidRPr="000A2871">
        <w:rPr>
          <w:rFonts w:ascii="Arial" w:hAnsi="Arial" w:cs="Arial"/>
          <w:sz w:val="36"/>
          <w:szCs w:val="36"/>
        </w:rPr>
        <w:t>DISSERTATION TITLE:</w:t>
      </w:r>
      <w:r w:rsidRPr="000A2871">
        <w:rPr>
          <w:rFonts w:ascii="Arial" w:hAnsi="Arial" w:cs="Arial"/>
        </w:rPr>
        <w:br/>
      </w:r>
      <w:r w:rsidRPr="000A2871">
        <w:rPr>
          <w:rFonts w:ascii="Arial" w:hAnsi="Arial" w:cs="Arial"/>
          <w:sz w:val="36"/>
          <w:szCs w:val="36"/>
        </w:rPr>
        <w:t xml:space="preserve"> Determinants of Obesity and the Perceived Effectiveness of Interventions among Young Adults Aged 18-24 in the United Kingdom: A Qualitative Systematic Review</w:t>
      </w:r>
    </w:p>
    <w:p w14:paraId="007CD7C0" w14:textId="77777777" w:rsidR="00B230E5" w:rsidRPr="000A2871" w:rsidRDefault="00B230E5" w:rsidP="000A2871">
      <w:pPr>
        <w:spacing w:after="40" w:line="360" w:lineRule="auto"/>
        <w:ind w:left="80"/>
        <w:jc w:val="center"/>
        <w:rPr>
          <w:rFonts w:ascii="Arial" w:hAnsi="Arial" w:cs="Arial"/>
          <w:sz w:val="36"/>
          <w:szCs w:val="36"/>
        </w:rPr>
      </w:pPr>
      <w:r w:rsidRPr="000A2871">
        <w:rPr>
          <w:rFonts w:ascii="Arial" w:hAnsi="Arial" w:cs="Arial"/>
          <w:sz w:val="36"/>
          <w:szCs w:val="36"/>
        </w:rPr>
        <w:t xml:space="preserve"> </w:t>
      </w:r>
    </w:p>
    <w:p w14:paraId="506D9E91" w14:textId="77777777" w:rsidR="00B230E5" w:rsidRPr="000A2871" w:rsidRDefault="00B230E5" w:rsidP="000A2871">
      <w:pPr>
        <w:spacing w:line="360" w:lineRule="auto"/>
        <w:ind w:left="2360" w:right="2360"/>
        <w:jc w:val="center"/>
        <w:rPr>
          <w:rFonts w:ascii="Arial" w:hAnsi="Arial" w:cs="Arial"/>
        </w:rPr>
      </w:pPr>
      <w:r w:rsidRPr="000A2871">
        <w:rPr>
          <w:rFonts w:ascii="Arial" w:hAnsi="Arial" w:cs="Arial"/>
        </w:rPr>
        <w:t>by</w:t>
      </w:r>
    </w:p>
    <w:p w14:paraId="1868F4E6" w14:textId="77777777" w:rsidR="00B230E5" w:rsidRPr="000A2871" w:rsidRDefault="00B230E5" w:rsidP="000A2871">
      <w:pPr>
        <w:spacing w:line="360" w:lineRule="auto"/>
        <w:ind w:left="60"/>
        <w:jc w:val="center"/>
        <w:rPr>
          <w:rFonts w:ascii="Arial" w:hAnsi="Arial" w:cs="Arial"/>
        </w:rPr>
      </w:pPr>
      <w:r w:rsidRPr="000A2871">
        <w:rPr>
          <w:rFonts w:ascii="Arial" w:hAnsi="Arial" w:cs="Arial"/>
        </w:rPr>
        <w:t xml:space="preserve"> </w:t>
      </w:r>
    </w:p>
    <w:p w14:paraId="0D87E0CB" w14:textId="77777777" w:rsidR="00B230E5" w:rsidRPr="000A2871" w:rsidRDefault="00B230E5" w:rsidP="000A2871">
      <w:pPr>
        <w:spacing w:line="360" w:lineRule="auto"/>
        <w:ind w:left="2360" w:right="2360"/>
        <w:jc w:val="center"/>
        <w:rPr>
          <w:rFonts w:ascii="Arial" w:hAnsi="Arial" w:cs="Arial"/>
        </w:rPr>
      </w:pPr>
      <w:r w:rsidRPr="000A2871">
        <w:rPr>
          <w:rFonts w:ascii="Arial" w:hAnsi="Arial" w:cs="Arial"/>
        </w:rPr>
        <w:t>Bisma Amin</w:t>
      </w:r>
    </w:p>
    <w:p w14:paraId="30C778EE" w14:textId="77777777" w:rsidR="00B230E5" w:rsidRPr="000A2871" w:rsidRDefault="00B230E5" w:rsidP="000A2871">
      <w:pPr>
        <w:spacing w:line="360" w:lineRule="auto"/>
        <w:ind w:left="60"/>
        <w:jc w:val="center"/>
        <w:rPr>
          <w:rFonts w:ascii="Arial" w:hAnsi="Arial" w:cs="Arial"/>
        </w:rPr>
      </w:pPr>
      <w:r w:rsidRPr="000A2871">
        <w:rPr>
          <w:rFonts w:ascii="Arial" w:hAnsi="Arial" w:cs="Arial"/>
        </w:rPr>
        <w:t xml:space="preserve"> </w:t>
      </w:r>
    </w:p>
    <w:p w14:paraId="663F501B" w14:textId="5F4ADC13" w:rsidR="00B230E5" w:rsidRPr="000A2871" w:rsidRDefault="00B230E5" w:rsidP="000A2871">
      <w:pPr>
        <w:spacing w:line="360" w:lineRule="auto"/>
        <w:ind w:left="60"/>
        <w:jc w:val="center"/>
        <w:rPr>
          <w:rFonts w:ascii="Arial" w:hAnsi="Arial" w:cs="Arial"/>
        </w:rPr>
      </w:pPr>
      <w:r w:rsidRPr="000A2871">
        <w:rPr>
          <w:rFonts w:ascii="Arial" w:hAnsi="Arial" w:cs="Arial"/>
        </w:rPr>
        <w:t xml:space="preserve">  </w:t>
      </w:r>
    </w:p>
    <w:p w14:paraId="5A95BB29" w14:textId="5D83C549" w:rsidR="00B230E5" w:rsidRPr="000A2871" w:rsidRDefault="00B230E5" w:rsidP="000A2871">
      <w:pPr>
        <w:spacing w:line="360" w:lineRule="auto"/>
        <w:ind w:left="60"/>
        <w:jc w:val="center"/>
        <w:rPr>
          <w:rFonts w:ascii="Arial" w:hAnsi="Arial" w:cs="Arial"/>
          <w:sz w:val="24"/>
          <w:szCs w:val="24"/>
        </w:rPr>
      </w:pPr>
      <w:r w:rsidRPr="000A2871">
        <w:rPr>
          <w:rFonts w:ascii="Arial" w:hAnsi="Arial" w:cs="Arial"/>
          <w:sz w:val="24"/>
          <w:szCs w:val="24"/>
        </w:rPr>
        <w:t>A Dissertation submitted in partial fulfilment of the requirements for the degree of Master of Science in Public Health and Social Care in Practice</w:t>
      </w:r>
      <w:r w:rsidRPr="000A2871">
        <w:rPr>
          <w:rFonts w:ascii="Arial" w:hAnsi="Arial" w:cs="Arial"/>
          <w:b/>
          <w:bCs/>
        </w:rPr>
        <w:t xml:space="preserve"> </w:t>
      </w:r>
    </w:p>
    <w:p w14:paraId="3D39F3BA" w14:textId="5AF43B19" w:rsidR="00B230E5" w:rsidRPr="000A2871" w:rsidRDefault="00B230E5" w:rsidP="000A2871">
      <w:pPr>
        <w:spacing w:line="360" w:lineRule="auto"/>
        <w:jc w:val="center"/>
        <w:rPr>
          <w:rFonts w:ascii="Arial" w:hAnsi="Arial" w:cs="Arial"/>
          <w:b/>
          <w:bCs/>
          <w:sz w:val="24"/>
          <w:szCs w:val="24"/>
        </w:rPr>
      </w:pPr>
      <w:r w:rsidRPr="000A2871">
        <w:rPr>
          <w:rFonts w:ascii="Arial" w:hAnsi="Arial" w:cs="Arial"/>
          <w:b/>
          <w:bCs/>
          <w:sz w:val="24"/>
          <w:szCs w:val="24"/>
        </w:rPr>
        <w:t xml:space="preserve">The Institute of </w:t>
      </w:r>
      <w:r w:rsidR="2C825013" w:rsidRPr="000A2871">
        <w:rPr>
          <w:rFonts w:ascii="Arial" w:hAnsi="Arial" w:cs="Arial"/>
          <w:b/>
          <w:bCs/>
          <w:sz w:val="24"/>
          <w:szCs w:val="24"/>
        </w:rPr>
        <w:t>Inner-City</w:t>
      </w:r>
      <w:r w:rsidRPr="000A2871">
        <w:rPr>
          <w:rFonts w:ascii="Arial" w:hAnsi="Arial" w:cs="Arial"/>
          <w:b/>
          <w:bCs/>
          <w:sz w:val="24"/>
          <w:szCs w:val="24"/>
        </w:rPr>
        <w:t xml:space="preserve"> Learning</w:t>
      </w:r>
    </w:p>
    <w:p w14:paraId="73480C9F" w14:textId="77777777" w:rsidR="00B230E5" w:rsidRPr="000A2871" w:rsidRDefault="00B230E5" w:rsidP="000A2871">
      <w:pPr>
        <w:spacing w:line="360" w:lineRule="auto"/>
        <w:jc w:val="center"/>
        <w:rPr>
          <w:rFonts w:ascii="Arial" w:hAnsi="Arial" w:cs="Arial"/>
          <w:b/>
          <w:bCs/>
          <w:sz w:val="24"/>
          <w:szCs w:val="24"/>
        </w:rPr>
      </w:pPr>
      <w:r w:rsidRPr="000A2871">
        <w:rPr>
          <w:rFonts w:ascii="Arial" w:hAnsi="Arial" w:cs="Arial"/>
          <w:b/>
          <w:bCs/>
          <w:sz w:val="24"/>
          <w:szCs w:val="24"/>
        </w:rPr>
        <w:t>University of Wales Trinity Saint David – London Campus</w:t>
      </w:r>
    </w:p>
    <w:p w14:paraId="2E1918BD" w14:textId="77777777" w:rsidR="00B230E5" w:rsidRPr="000A2871" w:rsidRDefault="00B230E5" w:rsidP="000A2871">
      <w:pPr>
        <w:spacing w:line="360" w:lineRule="auto"/>
        <w:ind w:left="2360" w:right="2360"/>
        <w:jc w:val="center"/>
        <w:rPr>
          <w:rFonts w:ascii="Arial" w:hAnsi="Arial" w:cs="Arial"/>
          <w:b/>
          <w:bCs/>
          <w:sz w:val="24"/>
          <w:szCs w:val="24"/>
        </w:rPr>
      </w:pPr>
      <w:r w:rsidRPr="000A2871">
        <w:rPr>
          <w:rFonts w:ascii="Arial" w:hAnsi="Arial" w:cs="Arial"/>
          <w:b/>
          <w:bCs/>
          <w:sz w:val="24"/>
          <w:szCs w:val="24"/>
        </w:rPr>
        <w:t xml:space="preserve"> </w:t>
      </w:r>
    </w:p>
    <w:p w14:paraId="13D6D092" w14:textId="77777777" w:rsidR="00B230E5" w:rsidRPr="000A2871" w:rsidRDefault="00B230E5" w:rsidP="000A2871">
      <w:pPr>
        <w:spacing w:line="360" w:lineRule="auto"/>
        <w:ind w:left="2360" w:right="2360"/>
        <w:jc w:val="center"/>
        <w:rPr>
          <w:rFonts w:ascii="Arial" w:hAnsi="Arial" w:cs="Arial"/>
          <w:b/>
          <w:bCs/>
          <w:sz w:val="24"/>
          <w:szCs w:val="24"/>
        </w:rPr>
      </w:pPr>
      <w:r w:rsidRPr="000A2871">
        <w:rPr>
          <w:rFonts w:ascii="Arial" w:hAnsi="Arial" w:cs="Arial"/>
          <w:b/>
          <w:bCs/>
          <w:sz w:val="24"/>
          <w:szCs w:val="24"/>
        </w:rPr>
        <w:t xml:space="preserve"> </w:t>
      </w:r>
    </w:p>
    <w:p w14:paraId="04185C2B" w14:textId="680F5334" w:rsidR="00B230E5" w:rsidRPr="000A2871" w:rsidRDefault="00B230E5" w:rsidP="000A2871">
      <w:pPr>
        <w:spacing w:line="360" w:lineRule="auto"/>
        <w:ind w:left="2360" w:right="2360"/>
        <w:jc w:val="center"/>
        <w:rPr>
          <w:rFonts w:ascii="Arial" w:hAnsi="Arial" w:cs="Arial"/>
          <w:b/>
          <w:bCs/>
          <w:sz w:val="24"/>
          <w:szCs w:val="24"/>
        </w:rPr>
      </w:pPr>
      <w:r w:rsidRPr="000A2871">
        <w:rPr>
          <w:rFonts w:ascii="Arial" w:hAnsi="Arial" w:cs="Arial"/>
          <w:b/>
          <w:bCs/>
          <w:sz w:val="24"/>
          <w:szCs w:val="24"/>
        </w:rPr>
        <w:t>September 2026</w:t>
      </w:r>
    </w:p>
    <w:p w14:paraId="35949332" w14:textId="77777777" w:rsidR="00B230E5" w:rsidRPr="000A2871" w:rsidRDefault="00B230E5" w:rsidP="000A2871">
      <w:pPr>
        <w:spacing w:after="200" w:line="360" w:lineRule="auto"/>
        <w:rPr>
          <w:rFonts w:ascii="Arial" w:hAnsi="Arial" w:cs="Arial"/>
          <w:b/>
          <w:bCs/>
          <w:sz w:val="24"/>
          <w:szCs w:val="24"/>
        </w:rPr>
      </w:pPr>
      <w:r w:rsidRPr="000A2871">
        <w:rPr>
          <w:rFonts w:ascii="Arial" w:hAnsi="Arial" w:cs="Arial"/>
          <w:b/>
          <w:bCs/>
          <w:sz w:val="24"/>
          <w:szCs w:val="24"/>
        </w:rPr>
        <w:lastRenderedPageBreak/>
        <w:t>DECLARATION</w:t>
      </w:r>
    </w:p>
    <w:p w14:paraId="1FDFBA23" w14:textId="77777777" w:rsidR="00B230E5" w:rsidRPr="000A2871" w:rsidRDefault="00B230E5" w:rsidP="000A2871">
      <w:pPr>
        <w:spacing w:after="200" w:line="360" w:lineRule="auto"/>
        <w:rPr>
          <w:rFonts w:ascii="Arial" w:hAnsi="Arial" w:cs="Arial"/>
          <w:sz w:val="24"/>
          <w:szCs w:val="24"/>
        </w:rPr>
      </w:pPr>
      <w:r w:rsidRPr="000A2871">
        <w:rPr>
          <w:rFonts w:ascii="Arial" w:hAnsi="Arial" w:cs="Arial"/>
          <w:sz w:val="24"/>
          <w:szCs w:val="24"/>
        </w:rPr>
        <w:t xml:space="preserve"> </w:t>
      </w:r>
    </w:p>
    <w:p w14:paraId="64F48370" w14:textId="0EE64E03" w:rsidR="00B230E5" w:rsidRPr="000A2871" w:rsidRDefault="00B230E5" w:rsidP="000A2871">
      <w:pPr>
        <w:spacing w:after="200" w:line="360" w:lineRule="auto"/>
        <w:rPr>
          <w:rFonts w:ascii="Arial" w:hAnsi="Arial" w:cs="Arial"/>
          <w:sz w:val="24"/>
          <w:szCs w:val="24"/>
        </w:rPr>
      </w:pPr>
      <w:r w:rsidRPr="000A2871">
        <w:rPr>
          <w:rFonts w:ascii="Arial" w:hAnsi="Arial" w:cs="Arial"/>
          <w:sz w:val="24"/>
          <w:szCs w:val="24"/>
        </w:rPr>
        <w:t xml:space="preserve">I, Bisma </w:t>
      </w:r>
      <w:r w:rsidR="00295D22" w:rsidRPr="000A2871">
        <w:rPr>
          <w:rFonts w:ascii="Arial" w:hAnsi="Arial" w:cs="Arial"/>
          <w:sz w:val="24"/>
          <w:szCs w:val="24"/>
        </w:rPr>
        <w:t>Amin,</w:t>
      </w:r>
      <w:r w:rsidRPr="000A2871">
        <w:rPr>
          <w:rFonts w:ascii="Arial" w:hAnsi="Arial" w:cs="Arial"/>
          <w:sz w:val="24"/>
          <w:szCs w:val="24"/>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13635EC5" w14:textId="77777777" w:rsidR="00B230E5" w:rsidRPr="000A2871" w:rsidRDefault="00B230E5" w:rsidP="000A2871">
      <w:pPr>
        <w:spacing w:after="200" w:line="360" w:lineRule="auto"/>
        <w:rPr>
          <w:rFonts w:ascii="Arial" w:hAnsi="Arial" w:cs="Arial"/>
          <w:sz w:val="24"/>
          <w:szCs w:val="24"/>
        </w:rPr>
      </w:pPr>
      <w:r w:rsidRPr="000A2871">
        <w:rPr>
          <w:rFonts w:ascii="Arial" w:hAnsi="Arial" w:cs="Arial"/>
          <w:sz w:val="24"/>
          <w:szCs w:val="24"/>
        </w:rPr>
        <w:t xml:space="preserve"> </w:t>
      </w:r>
    </w:p>
    <w:p w14:paraId="66376170" w14:textId="77777777" w:rsidR="00B230E5" w:rsidRPr="000A2871" w:rsidRDefault="00B230E5" w:rsidP="000A2871">
      <w:pPr>
        <w:spacing w:after="200" w:line="360" w:lineRule="auto"/>
        <w:rPr>
          <w:rFonts w:ascii="Arial" w:hAnsi="Arial" w:cs="Arial"/>
          <w:sz w:val="24"/>
          <w:szCs w:val="24"/>
        </w:rPr>
      </w:pPr>
      <w:r w:rsidRPr="000A2871">
        <w:rPr>
          <w:rFonts w:ascii="Arial" w:hAnsi="Arial" w:cs="Arial"/>
          <w:sz w:val="24"/>
          <w:szCs w:val="24"/>
        </w:rPr>
        <w:t xml:space="preserve"> </w:t>
      </w:r>
    </w:p>
    <w:p w14:paraId="75A1F687" w14:textId="5D666A0B" w:rsidR="00B230E5" w:rsidRPr="000A2871" w:rsidRDefault="3389A278" w:rsidP="000A2871">
      <w:pPr>
        <w:spacing w:after="200" w:line="360" w:lineRule="auto"/>
        <w:rPr>
          <w:rFonts w:ascii="Arial" w:hAnsi="Arial" w:cs="Arial"/>
          <w:sz w:val="24"/>
          <w:szCs w:val="24"/>
        </w:rPr>
      </w:pPr>
      <w:r w:rsidRPr="000A2871">
        <w:rPr>
          <w:rFonts w:ascii="Arial" w:hAnsi="Arial" w:cs="Arial"/>
          <w:sz w:val="24"/>
          <w:szCs w:val="24"/>
        </w:rPr>
        <w:t>Signed</w:t>
      </w:r>
      <w:r w:rsidR="6D4B60E5" w:rsidRPr="000A2871">
        <w:rPr>
          <w:rFonts w:ascii="Arial" w:hAnsi="Arial" w:cs="Arial"/>
          <w:sz w:val="24"/>
          <w:szCs w:val="24"/>
        </w:rPr>
        <w:t>: Bisma Amin</w:t>
      </w:r>
    </w:p>
    <w:p w14:paraId="617B8803" w14:textId="77777777" w:rsidR="00B230E5" w:rsidRPr="000A2871" w:rsidRDefault="00B230E5" w:rsidP="000A2871">
      <w:pPr>
        <w:spacing w:after="200" w:line="360" w:lineRule="auto"/>
        <w:rPr>
          <w:rFonts w:ascii="Arial" w:hAnsi="Arial" w:cs="Arial"/>
          <w:sz w:val="24"/>
          <w:szCs w:val="24"/>
        </w:rPr>
      </w:pPr>
      <w:r w:rsidRPr="000A2871">
        <w:rPr>
          <w:rFonts w:ascii="Arial" w:hAnsi="Arial" w:cs="Arial"/>
          <w:sz w:val="24"/>
          <w:szCs w:val="24"/>
        </w:rPr>
        <w:t xml:space="preserve"> </w:t>
      </w:r>
    </w:p>
    <w:p w14:paraId="5B1DB561" w14:textId="74E6E123" w:rsidR="00B230E5" w:rsidRPr="000A2871" w:rsidRDefault="00BF4216" w:rsidP="000A2871">
      <w:pPr>
        <w:spacing w:after="200" w:line="360" w:lineRule="auto"/>
        <w:rPr>
          <w:rFonts w:ascii="Arial" w:hAnsi="Arial" w:cs="Arial"/>
          <w:sz w:val="24"/>
          <w:szCs w:val="24"/>
        </w:rPr>
      </w:pPr>
      <w:r w:rsidRPr="000A2871">
        <w:rPr>
          <w:rFonts w:ascii="Arial" w:hAnsi="Arial" w:cs="Arial"/>
          <w:sz w:val="24"/>
          <w:szCs w:val="24"/>
        </w:rPr>
        <w:t>Date:</w:t>
      </w:r>
      <w:r w:rsidR="00A33CC4">
        <w:rPr>
          <w:rFonts w:ascii="Arial" w:hAnsi="Arial" w:cs="Arial"/>
          <w:sz w:val="24"/>
          <w:szCs w:val="24"/>
        </w:rPr>
        <w:t xml:space="preserve"> 07</w:t>
      </w:r>
      <w:r w:rsidR="00A33CC4" w:rsidRPr="00A33CC4">
        <w:rPr>
          <w:rFonts w:ascii="Arial" w:hAnsi="Arial" w:cs="Arial"/>
          <w:sz w:val="24"/>
          <w:szCs w:val="24"/>
          <w:vertAlign w:val="superscript"/>
        </w:rPr>
        <w:t>TH</w:t>
      </w:r>
      <w:r w:rsidR="00A33CC4">
        <w:rPr>
          <w:rFonts w:ascii="Arial" w:hAnsi="Arial" w:cs="Arial"/>
          <w:sz w:val="24"/>
          <w:szCs w:val="24"/>
        </w:rPr>
        <w:t xml:space="preserve"> October 2026</w:t>
      </w:r>
    </w:p>
    <w:p w14:paraId="1DC41F5C" w14:textId="77777777" w:rsidR="00B230E5" w:rsidRPr="000A2871" w:rsidRDefault="00B230E5" w:rsidP="000A2871">
      <w:pPr>
        <w:spacing w:line="360" w:lineRule="auto"/>
        <w:ind w:right="2360"/>
        <w:rPr>
          <w:rFonts w:ascii="Arial" w:hAnsi="Arial" w:cs="Arial"/>
          <w:b/>
          <w:bCs/>
        </w:rPr>
      </w:pPr>
      <w:r w:rsidRPr="000A2871">
        <w:rPr>
          <w:rFonts w:ascii="Arial" w:hAnsi="Arial" w:cs="Arial"/>
          <w:b/>
          <w:bCs/>
        </w:rPr>
        <w:t xml:space="preserve"> </w:t>
      </w:r>
    </w:p>
    <w:p w14:paraId="07F3CD17" w14:textId="77777777" w:rsidR="00B230E5" w:rsidRPr="000A2871" w:rsidRDefault="00B230E5" w:rsidP="000A2871">
      <w:pPr>
        <w:spacing w:line="360" w:lineRule="auto"/>
        <w:rPr>
          <w:rFonts w:ascii="Arial" w:hAnsi="Arial" w:cs="Arial"/>
          <w:color w:val="0070C0"/>
        </w:rPr>
      </w:pPr>
      <w:r w:rsidRPr="000A2871">
        <w:rPr>
          <w:rFonts w:ascii="Arial" w:hAnsi="Arial" w:cs="Arial"/>
          <w:color w:val="0070C0"/>
        </w:rPr>
        <w:t xml:space="preserve">        </w:t>
      </w:r>
      <w:r w:rsidRPr="000A2871">
        <w:rPr>
          <w:rFonts w:ascii="Arial" w:hAnsi="Arial" w:cs="Arial"/>
          <w:color w:val="0070C0"/>
        </w:rPr>
        <w:tab/>
        <w:t xml:space="preserve"> </w:t>
      </w:r>
    </w:p>
    <w:p w14:paraId="03E5D338" w14:textId="06B75A93" w:rsidR="00B230E5" w:rsidRPr="002757F2" w:rsidRDefault="002E7D4D" w:rsidP="000A2871">
      <w:pPr>
        <w:spacing w:line="360" w:lineRule="auto"/>
        <w:rPr>
          <w:rFonts w:ascii="Arial" w:hAnsi="Arial" w:cs="Arial"/>
        </w:rPr>
      </w:pPr>
      <w:r w:rsidRPr="000A2871">
        <w:rPr>
          <w:rFonts w:ascii="Arial" w:hAnsi="Arial" w:cs="Arial"/>
        </w:rPr>
        <w:br w:type="page"/>
      </w:r>
    </w:p>
    <w:p w14:paraId="22E4CEC8" w14:textId="77777777" w:rsidR="00B230E5" w:rsidRPr="000A2871" w:rsidRDefault="00B230E5" w:rsidP="000A2871">
      <w:pPr>
        <w:pStyle w:val="Heading2"/>
        <w:keepNext w:val="0"/>
        <w:keepLines w:val="0"/>
        <w:spacing w:after="160" w:line="360" w:lineRule="auto"/>
        <w:ind w:left="20"/>
        <w:jc w:val="left"/>
        <w:rPr>
          <w:rFonts w:ascii="Arial" w:hAnsi="Arial" w:cs="Arial"/>
          <w:b w:val="0"/>
          <w:bCs/>
          <w:sz w:val="34"/>
          <w:szCs w:val="34"/>
        </w:rPr>
      </w:pPr>
      <w:bookmarkStart w:id="0" w:name="_isnq6cd2yf4x" w:colFirst="0" w:colLast="0"/>
      <w:bookmarkStart w:id="1" w:name="_Toc242459508"/>
      <w:bookmarkEnd w:id="0"/>
      <w:r w:rsidRPr="002757F2">
        <w:rPr>
          <w:rFonts w:ascii="Arial" w:hAnsi="Arial" w:cs="Arial"/>
          <w:bCs/>
          <w:sz w:val="46"/>
          <w:szCs w:val="46"/>
        </w:rPr>
        <w:lastRenderedPageBreak/>
        <w:t>Acknowledgements</w:t>
      </w:r>
      <w:bookmarkEnd w:id="1"/>
    </w:p>
    <w:p w14:paraId="55938478" w14:textId="17925573" w:rsidR="00B230E5" w:rsidRPr="000A2871" w:rsidRDefault="00B230E5" w:rsidP="000A2871">
      <w:pPr>
        <w:spacing w:line="360" w:lineRule="auto"/>
        <w:rPr>
          <w:rFonts w:ascii="Arial" w:hAnsi="Arial" w:cs="Arial"/>
        </w:rPr>
      </w:pPr>
      <w:r w:rsidRPr="000A2871">
        <w:rPr>
          <w:rFonts w:ascii="Arial" w:hAnsi="Arial" w:cs="Arial"/>
        </w:rPr>
        <w:t>I would like to express my sincere gratitude to all those who supported and guided me throughout the completion of this dissertation.</w:t>
      </w:r>
    </w:p>
    <w:p w14:paraId="174DC0E5" w14:textId="77777777" w:rsidR="00B230E5" w:rsidRPr="000A2871" w:rsidRDefault="00B230E5" w:rsidP="000A2871">
      <w:pPr>
        <w:spacing w:line="360" w:lineRule="auto"/>
        <w:rPr>
          <w:rFonts w:ascii="Arial" w:hAnsi="Arial" w:cs="Arial"/>
        </w:rPr>
      </w:pPr>
      <w:r w:rsidRPr="000A2871">
        <w:rPr>
          <w:rFonts w:ascii="Arial" w:hAnsi="Arial" w:cs="Arial"/>
        </w:rPr>
        <w:t>I would like to express my deepest appreciation to my supervisor, Shaila Hussain, for her invaluable guidance, constructive feedback, patience, and continuous encouragement throughout this research. Her support and academic guidance were invaluable in helping me develop and refine this dissertation and in maintaining focus throughout the research process.</w:t>
      </w:r>
    </w:p>
    <w:p w14:paraId="1CEDC7BE" w14:textId="77777777" w:rsidR="00B230E5" w:rsidRPr="000A2871" w:rsidRDefault="00B230E5" w:rsidP="000A2871">
      <w:pPr>
        <w:spacing w:line="360" w:lineRule="auto"/>
        <w:rPr>
          <w:rFonts w:ascii="Arial" w:hAnsi="Arial" w:cs="Arial"/>
        </w:rPr>
      </w:pPr>
      <w:r w:rsidRPr="000A2871">
        <w:rPr>
          <w:rFonts w:ascii="Arial" w:hAnsi="Arial" w:cs="Arial"/>
        </w:rPr>
        <w:t xml:space="preserve">I would also like to sincerely thank the academic staff and lecturers of the </w:t>
      </w:r>
      <w:r w:rsidRPr="000A2871">
        <w:rPr>
          <w:rFonts w:ascii="Arial" w:hAnsi="Arial" w:cs="Arial"/>
          <w:b/>
          <w:bCs/>
        </w:rPr>
        <w:t>MSc Public Health and Social Care in Practice</w:t>
      </w:r>
      <w:r w:rsidRPr="000A2871">
        <w:rPr>
          <w:rFonts w:ascii="Arial" w:hAnsi="Arial" w:cs="Arial"/>
        </w:rPr>
        <w:t xml:space="preserve"> programme at the University of Wales Trinity Saint David for their knowledge, support, and encouragement throughout my studies. Their teaching and guidance have been essential to developing my educational, critical-thinking, and research skills. </w:t>
      </w:r>
    </w:p>
    <w:p w14:paraId="6914807D" w14:textId="77777777" w:rsidR="00B230E5" w:rsidRPr="000A2871" w:rsidRDefault="00B230E5" w:rsidP="000A2871">
      <w:pPr>
        <w:spacing w:line="360" w:lineRule="auto"/>
        <w:rPr>
          <w:rFonts w:ascii="Arial" w:hAnsi="Arial" w:cs="Arial"/>
        </w:rPr>
      </w:pPr>
      <w:r w:rsidRPr="000A2871">
        <w:rPr>
          <w:rFonts w:ascii="Arial" w:hAnsi="Arial" w:cs="Arial"/>
        </w:rPr>
        <w:t xml:space="preserve">I am also grateful to the university library and academic database resources that enabled access to the journals, research articles and other scholarly materials that supported this qualitative systematic review. I would also like to acknowledge the authors and researchers whose published work contributed to the evidence base of this dissertation and contributed to the development of my understanding of obesity, health inequalities, young adulthood and intervention experiences. </w:t>
      </w:r>
    </w:p>
    <w:p w14:paraId="52922BA7" w14:textId="77777777" w:rsidR="00B230E5" w:rsidRPr="000A2871" w:rsidRDefault="00B230E5" w:rsidP="000A2871">
      <w:pPr>
        <w:spacing w:line="360" w:lineRule="auto"/>
        <w:rPr>
          <w:rFonts w:ascii="Arial" w:hAnsi="Arial" w:cs="Arial"/>
        </w:rPr>
      </w:pPr>
      <w:r w:rsidRPr="000A2871">
        <w:rPr>
          <w:rFonts w:ascii="Arial" w:hAnsi="Arial" w:cs="Arial"/>
        </w:rPr>
        <w:t>I would like to offer my deepest thanks to my family and friends for their unconditional support, patience, encouragement, and understanding throughout my educational journey. Their motivation and belief in me helped me to stay focused and determined through the more challenging stages of research and dissertation writing.</w:t>
      </w:r>
    </w:p>
    <w:p w14:paraId="4CA18341" w14:textId="77777777" w:rsidR="00B230E5" w:rsidRPr="000A2871" w:rsidRDefault="00B230E5" w:rsidP="000A2871">
      <w:pPr>
        <w:spacing w:line="360" w:lineRule="auto"/>
        <w:rPr>
          <w:rFonts w:ascii="Arial" w:hAnsi="Arial" w:cs="Arial"/>
        </w:rPr>
      </w:pPr>
      <w:r w:rsidRPr="000A2871">
        <w:rPr>
          <w:rFonts w:ascii="Arial" w:hAnsi="Arial" w:cs="Arial"/>
        </w:rPr>
        <w:t>Finally, I thank all those who have contributed to the finalization of this dissertation, directly or indirectly. We are truly grateful for their encouragement, help, and support. I am so grateful to everyone who has been on this journey this achievement wouldn't have been possible without the support of the people around me.</w:t>
      </w:r>
    </w:p>
    <w:p w14:paraId="6B35296E" w14:textId="77777777" w:rsidR="00C83F2E" w:rsidRDefault="00B230E5" w:rsidP="00C83F2E">
      <w:pPr>
        <w:spacing w:line="360" w:lineRule="auto"/>
        <w:rPr>
          <w:rFonts w:ascii="Arial" w:hAnsi="Arial" w:cs="Arial"/>
        </w:rPr>
      </w:pPr>
      <w:r w:rsidRPr="000A2871">
        <w:rPr>
          <w:rFonts w:ascii="Arial" w:hAnsi="Arial" w:cs="Arial"/>
        </w:rPr>
        <w:t xml:space="preserve"> </w:t>
      </w:r>
      <w:bookmarkStart w:id="2" w:name="_3uc117i550ih" w:colFirst="0" w:colLast="0"/>
      <w:bookmarkEnd w:id="2"/>
    </w:p>
    <w:p w14:paraId="38776026" w14:textId="77777777" w:rsidR="002757F2" w:rsidRDefault="002757F2">
      <w:pPr>
        <w:rPr>
          <w:rFonts w:ascii="Arial" w:eastAsia="Times New Roman" w:hAnsi="Arial" w:cs="Arial"/>
          <w:b/>
          <w:color w:val="000000"/>
          <w:sz w:val="46"/>
          <w:szCs w:val="46"/>
        </w:rPr>
      </w:pPr>
      <w:r>
        <w:rPr>
          <w:rFonts w:ascii="Arial" w:hAnsi="Arial" w:cs="Arial"/>
          <w:sz w:val="46"/>
          <w:szCs w:val="46"/>
        </w:rPr>
        <w:br w:type="page"/>
      </w:r>
    </w:p>
    <w:p w14:paraId="4033120C" w14:textId="77777777" w:rsidR="007E77F1" w:rsidRPr="00C83F2E" w:rsidRDefault="007E77F1" w:rsidP="00C83F2E">
      <w:pPr>
        <w:pStyle w:val="Heading1"/>
        <w:jc w:val="left"/>
        <w:rPr>
          <w:rFonts w:ascii="Arial" w:hAnsi="Arial" w:cs="Arial"/>
          <w:color w:val="auto"/>
          <w:sz w:val="46"/>
          <w:szCs w:val="46"/>
        </w:rPr>
      </w:pPr>
      <w:bookmarkStart w:id="3" w:name="_Toc242459509"/>
      <w:r w:rsidRPr="00C83F2E">
        <w:rPr>
          <w:rFonts w:ascii="Arial" w:hAnsi="Arial" w:cs="Arial"/>
          <w:sz w:val="46"/>
          <w:szCs w:val="46"/>
        </w:rPr>
        <w:lastRenderedPageBreak/>
        <w:t>Abstract</w:t>
      </w:r>
      <w:bookmarkEnd w:id="3"/>
    </w:p>
    <w:p w14:paraId="02482BA2" w14:textId="16673469" w:rsidR="007E77F1" w:rsidRDefault="007E77F1" w:rsidP="000A2871">
      <w:pPr>
        <w:spacing w:after="120" w:line="360" w:lineRule="auto"/>
        <w:rPr>
          <w:rFonts w:ascii="Arial" w:hAnsi="Arial" w:cs="Arial"/>
        </w:rPr>
      </w:pPr>
      <w:r w:rsidRPr="000A2871">
        <w:rPr>
          <w:rFonts w:ascii="Arial" w:hAnsi="Arial" w:cs="Arial"/>
        </w:rPr>
        <w:t>Young adulthood involves changes in work, education, relationships and responsibility for everyday health. Qualitative evidence can explain how these circumstances influence obesity</w:t>
      </w:r>
      <w:r w:rsidR="42505E57" w:rsidRPr="64C1AC28">
        <w:rPr>
          <w:rFonts w:ascii="Arial" w:hAnsi="Arial" w:cs="Arial"/>
        </w:rPr>
        <w:t xml:space="preserve"> </w:t>
      </w:r>
      <w:r w:rsidRPr="000A2871">
        <w:rPr>
          <w:rFonts w:ascii="Arial" w:hAnsi="Arial" w:cs="Arial"/>
        </w:rPr>
        <w:t>related behaviour and the perceived usefulness of support.</w:t>
      </w:r>
    </w:p>
    <w:p w14:paraId="25BE8E17" w14:textId="587BB6AC" w:rsidR="007E77F1" w:rsidRDefault="007E77F1" w:rsidP="000A2871">
      <w:pPr>
        <w:spacing w:after="120" w:line="360" w:lineRule="auto"/>
        <w:rPr>
          <w:rFonts w:ascii="Arial" w:hAnsi="Arial" w:cs="Arial"/>
        </w:rPr>
      </w:pPr>
      <w:r w:rsidRPr="000A2871">
        <w:rPr>
          <w:rFonts w:ascii="Arial" w:hAnsi="Arial" w:cs="Arial"/>
        </w:rPr>
        <w:t>To synthesise qualitative evidence on determinants of obesity</w:t>
      </w:r>
      <w:r w:rsidR="2FBE185A" w:rsidRPr="64C1AC28">
        <w:rPr>
          <w:rFonts w:ascii="Arial" w:hAnsi="Arial" w:cs="Arial"/>
        </w:rPr>
        <w:t xml:space="preserve"> </w:t>
      </w:r>
      <w:r w:rsidRPr="000A2871">
        <w:rPr>
          <w:rFonts w:ascii="Arial" w:hAnsi="Arial" w:cs="Arial"/>
        </w:rPr>
        <w:t>related behaviours and perceived effectiveness of relevant interventions among UK young adults aged 18–24.</w:t>
      </w:r>
    </w:p>
    <w:p w14:paraId="42DCB157" w14:textId="5273E8D9" w:rsidR="00395BA4" w:rsidRPr="000A2871" w:rsidRDefault="007E77F1" w:rsidP="000A2871">
      <w:pPr>
        <w:spacing w:after="120" w:line="360" w:lineRule="auto"/>
        <w:rPr>
          <w:rFonts w:ascii="Arial" w:hAnsi="Arial" w:cs="Arial"/>
        </w:rPr>
      </w:pPr>
      <w:r w:rsidRPr="000A2871">
        <w:rPr>
          <w:rFonts w:ascii="Arial" w:hAnsi="Arial" w:cs="Arial"/>
        </w:rPr>
        <w:t xml:space="preserve">The review used PubMed, ScienceDirect and specified BioMed Central journals, with a 2016–2026 publication window. Studies reporting ages 18–25 were accepted. Original exports contained 2,977 records; eleven DOI duplicates were removed. Three supplementary PubMed reports were retrieved on </w:t>
      </w:r>
      <w:r w:rsidR="00A76190">
        <w:rPr>
          <w:rFonts w:ascii="Arial" w:hAnsi="Arial" w:cs="Arial"/>
        </w:rPr>
        <w:t>24 September</w:t>
      </w:r>
      <w:r w:rsidRPr="000A2871">
        <w:rPr>
          <w:rFonts w:ascii="Arial" w:hAnsi="Arial" w:cs="Arial"/>
        </w:rPr>
        <w:t xml:space="preserve"> 2026. Fourteen selected reports underwent CASP appraisal; eleven contributed to thematic synthesis, comprising six whole samples and five restricted sets of younger accounts. Three reports remained contextual. Historical report-stage screening counts could not be fully reconciled.</w:t>
      </w:r>
    </w:p>
    <w:p w14:paraId="1C17FF3C" w14:textId="6ED48778" w:rsidR="007E77F1" w:rsidRPr="000A2871" w:rsidRDefault="007E77F1" w:rsidP="000A2871">
      <w:pPr>
        <w:spacing w:after="120" w:line="360" w:lineRule="auto"/>
        <w:rPr>
          <w:rFonts w:ascii="Arial" w:hAnsi="Arial" w:cs="Arial"/>
        </w:rPr>
      </w:pPr>
      <w:r w:rsidRPr="000A2871">
        <w:rPr>
          <w:rFonts w:ascii="Arial" w:hAnsi="Arial" w:cs="Arial"/>
        </w:rPr>
        <w:t>Five connected themes were developed: changing priorities within adult transitions; practical feasibility and linked routines; social belonging and credible information; emotional safety; and support that fits the person and the moment. Knowledge alone did not explain whether healthier action was feasible. Resources, schedules, relationships and competing health priorities shaped perceived usefulness. Digital features and weight-related messages could be helpful or burdensome depending on context.</w:t>
      </w:r>
    </w:p>
    <w:p w14:paraId="5FA7541F" w14:textId="27F0DFAE" w:rsidR="007E77F1" w:rsidRPr="000A2871" w:rsidRDefault="007E77F1" w:rsidP="000A2871">
      <w:pPr>
        <w:spacing w:after="120" w:line="360" w:lineRule="auto"/>
        <w:rPr>
          <w:rFonts w:ascii="Arial" w:hAnsi="Arial" w:cs="Arial"/>
        </w:rPr>
      </w:pPr>
      <w:r w:rsidRPr="000A2871">
        <w:rPr>
          <w:rFonts w:ascii="Arial" w:hAnsi="Arial" w:cs="Arial"/>
        </w:rPr>
        <w:t>The evidence supports developing practical, credible and respectful support with young adults, while evaluating access, burden and wellbeing alongside behavioural outcomes. Perceived usefulness does not establish measured intervention effectiveness. Heterogeneous samples, restricted extraction and incomplete historical screening documentation limit completeness and transferability.</w:t>
      </w:r>
    </w:p>
    <w:p w14:paraId="3153135D" w14:textId="1F2C5123" w:rsidR="007E77F1" w:rsidRPr="000A2871" w:rsidRDefault="00061492" w:rsidP="000A2871">
      <w:pPr>
        <w:spacing w:after="120" w:line="360" w:lineRule="auto"/>
        <w:rPr>
          <w:rFonts w:ascii="Arial" w:hAnsi="Arial" w:cs="Arial"/>
        </w:rPr>
      </w:pPr>
      <w:r w:rsidRPr="00061492">
        <w:rPr>
          <w:rFonts w:ascii="Arial" w:hAnsi="Arial" w:cs="Arial"/>
        </w:rPr>
        <w:t>Affordable food options, practical cooking support, credible digital nutrition information and personalized, non-judgemental weight management advice are all services in the UK that support young adults should be considering. Support should respond to changing routines, social circumstances and mental health needs. The recommendations need to be tested on UK adults aged 18–24 for their acceptability, feasibility and effects on behaviour and weight.</w:t>
      </w:r>
    </w:p>
    <w:p w14:paraId="5B1A920D" w14:textId="77777777" w:rsidR="007E77F1" w:rsidRPr="000A2871" w:rsidRDefault="007E77F1" w:rsidP="000A2871">
      <w:pPr>
        <w:pStyle w:val="Heading1"/>
        <w:keepNext w:val="0"/>
        <w:keepLines w:val="0"/>
        <w:spacing w:before="480" w:line="360" w:lineRule="auto"/>
        <w:rPr>
          <w:rFonts w:ascii="Arial" w:hAnsi="Arial" w:cs="Arial"/>
          <w:b w:val="0"/>
          <w:bCs/>
          <w:sz w:val="46"/>
          <w:szCs w:val="46"/>
        </w:rPr>
      </w:pPr>
      <w:bookmarkStart w:id="4" w:name="_83o83uqm63yr" w:colFirst="0" w:colLast="0"/>
      <w:bookmarkEnd w:id="4"/>
      <w:r w:rsidRPr="000A2871">
        <w:rPr>
          <w:rFonts w:ascii="Arial" w:hAnsi="Arial" w:cs="Arial"/>
        </w:rPr>
        <w:br w:type="page"/>
      </w:r>
    </w:p>
    <w:bookmarkStart w:id="5" w:name="_jebfuiehdfd8" w:colFirst="0" w:colLast="0" w:displacedByCustomXml="next"/>
    <w:bookmarkEnd w:id="5" w:displacedByCustomXml="next"/>
    <w:sdt>
      <w:sdtPr>
        <w:rPr>
          <w:rFonts w:asciiTheme="minorHAnsi" w:eastAsiaTheme="minorEastAsia" w:hAnsiTheme="minorHAnsi" w:cstheme="minorBidi"/>
          <w:b/>
          <w:bCs/>
          <w:color w:val="auto"/>
          <w:kern w:val="2"/>
          <w:sz w:val="46"/>
          <w:szCs w:val="46"/>
          <w:lang w:val="en-GB" w:eastAsia="zh-CN"/>
          <w14:ligatures w14:val="standardContextual"/>
        </w:rPr>
        <w:id w:val="947121056"/>
        <w:docPartObj>
          <w:docPartGallery w:val="Table of Contents"/>
          <w:docPartUnique/>
        </w:docPartObj>
      </w:sdtPr>
      <w:sdtEndPr>
        <w:rPr>
          <w:rFonts w:ascii="Arial" w:hAnsi="Arial" w:cs="Arial"/>
          <w:noProof/>
          <w:sz w:val="22"/>
          <w:szCs w:val="22"/>
        </w:rPr>
      </w:sdtEndPr>
      <w:sdtContent>
        <w:p w14:paraId="399D2568" w14:textId="12DAAF5E" w:rsidR="00911724" w:rsidRPr="004B24C7" w:rsidRDefault="00911724">
          <w:pPr>
            <w:pStyle w:val="TOCHeading"/>
            <w:rPr>
              <w:rFonts w:ascii="Arial" w:hAnsi="Arial" w:cs="Arial"/>
              <w:b/>
              <w:bCs/>
              <w:color w:val="auto"/>
              <w:sz w:val="46"/>
              <w:szCs w:val="46"/>
            </w:rPr>
          </w:pPr>
          <w:r w:rsidRPr="004B24C7">
            <w:rPr>
              <w:rFonts w:ascii="Arial" w:hAnsi="Arial" w:cs="Arial"/>
              <w:b/>
              <w:bCs/>
              <w:color w:val="auto"/>
              <w:sz w:val="46"/>
              <w:szCs w:val="46"/>
            </w:rPr>
            <w:t>Table of Contents</w:t>
          </w:r>
        </w:p>
        <w:p w14:paraId="194DEDFC" w14:textId="08468656" w:rsidR="00911724" w:rsidRPr="003812C9" w:rsidRDefault="00911724" w:rsidP="003812C9">
          <w:pPr>
            <w:pStyle w:val="TOC2"/>
            <w:rPr>
              <w:b/>
              <w:bCs/>
              <w:sz w:val="24"/>
              <w:szCs w:val="24"/>
              <w:lang w:val="en-PK" w:eastAsia="en-PK"/>
            </w:rPr>
          </w:pPr>
          <w:r w:rsidRPr="004B24C7">
            <w:fldChar w:fldCharType="begin"/>
          </w:r>
          <w:r w:rsidRPr="004B24C7">
            <w:instrText xml:space="preserve"> TOC \o "1-3" \h \z \u </w:instrText>
          </w:r>
          <w:r w:rsidRPr="004B24C7">
            <w:fldChar w:fldCharType="separate"/>
          </w:r>
          <w:hyperlink w:anchor="_Toc242459508" w:history="1">
            <w:r w:rsidRPr="003812C9">
              <w:rPr>
                <w:rStyle w:val="Hyperlink"/>
                <w:b/>
                <w:bCs/>
              </w:rPr>
              <w:t>Acknowledgements</w:t>
            </w:r>
            <w:r w:rsidRPr="003812C9">
              <w:rPr>
                <w:b/>
                <w:bCs/>
                <w:webHidden/>
              </w:rPr>
              <w:tab/>
            </w:r>
            <w:r w:rsidRPr="003812C9">
              <w:rPr>
                <w:b/>
                <w:bCs/>
                <w:webHidden/>
              </w:rPr>
              <w:fldChar w:fldCharType="begin"/>
            </w:r>
            <w:r w:rsidRPr="003812C9">
              <w:rPr>
                <w:b/>
                <w:bCs/>
                <w:webHidden/>
              </w:rPr>
              <w:instrText xml:space="preserve"> PAGEREF _Toc242459508 \h </w:instrText>
            </w:r>
            <w:r w:rsidRPr="003812C9">
              <w:rPr>
                <w:b/>
                <w:bCs/>
                <w:webHidden/>
              </w:rPr>
            </w:r>
            <w:r w:rsidRPr="003812C9">
              <w:rPr>
                <w:b/>
                <w:bCs/>
                <w:webHidden/>
              </w:rPr>
              <w:fldChar w:fldCharType="separate"/>
            </w:r>
            <w:r w:rsidRPr="003812C9">
              <w:rPr>
                <w:b/>
                <w:bCs/>
                <w:webHidden/>
              </w:rPr>
              <w:t>3</w:t>
            </w:r>
            <w:r w:rsidRPr="003812C9">
              <w:rPr>
                <w:b/>
                <w:bCs/>
                <w:webHidden/>
              </w:rPr>
              <w:fldChar w:fldCharType="end"/>
            </w:r>
          </w:hyperlink>
        </w:p>
        <w:p w14:paraId="5DAF8D79" w14:textId="48F124EE" w:rsidR="00911724" w:rsidRPr="004B24C7" w:rsidRDefault="00911724">
          <w:pPr>
            <w:pStyle w:val="TOC1"/>
            <w:tabs>
              <w:tab w:val="right" w:leader="dot" w:pos="9016"/>
            </w:tabs>
            <w:rPr>
              <w:rFonts w:ascii="Arial" w:eastAsiaTheme="minorEastAsia" w:hAnsi="Arial" w:cs="Arial"/>
              <w:b/>
              <w:bCs/>
              <w:noProof/>
              <w:color w:val="auto"/>
              <w:szCs w:val="24"/>
              <w:lang w:val="en-PK" w:eastAsia="en-PK"/>
            </w:rPr>
          </w:pPr>
          <w:hyperlink w:anchor="_Toc242459509" w:history="1">
            <w:r w:rsidRPr="004B24C7">
              <w:rPr>
                <w:rStyle w:val="Hyperlink"/>
                <w:rFonts w:ascii="Arial" w:hAnsi="Arial" w:cs="Arial"/>
                <w:b/>
                <w:bCs/>
                <w:noProof/>
              </w:rPr>
              <w:t>Abstract</w:t>
            </w:r>
            <w:r w:rsidRPr="004B24C7">
              <w:rPr>
                <w:rFonts w:ascii="Arial" w:hAnsi="Arial" w:cs="Arial"/>
                <w:b/>
                <w:bCs/>
                <w:noProof/>
                <w:webHidden/>
              </w:rPr>
              <w:tab/>
            </w:r>
            <w:r w:rsidRPr="004B24C7">
              <w:rPr>
                <w:rFonts w:ascii="Arial" w:hAnsi="Arial" w:cs="Arial"/>
                <w:b/>
                <w:bCs/>
                <w:noProof/>
                <w:webHidden/>
              </w:rPr>
              <w:fldChar w:fldCharType="begin"/>
            </w:r>
            <w:r w:rsidRPr="004B24C7">
              <w:rPr>
                <w:rFonts w:ascii="Arial" w:hAnsi="Arial" w:cs="Arial"/>
                <w:b/>
                <w:bCs/>
                <w:noProof/>
                <w:webHidden/>
              </w:rPr>
              <w:instrText xml:space="preserve"> PAGEREF _Toc242459509 \h </w:instrText>
            </w:r>
            <w:r w:rsidRPr="004B24C7">
              <w:rPr>
                <w:rFonts w:ascii="Arial" w:hAnsi="Arial" w:cs="Arial"/>
                <w:b/>
                <w:bCs/>
                <w:noProof/>
                <w:webHidden/>
              </w:rPr>
            </w:r>
            <w:r w:rsidRPr="004B24C7">
              <w:rPr>
                <w:rFonts w:ascii="Arial" w:hAnsi="Arial" w:cs="Arial"/>
                <w:b/>
                <w:bCs/>
                <w:noProof/>
                <w:webHidden/>
              </w:rPr>
              <w:fldChar w:fldCharType="separate"/>
            </w:r>
            <w:r w:rsidRPr="004B24C7">
              <w:rPr>
                <w:rFonts w:ascii="Arial" w:hAnsi="Arial" w:cs="Arial"/>
                <w:b/>
                <w:bCs/>
                <w:noProof/>
                <w:webHidden/>
              </w:rPr>
              <w:t>4</w:t>
            </w:r>
            <w:r w:rsidRPr="004B24C7">
              <w:rPr>
                <w:rFonts w:ascii="Arial" w:hAnsi="Arial" w:cs="Arial"/>
                <w:b/>
                <w:bCs/>
                <w:noProof/>
                <w:webHidden/>
              </w:rPr>
              <w:fldChar w:fldCharType="end"/>
            </w:r>
          </w:hyperlink>
        </w:p>
        <w:p w14:paraId="32D34C40" w14:textId="59F43FBA" w:rsidR="00911724" w:rsidRPr="004B24C7" w:rsidRDefault="00911724">
          <w:pPr>
            <w:pStyle w:val="TOC1"/>
            <w:tabs>
              <w:tab w:val="right" w:leader="dot" w:pos="9016"/>
            </w:tabs>
            <w:rPr>
              <w:rFonts w:ascii="Arial" w:eastAsiaTheme="minorEastAsia" w:hAnsi="Arial" w:cs="Arial"/>
              <w:b/>
              <w:bCs/>
              <w:noProof/>
              <w:color w:val="auto"/>
              <w:szCs w:val="24"/>
              <w:lang w:val="en-PK" w:eastAsia="en-PK"/>
            </w:rPr>
          </w:pPr>
          <w:hyperlink w:anchor="_Toc242459510" w:history="1">
            <w:r w:rsidRPr="004B24C7">
              <w:rPr>
                <w:rStyle w:val="Hyperlink"/>
                <w:rFonts w:ascii="Arial" w:hAnsi="Arial" w:cs="Arial"/>
                <w:b/>
                <w:bCs/>
                <w:noProof/>
              </w:rPr>
              <w:t>List of figures and tables</w:t>
            </w:r>
            <w:r w:rsidRPr="004B24C7">
              <w:rPr>
                <w:rFonts w:ascii="Arial" w:hAnsi="Arial" w:cs="Arial"/>
                <w:b/>
                <w:bCs/>
                <w:noProof/>
                <w:webHidden/>
              </w:rPr>
              <w:tab/>
            </w:r>
            <w:r w:rsidRPr="004B24C7">
              <w:rPr>
                <w:rFonts w:ascii="Arial" w:hAnsi="Arial" w:cs="Arial"/>
                <w:b/>
                <w:bCs/>
                <w:noProof/>
                <w:webHidden/>
              </w:rPr>
              <w:fldChar w:fldCharType="begin"/>
            </w:r>
            <w:r w:rsidRPr="004B24C7">
              <w:rPr>
                <w:rFonts w:ascii="Arial" w:hAnsi="Arial" w:cs="Arial"/>
                <w:b/>
                <w:bCs/>
                <w:noProof/>
                <w:webHidden/>
              </w:rPr>
              <w:instrText xml:space="preserve"> PAGEREF _Toc242459510 \h </w:instrText>
            </w:r>
            <w:r w:rsidRPr="004B24C7">
              <w:rPr>
                <w:rFonts w:ascii="Arial" w:hAnsi="Arial" w:cs="Arial"/>
                <w:b/>
                <w:bCs/>
                <w:noProof/>
                <w:webHidden/>
              </w:rPr>
            </w:r>
            <w:r w:rsidRPr="004B24C7">
              <w:rPr>
                <w:rFonts w:ascii="Arial" w:hAnsi="Arial" w:cs="Arial"/>
                <w:b/>
                <w:bCs/>
                <w:noProof/>
                <w:webHidden/>
              </w:rPr>
              <w:fldChar w:fldCharType="separate"/>
            </w:r>
            <w:r w:rsidRPr="004B24C7">
              <w:rPr>
                <w:rFonts w:ascii="Arial" w:hAnsi="Arial" w:cs="Arial"/>
                <w:b/>
                <w:bCs/>
                <w:noProof/>
                <w:webHidden/>
              </w:rPr>
              <w:t>9</w:t>
            </w:r>
            <w:r w:rsidRPr="004B24C7">
              <w:rPr>
                <w:rFonts w:ascii="Arial" w:hAnsi="Arial" w:cs="Arial"/>
                <w:b/>
                <w:bCs/>
                <w:noProof/>
                <w:webHidden/>
              </w:rPr>
              <w:fldChar w:fldCharType="end"/>
            </w:r>
          </w:hyperlink>
        </w:p>
        <w:p w14:paraId="6F20FF4D" w14:textId="7B359C54" w:rsidR="00911724" w:rsidRPr="004B24C7" w:rsidRDefault="00911724">
          <w:pPr>
            <w:pStyle w:val="TOC1"/>
            <w:tabs>
              <w:tab w:val="right" w:leader="dot" w:pos="9016"/>
            </w:tabs>
            <w:rPr>
              <w:rFonts w:ascii="Arial" w:eastAsiaTheme="minorEastAsia" w:hAnsi="Arial" w:cs="Arial"/>
              <w:b/>
              <w:bCs/>
              <w:noProof/>
              <w:color w:val="auto"/>
              <w:szCs w:val="24"/>
              <w:lang w:val="en-PK" w:eastAsia="en-PK"/>
            </w:rPr>
          </w:pPr>
          <w:hyperlink w:anchor="_Toc242459511" w:history="1">
            <w:r w:rsidRPr="004B24C7">
              <w:rPr>
                <w:rStyle w:val="Hyperlink"/>
                <w:rFonts w:ascii="Arial" w:hAnsi="Arial" w:cs="Arial"/>
                <w:b/>
                <w:bCs/>
                <w:noProof/>
              </w:rPr>
              <w:t>Abbreviations</w:t>
            </w:r>
            <w:r w:rsidRPr="004B24C7">
              <w:rPr>
                <w:rFonts w:ascii="Arial" w:hAnsi="Arial" w:cs="Arial"/>
                <w:b/>
                <w:bCs/>
                <w:noProof/>
                <w:webHidden/>
              </w:rPr>
              <w:tab/>
            </w:r>
            <w:r w:rsidRPr="004B24C7">
              <w:rPr>
                <w:rFonts w:ascii="Arial" w:hAnsi="Arial" w:cs="Arial"/>
                <w:b/>
                <w:bCs/>
                <w:noProof/>
                <w:webHidden/>
              </w:rPr>
              <w:fldChar w:fldCharType="begin"/>
            </w:r>
            <w:r w:rsidRPr="004B24C7">
              <w:rPr>
                <w:rFonts w:ascii="Arial" w:hAnsi="Arial" w:cs="Arial"/>
                <w:b/>
                <w:bCs/>
                <w:noProof/>
                <w:webHidden/>
              </w:rPr>
              <w:instrText xml:space="preserve"> PAGEREF _Toc242459511 \h </w:instrText>
            </w:r>
            <w:r w:rsidRPr="004B24C7">
              <w:rPr>
                <w:rFonts w:ascii="Arial" w:hAnsi="Arial" w:cs="Arial"/>
                <w:b/>
                <w:bCs/>
                <w:noProof/>
                <w:webHidden/>
              </w:rPr>
            </w:r>
            <w:r w:rsidRPr="004B24C7">
              <w:rPr>
                <w:rFonts w:ascii="Arial" w:hAnsi="Arial" w:cs="Arial"/>
                <w:b/>
                <w:bCs/>
                <w:noProof/>
                <w:webHidden/>
              </w:rPr>
              <w:fldChar w:fldCharType="separate"/>
            </w:r>
            <w:r w:rsidRPr="004B24C7">
              <w:rPr>
                <w:rFonts w:ascii="Arial" w:hAnsi="Arial" w:cs="Arial"/>
                <w:b/>
                <w:bCs/>
                <w:noProof/>
                <w:webHidden/>
              </w:rPr>
              <w:t>10</w:t>
            </w:r>
            <w:r w:rsidRPr="004B24C7">
              <w:rPr>
                <w:rFonts w:ascii="Arial" w:hAnsi="Arial" w:cs="Arial"/>
                <w:b/>
                <w:bCs/>
                <w:noProof/>
                <w:webHidden/>
              </w:rPr>
              <w:fldChar w:fldCharType="end"/>
            </w:r>
          </w:hyperlink>
        </w:p>
        <w:p w14:paraId="5FEF14D2" w14:textId="7215BFF4" w:rsidR="00911724" w:rsidRPr="004B24C7" w:rsidRDefault="00911724">
          <w:pPr>
            <w:pStyle w:val="TOC1"/>
            <w:tabs>
              <w:tab w:val="right" w:leader="dot" w:pos="9016"/>
            </w:tabs>
            <w:rPr>
              <w:rFonts w:ascii="Arial" w:eastAsiaTheme="minorEastAsia" w:hAnsi="Arial" w:cs="Arial"/>
              <w:b/>
              <w:bCs/>
              <w:noProof/>
              <w:color w:val="auto"/>
              <w:szCs w:val="24"/>
              <w:lang w:val="en-PK" w:eastAsia="en-PK"/>
            </w:rPr>
          </w:pPr>
          <w:hyperlink w:anchor="_Toc242459512" w:history="1">
            <w:r w:rsidRPr="004B24C7">
              <w:rPr>
                <w:rStyle w:val="Hyperlink"/>
                <w:rFonts w:ascii="Arial" w:hAnsi="Arial" w:cs="Arial"/>
                <w:b/>
                <w:bCs/>
                <w:noProof/>
              </w:rPr>
              <w:t>1. Introduction</w:t>
            </w:r>
            <w:r w:rsidRPr="004B24C7">
              <w:rPr>
                <w:rFonts w:ascii="Arial" w:hAnsi="Arial" w:cs="Arial"/>
                <w:b/>
                <w:bCs/>
                <w:noProof/>
                <w:webHidden/>
              </w:rPr>
              <w:tab/>
            </w:r>
            <w:r w:rsidRPr="004B24C7">
              <w:rPr>
                <w:rFonts w:ascii="Arial" w:hAnsi="Arial" w:cs="Arial"/>
                <w:b/>
                <w:bCs/>
                <w:noProof/>
                <w:webHidden/>
              </w:rPr>
              <w:fldChar w:fldCharType="begin"/>
            </w:r>
            <w:r w:rsidRPr="004B24C7">
              <w:rPr>
                <w:rFonts w:ascii="Arial" w:hAnsi="Arial" w:cs="Arial"/>
                <w:b/>
                <w:bCs/>
                <w:noProof/>
                <w:webHidden/>
              </w:rPr>
              <w:instrText xml:space="preserve"> PAGEREF _Toc242459512 \h </w:instrText>
            </w:r>
            <w:r w:rsidRPr="004B24C7">
              <w:rPr>
                <w:rFonts w:ascii="Arial" w:hAnsi="Arial" w:cs="Arial"/>
                <w:b/>
                <w:bCs/>
                <w:noProof/>
                <w:webHidden/>
              </w:rPr>
            </w:r>
            <w:r w:rsidRPr="004B24C7">
              <w:rPr>
                <w:rFonts w:ascii="Arial" w:hAnsi="Arial" w:cs="Arial"/>
                <w:b/>
                <w:bCs/>
                <w:noProof/>
                <w:webHidden/>
              </w:rPr>
              <w:fldChar w:fldCharType="separate"/>
            </w:r>
            <w:r w:rsidRPr="004B24C7">
              <w:rPr>
                <w:rFonts w:ascii="Arial" w:hAnsi="Arial" w:cs="Arial"/>
                <w:b/>
                <w:bCs/>
                <w:noProof/>
                <w:webHidden/>
              </w:rPr>
              <w:t>11</w:t>
            </w:r>
            <w:r w:rsidRPr="004B24C7">
              <w:rPr>
                <w:rFonts w:ascii="Arial" w:hAnsi="Arial" w:cs="Arial"/>
                <w:b/>
                <w:bCs/>
                <w:noProof/>
                <w:webHidden/>
              </w:rPr>
              <w:fldChar w:fldCharType="end"/>
            </w:r>
          </w:hyperlink>
        </w:p>
        <w:p w14:paraId="71FEB333" w14:textId="78FADEC5" w:rsidR="00911724" w:rsidRPr="004B24C7" w:rsidRDefault="00911724" w:rsidP="003812C9">
          <w:pPr>
            <w:pStyle w:val="TOC2"/>
            <w:rPr>
              <w:sz w:val="24"/>
              <w:szCs w:val="24"/>
              <w:lang w:val="en-PK" w:eastAsia="en-PK"/>
            </w:rPr>
          </w:pPr>
          <w:hyperlink w:anchor="_Toc242459513" w:history="1">
            <w:r w:rsidRPr="004B24C7">
              <w:rPr>
                <w:rStyle w:val="Hyperlink"/>
                <w:bCs/>
              </w:rPr>
              <w:t>1.1 Background and public health context</w:t>
            </w:r>
            <w:r w:rsidRPr="004B24C7">
              <w:rPr>
                <w:webHidden/>
              </w:rPr>
              <w:tab/>
            </w:r>
            <w:r w:rsidRPr="004B24C7">
              <w:rPr>
                <w:webHidden/>
              </w:rPr>
              <w:fldChar w:fldCharType="begin"/>
            </w:r>
            <w:r w:rsidRPr="004B24C7">
              <w:rPr>
                <w:webHidden/>
              </w:rPr>
              <w:instrText xml:space="preserve"> PAGEREF _Toc242459513 \h </w:instrText>
            </w:r>
            <w:r w:rsidRPr="004B24C7">
              <w:rPr>
                <w:webHidden/>
              </w:rPr>
            </w:r>
            <w:r w:rsidRPr="004B24C7">
              <w:rPr>
                <w:webHidden/>
              </w:rPr>
              <w:fldChar w:fldCharType="separate"/>
            </w:r>
            <w:r w:rsidRPr="004B24C7">
              <w:rPr>
                <w:webHidden/>
              </w:rPr>
              <w:t>11</w:t>
            </w:r>
            <w:r w:rsidRPr="004B24C7">
              <w:rPr>
                <w:webHidden/>
              </w:rPr>
              <w:fldChar w:fldCharType="end"/>
            </w:r>
          </w:hyperlink>
        </w:p>
        <w:p w14:paraId="532D8F7B" w14:textId="1A594302" w:rsidR="00911724" w:rsidRPr="004B24C7" w:rsidRDefault="00911724" w:rsidP="003812C9">
          <w:pPr>
            <w:pStyle w:val="TOC2"/>
            <w:rPr>
              <w:sz w:val="24"/>
              <w:szCs w:val="24"/>
              <w:lang w:val="en-PK" w:eastAsia="en-PK"/>
            </w:rPr>
          </w:pPr>
          <w:hyperlink w:anchor="_Toc242459514" w:history="1">
            <w:r w:rsidRPr="004B24C7">
              <w:rPr>
                <w:rStyle w:val="Hyperlink"/>
                <w:bCs/>
              </w:rPr>
              <w:t>1.2 Current knowledge and the value of qualitative evidence</w:t>
            </w:r>
            <w:r w:rsidRPr="004B24C7">
              <w:rPr>
                <w:webHidden/>
              </w:rPr>
              <w:tab/>
            </w:r>
            <w:r w:rsidRPr="004B24C7">
              <w:rPr>
                <w:webHidden/>
              </w:rPr>
              <w:fldChar w:fldCharType="begin"/>
            </w:r>
            <w:r w:rsidRPr="004B24C7">
              <w:rPr>
                <w:webHidden/>
              </w:rPr>
              <w:instrText xml:space="preserve"> PAGEREF _Toc242459514 \h </w:instrText>
            </w:r>
            <w:r w:rsidRPr="004B24C7">
              <w:rPr>
                <w:webHidden/>
              </w:rPr>
            </w:r>
            <w:r w:rsidRPr="004B24C7">
              <w:rPr>
                <w:webHidden/>
              </w:rPr>
              <w:fldChar w:fldCharType="separate"/>
            </w:r>
            <w:r w:rsidRPr="004B24C7">
              <w:rPr>
                <w:webHidden/>
              </w:rPr>
              <w:t>12</w:t>
            </w:r>
            <w:r w:rsidRPr="004B24C7">
              <w:rPr>
                <w:webHidden/>
              </w:rPr>
              <w:fldChar w:fldCharType="end"/>
            </w:r>
          </w:hyperlink>
        </w:p>
        <w:p w14:paraId="15E64784" w14:textId="72B8BC46" w:rsidR="00911724" w:rsidRPr="004B24C7" w:rsidRDefault="00911724" w:rsidP="003812C9">
          <w:pPr>
            <w:pStyle w:val="TOC2"/>
            <w:rPr>
              <w:sz w:val="24"/>
              <w:szCs w:val="24"/>
              <w:lang w:val="en-PK" w:eastAsia="en-PK"/>
            </w:rPr>
          </w:pPr>
          <w:hyperlink w:anchor="_Toc242459515" w:history="1">
            <w:r w:rsidRPr="004B24C7">
              <w:rPr>
                <w:rStyle w:val="Hyperlink"/>
                <w:bCs/>
              </w:rPr>
              <w:t>1.3 Research problem and rationale</w:t>
            </w:r>
            <w:r w:rsidRPr="004B24C7">
              <w:rPr>
                <w:webHidden/>
              </w:rPr>
              <w:tab/>
            </w:r>
            <w:r w:rsidRPr="004B24C7">
              <w:rPr>
                <w:webHidden/>
              </w:rPr>
              <w:fldChar w:fldCharType="begin"/>
            </w:r>
            <w:r w:rsidRPr="004B24C7">
              <w:rPr>
                <w:webHidden/>
              </w:rPr>
              <w:instrText xml:space="preserve"> PAGEREF _Toc242459515 \h </w:instrText>
            </w:r>
            <w:r w:rsidRPr="004B24C7">
              <w:rPr>
                <w:webHidden/>
              </w:rPr>
            </w:r>
            <w:r w:rsidRPr="004B24C7">
              <w:rPr>
                <w:webHidden/>
              </w:rPr>
              <w:fldChar w:fldCharType="separate"/>
            </w:r>
            <w:r w:rsidRPr="004B24C7">
              <w:rPr>
                <w:webHidden/>
              </w:rPr>
              <w:t>13</w:t>
            </w:r>
            <w:r w:rsidRPr="004B24C7">
              <w:rPr>
                <w:webHidden/>
              </w:rPr>
              <w:fldChar w:fldCharType="end"/>
            </w:r>
          </w:hyperlink>
        </w:p>
        <w:p w14:paraId="3E5240A9" w14:textId="25308A59" w:rsidR="00911724" w:rsidRPr="004B24C7" w:rsidRDefault="00911724" w:rsidP="003812C9">
          <w:pPr>
            <w:pStyle w:val="TOC2"/>
            <w:rPr>
              <w:sz w:val="24"/>
              <w:szCs w:val="24"/>
              <w:lang w:val="en-PK" w:eastAsia="en-PK"/>
            </w:rPr>
          </w:pPr>
          <w:hyperlink w:anchor="_Toc242459516" w:history="1">
            <w:r w:rsidRPr="004B24C7">
              <w:rPr>
                <w:rStyle w:val="Hyperlink"/>
                <w:bCs/>
              </w:rPr>
              <w:t>1.4 Aim, research question and objectives</w:t>
            </w:r>
            <w:r w:rsidRPr="004B24C7">
              <w:rPr>
                <w:webHidden/>
              </w:rPr>
              <w:tab/>
            </w:r>
            <w:r w:rsidRPr="004B24C7">
              <w:rPr>
                <w:webHidden/>
              </w:rPr>
              <w:fldChar w:fldCharType="begin"/>
            </w:r>
            <w:r w:rsidRPr="004B24C7">
              <w:rPr>
                <w:webHidden/>
              </w:rPr>
              <w:instrText xml:space="preserve"> PAGEREF _Toc242459516 \h </w:instrText>
            </w:r>
            <w:r w:rsidRPr="004B24C7">
              <w:rPr>
                <w:webHidden/>
              </w:rPr>
            </w:r>
            <w:r w:rsidRPr="004B24C7">
              <w:rPr>
                <w:webHidden/>
              </w:rPr>
              <w:fldChar w:fldCharType="separate"/>
            </w:r>
            <w:r w:rsidRPr="004B24C7">
              <w:rPr>
                <w:webHidden/>
              </w:rPr>
              <w:t>14</w:t>
            </w:r>
            <w:r w:rsidRPr="004B24C7">
              <w:rPr>
                <w:webHidden/>
              </w:rPr>
              <w:fldChar w:fldCharType="end"/>
            </w:r>
          </w:hyperlink>
        </w:p>
        <w:p w14:paraId="74876597" w14:textId="51E6BF7F" w:rsidR="00911724" w:rsidRPr="004B24C7" w:rsidRDefault="00911724" w:rsidP="003812C9">
          <w:pPr>
            <w:pStyle w:val="TOC2"/>
            <w:rPr>
              <w:sz w:val="24"/>
              <w:szCs w:val="24"/>
              <w:lang w:val="en-PK" w:eastAsia="en-PK"/>
            </w:rPr>
          </w:pPr>
          <w:hyperlink w:anchor="_Toc242459517" w:history="1">
            <w:r w:rsidRPr="004B24C7">
              <w:rPr>
                <w:rStyle w:val="Hyperlink"/>
                <w:bCs/>
              </w:rPr>
              <w:t>1.5 Scope and key definitions</w:t>
            </w:r>
            <w:r w:rsidRPr="004B24C7">
              <w:rPr>
                <w:webHidden/>
              </w:rPr>
              <w:tab/>
            </w:r>
            <w:r w:rsidRPr="004B24C7">
              <w:rPr>
                <w:webHidden/>
              </w:rPr>
              <w:fldChar w:fldCharType="begin"/>
            </w:r>
            <w:r w:rsidRPr="004B24C7">
              <w:rPr>
                <w:webHidden/>
              </w:rPr>
              <w:instrText xml:space="preserve"> PAGEREF _Toc242459517 \h </w:instrText>
            </w:r>
            <w:r w:rsidRPr="004B24C7">
              <w:rPr>
                <w:webHidden/>
              </w:rPr>
            </w:r>
            <w:r w:rsidRPr="004B24C7">
              <w:rPr>
                <w:webHidden/>
              </w:rPr>
              <w:fldChar w:fldCharType="separate"/>
            </w:r>
            <w:r w:rsidRPr="004B24C7">
              <w:rPr>
                <w:webHidden/>
              </w:rPr>
              <w:t>14</w:t>
            </w:r>
            <w:r w:rsidRPr="004B24C7">
              <w:rPr>
                <w:webHidden/>
              </w:rPr>
              <w:fldChar w:fldCharType="end"/>
            </w:r>
          </w:hyperlink>
        </w:p>
        <w:p w14:paraId="095135AA" w14:textId="5DAF01B8" w:rsidR="00911724" w:rsidRPr="004B24C7" w:rsidRDefault="00911724" w:rsidP="003812C9">
          <w:pPr>
            <w:pStyle w:val="TOC2"/>
            <w:rPr>
              <w:sz w:val="24"/>
              <w:szCs w:val="24"/>
              <w:lang w:val="en-PK" w:eastAsia="en-PK"/>
            </w:rPr>
          </w:pPr>
          <w:hyperlink w:anchor="_Toc242459518" w:history="1">
            <w:r w:rsidRPr="004B24C7">
              <w:rPr>
                <w:rStyle w:val="Hyperlink"/>
                <w:bCs/>
              </w:rPr>
              <w:t>1.6 Review status and dissertation structure</w:t>
            </w:r>
            <w:r w:rsidRPr="004B24C7">
              <w:rPr>
                <w:webHidden/>
              </w:rPr>
              <w:tab/>
            </w:r>
            <w:r w:rsidRPr="004B24C7">
              <w:rPr>
                <w:webHidden/>
              </w:rPr>
              <w:fldChar w:fldCharType="begin"/>
            </w:r>
            <w:r w:rsidRPr="004B24C7">
              <w:rPr>
                <w:webHidden/>
              </w:rPr>
              <w:instrText xml:space="preserve"> PAGEREF _Toc242459518 \h </w:instrText>
            </w:r>
            <w:r w:rsidRPr="004B24C7">
              <w:rPr>
                <w:webHidden/>
              </w:rPr>
            </w:r>
            <w:r w:rsidRPr="004B24C7">
              <w:rPr>
                <w:webHidden/>
              </w:rPr>
              <w:fldChar w:fldCharType="separate"/>
            </w:r>
            <w:r w:rsidRPr="004B24C7">
              <w:rPr>
                <w:webHidden/>
              </w:rPr>
              <w:t>15</w:t>
            </w:r>
            <w:r w:rsidRPr="004B24C7">
              <w:rPr>
                <w:webHidden/>
              </w:rPr>
              <w:fldChar w:fldCharType="end"/>
            </w:r>
          </w:hyperlink>
        </w:p>
        <w:p w14:paraId="0B846C24" w14:textId="7E55BE74" w:rsidR="00911724" w:rsidRPr="004B24C7" w:rsidRDefault="00911724" w:rsidP="003812C9">
          <w:pPr>
            <w:pStyle w:val="TOC2"/>
            <w:rPr>
              <w:sz w:val="24"/>
              <w:szCs w:val="24"/>
              <w:lang w:val="en-PK" w:eastAsia="en-PK"/>
            </w:rPr>
          </w:pPr>
          <w:hyperlink w:anchor="_Toc242459519" w:history="1">
            <w:r w:rsidRPr="004B24C7">
              <w:rPr>
                <w:rStyle w:val="Hyperlink"/>
                <w:bCs/>
              </w:rPr>
              <w:t>Summary</w:t>
            </w:r>
            <w:r w:rsidRPr="004B24C7">
              <w:rPr>
                <w:webHidden/>
              </w:rPr>
              <w:tab/>
            </w:r>
            <w:r w:rsidRPr="004B24C7">
              <w:rPr>
                <w:webHidden/>
              </w:rPr>
              <w:fldChar w:fldCharType="begin"/>
            </w:r>
            <w:r w:rsidRPr="004B24C7">
              <w:rPr>
                <w:webHidden/>
              </w:rPr>
              <w:instrText xml:space="preserve"> PAGEREF _Toc242459519 \h </w:instrText>
            </w:r>
            <w:r w:rsidRPr="004B24C7">
              <w:rPr>
                <w:webHidden/>
              </w:rPr>
            </w:r>
            <w:r w:rsidRPr="004B24C7">
              <w:rPr>
                <w:webHidden/>
              </w:rPr>
              <w:fldChar w:fldCharType="separate"/>
            </w:r>
            <w:r w:rsidRPr="004B24C7">
              <w:rPr>
                <w:webHidden/>
              </w:rPr>
              <w:t>16</w:t>
            </w:r>
            <w:r w:rsidRPr="004B24C7">
              <w:rPr>
                <w:webHidden/>
              </w:rPr>
              <w:fldChar w:fldCharType="end"/>
            </w:r>
          </w:hyperlink>
        </w:p>
        <w:p w14:paraId="72354916" w14:textId="631124FC" w:rsidR="00911724" w:rsidRPr="004B24C7" w:rsidRDefault="00911724">
          <w:pPr>
            <w:pStyle w:val="TOC1"/>
            <w:tabs>
              <w:tab w:val="right" w:leader="dot" w:pos="9016"/>
            </w:tabs>
            <w:rPr>
              <w:rFonts w:ascii="Arial" w:eastAsiaTheme="minorEastAsia" w:hAnsi="Arial" w:cs="Arial"/>
              <w:b/>
              <w:bCs/>
              <w:noProof/>
              <w:color w:val="auto"/>
              <w:szCs w:val="24"/>
              <w:lang w:val="en-PK" w:eastAsia="en-PK"/>
            </w:rPr>
          </w:pPr>
          <w:hyperlink w:anchor="_Toc242459520" w:history="1">
            <w:r w:rsidRPr="004B24C7">
              <w:rPr>
                <w:rStyle w:val="Hyperlink"/>
                <w:rFonts w:ascii="Arial" w:hAnsi="Arial" w:cs="Arial"/>
                <w:b/>
                <w:bCs/>
                <w:noProof/>
              </w:rPr>
              <w:t xml:space="preserve">2. Literature </w:t>
            </w:r>
            <w:r w:rsidR="00CE1E66">
              <w:rPr>
                <w:rStyle w:val="Hyperlink"/>
                <w:rFonts w:ascii="Arial" w:hAnsi="Arial" w:cs="Arial"/>
                <w:b/>
                <w:bCs/>
                <w:noProof/>
              </w:rPr>
              <w:t>review</w:t>
            </w:r>
            <w:r w:rsidRPr="004B24C7">
              <w:rPr>
                <w:rFonts w:ascii="Arial" w:hAnsi="Arial" w:cs="Arial"/>
                <w:b/>
                <w:bCs/>
                <w:noProof/>
                <w:webHidden/>
              </w:rPr>
              <w:tab/>
            </w:r>
            <w:r w:rsidRPr="004B24C7">
              <w:rPr>
                <w:rFonts w:ascii="Arial" w:hAnsi="Arial" w:cs="Arial"/>
                <w:b/>
                <w:bCs/>
                <w:noProof/>
                <w:webHidden/>
              </w:rPr>
              <w:fldChar w:fldCharType="begin"/>
            </w:r>
            <w:r w:rsidRPr="004B24C7">
              <w:rPr>
                <w:rFonts w:ascii="Arial" w:hAnsi="Arial" w:cs="Arial"/>
                <w:b/>
                <w:bCs/>
                <w:noProof/>
                <w:webHidden/>
              </w:rPr>
              <w:instrText xml:space="preserve"> PAGEREF _Toc242459520 \h </w:instrText>
            </w:r>
            <w:r w:rsidRPr="004B24C7">
              <w:rPr>
                <w:rFonts w:ascii="Arial" w:hAnsi="Arial" w:cs="Arial"/>
                <w:b/>
                <w:bCs/>
                <w:noProof/>
                <w:webHidden/>
              </w:rPr>
            </w:r>
            <w:r w:rsidRPr="004B24C7">
              <w:rPr>
                <w:rFonts w:ascii="Arial" w:hAnsi="Arial" w:cs="Arial"/>
                <w:b/>
                <w:bCs/>
                <w:noProof/>
                <w:webHidden/>
              </w:rPr>
              <w:fldChar w:fldCharType="separate"/>
            </w:r>
            <w:r w:rsidRPr="004B24C7">
              <w:rPr>
                <w:rFonts w:ascii="Arial" w:hAnsi="Arial" w:cs="Arial"/>
                <w:b/>
                <w:bCs/>
                <w:noProof/>
                <w:webHidden/>
              </w:rPr>
              <w:t>17</w:t>
            </w:r>
            <w:r w:rsidRPr="004B24C7">
              <w:rPr>
                <w:rFonts w:ascii="Arial" w:hAnsi="Arial" w:cs="Arial"/>
                <w:b/>
                <w:bCs/>
                <w:noProof/>
                <w:webHidden/>
              </w:rPr>
              <w:fldChar w:fldCharType="end"/>
            </w:r>
          </w:hyperlink>
        </w:p>
        <w:p w14:paraId="0141D10C" w14:textId="19C9A2C8" w:rsidR="00911724" w:rsidRPr="004B24C7" w:rsidRDefault="00911724" w:rsidP="003812C9">
          <w:pPr>
            <w:pStyle w:val="TOC2"/>
            <w:rPr>
              <w:sz w:val="24"/>
              <w:szCs w:val="24"/>
              <w:lang w:val="en-PK" w:eastAsia="en-PK"/>
            </w:rPr>
          </w:pPr>
          <w:hyperlink w:anchor="_Toc242459521" w:history="1">
            <w:r w:rsidRPr="004B24C7">
              <w:rPr>
                <w:rStyle w:val="Hyperlink"/>
                <w:bCs/>
              </w:rPr>
              <w:t>2.1 Purpose and organisation of the review</w:t>
            </w:r>
            <w:r w:rsidRPr="004B24C7">
              <w:rPr>
                <w:webHidden/>
              </w:rPr>
              <w:tab/>
            </w:r>
            <w:r w:rsidRPr="004B24C7">
              <w:rPr>
                <w:webHidden/>
              </w:rPr>
              <w:fldChar w:fldCharType="begin"/>
            </w:r>
            <w:r w:rsidRPr="004B24C7">
              <w:rPr>
                <w:webHidden/>
              </w:rPr>
              <w:instrText xml:space="preserve"> PAGEREF _Toc242459521 \h </w:instrText>
            </w:r>
            <w:r w:rsidRPr="004B24C7">
              <w:rPr>
                <w:webHidden/>
              </w:rPr>
            </w:r>
            <w:r w:rsidRPr="004B24C7">
              <w:rPr>
                <w:webHidden/>
              </w:rPr>
              <w:fldChar w:fldCharType="separate"/>
            </w:r>
            <w:r w:rsidRPr="004B24C7">
              <w:rPr>
                <w:webHidden/>
              </w:rPr>
              <w:t>17</w:t>
            </w:r>
            <w:r w:rsidRPr="004B24C7">
              <w:rPr>
                <w:webHidden/>
              </w:rPr>
              <w:fldChar w:fldCharType="end"/>
            </w:r>
          </w:hyperlink>
        </w:p>
        <w:p w14:paraId="54FD7D2B" w14:textId="490777E5" w:rsidR="00911724" w:rsidRPr="004B24C7" w:rsidRDefault="00911724" w:rsidP="003812C9">
          <w:pPr>
            <w:pStyle w:val="TOC2"/>
            <w:rPr>
              <w:sz w:val="24"/>
              <w:szCs w:val="24"/>
              <w:lang w:val="en-PK" w:eastAsia="en-PK"/>
            </w:rPr>
          </w:pPr>
          <w:hyperlink w:anchor="_Toc242459522" w:history="1">
            <w:r w:rsidRPr="004B24C7">
              <w:rPr>
                <w:rStyle w:val="Hyperlink"/>
                <w:bCs/>
              </w:rPr>
              <w:t>2.2 Young adulthood and changing responsibilities</w:t>
            </w:r>
            <w:r w:rsidRPr="004B24C7">
              <w:rPr>
                <w:webHidden/>
              </w:rPr>
              <w:tab/>
            </w:r>
            <w:r w:rsidRPr="004B24C7">
              <w:rPr>
                <w:webHidden/>
              </w:rPr>
              <w:fldChar w:fldCharType="begin"/>
            </w:r>
            <w:r w:rsidRPr="004B24C7">
              <w:rPr>
                <w:webHidden/>
              </w:rPr>
              <w:instrText xml:space="preserve"> PAGEREF _Toc242459522 \h </w:instrText>
            </w:r>
            <w:r w:rsidRPr="004B24C7">
              <w:rPr>
                <w:webHidden/>
              </w:rPr>
            </w:r>
            <w:r w:rsidRPr="004B24C7">
              <w:rPr>
                <w:webHidden/>
              </w:rPr>
              <w:fldChar w:fldCharType="separate"/>
            </w:r>
            <w:r w:rsidRPr="004B24C7">
              <w:rPr>
                <w:webHidden/>
              </w:rPr>
              <w:t>17</w:t>
            </w:r>
            <w:r w:rsidRPr="004B24C7">
              <w:rPr>
                <w:webHidden/>
              </w:rPr>
              <w:fldChar w:fldCharType="end"/>
            </w:r>
          </w:hyperlink>
        </w:p>
        <w:p w14:paraId="1BB7C33A" w14:textId="1D9ABA78" w:rsidR="00911724" w:rsidRPr="004B24C7" w:rsidRDefault="00911724" w:rsidP="003812C9">
          <w:pPr>
            <w:pStyle w:val="TOC2"/>
            <w:rPr>
              <w:sz w:val="24"/>
              <w:szCs w:val="24"/>
              <w:lang w:val="en-PK" w:eastAsia="en-PK"/>
            </w:rPr>
          </w:pPr>
          <w:hyperlink w:anchor="_Toc242459523" w:history="1">
            <w:r w:rsidRPr="004B24C7">
              <w:rPr>
                <w:rStyle w:val="Hyperlink"/>
                <w:bCs/>
              </w:rPr>
              <w:t>2.3 Food choices and practical opportunities</w:t>
            </w:r>
            <w:r w:rsidRPr="004B24C7">
              <w:rPr>
                <w:webHidden/>
              </w:rPr>
              <w:tab/>
            </w:r>
            <w:r w:rsidRPr="004B24C7">
              <w:rPr>
                <w:webHidden/>
              </w:rPr>
              <w:fldChar w:fldCharType="begin"/>
            </w:r>
            <w:r w:rsidRPr="004B24C7">
              <w:rPr>
                <w:webHidden/>
              </w:rPr>
              <w:instrText xml:space="preserve"> PAGEREF _Toc242459523 \h </w:instrText>
            </w:r>
            <w:r w:rsidRPr="004B24C7">
              <w:rPr>
                <w:webHidden/>
              </w:rPr>
            </w:r>
            <w:r w:rsidRPr="004B24C7">
              <w:rPr>
                <w:webHidden/>
              </w:rPr>
              <w:fldChar w:fldCharType="separate"/>
            </w:r>
            <w:r w:rsidRPr="004B24C7">
              <w:rPr>
                <w:webHidden/>
              </w:rPr>
              <w:t>19</w:t>
            </w:r>
            <w:r w:rsidRPr="004B24C7">
              <w:rPr>
                <w:webHidden/>
              </w:rPr>
              <w:fldChar w:fldCharType="end"/>
            </w:r>
          </w:hyperlink>
        </w:p>
        <w:p w14:paraId="73C93686" w14:textId="46195D63" w:rsidR="00911724" w:rsidRPr="004B24C7" w:rsidRDefault="00911724" w:rsidP="003812C9">
          <w:pPr>
            <w:pStyle w:val="TOC2"/>
            <w:rPr>
              <w:sz w:val="24"/>
              <w:szCs w:val="24"/>
              <w:lang w:val="en-PK" w:eastAsia="en-PK"/>
            </w:rPr>
          </w:pPr>
          <w:hyperlink w:anchor="_Toc242459524" w:history="1">
            <w:r w:rsidRPr="004B24C7">
              <w:rPr>
                <w:rStyle w:val="Hyperlink"/>
                <w:bCs/>
              </w:rPr>
              <w:t>2.4 Relationships, identity and social practices</w:t>
            </w:r>
            <w:r w:rsidRPr="004B24C7">
              <w:rPr>
                <w:webHidden/>
              </w:rPr>
              <w:tab/>
            </w:r>
            <w:r w:rsidRPr="004B24C7">
              <w:rPr>
                <w:webHidden/>
              </w:rPr>
              <w:fldChar w:fldCharType="begin"/>
            </w:r>
            <w:r w:rsidRPr="004B24C7">
              <w:rPr>
                <w:webHidden/>
              </w:rPr>
              <w:instrText xml:space="preserve"> PAGEREF _Toc242459524 \h </w:instrText>
            </w:r>
            <w:r w:rsidRPr="004B24C7">
              <w:rPr>
                <w:webHidden/>
              </w:rPr>
            </w:r>
            <w:r w:rsidRPr="004B24C7">
              <w:rPr>
                <w:webHidden/>
              </w:rPr>
              <w:fldChar w:fldCharType="separate"/>
            </w:r>
            <w:r w:rsidRPr="004B24C7">
              <w:rPr>
                <w:webHidden/>
              </w:rPr>
              <w:t>21</w:t>
            </w:r>
            <w:r w:rsidRPr="004B24C7">
              <w:rPr>
                <w:webHidden/>
              </w:rPr>
              <w:fldChar w:fldCharType="end"/>
            </w:r>
          </w:hyperlink>
        </w:p>
        <w:p w14:paraId="093DA433" w14:textId="381D591E" w:rsidR="00911724" w:rsidRPr="004B24C7" w:rsidRDefault="00911724" w:rsidP="003812C9">
          <w:pPr>
            <w:pStyle w:val="TOC2"/>
            <w:rPr>
              <w:sz w:val="24"/>
              <w:szCs w:val="24"/>
              <w:lang w:val="en-PK" w:eastAsia="en-PK"/>
            </w:rPr>
          </w:pPr>
          <w:hyperlink w:anchor="_Toc242459525" w:history="1">
            <w:r w:rsidRPr="004B24C7">
              <w:rPr>
                <w:rStyle w:val="Hyperlink"/>
                <w:bCs/>
              </w:rPr>
              <w:t>2.5 Physical activity, sleep and access</w:t>
            </w:r>
            <w:r w:rsidRPr="004B24C7">
              <w:rPr>
                <w:webHidden/>
              </w:rPr>
              <w:tab/>
            </w:r>
            <w:r w:rsidRPr="004B24C7">
              <w:rPr>
                <w:webHidden/>
              </w:rPr>
              <w:fldChar w:fldCharType="begin"/>
            </w:r>
            <w:r w:rsidRPr="004B24C7">
              <w:rPr>
                <w:webHidden/>
              </w:rPr>
              <w:instrText xml:space="preserve"> PAGEREF _Toc242459525 \h </w:instrText>
            </w:r>
            <w:r w:rsidRPr="004B24C7">
              <w:rPr>
                <w:webHidden/>
              </w:rPr>
            </w:r>
            <w:r w:rsidRPr="004B24C7">
              <w:rPr>
                <w:webHidden/>
              </w:rPr>
              <w:fldChar w:fldCharType="separate"/>
            </w:r>
            <w:r w:rsidRPr="004B24C7">
              <w:rPr>
                <w:webHidden/>
              </w:rPr>
              <w:t>22</w:t>
            </w:r>
            <w:r w:rsidRPr="004B24C7">
              <w:rPr>
                <w:webHidden/>
              </w:rPr>
              <w:fldChar w:fldCharType="end"/>
            </w:r>
          </w:hyperlink>
        </w:p>
        <w:p w14:paraId="1CD0F333" w14:textId="2573CFC1" w:rsidR="00911724" w:rsidRPr="004B24C7" w:rsidRDefault="00911724" w:rsidP="003812C9">
          <w:pPr>
            <w:pStyle w:val="TOC2"/>
            <w:rPr>
              <w:sz w:val="24"/>
              <w:szCs w:val="24"/>
              <w:lang w:val="en-PK" w:eastAsia="en-PK"/>
            </w:rPr>
          </w:pPr>
          <w:hyperlink w:anchor="_Toc242459526" w:history="1">
            <w:r w:rsidRPr="004B24C7">
              <w:rPr>
                <w:rStyle w:val="Hyperlink"/>
                <w:bCs/>
              </w:rPr>
              <w:t>2.6 Weight stigma, body image and responsibility</w:t>
            </w:r>
            <w:r w:rsidRPr="004B24C7">
              <w:rPr>
                <w:webHidden/>
              </w:rPr>
              <w:tab/>
            </w:r>
            <w:r w:rsidRPr="004B24C7">
              <w:rPr>
                <w:webHidden/>
              </w:rPr>
              <w:fldChar w:fldCharType="begin"/>
            </w:r>
            <w:r w:rsidRPr="004B24C7">
              <w:rPr>
                <w:webHidden/>
              </w:rPr>
              <w:instrText xml:space="preserve"> PAGEREF _Toc242459526 \h </w:instrText>
            </w:r>
            <w:r w:rsidRPr="004B24C7">
              <w:rPr>
                <w:webHidden/>
              </w:rPr>
            </w:r>
            <w:r w:rsidRPr="004B24C7">
              <w:rPr>
                <w:webHidden/>
              </w:rPr>
              <w:fldChar w:fldCharType="separate"/>
            </w:r>
            <w:r w:rsidRPr="004B24C7">
              <w:rPr>
                <w:webHidden/>
              </w:rPr>
              <w:t>23</w:t>
            </w:r>
            <w:r w:rsidRPr="004B24C7">
              <w:rPr>
                <w:webHidden/>
              </w:rPr>
              <w:fldChar w:fldCharType="end"/>
            </w:r>
          </w:hyperlink>
        </w:p>
        <w:p w14:paraId="170EA79F" w14:textId="03B02D96" w:rsidR="00911724" w:rsidRPr="004B24C7" w:rsidRDefault="00911724" w:rsidP="003812C9">
          <w:pPr>
            <w:pStyle w:val="TOC2"/>
            <w:rPr>
              <w:sz w:val="24"/>
              <w:szCs w:val="24"/>
              <w:lang w:val="en-PK" w:eastAsia="en-PK"/>
            </w:rPr>
          </w:pPr>
          <w:hyperlink w:anchor="_Toc242459527" w:history="1">
            <w:r w:rsidRPr="004B24C7">
              <w:rPr>
                <w:rStyle w:val="Hyperlink"/>
                <w:bCs/>
              </w:rPr>
              <w:t>2.7 Conceptual frameworks for behaviour and intervention acceptability</w:t>
            </w:r>
            <w:r w:rsidRPr="004B24C7">
              <w:rPr>
                <w:webHidden/>
              </w:rPr>
              <w:tab/>
            </w:r>
            <w:r w:rsidRPr="004B24C7">
              <w:rPr>
                <w:webHidden/>
              </w:rPr>
              <w:fldChar w:fldCharType="begin"/>
            </w:r>
            <w:r w:rsidRPr="004B24C7">
              <w:rPr>
                <w:webHidden/>
              </w:rPr>
              <w:instrText xml:space="preserve"> PAGEREF _Toc242459527 \h </w:instrText>
            </w:r>
            <w:r w:rsidRPr="004B24C7">
              <w:rPr>
                <w:webHidden/>
              </w:rPr>
            </w:r>
            <w:r w:rsidRPr="004B24C7">
              <w:rPr>
                <w:webHidden/>
              </w:rPr>
              <w:fldChar w:fldCharType="separate"/>
            </w:r>
            <w:r w:rsidRPr="004B24C7">
              <w:rPr>
                <w:webHidden/>
              </w:rPr>
              <w:t>24</w:t>
            </w:r>
            <w:r w:rsidRPr="004B24C7">
              <w:rPr>
                <w:webHidden/>
              </w:rPr>
              <w:fldChar w:fldCharType="end"/>
            </w:r>
          </w:hyperlink>
        </w:p>
        <w:p w14:paraId="28414C2A" w14:textId="392B0A28" w:rsidR="00911724" w:rsidRPr="004B24C7" w:rsidRDefault="00911724" w:rsidP="003812C9">
          <w:pPr>
            <w:pStyle w:val="TOC2"/>
            <w:rPr>
              <w:sz w:val="24"/>
              <w:szCs w:val="24"/>
              <w:lang w:val="en-PK" w:eastAsia="en-PK"/>
            </w:rPr>
          </w:pPr>
          <w:hyperlink w:anchor="_Toc242459528" w:history="1">
            <w:r w:rsidRPr="004B24C7">
              <w:rPr>
                <w:rStyle w:val="Hyperlink"/>
                <w:bCs/>
              </w:rPr>
              <w:t>2.8 Digital environments and intervention design</w:t>
            </w:r>
            <w:r w:rsidRPr="004B24C7">
              <w:rPr>
                <w:webHidden/>
              </w:rPr>
              <w:tab/>
            </w:r>
            <w:r w:rsidRPr="004B24C7">
              <w:rPr>
                <w:webHidden/>
              </w:rPr>
              <w:fldChar w:fldCharType="begin"/>
            </w:r>
            <w:r w:rsidRPr="004B24C7">
              <w:rPr>
                <w:webHidden/>
              </w:rPr>
              <w:instrText xml:space="preserve"> PAGEREF _Toc242459528 \h </w:instrText>
            </w:r>
            <w:r w:rsidRPr="004B24C7">
              <w:rPr>
                <w:webHidden/>
              </w:rPr>
            </w:r>
            <w:r w:rsidRPr="004B24C7">
              <w:rPr>
                <w:webHidden/>
              </w:rPr>
              <w:fldChar w:fldCharType="separate"/>
            </w:r>
            <w:r w:rsidRPr="004B24C7">
              <w:rPr>
                <w:webHidden/>
              </w:rPr>
              <w:t>26</w:t>
            </w:r>
            <w:r w:rsidRPr="004B24C7">
              <w:rPr>
                <w:webHidden/>
              </w:rPr>
              <w:fldChar w:fldCharType="end"/>
            </w:r>
          </w:hyperlink>
        </w:p>
        <w:p w14:paraId="6C13B315" w14:textId="5839ADD6" w:rsidR="00911724" w:rsidRPr="004B24C7" w:rsidRDefault="00911724" w:rsidP="003812C9">
          <w:pPr>
            <w:pStyle w:val="TOC2"/>
            <w:rPr>
              <w:sz w:val="24"/>
              <w:szCs w:val="24"/>
              <w:lang w:val="en-PK" w:eastAsia="en-PK"/>
            </w:rPr>
          </w:pPr>
          <w:hyperlink w:anchor="_Toc242459529" w:history="1">
            <w:r w:rsidRPr="004B24C7">
              <w:rPr>
                <w:rStyle w:val="Hyperlink"/>
                <w:bCs/>
              </w:rPr>
              <w:t>2.9 Inequalities and the limits of individual choice</w:t>
            </w:r>
            <w:r w:rsidRPr="004B24C7">
              <w:rPr>
                <w:webHidden/>
              </w:rPr>
              <w:tab/>
            </w:r>
            <w:r w:rsidRPr="004B24C7">
              <w:rPr>
                <w:webHidden/>
              </w:rPr>
              <w:fldChar w:fldCharType="begin"/>
            </w:r>
            <w:r w:rsidRPr="004B24C7">
              <w:rPr>
                <w:webHidden/>
              </w:rPr>
              <w:instrText xml:space="preserve"> PAGEREF _Toc242459529 \h </w:instrText>
            </w:r>
            <w:r w:rsidRPr="004B24C7">
              <w:rPr>
                <w:webHidden/>
              </w:rPr>
            </w:r>
            <w:r w:rsidRPr="004B24C7">
              <w:rPr>
                <w:webHidden/>
              </w:rPr>
              <w:fldChar w:fldCharType="separate"/>
            </w:r>
            <w:r w:rsidRPr="004B24C7">
              <w:rPr>
                <w:webHidden/>
              </w:rPr>
              <w:t>28</w:t>
            </w:r>
            <w:r w:rsidRPr="004B24C7">
              <w:rPr>
                <w:webHidden/>
              </w:rPr>
              <w:fldChar w:fldCharType="end"/>
            </w:r>
          </w:hyperlink>
        </w:p>
        <w:p w14:paraId="4ACA25F0" w14:textId="11D13FE2" w:rsidR="00911724" w:rsidRPr="004B24C7" w:rsidRDefault="00911724" w:rsidP="003812C9">
          <w:pPr>
            <w:pStyle w:val="TOC2"/>
            <w:rPr>
              <w:sz w:val="24"/>
              <w:szCs w:val="24"/>
              <w:lang w:val="en-PK" w:eastAsia="en-PK"/>
            </w:rPr>
          </w:pPr>
          <w:hyperlink w:anchor="_Toc242459530" w:history="1">
            <w:r w:rsidRPr="004B24C7">
              <w:rPr>
                <w:rStyle w:val="Hyperlink"/>
                <w:bCs/>
              </w:rPr>
              <w:t>2.10 Intervention experience</w:t>
            </w:r>
            <w:r w:rsidRPr="004B24C7">
              <w:rPr>
                <w:webHidden/>
              </w:rPr>
              <w:tab/>
            </w:r>
            <w:r w:rsidRPr="004B24C7">
              <w:rPr>
                <w:webHidden/>
              </w:rPr>
              <w:fldChar w:fldCharType="begin"/>
            </w:r>
            <w:r w:rsidRPr="004B24C7">
              <w:rPr>
                <w:webHidden/>
              </w:rPr>
              <w:instrText xml:space="preserve"> PAGEREF _Toc242459530 \h </w:instrText>
            </w:r>
            <w:r w:rsidRPr="004B24C7">
              <w:rPr>
                <w:webHidden/>
              </w:rPr>
            </w:r>
            <w:r w:rsidRPr="004B24C7">
              <w:rPr>
                <w:webHidden/>
              </w:rPr>
              <w:fldChar w:fldCharType="separate"/>
            </w:r>
            <w:r w:rsidRPr="004B24C7">
              <w:rPr>
                <w:webHidden/>
              </w:rPr>
              <w:t>28</w:t>
            </w:r>
            <w:r w:rsidRPr="004B24C7">
              <w:rPr>
                <w:webHidden/>
              </w:rPr>
              <w:fldChar w:fldCharType="end"/>
            </w:r>
          </w:hyperlink>
        </w:p>
        <w:p w14:paraId="481E4506" w14:textId="5E97C0FB" w:rsidR="00911724" w:rsidRPr="004B24C7" w:rsidRDefault="00911724" w:rsidP="003812C9">
          <w:pPr>
            <w:pStyle w:val="TOC2"/>
            <w:rPr>
              <w:sz w:val="24"/>
              <w:szCs w:val="24"/>
              <w:lang w:val="en-PK" w:eastAsia="en-PK"/>
            </w:rPr>
          </w:pPr>
          <w:hyperlink w:anchor="_Toc242459531" w:history="1">
            <w:r w:rsidRPr="004B24C7">
              <w:rPr>
                <w:rStyle w:val="Hyperlink"/>
                <w:bCs/>
              </w:rPr>
              <w:t>2.11 Evidence gaps and implications for this review</w:t>
            </w:r>
            <w:r w:rsidRPr="004B24C7">
              <w:rPr>
                <w:webHidden/>
              </w:rPr>
              <w:tab/>
            </w:r>
            <w:r w:rsidRPr="004B24C7">
              <w:rPr>
                <w:webHidden/>
              </w:rPr>
              <w:fldChar w:fldCharType="begin"/>
            </w:r>
            <w:r w:rsidRPr="004B24C7">
              <w:rPr>
                <w:webHidden/>
              </w:rPr>
              <w:instrText xml:space="preserve"> PAGEREF _Toc242459531 \h </w:instrText>
            </w:r>
            <w:r w:rsidRPr="004B24C7">
              <w:rPr>
                <w:webHidden/>
              </w:rPr>
            </w:r>
            <w:r w:rsidRPr="004B24C7">
              <w:rPr>
                <w:webHidden/>
              </w:rPr>
              <w:fldChar w:fldCharType="separate"/>
            </w:r>
            <w:r w:rsidRPr="004B24C7">
              <w:rPr>
                <w:webHidden/>
              </w:rPr>
              <w:t>29</w:t>
            </w:r>
            <w:r w:rsidRPr="004B24C7">
              <w:rPr>
                <w:webHidden/>
              </w:rPr>
              <w:fldChar w:fldCharType="end"/>
            </w:r>
          </w:hyperlink>
        </w:p>
        <w:p w14:paraId="4C4AD30B" w14:textId="07A51659" w:rsidR="00911724" w:rsidRPr="004B24C7" w:rsidRDefault="00911724" w:rsidP="003812C9">
          <w:pPr>
            <w:pStyle w:val="TOC2"/>
            <w:rPr>
              <w:sz w:val="24"/>
              <w:szCs w:val="24"/>
              <w:lang w:val="en-PK" w:eastAsia="en-PK"/>
            </w:rPr>
          </w:pPr>
          <w:hyperlink w:anchor="_Toc242459532" w:history="1">
            <w:r w:rsidRPr="004B24C7">
              <w:rPr>
                <w:rStyle w:val="Hyperlink"/>
              </w:rPr>
              <w:t>Summary</w:t>
            </w:r>
            <w:r w:rsidRPr="004B24C7">
              <w:rPr>
                <w:webHidden/>
              </w:rPr>
              <w:tab/>
            </w:r>
            <w:r w:rsidRPr="004B24C7">
              <w:rPr>
                <w:webHidden/>
              </w:rPr>
              <w:fldChar w:fldCharType="begin"/>
            </w:r>
            <w:r w:rsidRPr="004B24C7">
              <w:rPr>
                <w:webHidden/>
              </w:rPr>
              <w:instrText xml:space="preserve"> PAGEREF _Toc242459532 \h </w:instrText>
            </w:r>
            <w:r w:rsidRPr="004B24C7">
              <w:rPr>
                <w:webHidden/>
              </w:rPr>
            </w:r>
            <w:r w:rsidRPr="004B24C7">
              <w:rPr>
                <w:webHidden/>
              </w:rPr>
              <w:fldChar w:fldCharType="separate"/>
            </w:r>
            <w:r w:rsidRPr="004B24C7">
              <w:rPr>
                <w:webHidden/>
              </w:rPr>
              <w:t>30</w:t>
            </w:r>
            <w:r w:rsidRPr="004B24C7">
              <w:rPr>
                <w:webHidden/>
              </w:rPr>
              <w:fldChar w:fldCharType="end"/>
            </w:r>
          </w:hyperlink>
        </w:p>
        <w:p w14:paraId="6D8F1AFE" w14:textId="1C32691E" w:rsidR="00911724" w:rsidRPr="004B24C7" w:rsidRDefault="00911724">
          <w:pPr>
            <w:pStyle w:val="TOC1"/>
            <w:tabs>
              <w:tab w:val="right" w:leader="dot" w:pos="9016"/>
            </w:tabs>
            <w:rPr>
              <w:rFonts w:ascii="Arial" w:eastAsiaTheme="minorEastAsia" w:hAnsi="Arial" w:cs="Arial"/>
              <w:b/>
              <w:bCs/>
              <w:noProof/>
              <w:color w:val="auto"/>
              <w:szCs w:val="24"/>
              <w:lang w:val="en-PK" w:eastAsia="en-PK"/>
            </w:rPr>
          </w:pPr>
          <w:hyperlink w:anchor="_Toc242459533" w:history="1">
            <w:r w:rsidRPr="004B24C7">
              <w:rPr>
                <w:rStyle w:val="Hyperlink"/>
                <w:rFonts w:ascii="Arial" w:hAnsi="Arial" w:cs="Arial"/>
                <w:b/>
                <w:bCs/>
                <w:noProof/>
              </w:rPr>
              <w:t>3. Research methodology</w:t>
            </w:r>
            <w:r w:rsidRPr="004B24C7">
              <w:rPr>
                <w:rFonts w:ascii="Arial" w:hAnsi="Arial" w:cs="Arial"/>
                <w:b/>
                <w:bCs/>
                <w:noProof/>
                <w:webHidden/>
              </w:rPr>
              <w:tab/>
            </w:r>
            <w:r w:rsidRPr="004B24C7">
              <w:rPr>
                <w:rFonts w:ascii="Arial" w:hAnsi="Arial" w:cs="Arial"/>
                <w:b/>
                <w:bCs/>
                <w:noProof/>
                <w:webHidden/>
              </w:rPr>
              <w:fldChar w:fldCharType="begin"/>
            </w:r>
            <w:r w:rsidRPr="004B24C7">
              <w:rPr>
                <w:rFonts w:ascii="Arial" w:hAnsi="Arial" w:cs="Arial"/>
                <w:b/>
                <w:bCs/>
                <w:noProof/>
                <w:webHidden/>
              </w:rPr>
              <w:instrText xml:space="preserve"> PAGEREF _Toc242459533 \h </w:instrText>
            </w:r>
            <w:r w:rsidRPr="004B24C7">
              <w:rPr>
                <w:rFonts w:ascii="Arial" w:hAnsi="Arial" w:cs="Arial"/>
                <w:b/>
                <w:bCs/>
                <w:noProof/>
                <w:webHidden/>
              </w:rPr>
            </w:r>
            <w:r w:rsidRPr="004B24C7">
              <w:rPr>
                <w:rFonts w:ascii="Arial" w:hAnsi="Arial" w:cs="Arial"/>
                <w:b/>
                <w:bCs/>
                <w:noProof/>
                <w:webHidden/>
              </w:rPr>
              <w:fldChar w:fldCharType="separate"/>
            </w:r>
            <w:r w:rsidRPr="004B24C7">
              <w:rPr>
                <w:rFonts w:ascii="Arial" w:hAnsi="Arial" w:cs="Arial"/>
                <w:b/>
                <w:bCs/>
                <w:noProof/>
                <w:webHidden/>
              </w:rPr>
              <w:t>31</w:t>
            </w:r>
            <w:r w:rsidRPr="004B24C7">
              <w:rPr>
                <w:rFonts w:ascii="Arial" w:hAnsi="Arial" w:cs="Arial"/>
                <w:b/>
                <w:bCs/>
                <w:noProof/>
                <w:webHidden/>
              </w:rPr>
              <w:fldChar w:fldCharType="end"/>
            </w:r>
          </w:hyperlink>
        </w:p>
        <w:p w14:paraId="260B85D9" w14:textId="2FE58F4A" w:rsidR="00911724" w:rsidRPr="004B24C7" w:rsidRDefault="00911724" w:rsidP="003812C9">
          <w:pPr>
            <w:pStyle w:val="TOC2"/>
            <w:rPr>
              <w:sz w:val="24"/>
              <w:szCs w:val="24"/>
              <w:lang w:val="en-PK" w:eastAsia="en-PK"/>
            </w:rPr>
          </w:pPr>
          <w:hyperlink w:anchor="_Toc242459534" w:history="1">
            <w:r w:rsidRPr="004B24C7">
              <w:rPr>
                <w:rStyle w:val="Hyperlink"/>
                <w:bCs/>
              </w:rPr>
              <w:t>3.1 Review design and methodological position</w:t>
            </w:r>
            <w:r w:rsidRPr="004B24C7">
              <w:rPr>
                <w:webHidden/>
              </w:rPr>
              <w:tab/>
            </w:r>
            <w:r w:rsidRPr="004B24C7">
              <w:rPr>
                <w:webHidden/>
              </w:rPr>
              <w:fldChar w:fldCharType="begin"/>
            </w:r>
            <w:r w:rsidRPr="004B24C7">
              <w:rPr>
                <w:webHidden/>
              </w:rPr>
              <w:instrText xml:space="preserve"> PAGEREF _Toc242459534 \h </w:instrText>
            </w:r>
            <w:r w:rsidRPr="004B24C7">
              <w:rPr>
                <w:webHidden/>
              </w:rPr>
            </w:r>
            <w:r w:rsidRPr="004B24C7">
              <w:rPr>
                <w:webHidden/>
              </w:rPr>
              <w:fldChar w:fldCharType="separate"/>
            </w:r>
            <w:r w:rsidRPr="004B24C7">
              <w:rPr>
                <w:webHidden/>
              </w:rPr>
              <w:t>31</w:t>
            </w:r>
            <w:r w:rsidRPr="004B24C7">
              <w:rPr>
                <w:webHidden/>
              </w:rPr>
              <w:fldChar w:fldCharType="end"/>
            </w:r>
          </w:hyperlink>
        </w:p>
        <w:p w14:paraId="231AAE2D" w14:textId="45FD90E1" w:rsidR="00911724" w:rsidRPr="004B24C7" w:rsidRDefault="00911724" w:rsidP="003812C9">
          <w:pPr>
            <w:pStyle w:val="TOC2"/>
            <w:rPr>
              <w:sz w:val="24"/>
              <w:szCs w:val="24"/>
              <w:lang w:val="en-PK" w:eastAsia="en-PK"/>
            </w:rPr>
          </w:pPr>
          <w:hyperlink w:anchor="_Toc242459535" w:history="1">
            <w:r w:rsidRPr="004B24C7">
              <w:rPr>
                <w:rStyle w:val="Hyperlink"/>
                <w:bCs/>
              </w:rPr>
              <w:t>3.2 Research question and SPIDER</w:t>
            </w:r>
            <w:r w:rsidRPr="004B24C7">
              <w:rPr>
                <w:webHidden/>
              </w:rPr>
              <w:tab/>
            </w:r>
            <w:r w:rsidRPr="004B24C7">
              <w:rPr>
                <w:webHidden/>
              </w:rPr>
              <w:fldChar w:fldCharType="begin"/>
            </w:r>
            <w:r w:rsidRPr="004B24C7">
              <w:rPr>
                <w:webHidden/>
              </w:rPr>
              <w:instrText xml:space="preserve"> PAGEREF _Toc242459535 \h </w:instrText>
            </w:r>
            <w:r w:rsidRPr="004B24C7">
              <w:rPr>
                <w:webHidden/>
              </w:rPr>
            </w:r>
            <w:r w:rsidRPr="004B24C7">
              <w:rPr>
                <w:webHidden/>
              </w:rPr>
              <w:fldChar w:fldCharType="separate"/>
            </w:r>
            <w:r w:rsidRPr="004B24C7">
              <w:rPr>
                <w:webHidden/>
              </w:rPr>
              <w:t>32</w:t>
            </w:r>
            <w:r w:rsidRPr="004B24C7">
              <w:rPr>
                <w:webHidden/>
              </w:rPr>
              <w:fldChar w:fldCharType="end"/>
            </w:r>
          </w:hyperlink>
        </w:p>
        <w:p w14:paraId="5198ADBE" w14:textId="7E8EDEB0" w:rsidR="00911724" w:rsidRPr="004B24C7" w:rsidRDefault="00911724" w:rsidP="003812C9">
          <w:pPr>
            <w:pStyle w:val="TOC2"/>
            <w:rPr>
              <w:sz w:val="24"/>
              <w:szCs w:val="24"/>
              <w:lang w:val="en-PK" w:eastAsia="en-PK"/>
            </w:rPr>
          </w:pPr>
          <w:hyperlink w:anchor="_Toc242459536" w:history="1">
            <w:r w:rsidRPr="004B24C7">
              <w:rPr>
                <w:rStyle w:val="Hyperlink"/>
                <w:bCs/>
              </w:rPr>
              <w:t>3.3 Information sources and search period</w:t>
            </w:r>
            <w:r w:rsidRPr="004B24C7">
              <w:rPr>
                <w:webHidden/>
              </w:rPr>
              <w:tab/>
            </w:r>
            <w:r w:rsidRPr="004B24C7">
              <w:rPr>
                <w:webHidden/>
              </w:rPr>
              <w:fldChar w:fldCharType="begin"/>
            </w:r>
            <w:r w:rsidRPr="004B24C7">
              <w:rPr>
                <w:webHidden/>
              </w:rPr>
              <w:instrText xml:space="preserve"> PAGEREF _Toc242459536 \h </w:instrText>
            </w:r>
            <w:r w:rsidRPr="004B24C7">
              <w:rPr>
                <w:webHidden/>
              </w:rPr>
            </w:r>
            <w:r w:rsidRPr="004B24C7">
              <w:rPr>
                <w:webHidden/>
              </w:rPr>
              <w:fldChar w:fldCharType="separate"/>
            </w:r>
            <w:r w:rsidRPr="004B24C7">
              <w:rPr>
                <w:webHidden/>
              </w:rPr>
              <w:t>33</w:t>
            </w:r>
            <w:r w:rsidRPr="004B24C7">
              <w:rPr>
                <w:webHidden/>
              </w:rPr>
              <w:fldChar w:fldCharType="end"/>
            </w:r>
          </w:hyperlink>
        </w:p>
        <w:p w14:paraId="694E311B" w14:textId="4C505234" w:rsidR="00911724" w:rsidRPr="004B24C7" w:rsidRDefault="00911724" w:rsidP="003812C9">
          <w:pPr>
            <w:pStyle w:val="TOC2"/>
            <w:rPr>
              <w:sz w:val="24"/>
              <w:szCs w:val="24"/>
              <w:lang w:val="en-PK" w:eastAsia="en-PK"/>
            </w:rPr>
          </w:pPr>
          <w:hyperlink w:anchor="_Toc242459537" w:history="1">
            <w:r w:rsidRPr="004B24C7">
              <w:rPr>
                <w:rStyle w:val="Hyperlink"/>
                <w:bCs/>
              </w:rPr>
              <w:t>3.4 Search strategy and record management</w:t>
            </w:r>
            <w:r w:rsidRPr="004B24C7">
              <w:rPr>
                <w:webHidden/>
              </w:rPr>
              <w:tab/>
            </w:r>
            <w:r w:rsidRPr="004B24C7">
              <w:rPr>
                <w:webHidden/>
              </w:rPr>
              <w:fldChar w:fldCharType="begin"/>
            </w:r>
            <w:r w:rsidRPr="004B24C7">
              <w:rPr>
                <w:webHidden/>
              </w:rPr>
              <w:instrText xml:space="preserve"> PAGEREF _Toc242459537 \h </w:instrText>
            </w:r>
            <w:r w:rsidRPr="004B24C7">
              <w:rPr>
                <w:webHidden/>
              </w:rPr>
            </w:r>
            <w:r w:rsidRPr="004B24C7">
              <w:rPr>
                <w:webHidden/>
              </w:rPr>
              <w:fldChar w:fldCharType="separate"/>
            </w:r>
            <w:r w:rsidRPr="004B24C7">
              <w:rPr>
                <w:webHidden/>
              </w:rPr>
              <w:t>33</w:t>
            </w:r>
            <w:r w:rsidRPr="004B24C7">
              <w:rPr>
                <w:webHidden/>
              </w:rPr>
              <w:fldChar w:fldCharType="end"/>
            </w:r>
          </w:hyperlink>
        </w:p>
        <w:p w14:paraId="77BEC5E7" w14:textId="65E30164" w:rsidR="00911724" w:rsidRPr="004B24C7" w:rsidRDefault="00911724" w:rsidP="003812C9">
          <w:pPr>
            <w:pStyle w:val="TOC2"/>
            <w:rPr>
              <w:sz w:val="24"/>
              <w:szCs w:val="24"/>
              <w:lang w:val="en-PK" w:eastAsia="en-PK"/>
            </w:rPr>
          </w:pPr>
          <w:hyperlink w:anchor="_Toc242459538" w:history="1">
            <w:r w:rsidRPr="004B24C7">
              <w:rPr>
                <w:rStyle w:val="Hyperlink"/>
                <w:bCs/>
              </w:rPr>
              <w:t>3.5 Eligibility and the young-adult age approach</w:t>
            </w:r>
            <w:r w:rsidRPr="004B24C7">
              <w:rPr>
                <w:webHidden/>
              </w:rPr>
              <w:tab/>
            </w:r>
            <w:r w:rsidRPr="004B24C7">
              <w:rPr>
                <w:webHidden/>
              </w:rPr>
              <w:fldChar w:fldCharType="begin"/>
            </w:r>
            <w:r w:rsidRPr="004B24C7">
              <w:rPr>
                <w:webHidden/>
              </w:rPr>
              <w:instrText xml:space="preserve"> PAGEREF _Toc242459538 \h </w:instrText>
            </w:r>
            <w:r w:rsidRPr="004B24C7">
              <w:rPr>
                <w:webHidden/>
              </w:rPr>
            </w:r>
            <w:r w:rsidRPr="004B24C7">
              <w:rPr>
                <w:webHidden/>
              </w:rPr>
              <w:fldChar w:fldCharType="separate"/>
            </w:r>
            <w:r w:rsidRPr="004B24C7">
              <w:rPr>
                <w:webHidden/>
              </w:rPr>
              <w:t>35</w:t>
            </w:r>
            <w:r w:rsidRPr="004B24C7">
              <w:rPr>
                <w:webHidden/>
              </w:rPr>
              <w:fldChar w:fldCharType="end"/>
            </w:r>
          </w:hyperlink>
        </w:p>
        <w:p w14:paraId="6CBB1ABD" w14:textId="6E5C8E3A" w:rsidR="00911724" w:rsidRPr="004B24C7" w:rsidRDefault="00911724" w:rsidP="003812C9">
          <w:pPr>
            <w:pStyle w:val="TOC2"/>
            <w:rPr>
              <w:sz w:val="24"/>
              <w:szCs w:val="24"/>
              <w:lang w:val="en-PK" w:eastAsia="en-PK"/>
            </w:rPr>
          </w:pPr>
          <w:hyperlink w:anchor="_Toc242459539" w:history="1">
            <w:r w:rsidRPr="004B24C7">
              <w:rPr>
                <w:rStyle w:val="Hyperlink"/>
                <w:bCs/>
              </w:rPr>
              <w:t>3.6 Critical appraisal</w:t>
            </w:r>
            <w:r w:rsidRPr="004B24C7">
              <w:rPr>
                <w:webHidden/>
              </w:rPr>
              <w:tab/>
            </w:r>
            <w:r w:rsidRPr="004B24C7">
              <w:rPr>
                <w:webHidden/>
              </w:rPr>
              <w:fldChar w:fldCharType="begin"/>
            </w:r>
            <w:r w:rsidRPr="004B24C7">
              <w:rPr>
                <w:webHidden/>
              </w:rPr>
              <w:instrText xml:space="preserve"> PAGEREF _Toc242459539 \h </w:instrText>
            </w:r>
            <w:r w:rsidRPr="004B24C7">
              <w:rPr>
                <w:webHidden/>
              </w:rPr>
            </w:r>
            <w:r w:rsidRPr="004B24C7">
              <w:rPr>
                <w:webHidden/>
              </w:rPr>
              <w:fldChar w:fldCharType="separate"/>
            </w:r>
            <w:r w:rsidRPr="004B24C7">
              <w:rPr>
                <w:webHidden/>
              </w:rPr>
              <w:t>36</w:t>
            </w:r>
            <w:r w:rsidRPr="004B24C7">
              <w:rPr>
                <w:webHidden/>
              </w:rPr>
              <w:fldChar w:fldCharType="end"/>
            </w:r>
          </w:hyperlink>
        </w:p>
        <w:p w14:paraId="60FDAD2F" w14:textId="15E5CF98" w:rsidR="00911724" w:rsidRPr="004B24C7" w:rsidRDefault="00911724" w:rsidP="003812C9">
          <w:pPr>
            <w:pStyle w:val="TOC2"/>
            <w:rPr>
              <w:sz w:val="24"/>
              <w:szCs w:val="24"/>
              <w:lang w:val="en-PK" w:eastAsia="en-PK"/>
            </w:rPr>
          </w:pPr>
          <w:hyperlink w:anchor="_Toc242459540" w:history="1">
            <w:r w:rsidRPr="004B24C7">
              <w:rPr>
                <w:rStyle w:val="Hyperlink"/>
                <w:bCs/>
              </w:rPr>
              <w:t>3.7 Extraction and preservation of context</w:t>
            </w:r>
            <w:r w:rsidRPr="004B24C7">
              <w:rPr>
                <w:webHidden/>
              </w:rPr>
              <w:tab/>
            </w:r>
            <w:r w:rsidRPr="004B24C7">
              <w:rPr>
                <w:webHidden/>
              </w:rPr>
              <w:fldChar w:fldCharType="begin"/>
            </w:r>
            <w:r w:rsidRPr="004B24C7">
              <w:rPr>
                <w:webHidden/>
              </w:rPr>
              <w:instrText xml:space="preserve"> PAGEREF _Toc242459540 \h </w:instrText>
            </w:r>
            <w:r w:rsidRPr="004B24C7">
              <w:rPr>
                <w:webHidden/>
              </w:rPr>
            </w:r>
            <w:r w:rsidRPr="004B24C7">
              <w:rPr>
                <w:webHidden/>
              </w:rPr>
              <w:fldChar w:fldCharType="separate"/>
            </w:r>
            <w:r w:rsidRPr="004B24C7">
              <w:rPr>
                <w:webHidden/>
              </w:rPr>
              <w:t>36</w:t>
            </w:r>
            <w:r w:rsidRPr="004B24C7">
              <w:rPr>
                <w:webHidden/>
              </w:rPr>
              <w:fldChar w:fldCharType="end"/>
            </w:r>
          </w:hyperlink>
        </w:p>
        <w:p w14:paraId="7EE9CCE5" w14:textId="07DC522B" w:rsidR="00911724" w:rsidRPr="004B24C7" w:rsidRDefault="00911724" w:rsidP="003812C9">
          <w:pPr>
            <w:pStyle w:val="TOC2"/>
            <w:rPr>
              <w:sz w:val="24"/>
              <w:szCs w:val="24"/>
              <w:lang w:val="en-PK" w:eastAsia="en-PK"/>
            </w:rPr>
          </w:pPr>
          <w:hyperlink w:anchor="_Toc242459541" w:history="1">
            <w:r w:rsidRPr="004B24C7">
              <w:rPr>
                <w:rStyle w:val="Hyperlink"/>
                <w:bCs/>
              </w:rPr>
              <w:t>3.8 What thematic analysis means in this review</w:t>
            </w:r>
            <w:r w:rsidRPr="004B24C7">
              <w:rPr>
                <w:webHidden/>
              </w:rPr>
              <w:tab/>
            </w:r>
            <w:r w:rsidRPr="004B24C7">
              <w:rPr>
                <w:webHidden/>
              </w:rPr>
              <w:fldChar w:fldCharType="begin"/>
            </w:r>
            <w:r w:rsidRPr="004B24C7">
              <w:rPr>
                <w:webHidden/>
              </w:rPr>
              <w:instrText xml:space="preserve"> PAGEREF _Toc242459541 \h </w:instrText>
            </w:r>
            <w:r w:rsidRPr="004B24C7">
              <w:rPr>
                <w:webHidden/>
              </w:rPr>
            </w:r>
            <w:r w:rsidRPr="004B24C7">
              <w:rPr>
                <w:webHidden/>
              </w:rPr>
              <w:fldChar w:fldCharType="separate"/>
            </w:r>
            <w:r w:rsidRPr="004B24C7">
              <w:rPr>
                <w:webHidden/>
              </w:rPr>
              <w:t>37</w:t>
            </w:r>
            <w:r w:rsidRPr="004B24C7">
              <w:rPr>
                <w:webHidden/>
              </w:rPr>
              <w:fldChar w:fldCharType="end"/>
            </w:r>
          </w:hyperlink>
        </w:p>
        <w:p w14:paraId="6A6671D0" w14:textId="49433830" w:rsidR="00911724" w:rsidRPr="004B24C7" w:rsidRDefault="00911724" w:rsidP="003812C9">
          <w:pPr>
            <w:pStyle w:val="TOC2"/>
            <w:rPr>
              <w:sz w:val="24"/>
              <w:szCs w:val="24"/>
              <w:lang w:val="en-PK" w:eastAsia="en-PK"/>
            </w:rPr>
          </w:pPr>
          <w:hyperlink w:anchor="_Toc242459542" w:history="1">
            <w:r w:rsidRPr="004B24C7">
              <w:rPr>
                <w:rStyle w:val="Hyperlink"/>
                <w:bCs/>
              </w:rPr>
              <w:t>3.9 Interpretation, reflexivity and trustworthiness</w:t>
            </w:r>
            <w:r w:rsidRPr="004B24C7">
              <w:rPr>
                <w:webHidden/>
              </w:rPr>
              <w:tab/>
            </w:r>
            <w:r w:rsidRPr="004B24C7">
              <w:rPr>
                <w:webHidden/>
              </w:rPr>
              <w:fldChar w:fldCharType="begin"/>
            </w:r>
            <w:r w:rsidRPr="004B24C7">
              <w:rPr>
                <w:webHidden/>
              </w:rPr>
              <w:instrText xml:space="preserve"> PAGEREF _Toc242459542 \h </w:instrText>
            </w:r>
            <w:r w:rsidRPr="004B24C7">
              <w:rPr>
                <w:webHidden/>
              </w:rPr>
            </w:r>
            <w:r w:rsidRPr="004B24C7">
              <w:rPr>
                <w:webHidden/>
              </w:rPr>
              <w:fldChar w:fldCharType="separate"/>
            </w:r>
            <w:r w:rsidRPr="004B24C7">
              <w:rPr>
                <w:webHidden/>
              </w:rPr>
              <w:t>39</w:t>
            </w:r>
            <w:r w:rsidRPr="004B24C7">
              <w:rPr>
                <w:webHidden/>
              </w:rPr>
              <w:fldChar w:fldCharType="end"/>
            </w:r>
          </w:hyperlink>
        </w:p>
        <w:p w14:paraId="772925E1" w14:textId="58E6EF0D" w:rsidR="00911724" w:rsidRPr="004B24C7" w:rsidRDefault="00911724" w:rsidP="003812C9">
          <w:pPr>
            <w:pStyle w:val="TOC2"/>
            <w:rPr>
              <w:sz w:val="24"/>
              <w:szCs w:val="24"/>
              <w:lang w:val="en-PK" w:eastAsia="en-PK"/>
            </w:rPr>
          </w:pPr>
          <w:hyperlink w:anchor="_Toc242459543" w:history="1">
            <w:r w:rsidRPr="004B24C7">
              <w:rPr>
                <w:rStyle w:val="Hyperlink"/>
                <w:bCs/>
              </w:rPr>
              <w:t>3.10 Ethics and methodological limitations</w:t>
            </w:r>
            <w:r w:rsidRPr="004B24C7">
              <w:rPr>
                <w:webHidden/>
              </w:rPr>
              <w:tab/>
            </w:r>
            <w:r w:rsidRPr="004B24C7">
              <w:rPr>
                <w:webHidden/>
              </w:rPr>
              <w:fldChar w:fldCharType="begin"/>
            </w:r>
            <w:r w:rsidRPr="004B24C7">
              <w:rPr>
                <w:webHidden/>
              </w:rPr>
              <w:instrText xml:space="preserve"> PAGEREF _Toc242459543 \h </w:instrText>
            </w:r>
            <w:r w:rsidRPr="004B24C7">
              <w:rPr>
                <w:webHidden/>
              </w:rPr>
            </w:r>
            <w:r w:rsidRPr="004B24C7">
              <w:rPr>
                <w:webHidden/>
              </w:rPr>
              <w:fldChar w:fldCharType="separate"/>
            </w:r>
            <w:r w:rsidRPr="004B24C7">
              <w:rPr>
                <w:webHidden/>
              </w:rPr>
              <w:t>39</w:t>
            </w:r>
            <w:r w:rsidRPr="004B24C7">
              <w:rPr>
                <w:webHidden/>
              </w:rPr>
              <w:fldChar w:fldCharType="end"/>
            </w:r>
          </w:hyperlink>
        </w:p>
        <w:p w14:paraId="009F2978" w14:textId="3F585FEF" w:rsidR="00911724" w:rsidRPr="004B24C7" w:rsidRDefault="00911724" w:rsidP="003812C9">
          <w:pPr>
            <w:pStyle w:val="TOC2"/>
            <w:rPr>
              <w:sz w:val="24"/>
              <w:szCs w:val="24"/>
              <w:lang w:val="en-PK" w:eastAsia="en-PK"/>
            </w:rPr>
          </w:pPr>
          <w:hyperlink w:anchor="_Toc242459544" w:history="1">
            <w:r w:rsidRPr="004B24C7">
              <w:rPr>
                <w:rStyle w:val="Hyperlink"/>
              </w:rPr>
              <w:t>Summary</w:t>
            </w:r>
            <w:r w:rsidRPr="004B24C7">
              <w:rPr>
                <w:webHidden/>
              </w:rPr>
              <w:tab/>
            </w:r>
            <w:r w:rsidRPr="004B24C7">
              <w:rPr>
                <w:webHidden/>
              </w:rPr>
              <w:fldChar w:fldCharType="begin"/>
            </w:r>
            <w:r w:rsidRPr="004B24C7">
              <w:rPr>
                <w:webHidden/>
              </w:rPr>
              <w:instrText xml:space="preserve"> PAGEREF _Toc242459544 \h </w:instrText>
            </w:r>
            <w:r w:rsidRPr="004B24C7">
              <w:rPr>
                <w:webHidden/>
              </w:rPr>
            </w:r>
            <w:r w:rsidRPr="004B24C7">
              <w:rPr>
                <w:webHidden/>
              </w:rPr>
              <w:fldChar w:fldCharType="separate"/>
            </w:r>
            <w:r w:rsidRPr="004B24C7">
              <w:rPr>
                <w:webHidden/>
              </w:rPr>
              <w:t>40</w:t>
            </w:r>
            <w:r w:rsidRPr="004B24C7">
              <w:rPr>
                <w:webHidden/>
              </w:rPr>
              <w:fldChar w:fldCharType="end"/>
            </w:r>
          </w:hyperlink>
        </w:p>
        <w:p w14:paraId="75069677" w14:textId="0D87C79C" w:rsidR="00911724" w:rsidRPr="004B24C7" w:rsidRDefault="00911724">
          <w:pPr>
            <w:pStyle w:val="TOC1"/>
            <w:tabs>
              <w:tab w:val="right" w:leader="dot" w:pos="9016"/>
            </w:tabs>
            <w:rPr>
              <w:rFonts w:ascii="Arial" w:eastAsiaTheme="minorEastAsia" w:hAnsi="Arial" w:cs="Arial"/>
              <w:b/>
              <w:bCs/>
              <w:noProof/>
              <w:color w:val="auto"/>
              <w:szCs w:val="24"/>
              <w:lang w:val="en-PK" w:eastAsia="en-PK"/>
            </w:rPr>
          </w:pPr>
          <w:hyperlink w:anchor="_Toc242459545" w:history="1">
            <w:r w:rsidRPr="004B24C7">
              <w:rPr>
                <w:rStyle w:val="Hyperlink"/>
                <w:rFonts w:ascii="Arial" w:hAnsi="Arial" w:cs="Arial"/>
                <w:b/>
                <w:bCs/>
                <w:noProof/>
              </w:rPr>
              <w:t>4. Results</w:t>
            </w:r>
            <w:r w:rsidRPr="004B24C7">
              <w:rPr>
                <w:rFonts w:ascii="Arial" w:hAnsi="Arial" w:cs="Arial"/>
                <w:b/>
                <w:bCs/>
                <w:noProof/>
                <w:webHidden/>
              </w:rPr>
              <w:tab/>
            </w:r>
            <w:r w:rsidRPr="004B24C7">
              <w:rPr>
                <w:rFonts w:ascii="Arial" w:hAnsi="Arial" w:cs="Arial"/>
                <w:b/>
                <w:bCs/>
                <w:noProof/>
                <w:webHidden/>
              </w:rPr>
              <w:fldChar w:fldCharType="begin"/>
            </w:r>
            <w:r w:rsidRPr="004B24C7">
              <w:rPr>
                <w:rFonts w:ascii="Arial" w:hAnsi="Arial" w:cs="Arial"/>
                <w:b/>
                <w:bCs/>
                <w:noProof/>
                <w:webHidden/>
              </w:rPr>
              <w:instrText xml:space="preserve"> PAGEREF _Toc242459545 \h </w:instrText>
            </w:r>
            <w:r w:rsidRPr="004B24C7">
              <w:rPr>
                <w:rFonts w:ascii="Arial" w:hAnsi="Arial" w:cs="Arial"/>
                <w:b/>
                <w:bCs/>
                <w:noProof/>
                <w:webHidden/>
              </w:rPr>
            </w:r>
            <w:r w:rsidRPr="004B24C7">
              <w:rPr>
                <w:rFonts w:ascii="Arial" w:hAnsi="Arial" w:cs="Arial"/>
                <w:b/>
                <w:bCs/>
                <w:noProof/>
                <w:webHidden/>
              </w:rPr>
              <w:fldChar w:fldCharType="separate"/>
            </w:r>
            <w:r w:rsidRPr="004B24C7">
              <w:rPr>
                <w:rFonts w:ascii="Arial" w:hAnsi="Arial" w:cs="Arial"/>
                <w:b/>
                <w:bCs/>
                <w:noProof/>
                <w:webHidden/>
              </w:rPr>
              <w:t>41</w:t>
            </w:r>
            <w:r w:rsidRPr="004B24C7">
              <w:rPr>
                <w:rFonts w:ascii="Arial" w:hAnsi="Arial" w:cs="Arial"/>
                <w:b/>
                <w:bCs/>
                <w:noProof/>
                <w:webHidden/>
              </w:rPr>
              <w:fldChar w:fldCharType="end"/>
            </w:r>
          </w:hyperlink>
        </w:p>
        <w:p w14:paraId="18C74414" w14:textId="29DCB8C5" w:rsidR="00911724" w:rsidRPr="004B24C7" w:rsidRDefault="00911724" w:rsidP="003812C9">
          <w:pPr>
            <w:pStyle w:val="TOC2"/>
            <w:rPr>
              <w:sz w:val="24"/>
              <w:szCs w:val="24"/>
              <w:lang w:val="en-PK" w:eastAsia="en-PK"/>
            </w:rPr>
          </w:pPr>
          <w:hyperlink w:anchor="_Toc242459546" w:history="1">
            <w:r w:rsidRPr="004B24C7">
              <w:rPr>
                <w:rStyle w:val="Hyperlink"/>
                <w:bCs/>
              </w:rPr>
              <w:t>4.1 Selection and evidence base</w:t>
            </w:r>
            <w:r w:rsidRPr="004B24C7">
              <w:rPr>
                <w:webHidden/>
              </w:rPr>
              <w:tab/>
            </w:r>
            <w:r w:rsidRPr="004B24C7">
              <w:rPr>
                <w:webHidden/>
              </w:rPr>
              <w:fldChar w:fldCharType="begin"/>
            </w:r>
            <w:r w:rsidRPr="004B24C7">
              <w:rPr>
                <w:webHidden/>
              </w:rPr>
              <w:instrText xml:space="preserve"> PAGEREF _Toc242459546 \h </w:instrText>
            </w:r>
            <w:r w:rsidRPr="004B24C7">
              <w:rPr>
                <w:webHidden/>
              </w:rPr>
            </w:r>
            <w:r w:rsidRPr="004B24C7">
              <w:rPr>
                <w:webHidden/>
              </w:rPr>
              <w:fldChar w:fldCharType="separate"/>
            </w:r>
            <w:r w:rsidRPr="004B24C7">
              <w:rPr>
                <w:webHidden/>
              </w:rPr>
              <w:t>41</w:t>
            </w:r>
            <w:r w:rsidRPr="004B24C7">
              <w:rPr>
                <w:webHidden/>
              </w:rPr>
              <w:fldChar w:fldCharType="end"/>
            </w:r>
          </w:hyperlink>
        </w:p>
        <w:p w14:paraId="2F8B610C" w14:textId="5B74FCD6" w:rsidR="00911724" w:rsidRPr="004B24C7" w:rsidRDefault="00911724" w:rsidP="003812C9">
          <w:pPr>
            <w:pStyle w:val="TOC2"/>
            <w:rPr>
              <w:sz w:val="24"/>
              <w:szCs w:val="24"/>
              <w:lang w:val="en-PK" w:eastAsia="en-PK"/>
            </w:rPr>
          </w:pPr>
          <w:hyperlink w:anchor="_Toc242459547" w:history="1">
            <w:r w:rsidRPr="004B24C7">
              <w:rPr>
                <w:rStyle w:val="Hyperlink"/>
                <w:bCs/>
              </w:rPr>
              <w:t>4.2 Study characteristics and extraction boundaries</w:t>
            </w:r>
            <w:r w:rsidRPr="004B24C7">
              <w:rPr>
                <w:webHidden/>
              </w:rPr>
              <w:tab/>
            </w:r>
            <w:r w:rsidRPr="004B24C7">
              <w:rPr>
                <w:webHidden/>
              </w:rPr>
              <w:fldChar w:fldCharType="begin"/>
            </w:r>
            <w:r w:rsidRPr="004B24C7">
              <w:rPr>
                <w:webHidden/>
              </w:rPr>
              <w:instrText xml:space="preserve"> PAGEREF _Toc242459547 \h </w:instrText>
            </w:r>
            <w:r w:rsidRPr="004B24C7">
              <w:rPr>
                <w:webHidden/>
              </w:rPr>
            </w:r>
            <w:r w:rsidRPr="004B24C7">
              <w:rPr>
                <w:webHidden/>
              </w:rPr>
              <w:fldChar w:fldCharType="separate"/>
            </w:r>
            <w:r w:rsidRPr="004B24C7">
              <w:rPr>
                <w:webHidden/>
              </w:rPr>
              <w:t>43</w:t>
            </w:r>
            <w:r w:rsidRPr="004B24C7">
              <w:rPr>
                <w:webHidden/>
              </w:rPr>
              <w:fldChar w:fldCharType="end"/>
            </w:r>
          </w:hyperlink>
        </w:p>
        <w:p w14:paraId="1116E287" w14:textId="55ACA744" w:rsidR="00911724" w:rsidRPr="004B24C7" w:rsidRDefault="00911724" w:rsidP="003812C9">
          <w:pPr>
            <w:pStyle w:val="TOC2"/>
            <w:rPr>
              <w:sz w:val="24"/>
              <w:szCs w:val="24"/>
              <w:lang w:val="en-PK" w:eastAsia="en-PK"/>
            </w:rPr>
          </w:pPr>
          <w:hyperlink w:anchor="_Toc242459548" w:history="1">
            <w:r w:rsidRPr="004B24C7">
              <w:rPr>
                <w:rStyle w:val="Hyperlink"/>
                <w:bCs/>
              </w:rPr>
              <w:t>4.3 CASP appraisal</w:t>
            </w:r>
            <w:r w:rsidRPr="004B24C7">
              <w:rPr>
                <w:webHidden/>
              </w:rPr>
              <w:tab/>
            </w:r>
            <w:r w:rsidRPr="004B24C7">
              <w:rPr>
                <w:webHidden/>
              </w:rPr>
              <w:fldChar w:fldCharType="begin"/>
            </w:r>
            <w:r w:rsidRPr="004B24C7">
              <w:rPr>
                <w:webHidden/>
              </w:rPr>
              <w:instrText xml:space="preserve"> PAGEREF _Toc242459548 \h </w:instrText>
            </w:r>
            <w:r w:rsidRPr="004B24C7">
              <w:rPr>
                <w:webHidden/>
              </w:rPr>
            </w:r>
            <w:r w:rsidRPr="004B24C7">
              <w:rPr>
                <w:webHidden/>
              </w:rPr>
              <w:fldChar w:fldCharType="separate"/>
            </w:r>
            <w:r w:rsidRPr="004B24C7">
              <w:rPr>
                <w:webHidden/>
              </w:rPr>
              <w:t>45</w:t>
            </w:r>
            <w:r w:rsidRPr="004B24C7">
              <w:rPr>
                <w:webHidden/>
              </w:rPr>
              <w:fldChar w:fldCharType="end"/>
            </w:r>
          </w:hyperlink>
        </w:p>
        <w:p w14:paraId="35FD0E5D" w14:textId="34E74F5F" w:rsidR="00911724" w:rsidRPr="004B24C7" w:rsidRDefault="00911724" w:rsidP="003812C9">
          <w:pPr>
            <w:pStyle w:val="TOC2"/>
            <w:rPr>
              <w:sz w:val="24"/>
              <w:szCs w:val="24"/>
              <w:lang w:val="en-PK" w:eastAsia="en-PK"/>
            </w:rPr>
          </w:pPr>
          <w:hyperlink w:anchor="_Toc242459549" w:history="1">
            <w:r w:rsidRPr="004B24C7">
              <w:rPr>
                <w:rStyle w:val="Hyperlink"/>
                <w:bCs/>
              </w:rPr>
              <w:t>4.4 Theme 1: Changing priorities within adult transitions</w:t>
            </w:r>
            <w:r w:rsidRPr="004B24C7">
              <w:rPr>
                <w:webHidden/>
              </w:rPr>
              <w:tab/>
            </w:r>
            <w:r w:rsidRPr="004B24C7">
              <w:rPr>
                <w:webHidden/>
              </w:rPr>
              <w:fldChar w:fldCharType="begin"/>
            </w:r>
            <w:r w:rsidRPr="004B24C7">
              <w:rPr>
                <w:webHidden/>
              </w:rPr>
              <w:instrText xml:space="preserve"> PAGEREF _Toc242459549 \h </w:instrText>
            </w:r>
            <w:r w:rsidRPr="004B24C7">
              <w:rPr>
                <w:webHidden/>
              </w:rPr>
            </w:r>
            <w:r w:rsidRPr="004B24C7">
              <w:rPr>
                <w:webHidden/>
              </w:rPr>
              <w:fldChar w:fldCharType="separate"/>
            </w:r>
            <w:r w:rsidRPr="004B24C7">
              <w:rPr>
                <w:webHidden/>
              </w:rPr>
              <w:t>47</w:t>
            </w:r>
            <w:r w:rsidRPr="004B24C7">
              <w:rPr>
                <w:webHidden/>
              </w:rPr>
              <w:fldChar w:fldCharType="end"/>
            </w:r>
          </w:hyperlink>
        </w:p>
        <w:p w14:paraId="481CDDE7" w14:textId="3A6D04A0" w:rsidR="00911724" w:rsidRPr="004B24C7" w:rsidRDefault="00911724" w:rsidP="003812C9">
          <w:pPr>
            <w:pStyle w:val="TOC2"/>
            <w:rPr>
              <w:sz w:val="24"/>
              <w:szCs w:val="24"/>
              <w:lang w:val="en-PK" w:eastAsia="en-PK"/>
            </w:rPr>
          </w:pPr>
          <w:hyperlink w:anchor="_Toc242459550" w:history="1">
            <w:r w:rsidRPr="004B24C7">
              <w:rPr>
                <w:rStyle w:val="Hyperlink"/>
                <w:bCs/>
              </w:rPr>
              <w:t>4.5 Theme 2: Practical feasibility and linked routines</w:t>
            </w:r>
            <w:r w:rsidRPr="004B24C7">
              <w:rPr>
                <w:webHidden/>
              </w:rPr>
              <w:tab/>
            </w:r>
            <w:r w:rsidRPr="004B24C7">
              <w:rPr>
                <w:webHidden/>
              </w:rPr>
              <w:fldChar w:fldCharType="begin"/>
            </w:r>
            <w:r w:rsidRPr="004B24C7">
              <w:rPr>
                <w:webHidden/>
              </w:rPr>
              <w:instrText xml:space="preserve"> PAGEREF _Toc242459550 \h </w:instrText>
            </w:r>
            <w:r w:rsidRPr="004B24C7">
              <w:rPr>
                <w:webHidden/>
              </w:rPr>
            </w:r>
            <w:r w:rsidRPr="004B24C7">
              <w:rPr>
                <w:webHidden/>
              </w:rPr>
              <w:fldChar w:fldCharType="separate"/>
            </w:r>
            <w:r w:rsidRPr="004B24C7">
              <w:rPr>
                <w:webHidden/>
              </w:rPr>
              <w:t>47</w:t>
            </w:r>
            <w:r w:rsidRPr="004B24C7">
              <w:rPr>
                <w:webHidden/>
              </w:rPr>
              <w:fldChar w:fldCharType="end"/>
            </w:r>
          </w:hyperlink>
        </w:p>
        <w:p w14:paraId="1679B1C6" w14:textId="44F53179" w:rsidR="00911724" w:rsidRPr="004B24C7" w:rsidRDefault="00911724" w:rsidP="003812C9">
          <w:pPr>
            <w:pStyle w:val="TOC2"/>
            <w:rPr>
              <w:sz w:val="24"/>
              <w:szCs w:val="24"/>
              <w:lang w:val="en-PK" w:eastAsia="en-PK"/>
            </w:rPr>
          </w:pPr>
          <w:hyperlink w:anchor="_Toc242459551" w:history="1">
            <w:r w:rsidRPr="004B24C7">
              <w:rPr>
                <w:rStyle w:val="Hyperlink"/>
                <w:bCs/>
              </w:rPr>
              <w:t>4.6 Theme 3: Social belonging and credible information</w:t>
            </w:r>
            <w:r w:rsidRPr="004B24C7">
              <w:rPr>
                <w:webHidden/>
              </w:rPr>
              <w:tab/>
            </w:r>
            <w:r w:rsidRPr="004B24C7">
              <w:rPr>
                <w:webHidden/>
              </w:rPr>
              <w:fldChar w:fldCharType="begin"/>
            </w:r>
            <w:r w:rsidRPr="004B24C7">
              <w:rPr>
                <w:webHidden/>
              </w:rPr>
              <w:instrText xml:space="preserve"> PAGEREF _Toc242459551 \h </w:instrText>
            </w:r>
            <w:r w:rsidRPr="004B24C7">
              <w:rPr>
                <w:webHidden/>
              </w:rPr>
            </w:r>
            <w:r w:rsidRPr="004B24C7">
              <w:rPr>
                <w:webHidden/>
              </w:rPr>
              <w:fldChar w:fldCharType="separate"/>
            </w:r>
            <w:r w:rsidRPr="004B24C7">
              <w:rPr>
                <w:webHidden/>
              </w:rPr>
              <w:t>48</w:t>
            </w:r>
            <w:r w:rsidRPr="004B24C7">
              <w:rPr>
                <w:webHidden/>
              </w:rPr>
              <w:fldChar w:fldCharType="end"/>
            </w:r>
          </w:hyperlink>
        </w:p>
        <w:p w14:paraId="55A5BE03" w14:textId="485640A9" w:rsidR="00911724" w:rsidRPr="004B24C7" w:rsidRDefault="00911724" w:rsidP="003812C9">
          <w:pPr>
            <w:pStyle w:val="TOC2"/>
            <w:rPr>
              <w:sz w:val="24"/>
              <w:szCs w:val="24"/>
              <w:lang w:val="en-PK" w:eastAsia="en-PK"/>
            </w:rPr>
          </w:pPr>
          <w:hyperlink w:anchor="_Toc242459552" w:history="1">
            <w:r w:rsidRPr="004B24C7">
              <w:rPr>
                <w:rStyle w:val="Hyperlink"/>
                <w:bCs/>
              </w:rPr>
              <w:t>4.7 Theme 4: Emotional safety and the meaning of weight messages</w:t>
            </w:r>
            <w:r w:rsidRPr="004B24C7">
              <w:rPr>
                <w:webHidden/>
              </w:rPr>
              <w:tab/>
            </w:r>
            <w:r w:rsidRPr="004B24C7">
              <w:rPr>
                <w:webHidden/>
              </w:rPr>
              <w:fldChar w:fldCharType="begin"/>
            </w:r>
            <w:r w:rsidRPr="004B24C7">
              <w:rPr>
                <w:webHidden/>
              </w:rPr>
              <w:instrText xml:space="preserve"> PAGEREF _Toc242459552 \h </w:instrText>
            </w:r>
            <w:r w:rsidRPr="004B24C7">
              <w:rPr>
                <w:webHidden/>
              </w:rPr>
            </w:r>
            <w:r w:rsidRPr="004B24C7">
              <w:rPr>
                <w:webHidden/>
              </w:rPr>
              <w:fldChar w:fldCharType="separate"/>
            </w:r>
            <w:r w:rsidRPr="004B24C7">
              <w:rPr>
                <w:webHidden/>
              </w:rPr>
              <w:t>49</w:t>
            </w:r>
            <w:r w:rsidRPr="004B24C7">
              <w:rPr>
                <w:webHidden/>
              </w:rPr>
              <w:fldChar w:fldCharType="end"/>
            </w:r>
          </w:hyperlink>
        </w:p>
        <w:p w14:paraId="52776510" w14:textId="5A2A7905" w:rsidR="00911724" w:rsidRPr="004B24C7" w:rsidRDefault="00911724" w:rsidP="003812C9">
          <w:pPr>
            <w:pStyle w:val="TOC2"/>
            <w:rPr>
              <w:sz w:val="24"/>
              <w:szCs w:val="24"/>
              <w:lang w:val="en-PK" w:eastAsia="en-PK"/>
            </w:rPr>
          </w:pPr>
          <w:hyperlink w:anchor="_Toc242459553" w:history="1">
            <w:r w:rsidRPr="004B24C7">
              <w:rPr>
                <w:rStyle w:val="Hyperlink"/>
                <w:bCs/>
              </w:rPr>
              <w:t>4.8 Theme 5: Support that fits the person and the moment</w:t>
            </w:r>
            <w:r w:rsidRPr="004B24C7">
              <w:rPr>
                <w:webHidden/>
              </w:rPr>
              <w:tab/>
            </w:r>
            <w:r w:rsidRPr="004B24C7">
              <w:rPr>
                <w:webHidden/>
              </w:rPr>
              <w:fldChar w:fldCharType="begin"/>
            </w:r>
            <w:r w:rsidRPr="004B24C7">
              <w:rPr>
                <w:webHidden/>
              </w:rPr>
              <w:instrText xml:space="preserve"> PAGEREF _Toc242459553 \h </w:instrText>
            </w:r>
            <w:r w:rsidRPr="004B24C7">
              <w:rPr>
                <w:webHidden/>
              </w:rPr>
            </w:r>
            <w:r w:rsidRPr="004B24C7">
              <w:rPr>
                <w:webHidden/>
              </w:rPr>
              <w:fldChar w:fldCharType="separate"/>
            </w:r>
            <w:r w:rsidRPr="004B24C7">
              <w:rPr>
                <w:webHidden/>
              </w:rPr>
              <w:t>50</w:t>
            </w:r>
            <w:r w:rsidRPr="004B24C7">
              <w:rPr>
                <w:webHidden/>
              </w:rPr>
              <w:fldChar w:fldCharType="end"/>
            </w:r>
          </w:hyperlink>
        </w:p>
        <w:p w14:paraId="496CE6D6" w14:textId="65B923D1" w:rsidR="00911724" w:rsidRPr="004B24C7" w:rsidRDefault="00911724" w:rsidP="003812C9">
          <w:pPr>
            <w:pStyle w:val="TOC2"/>
            <w:rPr>
              <w:sz w:val="24"/>
              <w:szCs w:val="24"/>
              <w:lang w:val="en-PK" w:eastAsia="en-PK"/>
            </w:rPr>
          </w:pPr>
          <w:hyperlink w:anchor="_Toc242459554" w:history="1">
            <w:r w:rsidRPr="004B24C7">
              <w:rPr>
                <w:rStyle w:val="Hyperlink"/>
                <w:bCs/>
              </w:rPr>
              <w:t>4.9 Relationships between themes and sensitivity checks</w:t>
            </w:r>
            <w:r w:rsidRPr="004B24C7">
              <w:rPr>
                <w:webHidden/>
              </w:rPr>
              <w:tab/>
            </w:r>
            <w:r w:rsidRPr="004B24C7">
              <w:rPr>
                <w:webHidden/>
              </w:rPr>
              <w:fldChar w:fldCharType="begin"/>
            </w:r>
            <w:r w:rsidRPr="004B24C7">
              <w:rPr>
                <w:webHidden/>
              </w:rPr>
              <w:instrText xml:space="preserve"> PAGEREF _Toc242459554 \h </w:instrText>
            </w:r>
            <w:r w:rsidRPr="004B24C7">
              <w:rPr>
                <w:webHidden/>
              </w:rPr>
            </w:r>
            <w:r w:rsidRPr="004B24C7">
              <w:rPr>
                <w:webHidden/>
              </w:rPr>
              <w:fldChar w:fldCharType="separate"/>
            </w:r>
            <w:r w:rsidRPr="004B24C7">
              <w:rPr>
                <w:webHidden/>
              </w:rPr>
              <w:t>52</w:t>
            </w:r>
            <w:r w:rsidRPr="004B24C7">
              <w:rPr>
                <w:webHidden/>
              </w:rPr>
              <w:fldChar w:fldCharType="end"/>
            </w:r>
          </w:hyperlink>
        </w:p>
        <w:p w14:paraId="71E07947" w14:textId="34FEB187" w:rsidR="00911724" w:rsidRPr="004B24C7" w:rsidRDefault="00911724" w:rsidP="003812C9">
          <w:pPr>
            <w:pStyle w:val="TOC2"/>
            <w:rPr>
              <w:sz w:val="24"/>
              <w:szCs w:val="24"/>
              <w:lang w:val="en-PK" w:eastAsia="en-PK"/>
            </w:rPr>
          </w:pPr>
          <w:hyperlink w:anchor="_Toc242459555" w:history="1">
            <w:r w:rsidRPr="004B24C7">
              <w:rPr>
                <w:rStyle w:val="Hyperlink"/>
              </w:rPr>
              <w:t>Summary</w:t>
            </w:r>
            <w:r w:rsidRPr="004B24C7">
              <w:rPr>
                <w:webHidden/>
              </w:rPr>
              <w:tab/>
            </w:r>
            <w:r w:rsidRPr="004B24C7">
              <w:rPr>
                <w:webHidden/>
              </w:rPr>
              <w:fldChar w:fldCharType="begin"/>
            </w:r>
            <w:r w:rsidRPr="004B24C7">
              <w:rPr>
                <w:webHidden/>
              </w:rPr>
              <w:instrText xml:space="preserve"> PAGEREF _Toc242459555 \h </w:instrText>
            </w:r>
            <w:r w:rsidRPr="004B24C7">
              <w:rPr>
                <w:webHidden/>
              </w:rPr>
            </w:r>
            <w:r w:rsidRPr="004B24C7">
              <w:rPr>
                <w:webHidden/>
              </w:rPr>
              <w:fldChar w:fldCharType="separate"/>
            </w:r>
            <w:r w:rsidRPr="004B24C7">
              <w:rPr>
                <w:webHidden/>
              </w:rPr>
              <w:t>53</w:t>
            </w:r>
            <w:r w:rsidRPr="004B24C7">
              <w:rPr>
                <w:webHidden/>
              </w:rPr>
              <w:fldChar w:fldCharType="end"/>
            </w:r>
          </w:hyperlink>
        </w:p>
        <w:p w14:paraId="4B999B51" w14:textId="126F312C" w:rsidR="00911724" w:rsidRPr="004B24C7" w:rsidRDefault="00911724">
          <w:pPr>
            <w:pStyle w:val="TOC1"/>
            <w:tabs>
              <w:tab w:val="right" w:leader="dot" w:pos="9016"/>
            </w:tabs>
            <w:rPr>
              <w:rFonts w:ascii="Arial" w:eastAsiaTheme="minorEastAsia" w:hAnsi="Arial" w:cs="Arial"/>
              <w:b/>
              <w:bCs/>
              <w:noProof/>
              <w:color w:val="auto"/>
              <w:szCs w:val="24"/>
              <w:lang w:val="en-PK" w:eastAsia="en-PK"/>
            </w:rPr>
          </w:pPr>
          <w:hyperlink w:anchor="_Toc242459556" w:history="1">
            <w:r w:rsidRPr="004B24C7">
              <w:rPr>
                <w:rStyle w:val="Hyperlink"/>
                <w:rFonts w:ascii="Arial" w:hAnsi="Arial" w:cs="Arial"/>
                <w:b/>
                <w:bCs/>
                <w:noProof/>
              </w:rPr>
              <w:t>5. Discussion</w:t>
            </w:r>
            <w:r w:rsidRPr="004B24C7">
              <w:rPr>
                <w:rFonts w:ascii="Arial" w:hAnsi="Arial" w:cs="Arial"/>
                <w:b/>
                <w:bCs/>
                <w:noProof/>
                <w:webHidden/>
              </w:rPr>
              <w:tab/>
            </w:r>
            <w:r w:rsidRPr="004B24C7">
              <w:rPr>
                <w:rFonts w:ascii="Arial" w:hAnsi="Arial" w:cs="Arial"/>
                <w:b/>
                <w:bCs/>
                <w:noProof/>
                <w:webHidden/>
              </w:rPr>
              <w:fldChar w:fldCharType="begin"/>
            </w:r>
            <w:r w:rsidRPr="004B24C7">
              <w:rPr>
                <w:rFonts w:ascii="Arial" w:hAnsi="Arial" w:cs="Arial"/>
                <w:b/>
                <w:bCs/>
                <w:noProof/>
                <w:webHidden/>
              </w:rPr>
              <w:instrText xml:space="preserve"> PAGEREF _Toc242459556 \h </w:instrText>
            </w:r>
            <w:r w:rsidRPr="004B24C7">
              <w:rPr>
                <w:rFonts w:ascii="Arial" w:hAnsi="Arial" w:cs="Arial"/>
                <w:b/>
                <w:bCs/>
                <w:noProof/>
                <w:webHidden/>
              </w:rPr>
            </w:r>
            <w:r w:rsidRPr="004B24C7">
              <w:rPr>
                <w:rFonts w:ascii="Arial" w:hAnsi="Arial" w:cs="Arial"/>
                <w:b/>
                <w:bCs/>
                <w:noProof/>
                <w:webHidden/>
              </w:rPr>
              <w:fldChar w:fldCharType="separate"/>
            </w:r>
            <w:r w:rsidRPr="004B24C7">
              <w:rPr>
                <w:rFonts w:ascii="Arial" w:hAnsi="Arial" w:cs="Arial"/>
                <w:b/>
                <w:bCs/>
                <w:noProof/>
                <w:webHidden/>
              </w:rPr>
              <w:t>55</w:t>
            </w:r>
            <w:r w:rsidRPr="004B24C7">
              <w:rPr>
                <w:rFonts w:ascii="Arial" w:hAnsi="Arial" w:cs="Arial"/>
                <w:b/>
                <w:bCs/>
                <w:noProof/>
                <w:webHidden/>
              </w:rPr>
              <w:fldChar w:fldCharType="end"/>
            </w:r>
          </w:hyperlink>
        </w:p>
        <w:p w14:paraId="5EE85C73" w14:textId="716C0E1E" w:rsidR="00911724" w:rsidRPr="004B24C7" w:rsidRDefault="00911724" w:rsidP="003812C9">
          <w:pPr>
            <w:pStyle w:val="TOC2"/>
            <w:rPr>
              <w:sz w:val="24"/>
              <w:szCs w:val="24"/>
              <w:lang w:val="en-PK" w:eastAsia="en-PK"/>
            </w:rPr>
          </w:pPr>
          <w:hyperlink w:anchor="_Toc242459557" w:history="1">
            <w:r w:rsidRPr="004B24C7">
              <w:rPr>
                <w:rStyle w:val="Hyperlink"/>
                <w:bCs/>
              </w:rPr>
              <w:t>5.1 Understanding the eleven-article synthesis</w:t>
            </w:r>
            <w:r w:rsidRPr="004B24C7">
              <w:rPr>
                <w:webHidden/>
              </w:rPr>
              <w:tab/>
            </w:r>
            <w:r w:rsidRPr="004B24C7">
              <w:rPr>
                <w:webHidden/>
              </w:rPr>
              <w:fldChar w:fldCharType="begin"/>
            </w:r>
            <w:r w:rsidRPr="004B24C7">
              <w:rPr>
                <w:webHidden/>
              </w:rPr>
              <w:instrText xml:space="preserve"> PAGEREF _Toc242459557 \h </w:instrText>
            </w:r>
            <w:r w:rsidRPr="004B24C7">
              <w:rPr>
                <w:webHidden/>
              </w:rPr>
            </w:r>
            <w:r w:rsidRPr="004B24C7">
              <w:rPr>
                <w:webHidden/>
              </w:rPr>
              <w:fldChar w:fldCharType="separate"/>
            </w:r>
            <w:r w:rsidRPr="004B24C7">
              <w:rPr>
                <w:webHidden/>
              </w:rPr>
              <w:t>55</w:t>
            </w:r>
            <w:r w:rsidRPr="004B24C7">
              <w:rPr>
                <w:webHidden/>
              </w:rPr>
              <w:fldChar w:fldCharType="end"/>
            </w:r>
          </w:hyperlink>
        </w:p>
        <w:p w14:paraId="132F8272" w14:textId="4E08A87D" w:rsidR="00911724" w:rsidRPr="004B24C7" w:rsidRDefault="00911724" w:rsidP="003812C9">
          <w:pPr>
            <w:pStyle w:val="TOC2"/>
            <w:rPr>
              <w:sz w:val="24"/>
              <w:szCs w:val="24"/>
              <w:lang w:val="en-PK" w:eastAsia="en-PK"/>
            </w:rPr>
          </w:pPr>
          <w:hyperlink w:anchor="_Toc242459558" w:history="1">
            <w:r w:rsidRPr="004B24C7">
              <w:rPr>
                <w:rStyle w:val="Hyperlink"/>
                <w:bCs/>
              </w:rPr>
              <w:t>5.2 Transitions and competing priorities</w:t>
            </w:r>
            <w:r w:rsidRPr="004B24C7">
              <w:rPr>
                <w:webHidden/>
              </w:rPr>
              <w:tab/>
            </w:r>
            <w:r w:rsidRPr="004B24C7">
              <w:rPr>
                <w:webHidden/>
              </w:rPr>
              <w:fldChar w:fldCharType="begin"/>
            </w:r>
            <w:r w:rsidRPr="004B24C7">
              <w:rPr>
                <w:webHidden/>
              </w:rPr>
              <w:instrText xml:space="preserve"> PAGEREF _Toc242459558 \h </w:instrText>
            </w:r>
            <w:r w:rsidRPr="004B24C7">
              <w:rPr>
                <w:webHidden/>
              </w:rPr>
            </w:r>
            <w:r w:rsidRPr="004B24C7">
              <w:rPr>
                <w:webHidden/>
              </w:rPr>
              <w:fldChar w:fldCharType="separate"/>
            </w:r>
            <w:r w:rsidRPr="004B24C7">
              <w:rPr>
                <w:webHidden/>
              </w:rPr>
              <w:t>55</w:t>
            </w:r>
            <w:r w:rsidRPr="004B24C7">
              <w:rPr>
                <w:webHidden/>
              </w:rPr>
              <w:fldChar w:fldCharType="end"/>
            </w:r>
          </w:hyperlink>
        </w:p>
        <w:p w14:paraId="20ABFAA6" w14:textId="24CF6574" w:rsidR="00911724" w:rsidRPr="004B24C7" w:rsidRDefault="00911724" w:rsidP="003812C9">
          <w:pPr>
            <w:pStyle w:val="TOC2"/>
            <w:rPr>
              <w:sz w:val="24"/>
              <w:szCs w:val="24"/>
              <w:lang w:val="en-PK" w:eastAsia="en-PK"/>
            </w:rPr>
          </w:pPr>
          <w:hyperlink w:anchor="_Toc242459559" w:history="1">
            <w:r w:rsidRPr="004B24C7">
              <w:rPr>
                <w:rStyle w:val="Hyperlink"/>
                <w:bCs/>
              </w:rPr>
              <w:t>5.3 Feasibility and the limits of education</w:t>
            </w:r>
            <w:r w:rsidRPr="004B24C7">
              <w:rPr>
                <w:webHidden/>
              </w:rPr>
              <w:tab/>
            </w:r>
            <w:r w:rsidRPr="004B24C7">
              <w:rPr>
                <w:webHidden/>
              </w:rPr>
              <w:fldChar w:fldCharType="begin"/>
            </w:r>
            <w:r w:rsidRPr="004B24C7">
              <w:rPr>
                <w:webHidden/>
              </w:rPr>
              <w:instrText xml:space="preserve"> PAGEREF _Toc242459559 \h </w:instrText>
            </w:r>
            <w:r w:rsidRPr="004B24C7">
              <w:rPr>
                <w:webHidden/>
              </w:rPr>
            </w:r>
            <w:r w:rsidRPr="004B24C7">
              <w:rPr>
                <w:webHidden/>
              </w:rPr>
              <w:fldChar w:fldCharType="separate"/>
            </w:r>
            <w:r w:rsidRPr="004B24C7">
              <w:rPr>
                <w:webHidden/>
              </w:rPr>
              <w:t>56</w:t>
            </w:r>
            <w:r w:rsidRPr="004B24C7">
              <w:rPr>
                <w:webHidden/>
              </w:rPr>
              <w:fldChar w:fldCharType="end"/>
            </w:r>
          </w:hyperlink>
        </w:p>
        <w:p w14:paraId="00BB84BB" w14:textId="4CCAFF3B" w:rsidR="00911724" w:rsidRPr="004B24C7" w:rsidRDefault="00911724" w:rsidP="003812C9">
          <w:pPr>
            <w:pStyle w:val="TOC2"/>
            <w:rPr>
              <w:sz w:val="24"/>
              <w:szCs w:val="24"/>
              <w:lang w:val="en-PK" w:eastAsia="en-PK"/>
            </w:rPr>
          </w:pPr>
          <w:hyperlink w:anchor="_Toc242459560" w:history="1">
            <w:r w:rsidRPr="004B24C7">
              <w:rPr>
                <w:rStyle w:val="Hyperlink"/>
                <w:bCs/>
              </w:rPr>
              <w:t>5.4 Social participation, identity and credibility</w:t>
            </w:r>
            <w:r w:rsidRPr="004B24C7">
              <w:rPr>
                <w:webHidden/>
              </w:rPr>
              <w:tab/>
            </w:r>
            <w:r w:rsidRPr="004B24C7">
              <w:rPr>
                <w:webHidden/>
              </w:rPr>
              <w:fldChar w:fldCharType="begin"/>
            </w:r>
            <w:r w:rsidRPr="004B24C7">
              <w:rPr>
                <w:webHidden/>
              </w:rPr>
              <w:instrText xml:space="preserve"> PAGEREF _Toc242459560 \h </w:instrText>
            </w:r>
            <w:r w:rsidRPr="004B24C7">
              <w:rPr>
                <w:webHidden/>
              </w:rPr>
            </w:r>
            <w:r w:rsidRPr="004B24C7">
              <w:rPr>
                <w:webHidden/>
              </w:rPr>
              <w:fldChar w:fldCharType="separate"/>
            </w:r>
            <w:r w:rsidRPr="004B24C7">
              <w:rPr>
                <w:webHidden/>
              </w:rPr>
              <w:t>57</w:t>
            </w:r>
            <w:r w:rsidRPr="004B24C7">
              <w:rPr>
                <w:webHidden/>
              </w:rPr>
              <w:fldChar w:fldCharType="end"/>
            </w:r>
          </w:hyperlink>
        </w:p>
        <w:p w14:paraId="34DFA5EB" w14:textId="17BB1263" w:rsidR="00911724" w:rsidRPr="004B24C7" w:rsidRDefault="00911724" w:rsidP="003812C9">
          <w:pPr>
            <w:pStyle w:val="TOC2"/>
            <w:rPr>
              <w:sz w:val="24"/>
              <w:szCs w:val="24"/>
              <w:lang w:val="en-PK" w:eastAsia="en-PK"/>
            </w:rPr>
          </w:pPr>
          <w:hyperlink w:anchor="_Toc242459561" w:history="1">
            <w:r w:rsidRPr="004B24C7">
              <w:rPr>
                <w:rStyle w:val="Hyperlink"/>
                <w:bCs/>
              </w:rPr>
              <w:t>5.5 Body image and respectful communication</w:t>
            </w:r>
            <w:r w:rsidRPr="004B24C7">
              <w:rPr>
                <w:webHidden/>
              </w:rPr>
              <w:tab/>
            </w:r>
            <w:r w:rsidRPr="004B24C7">
              <w:rPr>
                <w:webHidden/>
              </w:rPr>
              <w:fldChar w:fldCharType="begin"/>
            </w:r>
            <w:r w:rsidRPr="004B24C7">
              <w:rPr>
                <w:webHidden/>
              </w:rPr>
              <w:instrText xml:space="preserve"> PAGEREF _Toc242459561 \h </w:instrText>
            </w:r>
            <w:r w:rsidRPr="004B24C7">
              <w:rPr>
                <w:webHidden/>
              </w:rPr>
            </w:r>
            <w:r w:rsidRPr="004B24C7">
              <w:rPr>
                <w:webHidden/>
              </w:rPr>
              <w:fldChar w:fldCharType="separate"/>
            </w:r>
            <w:r w:rsidRPr="004B24C7">
              <w:rPr>
                <w:webHidden/>
              </w:rPr>
              <w:t>58</w:t>
            </w:r>
            <w:r w:rsidRPr="004B24C7">
              <w:rPr>
                <w:webHidden/>
              </w:rPr>
              <w:fldChar w:fldCharType="end"/>
            </w:r>
          </w:hyperlink>
        </w:p>
        <w:p w14:paraId="02ECF3C1" w14:textId="3588D445" w:rsidR="00911724" w:rsidRPr="004B24C7" w:rsidRDefault="00911724" w:rsidP="003812C9">
          <w:pPr>
            <w:pStyle w:val="TOC2"/>
            <w:rPr>
              <w:sz w:val="24"/>
              <w:szCs w:val="24"/>
              <w:lang w:val="en-PK" w:eastAsia="en-PK"/>
            </w:rPr>
          </w:pPr>
          <w:hyperlink w:anchor="_Toc242459562" w:history="1">
            <w:r w:rsidRPr="004B24C7">
              <w:rPr>
                <w:rStyle w:val="Hyperlink"/>
                <w:bCs/>
              </w:rPr>
              <w:t>5.6 Digital information and choice</w:t>
            </w:r>
            <w:r w:rsidRPr="004B24C7">
              <w:rPr>
                <w:webHidden/>
              </w:rPr>
              <w:tab/>
            </w:r>
            <w:r w:rsidRPr="004B24C7">
              <w:rPr>
                <w:webHidden/>
              </w:rPr>
              <w:fldChar w:fldCharType="begin"/>
            </w:r>
            <w:r w:rsidRPr="004B24C7">
              <w:rPr>
                <w:webHidden/>
              </w:rPr>
              <w:instrText xml:space="preserve"> PAGEREF _Toc242459562 \h </w:instrText>
            </w:r>
            <w:r w:rsidRPr="004B24C7">
              <w:rPr>
                <w:webHidden/>
              </w:rPr>
            </w:r>
            <w:r w:rsidRPr="004B24C7">
              <w:rPr>
                <w:webHidden/>
              </w:rPr>
              <w:fldChar w:fldCharType="separate"/>
            </w:r>
            <w:r w:rsidRPr="004B24C7">
              <w:rPr>
                <w:webHidden/>
              </w:rPr>
              <w:t>59</w:t>
            </w:r>
            <w:r w:rsidRPr="004B24C7">
              <w:rPr>
                <w:webHidden/>
              </w:rPr>
              <w:fldChar w:fldCharType="end"/>
            </w:r>
          </w:hyperlink>
        </w:p>
        <w:p w14:paraId="574FE7C0" w14:textId="194A6103" w:rsidR="00911724" w:rsidRPr="004B24C7" w:rsidRDefault="00911724" w:rsidP="003812C9">
          <w:pPr>
            <w:pStyle w:val="TOC2"/>
            <w:rPr>
              <w:sz w:val="24"/>
              <w:szCs w:val="24"/>
              <w:lang w:val="en-PK" w:eastAsia="en-PK"/>
            </w:rPr>
          </w:pPr>
          <w:hyperlink w:anchor="_Toc242459563" w:history="1">
            <w:r w:rsidRPr="004B24C7">
              <w:rPr>
                <w:rStyle w:val="Hyperlink"/>
                <w:bCs/>
              </w:rPr>
              <w:t>5.7 Perceived usefulness and measured effectiveness</w:t>
            </w:r>
            <w:r w:rsidRPr="004B24C7">
              <w:rPr>
                <w:webHidden/>
              </w:rPr>
              <w:tab/>
            </w:r>
            <w:r w:rsidRPr="004B24C7">
              <w:rPr>
                <w:webHidden/>
              </w:rPr>
              <w:fldChar w:fldCharType="begin"/>
            </w:r>
            <w:r w:rsidRPr="004B24C7">
              <w:rPr>
                <w:webHidden/>
              </w:rPr>
              <w:instrText xml:space="preserve"> PAGEREF _Toc242459563 \h </w:instrText>
            </w:r>
            <w:r w:rsidRPr="004B24C7">
              <w:rPr>
                <w:webHidden/>
              </w:rPr>
            </w:r>
            <w:r w:rsidRPr="004B24C7">
              <w:rPr>
                <w:webHidden/>
              </w:rPr>
              <w:fldChar w:fldCharType="separate"/>
            </w:r>
            <w:r w:rsidRPr="004B24C7">
              <w:rPr>
                <w:webHidden/>
              </w:rPr>
              <w:t>60</w:t>
            </w:r>
            <w:r w:rsidRPr="004B24C7">
              <w:rPr>
                <w:webHidden/>
              </w:rPr>
              <w:fldChar w:fldCharType="end"/>
            </w:r>
          </w:hyperlink>
        </w:p>
        <w:p w14:paraId="2F7A8E87" w14:textId="0908E6E6" w:rsidR="00911724" w:rsidRPr="004B24C7" w:rsidRDefault="00911724" w:rsidP="003812C9">
          <w:pPr>
            <w:pStyle w:val="TOC2"/>
            <w:rPr>
              <w:sz w:val="24"/>
              <w:szCs w:val="24"/>
              <w:lang w:val="en-PK" w:eastAsia="en-PK"/>
            </w:rPr>
          </w:pPr>
          <w:hyperlink w:anchor="_Toc242459564" w:history="1">
            <w:r w:rsidRPr="004B24C7">
              <w:rPr>
                <w:rStyle w:val="Hyperlink"/>
                <w:bCs/>
              </w:rPr>
              <w:t>5.8 Implications for public health and social care</w:t>
            </w:r>
            <w:r w:rsidRPr="004B24C7">
              <w:rPr>
                <w:webHidden/>
              </w:rPr>
              <w:tab/>
            </w:r>
            <w:r w:rsidRPr="004B24C7">
              <w:rPr>
                <w:webHidden/>
              </w:rPr>
              <w:fldChar w:fldCharType="begin"/>
            </w:r>
            <w:r w:rsidRPr="004B24C7">
              <w:rPr>
                <w:webHidden/>
              </w:rPr>
              <w:instrText xml:space="preserve"> PAGEREF _Toc242459564 \h </w:instrText>
            </w:r>
            <w:r w:rsidRPr="004B24C7">
              <w:rPr>
                <w:webHidden/>
              </w:rPr>
            </w:r>
            <w:r w:rsidRPr="004B24C7">
              <w:rPr>
                <w:webHidden/>
              </w:rPr>
              <w:fldChar w:fldCharType="separate"/>
            </w:r>
            <w:r w:rsidRPr="004B24C7">
              <w:rPr>
                <w:webHidden/>
              </w:rPr>
              <w:t>61</w:t>
            </w:r>
            <w:r w:rsidRPr="004B24C7">
              <w:rPr>
                <w:webHidden/>
              </w:rPr>
              <w:fldChar w:fldCharType="end"/>
            </w:r>
          </w:hyperlink>
        </w:p>
        <w:p w14:paraId="0BBA94B5" w14:textId="4168620B" w:rsidR="00911724" w:rsidRPr="004B24C7" w:rsidRDefault="00911724" w:rsidP="003812C9">
          <w:pPr>
            <w:pStyle w:val="TOC2"/>
            <w:rPr>
              <w:sz w:val="24"/>
              <w:szCs w:val="24"/>
              <w:lang w:val="en-PK" w:eastAsia="en-PK"/>
            </w:rPr>
          </w:pPr>
          <w:hyperlink w:anchor="_Toc242459565" w:history="1">
            <w:r w:rsidRPr="004B24C7">
              <w:rPr>
                <w:rStyle w:val="Hyperlink"/>
                <w:bCs/>
              </w:rPr>
              <w:t>5.9 Strengths, limitations and sensitivity</w:t>
            </w:r>
            <w:r w:rsidRPr="004B24C7">
              <w:rPr>
                <w:webHidden/>
              </w:rPr>
              <w:tab/>
            </w:r>
            <w:r w:rsidRPr="004B24C7">
              <w:rPr>
                <w:webHidden/>
              </w:rPr>
              <w:fldChar w:fldCharType="begin"/>
            </w:r>
            <w:r w:rsidRPr="004B24C7">
              <w:rPr>
                <w:webHidden/>
              </w:rPr>
              <w:instrText xml:space="preserve"> PAGEREF _Toc242459565 \h </w:instrText>
            </w:r>
            <w:r w:rsidRPr="004B24C7">
              <w:rPr>
                <w:webHidden/>
              </w:rPr>
            </w:r>
            <w:r w:rsidRPr="004B24C7">
              <w:rPr>
                <w:webHidden/>
              </w:rPr>
              <w:fldChar w:fldCharType="separate"/>
            </w:r>
            <w:r w:rsidRPr="004B24C7">
              <w:rPr>
                <w:webHidden/>
              </w:rPr>
              <w:t>62</w:t>
            </w:r>
            <w:r w:rsidRPr="004B24C7">
              <w:rPr>
                <w:webHidden/>
              </w:rPr>
              <w:fldChar w:fldCharType="end"/>
            </w:r>
          </w:hyperlink>
        </w:p>
        <w:p w14:paraId="0FE7980F" w14:textId="1C5E1DAA" w:rsidR="00911724" w:rsidRPr="004B24C7" w:rsidRDefault="00911724" w:rsidP="003812C9">
          <w:pPr>
            <w:pStyle w:val="TOC2"/>
            <w:rPr>
              <w:sz w:val="24"/>
              <w:szCs w:val="24"/>
              <w:lang w:val="en-PK" w:eastAsia="en-PK"/>
            </w:rPr>
          </w:pPr>
          <w:hyperlink w:anchor="_Toc242459566" w:history="1">
            <w:r w:rsidRPr="004B24C7">
              <w:rPr>
                <w:rStyle w:val="Hyperlink"/>
                <w:bCs/>
              </w:rPr>
              <w:t>5.10 Priorities for further research</w:t>
            </w:r>
            <w:r w:rsidRPr="004B24C7">
              <w:rPr>
                <w:webHidden/>
              </w:rPr>
              <w:tab/>
            </w:r>
            <w:r w:rsidRPr="004B24C7">
              <w:rPr>
                <w:webHidden/>
              </w:rPr>
              <w:fldChar w:fldCharType="begin"/>
            </w:r>
            <w:r w:rsidRPr="004B24C7">
              <w:rPr>
                <w:webHidden/>
              </w:rPr>
              <w:instrText xml:space="preserve"> PAGEREF _Toc242459566 \h </w:instrText>
            </w:r>
            <w:r w:rsidRPr="004B24C7">
              <w:rPr>
                <w:webHidden/>
              </w:rPr>
            </w:r>
            <w:r w:rsidRPr="004B24C7">
              <w:rPr>
                <w:webHidden/>
              </w:rPr>
              <w:fldChar w:fldCharType="separate"/>
            </w:r>
            <w:r w:rsidRPr="004B24C7">
              <w:rPr>
                <w:webHidden/>
              </w:rPr>
              <w:t>62</w:t>
            </w:r>
            <w:r w:rsidRPr="004B24C7">
              <w:rPr>
                <w:webHidden/>
              </w:rPr>
              <w:fldChar w:fldCharType="end"/>
            </w:r>
          </w:hyperlink>
        </w:p>
        <w:p w14:paraId="42C122AF" w14:textId="0682B263" w:rsidR="00911724" w:rsidRPr="004B24C7" w:rsidRDefault="00911724" w:rsidP="003812C9">
          <w:pPr>
            <w:pStyle w:val="TOC2"/>
            <w:rPr>
              <w:sz w:val="24"/>
              <w:szCs w:val="24"/>
              <w:lang w:val="en-PK" w:eastAsia="en-PK"/>
            </w:rPr>
          </w:pPr>
          <w:hyperlink w:anchor="_Toc242459567" w:history="1">
            <w:r w:rsidRPr="004B24C7">
              <w:rPr>
                <w:rStyle w:val="Hyperlink"/>
                <w:rFonts w:eastAsia="Arial"/>
                <w:bCs/>
              </w:rPr>
              <w:t>Summary</w:t>
            </w:r>
            <w:r w:rsidRPr="004B24C7">
              <w:rPr>
                <w:webHidden/>
              </w:rPr>
              <w:tab/>
            </w:r>
            <w:r w:rsidRPr="004B24C7">
              <w:rPr>
                <w:webHidden/>
              </w:rPr>
              <w:fldChar w:fldCharType="begin"/>
            </w:r>
            <w:r w:rsidRPr="004B24C7">
              <w:rPr>
                <w:webHidden/>
              </w:rPr>
              <w:instrText xml:space="preserve"> PAGEREF _Toc242459567 \h </w:instrText>
            </w:r>
            <w:r w:rsidRPr="004B24C7">
              <w:rPr>
                <w:webHidden/>
              </w:rPr>
            </w:r>
            <w:r w:rsidRPr="004B24C7">
              <w:rPr>
                <w:webHidden/>
              </w:rPr>
              <w:fldChar w:fldCharType="separate"/>
            </w:r>
            <w:r w:rsidRPr="004B24C7">
              <w:rPr>
                <w:webHidden/>
              </w:rPr>
              <w:t>63</w:t>
            </w:r>
            <w:r w:rsidRPr="004B24C7">
              <w:rPr>
                <w:webHidden/>
              </w:rPr>
              <w:fldChar w:fldCharType="end"/>
            </w:r>
          </w:hyperlink>
        </w:p>
        <w:p w14:paraId="065C6600" w14:textId="72E3C310" w:rsidR="00911724" w:rsidRPr="004B24C7" w:rsidRDefault="00911724">
          <w:pPr>
            <w:pStyle w:val="TOC1"/>
            <w:tabs>
              <w:tab w:val="right" w:leader="dot" w:pos="9016"/>
            </w:tabs>
            <w:rPr>
              <w:rFonts w:ascii="Arial" w:eastAsiaTheme="minorEastAsia" w:hAnsi="Arial" w:cs="Arial"/>
              <w:b/>
              <w:bCs/>
              <w:noProof/>
              <w:color w:val="auto"/>
              <w:szCs w:val="24"/>
              <w:lang w:val="en-PK" w:eastAsia="en-PK"/>
            </w:rPr>
          </w:pPr>
          <w:hyperlink w:anchor="_Toc242459568" w:history="1">
            <w:r w:rsidRPr="004B24C7">
              <w:rPr>
                <w:rStyle w:val="Hyperlink"/>
                <w:rFonts w:ascii="Arial" w:hAnsi="Arial" w:cs="Arial"/>
                <w:b/>
                <w:bCs/>
                <w:noProof/>
              </w:rPr>
              <w:t>6. Conclusion</w:t>
            </w:r>
            <w:r w:rsidRPr="004B24C7">
              <w:rPr>
                <w:rFonts w:ascii="Arial" w:hAnsi="Arial" w:cs="Arial"/>
                <w:b/>
                <w:bCs/>
                <w:noProof/>
                <w:webHidden/>
              </w:rPr>
              <w:tab/>
            </w:r>
            <w:r w:rsidRPr="004B24C7">
              <w:rPr>
                <w:rFonts w:ascii="Arial" w:hAnsi="Arial" w:cs="Arial"/>
                <w:b/>
                <w:bCs/>
                <w:noProof/>
                <w:webHidden/>
              </w:rPr>
              <w:fldChar w:fldCharType="begin"/>
            </w:r>
            <w:r w:rsidRPr="004B24C7">
              <w:rPr>
                <w:rFonts w:ascii="Arial" w:hAnsi="Arial" w:cs="Arial"/>
                <w:b/>
                <w:bCs/>
                <w:noProof/>
                <w:webHidden/>
              </w:rPr>
              <w:instrText xml:space="preserve"> PAGEREF _Toc242459568 \h </w:instrText>
            </w:r>
            <w:r w:rsidRPr="004B24C7">
              <w:rPr>
                <w:rFonts w:ascii="Arial" w:hAnsi="Arial" w:cs="Arial"/>
                <w:b/>
                <w:bCs/>
                <w:noProof/>
                <w:webHidden/>
              </w:rPr>
            </w:r>
            <w:r w:rsidRPr="004B24C7">
              <w:rPr>
                <w:rFonts w:ascii="Arial" w:hAnsi="Arial" w:cs="Arial"/>
                <w:b/>
                <w:bCs/>
                <w:noProof/>
                <w:webHidden/>
              </w:rPr>
              <w:fldChar w:fldCharType="separate"/>
            </w:r>
            <w:r w:rsidRPr="004B24C7">
              <w:rPr>
                <w:rFonts w:ascii="Arial" w:hAnsi="Arial" w:cs="Arial"/>
                <w:b/>
                <w:bCs/>
                <w:noProof/>
                <w:webHidden/>
              </w:rPr>
              <w:t>64</w:t>
            </w:r>
            <w:r w:rsidRPr="004B24C7">
              <w:rPr>
                <w:rFonts w:ascii="Arial" w:hAnsi="Arial" w:cs="Arial"/>
                <w:b/>
                <w:bCs/>
                <w:noProof/>
                <w:webHidden/>
              </w:rPr>
              <w:fldChar w:fldCharType="end"/>
            </w:r>
          </w:hyperlink>
        </w:p>
        <w:p w14:paraId="21C1B9FC" w14:textId="1246CC2F" w:rsidR="00911724" w:rsidRPr="004B24C7" w:rsidRDefault="00911724" w:rsidP="003812C9">
          <w:pPr>
            <w:pStyle w:val="TOC2"/>
            <w:rPr>
              <w:sz w:val="24"/>
              <w:szCs w:val="24"/>
              <w:lang w:val="en-PK" w:eastAsia="en-PK"/>
            </w:rPr>
          </w:pPr>
          <w:hyperlink w:anchor="_Toc242459569" w:history="1">
            <w:r w:rsidRPr="004B24C7">
              <w:rPr>
                <w:rStyle w:val="Hyperlink"/>
                <w:bCs/>
              </w:rPr>
              <w:t>6.1 Overview of the review</w:t>
            </w:r>
            <w:r w:rsidRPr="004B24C7">
              <w:rPr>
                <w:webHidden/>
              </w:rPr>
              <w:tab/>
            </w:r>
            <w:r w:rsidRPr="004B24C7">
              <w:rPr>
                <w:webHidden/>
              </w:rPr>
              <w:fldChar w:fldCharType="begin"/>
            </w:r>
            <w:r w:rsidRPr="004B24C7">
              <w:rPr>
                <w:webHidden/>
              </w:rPr>
              <w:instrText xml:space="preserve"> PAGEREF _Toc242459569 \h </w:instrText>
            </w:r>
            <w:r w:rsidRPr="004B24C7">
              <w:rPr>
                <w:webHidden/>
              </w:rPr>
            </w:r>
            <w:r w:rsidRPr="004B24C7">
              <w:rPr>
                <w:webHidden/>
              </w:rPr>
              <w:fldChar w:fldCharType="separate"/>
            </w:r>
            <w:r w:rsidRPr="004B24C7">
              <w:rPr>
                <w:webHidden/>
              </w:rPr>
              <w:t>64</w:t>
            </w:r>
            <w:r w:rsidRPr="004B24C7">
              <w:rPr>
                <w:webHidden/>
              </w:rPr>
              <w:fldChar w:fldCharType="end"/>
            </w:r>
          </w:hyperlink>
        </w:p>
        <w:p w14:paraId="2008C3ED" w14:textId="34A26324" w:rsidR="00911724" w:rsidRPr="004B24C7" w:rsidRDefault="00911724" w:rsidP="003812C9">
          <w:pPr>
            <w:pStyle w:val="TOC2"/>
            <w:rPr>
              <w:sz w:val="24"/>
              <w:szCs w:val="24"/>
              <w:lang w:val="en-PK" w:eastAsia="en-PK"/>
            </w:rPr>
          </w:pPr>
          <w:hyperlink w:anchor="_Toc242459570" w:history="1">
            <w:r w:rsidRPr="004B24C7">
              <w:rPr>
                <w:rStyle w:val="Hyperlink"/>
                <w:bCs/>
              </w:rPr>
              <w:t>6.2 Answer to the research question</w:t>
            </w:r>
            <w:r w:rsidRPr="004B24C7">
              <w:rPr>
                <w:webHidden/>
              </w:rPr>
              <w:tab/>
            </w:r>
            <w:r w:rsidRPr="004B24C7">
              <w:rPr>
                <w:webHidden/>
              </w:rPr>
              <w:fldChar w:fldCharType="begin"/>
            </w:r>
            <w:r w:rsidRPr="004B24C7">
              <w:rPr>
                <w:webHidden/>
              </w:rPr>
              <w:instrText xml:space="preserve"> PAGEREF _Toc242459570 \h </w:instrText>
            </w:r>
            <w:r w:rsidRPr="004B24C7">
              <w:rPr>
                <w:webHidden/>
              </w:rPr>
            </w:r>
            <w:r w:rsidRPr="004B24C7">
              <w:rPr>
                <w:webHidden/>
              </w:rPr>
              <w:fldChar w:fldCharType="separate"/>
            </w:r>
            <w:r w:rsidRPr="004B24C7">
              <w:rPr>
                <w:webHidden/>
              </w:rPr>
              <w:t>64</w:t>
            </w:r>
            <w:r w:rsidRPr="004B24C7">
              <w:rPr>
                <w:webHidden/>
              </w:rPr>
              <w:fldChar w:fldCharType="end"/>
            </w:r>
          </w:hyperlink>
        </w:p>
        <w:p w14:paraId="0B512A9A" w14:textId="39536D47" w:rsidR="00911724" w:rsidRPr="004B24C7" w:rsidRDefault="00911724" w:rsidP="003812C9">
          <w:pPr>
            <w:pStyle w:val="TOC2"/>
            <w:rPr>
              <w:sz w:val="24"/>
              <w:szCs w:val="24"/>
              <w:lang w:val="en-PK" w:eastAsia="en-PK"/>
            </w:rPr>
          </w:pPr>
          <w:hyperlink w:anchor="_Toc242459571" w:history="1">
            <w:r w:rsidRPr="004B24C7">
              <w:rPr>
                <w:rStyle w:val="Hyperlink"/>
                <w:bCs/>
              </w:rPr>
              <w:t>6.3 Contribution of the dissertation</w:t>
            </w:r>
            <w:r w:rsidRPr="004B24C7">
              <w:rPr>
                <w:webHidden/>
              </w:rPr>
              <w:tab/>
            </w:r>
            <w:r w:rsidRPr="004B24C7">
              <w:rPr>
                <w:webHidden/>
              </w:rPr>
              <w:fldChar w:fldCharType="begin"/>
            </w:r>
            <w:r w:rsidRPr="004B24C7">
              <w:rPr>
                <w:webHidden/>
              </w:rPr>
              <w:instrText xml:space="preserve"> PAGEREF _Toc242459571 \h </w:instrText>
            </w:r>
            <w:r w:rsidRPr="004B24C7">
              <w:rPr>
                <w:webHidden/>
              </w:rPr>
            </w:r>
            <w:r w:rsidRPr="004B24C7">
              <w:rPr>
                <w:webHidden/>
              </w:rPr>
              <w:fldChar w:fldCharType="separate"/>
            </w:r>
            <w:r w:rsidRPr="004B24C7">
              <w:rPr>
                <w:webHidden/>
              </w:rPr>
              <w:t>65</w:t>
            </w:r>
            <w:r w:rsidRPr="004B24C7">
              <w:rPr>
                <w:webHidden/>
              </w:rPr>
              <w:fldChar w:fldCharType="end"/>
            </w:r>
          </w:hyperlink>
        </w:p>
        <w:p w14:paraId="43DBFEB5" w14:textId="5A550C1F" w:rsidR="00911724" w:rsidRPr="004B24C7" w:rsidRDefault="00911724" w:rsidP="003812C9">
          <w:pPr>
            <w:pStyle w:val="TOC2"/>
            <w:rPr>
              <w:sz w:val="24"/>
              <w:szCs w:val="24"/>
              <w:lang w:val="en-PK" w:eastAsia="en-PK"/>
            </w:rPr>
          </w:pPr>
          <w:hyperlink w:anchor="_Toc242459572" w:history="1">
            <w:r w:rsidRPr="004B24C7">
              <w:rPr>
                <w:rStyle w:val="Hyperlink"/>
                <w:bCs/>
              </w:rPr>
              <w:t>6.4 Implications for practice</w:t>
            </w:r>
            <w:r w:rsidRPr="004B24C7">
              <w:rPr>
                <w:webHidden/>
              </w:rPr>
              <w:tab/>
            </w:r>
            <w:r w:rsidRPr="004B24C7">
              <w:rPr>
                <w:webHidden/>
              </w:rPr>
              <w:fldChar w:fldCharType="begin"/>
            </w:r>
            <w:r w:rsidRPr="004B24C7">
              <w:rPr>
                <w:webHidden/>
              </w:rPr>
              <w:instrText xml:space="preserve"> PAGEREF _Toc242459572 \h </w:instrText>
            </w:r>
            <w:r w:rsidRPr="004B24C7">
              <w:rPr>
                <w:webHidden/>
              </w:rPr>
            </w:r>
            <w:r w:rsidRPr="004B24C7">
              <w:rPr>
                <w:webHidden/>
              </w:rPr>
              <w:fldChar w:fldCharType="separate"/>
            </w:r>
            <w:r w:rsidRPr="004B24C7">
              <w:rPr>
                <w:webHidden/>
              </w:rPr>
              <w:t>66</w:t>
            </w:r>
            <w:r w:rsidRPr="004B24C7">
              <w:rPr>
                <w:webHidden/>
              </w:rPr>
              <w:fldChar w:fldCharType="end"/>
            </w:r>
          </w:hyperlink>
        </w:p>
        <w:p w14:paraId="69C73866" w14:textId="337DEAE7" w:rsidR="00911724" w:rsidRPr="004B24C7" w:rsidRDefault="00911724" w:rsidP="003812C9">
          <w:pPr>
            <w:pStyle w:val="TOC2"/>
            <w:rPr>
              <w:sz w:val="24"/>
              <w:szCs w:val="24"/>
              <w:lang w:val="en-PK" w:eastAsia="en-PK"/>
            </w:rPr>
          </w:pPr>
          <w:hyperlink w:anchor="_Toc242459573" w:history="1">
            <w:r w:rsidRPr="004B24C7">
              <w:rPr>
                <w:rStyle w:val="Hyperlink"/>
                <w:bCs/>
              </w:rPr>
              <w:t>6.5 Limits of the conclusions</w:t>
            </w:r>
            <w:r w:rsidRPr="004B24C7">
              <w:rPr>
                <w:webHidden/>
              </w:rPr>
              <w:tab/>
            </w:r>
            <w:r w:rsidRPr="004B24C7">
              <w:rPr>
                <w:webHidden/>
              </w:rPr>
              <w:fldChar w:fldCharType="begin"/>
            </w:r>
            <w:r w:rsidRPr="004B24C7">
              <w:rPr>
                <w:webHidden/>
              </w:rPr>
              <w:instrText xml:space="preserve"> PAGEREF _Toc242459573 \h </w:instrText>
            </w:r>
            <w:r w:rsidRPr="004B24C7">
              <w:rPr>
                <w:webHidden/>
              </w:rPr>
            </w:r>
            <w:r w:rsidRPr="004B24C7">
              <w:rPr>
                <w:webHidden/>
              </w:rPr>
              <w:fldChar w:fldCharType="separate"/>
            </w:r>
            <w:r w:rsidRPr="004B24C7">
              <w:rPr>
                <w:webHidden/>
              </w:rPr>
              <w:t>67</w:t>
            </w:r>
            <w:r w:rsidRPr="004B24C7">
              <w:rPr>
                <w:webHidden/>
              </w:rPr>
              <w:fldChar w:fldCharType="end"/>
            </w:r>
          </w:hyperlink>
        </w:p>
        <w:p w14:paraId="1ACB884F" w14:textId="007A3B9C" w:rsidR="00911724" w:rsidRPr="004B24C7" w:rsidRDefault="00911724" w:rsidP="003812C9">
          <w:pPr>
            <w:pStyle w:val="TOC2"/>
            <w:rPr>
              <w:sz w:val="24"/>
              <w:szCs w:val="24"/>
              <w:lang w:val="en-PK" w:eastAsia="en-PK"/>
            </w:rPr>
          </w:pPr>
          <w:hyperlink w:anchor="_Toc242459574" w:history="1">
            <w:r w:rsidRPr="004B24C7">
              <w:rPr>
                <w:rStyle w:val="Hyperlink"/>
                <w:bCs/>
              </w:rPr>
              <w:t>6.6 Recommendations</w:t>
            </w:r>
            <w:r w:rsidRPr="004B24C7">
              <w:rPr>
                <w:webHidden/>
              </w:rPr>
              <w:tab/>
            </w:r>
            <w:r w:rsidRPr="004B24C7">
              <w:rPr>
                <w:webHidden/>
              </w:rPr>
              <w:fldChar w:fldCharType="begin"/>
            </w:r>
            <w:r w:rsidRPr="004B24C7">
              <w:rPr>
                <w:webHidden/>
              </w:rPr>
              <w:instrText xml:space="preserve"> PAGEREF _Toc242459574 \h </w:instrText>
            </w:r>
            <w:r w:rsidRPr="004B24C7">
              <w:rPr>
                <w:webHidden/>
              </w:rPr>
            </w:r>
            <w:r w:rsidRPr="004B24C7">
              <w:rPr>
                <w:webHidden/>
              </w:rPr>
              <w:fldChar w:fldCharType="separate"/>
            </w:r>
            <w:r w:rsidRPr="004B24C7">
              <w:rPr>
                <w:webHidden/>
              </w:rPr>
              <w:t>68</w:t>
            </w:r>
            <w:r w:rsidRPr="004B24C7">
              <w:rPr>
                <w:webHidden/>
              </w:rPr>
              <w:fldChar w:fldCharType="end"/>
            </w:r>
          </w:hyperlink>
        </w:p>
        <w:p w14:paraId="0D38FDB8" w14:textId="74D84408" w:rsidR="00911724" w:rsidRPr="004B24C7" w:rsidRDefault="00911724" w:rsidP="003812C9">
          <w:pPr>
            <w:pStyle w:val="TOC2"/>
            <w:rPr>
              <w:sz w:val="24"/>
              <w:szCs w:val="24"/>
              <w:lang w:val="en-PK" w:eastAsia="en-PK"/>
            </w:rPr>
          </w:pPr>
          <w:hyperlink w:anchor="_Toc242459575" w:history="1">
            <w:r w:rsidRPr="004B24C7">
              <w:rPr>
                <w:rStyle w:val="Hyperlink"/>
                <w:bCs/>
              </w:rPr>
              <w:t>Summary</w:t>
            </w:r>
            <w:r w:rsidRPr="004B24C7">
              <w:rPr>
                <w:webHidden/>
              </w:rPr>
              <w:tab/>
            </w:r>
            <w:r w:rsidRPr="004B24C7">
              <w:rPr>
                <w:webHidden/>
              </w:rPr>
              <w:fldChar w:fldCharType="begin"/>
            </w:r>
            <w:r w:rsidRPr="004B24C7">
              <w:rPr>
                <w:webHidden/>
              </w:rPr>
              <w:instrText xml:space="preserve"> PAGEREF _Toc242459575 \h </w:instrText>
            </w:r>
            <w:r w:rsidRPr="004B24C7">
              <w:rPr>
                <w:webHidden/>
              </w:rPr>
            </w:r>
            <w:r w:rsidRPr="004B24C7">
              <w:rPr>
                <w:webHidden/>
              </w:rPr>
              <w:fldChar w:fldCharType="separate"/>
            </w:r>
            <w:r w:rsidRPr="004B24C7">
              <w:rPr>
                <w:webHidden/>
              </w:rPr>
              <w:t>68</w:t>
            </w:r>
            <w:r w:rsidRPr="004B24C7">
              <w:rPr>
                <w:webHidden/>
              </w:rPr>
              <w:fldChar w:fldCharType="end"/>
            </w:r>
          </w:hyperlink>
        </w:p>
        <w:p w14:paraId="5E6A261A" w14:textId="2FB8A451" w:rsidR="00911724" w:rsidRPr="004B24C7" w:rsidRDefault="00911724">
          <w:pPr>
            <w:pStyle w:val="TOC1"/>
            <w:tabs>
              <w:tab w:val="right" w:leader="dot" w:pos="9016"/>
            </w:tabs>
            <w:rPr>
              <w:rFonts w:ascii="Arial" w:eastAsiaTheme="minorEastAsia" w:hAnsi="Arial" w:cs="Arial"/>
              <w:b/>
              <w:bCs/>
              <w:noProof/>
              <w:color w:val="auto"/>
              <w:szCs w:val="24"/>
              <w:lang w:val="en-PK" w:eastAsia="en-PK"/>
            </w:rPr>
          </w:pPr>
          <w:hyperlink w:anchor="_Toc242459576" w:history="1">
            <w:r w:rsidRPr="004B24C7">
              <w:rPr>
                <w:rStyle w:val="Hyperlink"/>
                <w:rFonts w:ascii="Arial" w:hAnsi="Arial" w:cs="Arial"/>
                <w:b/>
                <w:bCs/>
                <w:noProof/>
              </w:rPr>
              <w:t>References</w:t>
            </w:r>
            <w:r w:rsidRPr="004B24C7">
              <w:rPr>
                <w:rFonts w:ascii="Arial" w:hAnsi="Arial" w:cs="Arial"/>
                <w:b/>
                <w:bCs/>
                <w:noProof/>
                <w:webHidden/>
              </w:rPr>
              <w:tab/>
            </w:r>
            <w:r w:rsidRPr="004B24C7">
              <w:rPr>
                <w:rFonts w:ascii="Arial" w:hAnsi="Arial" w:cs="Arial"/>
                <w:b/>
                <w:bCs/>
                <w:noProof/>
                <w:webHidden/>
              </w:rPr>
              <w:fldChar w:fldCharType="begin"/>
            </w:r>
            <w:r w:rsidRPr="004B24C7">
              <w:rPr>
                <w:rFonts w:ascii="Arial" w:hAnsi="Arial" w:cs="Arial"/>
                <w:b/>
                <w:bCs/>
                <w:noProof/>
                <w:webHidden/>
              </w:rPr>
              <w:instrText xml:space="preserve"> PAGEREF _Toc242459576 \h </w:instrText>
            </w:r>
            <w:r w:rsidRPr="004B24C7">
              <w:rPr>
                <w:rFonts w:ascii="Arial" w:hAnsi="Arial" w:cs="Arial"/>
                <w:b/>
                <w:bCs/>
                <w:noProof/>
                <w:webHidden/>
              </w:rPr>
            </w:r>
            <w:r w:rsidRPr="004B24C7">
              <w:rPr>
                <w:rFonts w:ascii="Arial" w:hAnsi="Arial" w:cs="Arial"/>
                <w:b/>
                <w:bCs/>
                <w:noProof/>
                <w:webHidden/>
              </w:rPr>
              <w:fldChar w:fldCharType="separate"/>
            </w:r>
            <w:r w:rsidRPr="004B24C7">
              <w:rPr>
                <w:rFonts w:ascii="Arial" w:hAnsi="Arial" w:cs="Arial"/>
                <w:b/>
                <w:bCs/>
                <w:noProof/>
                <w:webHidden/>
              </w:rPr>
              <w:t>69</w:t>
            </w:r>
            <w:r w:rsidRPr="004B24C7">
              <w:rPr>
                <w:rFonts w:ascii="Arial" w:hAnsi="Arial" w:cs="Arial"/>
                <w:b/>
                <w:bCs/>
                <w:noProof/>
                <w:webHidden/>
              </w:rPr>
              <w:fldChar w:fldCharType="end"/>
            </w:r>
          </w:hyperlink>
        </w:p>
        <w:p w14:paraId="29449E5F" w14:textId="2BFC6C5F" w:rsidR="00911724" w:rsidRPr="004B24C7" w:rsidRDefault="00911724">
          <w:pPr>
            <w:pStyle w:val="TOC1"/>
            <w:tabs>
              <w:tab w:val="right" w:leader="dot" w:pos="9016"/>
            </w:tabs>
            <w:rPr>
              <w:rFonts w:ascii="Arial" w:eastAsiaTheme="minorEastAsia" w:hAnsi="Arial" w:cs="Arial"/>
              <w:b/>
              <w:bCs/>
              <w:noProof/>
              <w:color w:val="auto"/>
              <w:szCs w:val="24"/>
              <w:lang w:val="en-PK" w:eastAsia="en-PK"/>
            </w:rPr>
          </w:pPr>
          <w:hyperlink w:anchor="_Toc242459577" w:history="1">
            <w:r w:rsidRPr="004B24C7">
              <w:rPr>
                <w:rStyle w:val="Hyperlink"/>
                <w:rFonts w:ascii="Arial" w:hAnsi="Arial" w:cs="Arial"/>
                <w:b/>
                <w:bCs/>
                <w:noProof/>
              </w:rPr>
              <w:t xml:space="preserve">Appendix </w:t>
            </w:r>
            <w:r w:rsidR="008E1639">
              <w:rPr>
                <w:rStyle w:val="Hyperlink"/>
                <w:rFonts w:ascii="Arial" w:hAnsi="Arial" w:cs="Arial"/>
                <w:b/>
                <w:bCs/>
                <w:noProof/>
              </w:rPr>
              <w:t>A: Search</w:t>
            </w:r>
            <w:r w:rsidRPr="004B24C7">
              <w:rPr>
                <w:rStyle w:val="Hyperlink"/>
                <w:rFonts w:ascii="Arial" w:hAnsi="Arial" w:cs="Arial"/>
                <w:b/>
                <w:bCs/>
                <w:noProof/>
              </w:rPr>
              <w:t xml:space="preserve"> sources and strategies</w:t>
            </w:r>
            <w:r w:rsidRPr="004B24C7">
              <w:rPr>
                <w:rFonts w:ascii="Arial" w:hAnsi="Arial" w:cs="Arial"/>
                <w:b/>
                <w:bCs/>
                <w:noProof/>
                <w:webHidden/>
              </w:rPr>
              <w:tab/>
            </w:r>
            <w:r w:rsidRPr="004B24C7">
              <w:rPr>
                <w:rFonts w:ascii="Arial" w:hAnsi="Arial" w:cs="Arial"/>
                <w:b/>
                <w:bCs/>
                <w:noProof/>
                <w:webHidden/>
              </w:rPr>
              <w:fldChar w:fldCharType="begin"/>
            </w:r>
            <w:r w:rsidRPr="004B24C7">
              <w:rPr>
                <w:rFonts w:ascii="Arial" w:hAnsi="Arial" w:cs="Arial"/>
                <w:b/>
                <w:bCs/>
                <w:noProof/>
                <w:webHidden/>
              </w:rPr>
              <w:instrText xml:space="preserve"> PAGEREF _Toc242459577 \h </w:instrText>
            </w:r>
            <w:r w:rsidRPr="004B24C7">
              <w:rPr>
                <w:rFonts w:ascii="Arial" w:hAnsi="Arial" w:cs="Arial"/>
                <w:b/>
                <w:bCs/>
                <w:noProof/>
                <w:webHidden/>
              </w:rPr>
            </w:r>
            <w:r w:rsidRPr="004B24C7">
              <w:rPr>
                <w:rFonts w:ascii="Arial" w:hAnsi="Arial" w:cs="Arial"/>
                <w:b/>
                <w:bCs/>
                <w:noProof/>
                <w:webHidden/>
              </w:rPr>
              <w:fldChar w:fldCharType="separate"/>
            </w:r>
            <w:r w:rsidRPr="004B24C7">
              <w:rPr>
                <w:rFonts w:ascii="Arial" w:hAnsi="Arial" w:cs="Arial"/>
                <w:b/>
                <w:bCs/>
                <w:noProof/>
                <w:webHidden/>
              </w:rPr>
              <w:t>83</w:t>
            </w:r>
            <w:r w:rsidRPr="004B24C7">
              <w:rPr>
                <w:rFonts w:ascii="Arial" w:hAnsi="Arial" w:cs="Arial"/>
                <w:b/>
                <w:bCs/>
                <w:noProof/>
                <w:webHidden/>
              </w:rPr>
              <w:fldChar w:fldCharType="end"/>
            </w:r>
          </w:hyperlink>
        </w:p>
        <w:p w14:paraId="487C5DB4" w14:textId="5BD2BF9F" w:rsidR="00911724" w:rsidRPr="004B24C7" w:rsidRDefault="00911724" w:rsidP="003812C9">
          <w:pPr>
            <w:pStyle w:val="TOC2"/>
            <w:rPr>
              <w:sz w:val="24"/>
              <w:szCs w:val="24"/>
              <w:lang w:val="en-PK" w:eastAsia="en-PK"/>
            </w:rPr>
          </w:pPr>
          <w:hyperlink w:anchor="_Toc242459578" w:history="1">
            <w:r w:rsidRPr="004B24C7">
              <w:rPr>
                <w:rStyle w:val="Hyperlink"/>
                <w:bCs/>
              </w:rPr>
              <w:t>A1 Search inventory</w:t>
            </w:r>
            <w:r w:rsidRPr="004B24C7">
              <w:rPr>
                <w:webHidden/>
              </w:rPr>
              <w:tab/>
            </w:r>
            <w:r w:rsidRPr="004B24C7">
              <w:rPr>
                <w:webHidden/>
              </w:rPr>
              <w:fldChar w:fldCharType="begin"/>
            </w:r>
            <w:r w:rsidRPr="004B24C7">
              <w:rPr>
                <w:webHidden/>
              </w:rPr>
              <w:instrText xml:space="preserve"> PAGEREF _Toc242459578 \h </w:instrText>
            </w:r>
            <w:r w:rsidRPr="004B24C7">
              <w:rPr>
                <w:webHidden/>
              </w:rPr>
            </w:r>
            <w:r w:rsidRPr="004B24C7">
              <w:rPr>
                <w:webHidden/>
              </w:rPr>
              <w:fldChar w:fldCharType="separate"/>
            </w:r>
            <w:r w:rsidRPr="004B24C7">
              <w:rPr>
                <w:webHidden/>
              </w:rPr>
              <w:t>83</w:t>
            </w:r>
            <w:r w:rsidRPr="004B24C7">
              <w:rPr>
                <w:webHidden/>
              </w:rPr>
              <w:fldChar w:fldCharType="end"/>
            </w:r>
          </w:hyperlink>
        </w:p>
        <w:p w14:paraId="6623AF42" w14:textId="1D5CEA8E" w:rsidR="00911724" w:rsidRPr="004B24C7" w:rsidRDefault="00911724" w:rsidP="003812C9">
          <w:pPr>
            <w:pStyle w:val="TOC2"/>
            <w:rPr>
              <w:sz w:val="24"/>
              <w:szCs w:val="24"/>
              <w:lang w:val="en-PK" w:eastAsia="en-PK"/>
            </w:rPr>
          </w:pPr>
          <w:hyperlink w:anchor="_Toc242459579" w:history="1">
            <w:r w:rsidRPr="004B24C7">
              <w:rPr>
                <w:rStyle w:val="Hyperlink"/>
                <w:bCs/>
              </w:rPr>
              <w:t>A2 PubMed</w:t>
            </w:r>
            <w:r w:rsidRPr="004B24C7">
              <w:rPr>
                <w:webHidden/>
              </w:rPr>
              <w:tab/>
            </w:r>
            <w:r w:rsidRPr="004B24C7">
              <w:rPr>
                <w:webHidden/>
              </w:rPr>
              <w:fldChar w:fldCharType="begin"/>
            </w:r>
            <w:r w:rsidRPr="004B24C7">
              <w:rPr>
                <w:webHidden/>
              </w:rPr>
              <w:instrText xml:space="preserve"> PAGEREF _Toc242459579 \h </w:instrText>
            </w:r>
            <w:r w:rsidRPr="004B24C7">
              <w:rPr>
                <w:webHidden/>
              </w:rPr>
            </w:r>
            <w:r w:rsidRPr="004B24C7">
              <w:rPr>
                <w:webHidden/>
              </w:rPr>
              <w:fldChar w:fldCharType="separate"/>
            </w:r>
            <w:r w:rsidRPr="004B24C7">
              <w:rPr>
                <w:webHidden/>
              </w:rPr>
              <w:t>83</w:t>
            </w:r>
            <w:r w:rsidRPr="004B24C7">
              <w:rPr>
                <w:webHidden/>
              </w:rPr>
              <w:fldChar w:fldCharType="end"/>
            </w:r>
          </w:hyperlink>
        </w:p>
        <w:p w14:paraId="02077443" w14:textId="3F9E3221" w:rsidR="00911724" w:rsidRPr="004B24C7" w:rsidRDefault="00911724" w:rsidP="003812C9">
          <w:pPr>
            <w:pStyle w:val="TOC2"/>
            <w:rPr>
              <w:sz w:val="24"/>
              <w:szCs w:val="24"/>
              <w:lang w:val="en-PK" w:eastAsia="en-PK"/>
            </w:rPr>
          </w:pPr>
          <w:hyperlink w:anchor="_Toc242459580" w:history="1">
            <w:r w:rsidRPr="004B24C7">
              <w:rPr>
                <w:rStyle w:val="Hyperlink"/>
                <w:bCs/>
              </w:rPr>
              <w:t>A3 ScienceDirect</w:t>
            </w:r>
            <w:r w:rsidRPr="004B24C7">
              <w:rPr>
                <w:webHidden/>
              </w:rPr>
              <w:tab/>
            </w:r>
            <w:r w:rsidRPr="004B24C7">
              <w:rPr>
                <w:webHidden/>
              </w:rPr>
              <w:fldChar w:fldCharType="begin"/>
            </w:r>
            <w:r w:rsidRPr="004B24C7">
              <w:rPr>
                <w:webHidden/>
              </w:rPr>
              <w:instrText xml:space="preserve"> PAGEREF _Toc242459580 \h </w:instrText>
            </w:r>
            <w:r w:rsidRPr="004B24C7">
              <w:rPr>
                <w:webHidden/>
              </w:rPr>
            </w:r>
            <w:r w:rsidRPr="004B24C7">
              <w:rPr>
                <w:webHidden/>
              </w:rPr>
              <w:fldChar w:fldCharType="separate"/>
            </w:r>
            <w:r w:rsidRPr="004B24C7">
              <w:rPr>
                <w:webHidden/>
              </w:rPr>
              <w:t>84</w:t>
            </w:r>
            <w:r w:rsidRPr="004B24C7">
              <w:rPr>
                <w:webHidden/>
              </w:rPr>
              <w:fldChar w:fldCharType="end"/>
            </w:r>
          </w:hyperlink>
        </w:p>
        <w:p w14:paraId="7303D66C" w14:textId="2143736C" w:rsidR="00911724" w:rsidRPr="004B24C7" w:rsidRDefault="00911724" w:rsidP="003812C9">
          <w:pPr>
            <w:pStyle w:val="TOC2"/>
            <w:rPr>
              <w:sz w:val="24"/>
              <w:szCs w:val="24"/>
              <w:lang w:val="en-PK" w:eastAsia="en-PK"/>
            </w:rPr>
          </w:pPr>
          <w:hyperlink w:anchor="_Toc242459581" w:history="1">
            <w:r w:rsidRPr="004B24C7">
              <w:rPr>
                <w:rStyle w:val="Hyperlink"/>
                <w:bCs/>
              </w:rPr>
              <w:t>A4 BioMed Central journals</w:t>
            </w:r>
            <w:r w:rsidRPr="004B24C7">
              <w:rPr>
                <w:webHidden/>
              </w:rPr>
              <w:tab/>
            </w:r>
            <w:r w:rsidRPr="004B24C7">
              <w:rPr>
                <w:webHidden/>
              </w:rPr>
              <w:fldChar w:fldCharType="begin"/>
            </w:r>
            <w:r w:rsidRPr="004B24C7">
              <w:rPr>
                <w:webHidden/>
              </w:rPr>
              <w:instrText xml:space="preserve"> PAGEREF _Toc242459581 \h </w:instrText>
            </w:r>
            <w:r w:rsidRPr="004B24C7">
              <w:rPr>
                <w:webHidden/>
              </w:rPr>
            </w:r>
            <w:r w:rsidRPr="004B24C7">
              <w:rPr>
                <w:webHidden/>
              </w:rPr>
              <w:fldChar w:fldCharType="separate"/>
            </w:r>
            <w:r w:rsidRPr="004B24C7">
              <w:rPr>
                <w:webHidden/>
              </w:rPr>
              <w:t>84</w:t>
            </w:r>
            <w:r w:rsidRPr="004B24C7">
              <w:rPr>
                <w:webHidden/>
              </w:rPr>
              <w:fldChar w:fldCharType="end"/>
            </w:r>
          </w:hyperlink>
        </w:p>
        <w:p w14:paraId="7545F441" w14:textId="779AFF6E" w:rsidR="00911724" w:rsidRPr="004B24C7" w:rsidRDefault="00911724" w:rsidP="003812C9">
          <w:pPr>
            <w:pStyle w:val="TOC2"/>
            <w:rPr>
              <w:sz w:val="24"/>
              <w:szCs w:val="24"/>
              <w:lang w:val="en-PK" w:eastAsia="en-PK"/>
            </w:rPr>
          </w:pPr>
          <w:hyperlink w:anchor="_Toc242459582" w:history="1">
            <w:r w:rsidRPr="004B24C7">
              <w:rPr>
                <w:rStyle w:val="Hyperlink"/>
                <w:bCs/>
              </w:rPr>
              <w:t>A5 Supplementary PubMed retrieval</w:t>
            </w:r>
            <w:r w:rsidRPr="004B24C7">
              <w:rPr>
                <w:webHidden/>
              </w:rPr>
              <w:tab/>
            </w:r>
            <w:r w:rsidRPr="004B24C7">
              <w:rPr>
                <w:webHidden/>
              </w:rPr>
              <w:fldChar w:fldCharType="begin"/>
            </w:r>
            <w:r w:rsidRPr="004B24C7">
              <w:rPr>
                <w:webHidden/>
              </w:rPr>
              <w:instrText xml:space="preserve"> PAGEREF _Toc242459582 \h </w:instrText>
            </w:r>
            <w:r w:rsidRPr="004B24C7">
              <w:rPr>
                <w:webHidden/>
              </w:rPr>
            </w:r>
            <w:r w:rsidRPr="004B24C7">
              <w:rPr>
                <w:webHidden/>
              </w:rPr>
              <w:fldChar w:fldCharType="separate"/>
            </w:r>
            <w:r w:rsidRPr="004B24C7">
              <w:rPr>
                <w:webHidden/>
              </w:rPr>
              <w:t>85</w:t>
            </w:r>
            <w:r w:rsidRPr="004B24C7">
              <w:rPr>
                <w:webHidden/>
              </w:rPr>
              <w:fldChar w:fldCharType="end"/>
            </w:r>
          </w:hyperlink>
        </w:p>
        <w:p w14:paraId="17B85EAC" w14:textId="4D96B536" w:rsidR="00911724" w:rsidRPr="004B24C7" w:rsidRDefault="005D13E7">
          <w:pPr>
            <w:pStyle w:val="TOC1"/>
            <w:tabs>
              <w:tab w:val="right" w:leader="dot" w:pos="9016"/>
            </w:tabs>
            <w:rPr>
              <w:rFonts w:ascii="Arial" w:eastAsiaTheme="minorEastAsia" w:hAnsi="Arial" w:cs="Arial"/>
              <w:b/>
              <w:bCs/>
              <w:noProof/>
              <w:color w:val="auto"/>
              <w:szCs w:val="24"/>
              <w:lang w:val="en-PK" w:eastAsia="en-PK"/>
            </w:rPr>
          </w:pPr>
          <w:hyperlink w:anchor="_Toc242459583" w:history="1">
            <w:r>
              <w:rPr>
                <w:rStyle w:val="Hyperlink"/>
                <w:rFonts w:ascii="Arial" w:hAnsi="Arial" w:cs="Arial"/>
                <w:b/>
                <w:bCs/>
                <w:noProof/>
              </w:rPr>
              <w:t>Appendix B:</w:t>
            </w:r>
            <w:r w:rsidR="00911724" w:rsidRPr="004B24C7">
              <w:rPr>
                <w:rStyle w:val="Hyperlink"/>
                <w:rFonts w:ascii="Arial" w:hAnsi="Arial" w:cs="Arial"/>
                <w:b/>
                <w:bCs/>
                <w:noProof/>
              </w:rPr>
              <w:t xml:space="preserve"> Evidence and extraction register</w:t>
            </w:r>
            <w:r w:rsidR="00911724" w:rsidRPr="004B24C7">
              <w:rPr>
                <w:rFonts w:ascii="Arial" w:hAnsi="Arial" w:cs="Arial"/>
                <w:b/>
                <w:bCs/>
                <w:noProof/>
                <w:webHidden/>
              </w:rPr>
              <w:tab/>
            </w:r>
            <w:r w:rsidR="00911724" w:rsidRPr="004B24C7">
              <w:rPr>
                <w:rFonts w:ascii="Arial" w:hAnsi="Arial" w:cs="Arial"/>
                <w:b/>
                <w:bCs/>
                <w:noProof/>
                <w:webHidden/>
              </w:rPr>
              <w:fldChar w:fldCharType="begin"/>
            </w:r>
            <w:r w:rsidR="00911724" w:rsidRPr="004B24C7">
              <w:rPr>
                <w:rFonts w:ascii="Arial" w:hAnsi="Arial" w:cs="Arial"/>
                <w:b/>
                <w:bCs/>
                <w:noProof/>
                <w:webHidden/>
              </w:rPr>
              <w:instrText xml:space="preserve"> PAGEREF _Toc242459583 \h </w:instrText>
            </w:r>
            <w:r w:rsidR="00911724" w:rsidRPr="004B24C7">
              <w:rPr>
                <w:rFonts w:ascii="Arial" w:hAnsi="Arial" w:cs="Arial"/>
                <w:b/>
                <w:bCs/>
                <w:noProof/>
                <w:webHidden/>
              </w:rPr>
            </w:r>
            <w:r w:rsidR="00911724" w:rsidRPr="004B24C7">
              <w:rPr>
                <w:rFonts w:ascii="Arial" w:hAnsi="Arial" w:cs="Arial"/>
                <w:b/>
                <w:bCs/>
                <w:noProof/>
                <w:webHidden/>
              </w:rPr>
              <w:fldChar w:fldCharType="separate"/>
            </w:r>
            <w:r w:rsidR="00911724" w:rsidRPr="004B24C7">
              <w:rPr>
                <w:rFonts w:ascii="Arial" w:hAnsi="Arial" w:cs="Arial"/>
                <w:b/>
                <w:bCs/>
                <w:noProof/>
                <w:webHidden/>
              </w:rPr>
              <w:t>86</w:t>
            </w:r>
            <w:r w:rsidR="00911724" w:rsidRPr="004B24C7">
              <w:rPr>
                <w:rFonts w:ascii="Arial" w:hAnsi="Arial" w:cs="Arial"/>
                <w:b/>
                <w:bCs/>
                <w:noProof/>
                <w:webHidden/>
              </w:rPr>
              <w:fldChar w:fldCharType="end"/>
            </w:r>
          </w:hyperlink>
        </w:p>
        <w:p w14:paraId="1714A61B" w14:textId="79FF0E68" w:rsidR="00911724" w:rsidRPr="004B24C7" w:rsidRDefault="00911724" w:rsidP="003812C9">
          <w:pPr>
            <w:pStyle w:val="TOC2"/>
            <w:rPr>
              <w:sz w:val="24"/>
              <w:szCs w:val="24"/>
              <w:lang w:val="en-PK" w:eastAsia="en-PK"/>
            </w:rPr>
          </w:pPr>
          <w:hyperlink w:anchor="_Toc242459584" w:history="1">
            <w:r w:rsidRPr="004B24C7">
              <w:rPr>
                <w:rStyle w:val="Hyperlink"/>
                <w:bCs/>
              </w:rPr>
              <w:t>R0024 Berry et al. (2018)</w:t>
            </w:r>
            <w:r w:rsidRPr="004B24C7">
              <w:rPr>
                <w:webHidden/>
              </w:rPr>
              <w:tab/>
            </w:r>
            <w:r w:rsidRPr="004B24C7">
              <w:rPr>
                <w:webHidden/>
              </w:rPr>
              <w:fldChar w:fldCharType="begin"/>
            </w:r>
            <w:r w:rsidRPr="004B24C7">
              <w:rPr>
                <w:webHidden/>
              </w:rPr>
              <w:instrText xml:space="preserve"> PAGEREF _Toc242459584 \h </w:instrText>
            </w:r>
            <w:r w:rsidRPr="004B24C7">
              <w:rPr>
                <w:webHidden/>
              </w:rPr>
            </w:r>
            <w:r w:rsidRPr="004B24C7">
              <w:rPr>
                <w:webHidden/>
              </w:rPr>
              <w:fldChar w:fldCharType="separate"/>
            </w:r>
            <w:r w:rsidRPr="004B24C7">
              <w:rPr>
                <w:webHidden/>
              </w:rPr>
              <w:t>86</w:t>
            </w:r>
            <w:r w:rsidRPr="004B24C7">
              <w:rPr>
                <w:webHidden/>
              </w:rPr>
              <w:fldChar w:fldCharType="end"/>
            </w:r>
          </w:hyperlink>
        </w:p>
        <w:p w14:paraId="0E352770" w14:textId="392B83BD" w:rsidR="00911724" w:rsidRPr="004B24C7" w:rsidRDefault="00911724" w:rsidP="003812C9">
          <w:pPr>
            <w:pStyle w:val="TOC2"/>
            <w:rPr>
              <w:sz w:val="24"/>
              <w:szCs w:val="24"/>
              <w:lang w:val="en-PK" w:eastAsia="en-PK"/>
            </w:rPr>
          </w:pPr>
          <w:hyperlink w:anchor="_Toc242459585" w:history="1">
            <w:r w:rsidRPr="004B24C7">
              <w:rPr>
                <w:rStyle w:val="Hyperlink"/>
                <w:bCs/>
              </w:rPr>
              <w:t>R0046 Sweeting et al. (2016)</w:t>
            </w:r>
            <w:r w:rsidRPr="004B24C7">
              <w:rPr>
                <w:webHidden/>
              </w:rPr>
              <w:tab/>
            </w:r>
            <w:r w:rsidRPr="004B24C7">
              <w:rPr>
                <w:webHidden/>
              </w:rPr>
              <w:fldChar w:fldCharType="begin"/>
            </w:r>
            <w:r w:rsidRPr="004B24C7">
              <w:rPr>
                <w:webHidden/>
              </w:rPr>
              <w:instrText xml:space="preserve"> PAGEREF _Toc242459585 \h </w:instrText>
            </w:r>
            <w:r w:rsidRPr="004B24C7">
              <w:rPr>
                <w:webHidden/>
              </w:rPr>
            </w:r>
            <w:r w:rsidRPr="004B24C7">
              <w:rPr>
                <w:webHidden/>
              </w:rPr>
              <w:fldChar w:fldCharType="separate"/>
            </w:r>
            <w:r w:rsidRPr="004B24C7">
              <w:rPr>
                <w:webHidden/>
              </w:rPr>
              <w:t>86</w:t>
            </w:r>
            <w:r w:rsidRPr="004B24C7">
              <w:rPr>
                <w:webHidden/>
              </w:rPr>
              <w:fldChar w:fldCharType="end"/>
            </w:r>
          </w:hyperlink>
        </w:p>
        <w:p w14:paraId="2836AE0F" w14:textId="56D9A786" w:rsidR="00911724" w:rsidRPr="004B24C7" w:rsidRDefault="00911724" w:rsidP="003812C9">
          <w:pPr>
            <w:pStyle w:val="TOC2"/>
            <w:rPr>
              <w:sz w:val="24"/>
              <w:szCs w:val="24"/>
              <w:lang w:val="en-PK" w:eastAsia="en-PK"/>
            </w:rPr>
          </w:pPr>
          <w:hyperlink w:anchor="_Toc242459586" w:history="1">
            <w:r w:rsidRPr="004B24C7">
              <w:rPr>
                <w:rStyle w:val="Hyperlink"/>
                <w:bCs/>
              </w:rPr>
              <w:t>R0132 Tang et al. (2026)</w:t>
            </w:r>
            <w:r w:rsidRPr="004B24C7">
              <w:rPr>
                <w:webHidden/>
              </w:rPr>
              <w:tab/>
            </w:r>
            <w:r w:rsidRPr="004B24C7">
              <w:rPr>
                <w:webHidden/>
              </w:rPr>
              <w:fldChar w:fldCharType="begin"/>
            </w:r>
            <w:r w:rsidRPr="004B24C7">
              <w:rPr>
                <w:webHidden/>
              </w:rPr>
              <w:instrText xml:space="preserve"> PAGEREF _Toc242459586 \h </w:instrText>
            </w:r>
            <w:r w:rsidRPr="004B24C7">
              <w:rPr>
                <w:webHidden/>
              </w:rPr>
            </w:r>
            <w:r w:rsidRPr="004B24C7">
              <w:rPr>
                <w:webHidden/>
              </w:rPr>
              <w:fldChar w:fldCharType="separate"/>
            </w:r>
            <w:r w:rsidRPr="004B24C7">
              <w:rPr>
                <w:webHidden/>
              </w:rPr>
              <w:t>87</w:t>
            </w:r>
            <w:r w:rsidRPr="004B24C7">
              <w:rPr>
                <w:webHidden/>
              </w:rPr>
              <w:fldChar w:fldCharType="end"/>
            </w:r>
          </w:hyperlink>
        </w:p>
        <w:p w14:paraId="54C03C08" w14:textId="538BF5A2" w:rsidR="00911724" w:rsidRPr="004B24C7" w:rsidRDefault="00911724" w:rsidP="003812C9">
          <w:pPr>
            <w:pStyle w:val="TOC2"/>
            <w:rPr>
              <w:sz w:val="24"/>
              <w:szCs w:val="24"/>
              <w:lang w:val="en-PK" w:eastAsia="en-PK"/>
            </w:rPr>
          </w:pPr>
          <w:hyperlink w:anchor="_Toc242459587" w:history="1">
            <w:r w:rsidRPr="004B24C7">
              <w:rPr>
                <w:rStyle w:val="Hyperlink"/>
                <w:bCs/>
              </w:rPr>
              <w:t>R0096 Scott et al. (2020)</w:t>
            </w:r>
            <w:r w:rsidRPr="004B24C7">
              <w:rPr>
                <w:webHidden/>
              </w:rPr>
              <w:tab/>
            </w:r>
            <w:r w:rsidRPr="004B24C7">
              <w:rPr>
                <w:webHidden/>
              </w:rPr>
              <w:fldChar w:fldCharType="begin"/>
            </w:r>
            <w:r w:rsidRPr="004B24C7">
              <w:rPr>
                <w:webHidden/>
              </w:rPr>
              <w:instrText xml:space="preserve"> PAGEREF _Toc242459587 \h </w:instrText>
            </w:r>
            <w:r w:rsidRPr="004B24C7">
              <w:rPr>
                <w:webHidden/>
              </w:rPr>
            </w:r>
            <w:r w:rsidRPr="004B24C7">
              <w:rPr>
                <w:webHidden/>
              </w:rPr>
              <w:fldChar w:fldCharType="separate"/>
            </w:r>
            <w:r w:rsidRPr="004B24C7">
              <w:rPr>
                <w:webHidden/>
              </w:rPr>
              <w:t>87</w:t>
            </w:r>
            <w:r w:rsidRPr="004B24C7">
              <w:rPr>
                <w:webHidden/>
              </w:rPr>
              <w:fldChar w:fldCharType="end"/>
            </w:r>
          </w:hyperlink>
        </w:p>
        <w:p w14:paraId="6DCBDCCA" w14:textId="3530720E" w:rsidR="00911724" w:rsidRPr="004B24C7" w:rsidRDefault="00911724" w:rsidP="003812C9">
          <w:pPr>
            <w:pStyle w:val="TOC2"/>
            <w:rPr>
              <w:sz w:val="24"/>
              <w:szCs w:val="24"/>
              <w:lang w:val="en-PK" w:eastAsia="en-PK"/>
            </w:rPr>
          </w:pPr>
          <w:hyperlink w:anchor="_Toc242459588" w:history="1">
            <w:r w:rsidRPr="004B24C7">
              <w:rPr>
                <w:rStyle w:val="Hyperlink"/>
                <w:bCs/>
              </w:rPr>
              <w:t>R0058 Canzini and Langdon-Daly (2025)</w:t>
            </w:r>
            <w:r w:rsidRPr="004B24C7">
              <w:rPr>
                <w:webHidden/>
              </w:rPr>
              <w:tab/>
            </w:r>
            <w:r w:rsidRPr="004B24C7">
              <w:rPr>
                <w:webHidden/>
              </w:rPr>
              <w:fldChar w:fldCharType="begin"/>
            </w:r>
            <w:r w:rsidRPr="004B24C7">
              <w:rPr>
                <w:webHidden/>
              </w:rPr>
              <w:instrText xml:space="preserve"> PAGEREF _Toc242459588 \h </w:instrText>
            </w:r>
            <w:r w:rsidRPr="004B24C7">
              <w:rPr>
                <w:webHidden/>
              </w:rPr>
            </w:r>
            <w:r w:rsidRPr="004B24C7">
              <w:rPr>
                <w:webHidden/>
              </w:rPr>
              <w:fldChar w:fldCharType="separate"/>
            </w:r>
            <w:r w:rsidRPr="004B24C7">
              <w:rPr>
                <w:webHidden/>
              </w:rPr>
              <w:t>87</w:t>
            </w:r>
            <w:r w:rsidRPr="004B24C7">
              <w:rPr>
                <w:webHidden/>
              </w:rPr>
              <w:fldChar w:fldCharType="end"/>
            </w:r>
          </w:hyperlink>
        </w:p>
        <w:p w14:paraId="40E22213" w14:textId="3CA6C2CE" w:rsidR="00911724" w:rsidRPr="004B24C7" w:rsidRDefault="00911724" w:rsidP="003812C9">
          <w:pPr>
            <w:pStyle w:val="TOC2"/>
            <w:rPr>
              <w:sz w:val="24"/>
              <w:szCs w:val="24"/>
              <w:lang w:val="en-PK" w:eastAsia="en-PK"/>
            </w:rPr>
          </w:pPr>
          <w:hyperlink w:anchor="_Toc242459589" w:history="1">
            <w:r w:rsidRPr="004B24C7">
              <w:rPr>
                <w:rStyle w:val="Hyperlink"/>
                <w:bCs/>
              </w:rPr>
              <w:t>R0040 Rodrigues et al. (2025)</w:t>
            </w:r>
            <w:r w:rsidRPr="004B24C7">
              <w:rPr>
                <w:webHidden/>
              </w:rPr>
              <w:tab/>
            </w:r>
            <w:r w:rsidRPr="004B24C7">
              <w:rPr>
                <w:webHidden/>
              </w:rPr>
              <w:fldChar w:fldCharType="begin"/>
            </w:r>
            <w:r w:rsidRPr="004B24C7">
              <w:rPr>
                <w:webHidden/>
              </w:rPr>
              <w:instrText xml:space="preserve"> PAGEREF _Toc242459589 \h </w:instrText>
            </w:r>
            <w:r w:rsidRPr="004B24C7">
              <w:rPr>
                <w:webHidden/>
              </w:rPr>
            </w:r>
            <w:r w:rsidRPr="004B24C7">
              <w:rPr>
                <w:webHidden/>
              </w:rPr>
              <w:fldChar w:fldCharType="separate"/>
            </w:r>
            <w:r w:rsidRPr="004B24C7">
              <w:rPr>
                <w:webHidden/>
              </w:rPr>
              <w:t>88</w:t>
            </w:r>
            <w:r w:rsidRPr="004B24C7">
              <w:rPr>
                <w:webHidden/>
              </w:rPr>
              <w:fldChar w:fldCharType="end"/>
            </w:r>
          </w:hyperlink>
        </w:p>
        <w:p w14:paraId="3E4213EF" w14:textId="70A0B29B" w:rsidR="00911724" w:rsidRPr="004B24C7" w:rsidRDefault="00911724" w:rsidP="003812C9">
          <w:pPr>
            <w:pStyle w:val="TOC2"/>
            <w:rPr>
              <w:sz w:val="24"/>
              <w:szCs w:val="24"/>
              <w:lang w:val="en-PK" w:eastAsia="en-PK"/>
            </w:rPr>
          </w:pPr>
          <w:hyperlink w:anchor="_Toc242459590" w:history="1">
            <w:r w:rsidRPr="004B24C7">
              <w:rPr>
                <w:rStyle w:val="Hyperlink"/>
                <w:bCs/>
              </w:rPr>
              <w:t>R0097 Orlando et al. (2025)</w:t>
            </w:r>
            <w:r w:rsidRPr="004B24C7">
              <w:rPr>
                <w:webHidden/>
              </w:rPr>
              <w:tab/>
            </w:r>
            <w:r w:rsidRPr="004B24C7">
              <w:rPr>
                <w:webHidden/>
              </w:rPr>
              <w:fldChar w:fldCharType="begin"/>
            </w:r>
            <w:r w:rsidRPr="004B24C7">
              <w:rPr>
                <w:webHidden/>
              </w:rPr>
              <w:instrText xml:space="preserve"> PAGEREF _Toc242459590 \h </w:instrText>
            </w:r>
            <w:r w:rsidRPr="004B24C7">
              <w:rPr>
                <w:webHidden/>
              </w:rPr>
            </w:r>
            <w:r w:rsidRPr="004B24C7">
              <w:rPr>
                <w:webHidden/>
              </w:rPr>
              <w:fldChar w:fldCharType="separate"/>
            </w:r>
            <w:r w:rsidRPr="004B24C7">
              <w:rPr>
                <w:webHidden/>
              </w:rPr>
              <w:t>88</w:t>
            </w:r>
            <w:r w:rsidRPr="004B24C7">
              <w:rPr>
                <w:webHidden/>
              </w:rPr>
              <w:fldChar w:fldCharType="end"/>
            </w:r>
          </w:hyperlink>
        </w:p>
        <w:p w14:paraId="08039A49" w14:textId="33D7F13D" w:rsidR="00911724" w:rsidRPr="004B24C7" w:rsidRDefault="00911724" w:rsidP="003812C9">
          <w:pPr>
            <w:pStyle w:val="TOC2"/>
            <w:rPr>
              <w:sz w:val="24"/>
              <w:szCs w:val="24"/>
              <w:lang w:val="en-PK" w:eastAsia="en-PK"/>
            </w:rPr>
          </w:pPr>
          <w:hyperlink w:anchor="_Toc242459591" w:history="1">
            <w:r w:rsidRPr="004B24C7">
              <w:rPr>
                <w:rStyle w:val="Hyperlink"/>
                <w:bCs/>
              </w:rPr>
              <w:t>R0312 Hawkes et al. (2024)</w:t>
            </w:r>
            <w:r w:rsidRPr="004B24C7">
              <w:rPr>
                <w:webHidden/>
              </w:rPr>
              <w:tab/>
            </w:r>
            <w:r w:rsidRPr="004B24C7">
              <w:rPr>
                <w:webHidden/>
              </w:rPr>
              <w:fldChar w:fldCharType="begin"/>
            </w:r>
            <w:r w:rsidRPr="004B24C7">
              <w:rPr>
                <w:webHidden/>
              </w:rPr>
              <w:instrText xml:space="preserve"> PAGEREF _Toc242459591 \h </w:instrText>
            </w:r>
            <w:r w:rsidRPr="004B24C7">
              <w:rPr>
                <w:webHidden/>
              </w:rPr>
            </w:r>
            <w:r w:rsidRPr="004B24C7">
              <w:rPr>
                <w:webHidden/>
              </w:rPr>
              <w:fldChar w:fldCharType="separate"/>
            </w:r>
            <w:r w:rsidRPr="004B24C7">
              <w:rPr>
                <w:webHidden/>
              </w:rPr>
              <w:t>89</w:t>
            </w:r>
            <w:r w:rsidRPr="004B24C7">
              <w:rPr>
                <w:webHidden/>
              </w:rPr>
              <w:fldChar w:fldCharType="end"/>
            </w:r>
          </w:hyperlink>
        </w:p>
        <w:p w14:paraId="0D428990" w14:textId="2611F25B" w:rsidR="00911724" w:rsidRPr="004B24C7" w:rsidRDefault="00911724" w:rsidP="003812C9">
          <w:pPr>
            <w:pStyle w:val="TOC2"/>
            <w:rPr>
              <w:sz w:val="24"/>
              <w:szCs w:val="24"/>
              <w:lang w:val="en-PK" w:eastAsia="en-PK"/>
            </w:rPr>
          </w:pPr>
          <w:hyperlink w:anchor="_Toc242459592" w:history="1">
            <w:r w:rsidRPr="004B24C7">
              <w:rPr>
                <w:rStyle w:val="Hyperlink"/>
                <w:bCs/>
              </w:rPr>
              <w:t>S0001 Howard Wilsher, Fearne and Panagiotaki (2019)</w:t>
            </w:r>
            <w:r w:rsidRPr="004B24C7">
              <w:rPr>
                <w:webHidden/>
              </w:rPr>
              <w:tab/>
            </w:r>
            <w:r w:rsidRPr="004B24C7">
              <w:rPr>
                <w:webHidden/>
              </w:rPr>
              <w:fldChar w:fldCharType="begin"/>
            </w:r>
            <w:r w:rsidRPr="004B24C7">
              <w:rPr>
                <w:webHidden/>
              </w:rPr>
              <w:instrText xml:space="preserve"> PAGEREF _Toc242459592 \h </w:instrText>
            </w:r>
            <w:r w:rsidRPr="004B24C7">
              <w:rPr>
                <w:webHidden/>
              </w:rPr>
            </w:r>
            <w:r w:rsidRPr="004B24C7">
              <w:rPr>
                <w:webHidden/>
              </w:rPr>
              <w:fldChar w:fldCharType="separate"/>
            </w:r>
            <w:r w:rsidRPr="004B24C7">
              <w:rPr>
                <w:webHidden/>
              </w:rPr>
              <w:t>89</w:t>
            </w:r>
            <w:r w:rsidRPr="004B24C7">
              <w:rPr>
                <w:webHidden/>
              </w:rPr>
              <w:fldChar w:fldCharType="end"/>
            </w:r>
          </w:hyperlink>
        </w:p>
        <w:p w14:paraId="4CA3FEC7" w14:textId="1070BFD7" w:rsidR="00911724" w:rsidRPr="004B24C7" w:rsidRDefault="00911724" w:rsidP="003812C9">
          <w:pPr>
            <w:pStyle w:val="TOC2"/>
            <w:rPr>
              <w:sz w:val="24"/>
              <w:szCs w:val="24"/>
              <w:lang w:val="en-PK" w:eastAsia="en-PK"/>
            </w:rPr>
          </w:pPr>
          <w:hyperlink w:anchor="_Toc242459593" w:history="1">
            <w:r w:rsidRPr="004B24C7">
              <w:rPr>
                <w:rStyle w:val="Hyperlink"/>
                <w:bCs/>
              </w:rPr>
              <w:t>S0002 Trahearn et al. (2021)</w:t>
            </w:r>
            <w:r w:rsidRPr="004B24C7">
              <w:rPr>
                <w:webHidden/>
              </w:rPr>
              <w:tab/>
            </w:r>
            <w:r w:rsidRPr="004B24C7">
              <w:rPr>
                <w:webHidden/>
              </w:rPr>
              <w:fldChar w:fldCharType="begin"/>
            </w:r>
            <w:r w:rsidRPr="004B24C7">
              <w:rPr>
                <w:webHidden/>
              </w:rPr>
              <w:instrText xml:space="preserve"> PAGEREF _Toc242459593 \h </w:instrText>
            </w:r>
            <w:r w:rsidRPr="004B24C7">
              <w:rPr>
                <w:webHidden/>
              </w:rPr>
            </w:r>
            <w:r w:rsidRPr="004B24C7">
              <w:rPr>
                <w:webHidden/>
              </w:rPr>
              <w:fldChar w:fldCharType="separate"/>
            </w:r>
            <w:r w:rsidRPr="004B24C7">
              <w:rPr>
                <w:webHidden/>
              </w:rPr>
              <w:t>89</w:t>
            </w:r>
            <w:r w:rsidRPr="004B24C7">
              <w:rPr>
                <w:webHidden/>
              </w:rPr>
              <w:fldChar w:fldCharType="end"/>
            </w:r>
          </w:hyperlink>
        </w:p>
        <w:p w14:paraId="4A71EB3D" w14:textId="4A418E6C" w:rsidR="00911724" w:rsidRPr="004B24C7" w:rsidRDefault="00911724" w:rsidP="003812C9">
          <w:pPr>
            <w:pStyle w:val="TOC2"/>
            <w:rPr>
              <w:sz w:val="24"/>
              <w:szCs w:val="24"/>
              <w:lang w:val="en-PK" w:eastAsia="en-PK"/>
            </w:rPr>
          </w:pPr>
          <w:hyperlink w:anchor="_Toc242459594" w:history="1">
            <w:r w:rsidRPr="004B24C7">
              <w:rPr>
                <w:rStyle w:val="Hyperlink"/>
                <w:bCs/>
              </w:rPr>
              <w:t>S0003 Hunter et al. (2025)</w:t>
            </w:r>
            <w:r w:rsidRPr="004B24C7">
              <w:rPr>
                <w:webHidden/>
              </w:rPr>
              <w:tab/>
            </w:r>
            <w:r w:rsidRPr="004B24C7">
              <w:rPr>
                <w:webHidden/>
              </w:rPr>
              <w:fldChar w:fldCharType="begin"/>
            </w:r>
            <w:r w:rsidRPr="004B24C7">
              <w:rPr>
                <w:webHidden/>
              </w:rPr>
              <w:instrText xml:space="preserve"> PAGEREF _Toc242459594 \h </w:instrText>
            </w:r>
            <w:r w:rsidRPr="004B24C7">
              <w:rPr>
                <w:webHidden/>
              </w:rPr>
            </w:r>
            <w:r w:rsidRPr="004B24C7">
              <w:rPr>
                <w:webHidden/>
              </w:rPr>
              <w:fldChar w:fldCharType="separate"/>
            </w:r>
            <w:r w:rsidRPr="004B24C7">
              <w:rPr>
                <w:webHidden/>
              </w:rPr>
              <w:t>90</w:t>
            </w:r>
            <w:r w:rsidRPr="004B24C7">
              <w:rPr>
                <w:webHidden/>
              </w:rPr>
              <w:fldChar w:fldCharType="end"/>
            </w:r>
          </w:hyperlink>
        </w:p>
        <w:p w14:paraId="0F5A5FED" w14:textId="6BE10F4F" w:rsidR="00911724" w:rsidRPr="004B24C7" w:rsidRDefault="00911724" w:rsidP="003812C9">
          <w:pPr>
            <w:pStyle w:val="TOC2"/>
            <w:rPr>
              <w:sz w:val="24"/>
              <w:szCs w:val="24"/>
              <w:lang w:val="en-PK" w:eastAsia="en-PK"/>
            </w:rPr>
          </w:pPr>
          <w:hyperlink w:anchor="_Toc242459595" w:history="1">
            <w:r w:rsidRPr="004B24C7">
              <w:rPr>
                <w:rStyle w:val="Hyperlink"/>
                <w:bCs/>
              </w:rPr>
              <w:t>R0465 Easton et al. (2018)</w:t>
            </w:r>
            <w:r w:rsidRPr="004B24C7">
              <w:rPr>
                <w:webHidden/>
              </w:rPr>
              <w:tab/>
            </w:r>
            <w:r w:rsidRPr="004B24C7">
              <w:rPr>
                <w:webHidden/>
              </w:rPr>
              <w:fldChar w:fldCharType="begin"/>
            </w:r>
            <w:r w:rsidRPr="004B24C7">
              <w:rPr>
                <w:webHidden/>
              </w:rPr>
              <w:instrText xml:space="preserve"> PAGEREF _Toc242459595 \h </w:instrText>
            </w:r>
            <w:r w:rsidRPr="004B24C7">
              <w:rPr>
                <w:webHidden/>
              </w:rPr>
            </w:r>
            <w:r w:rsidRPr="004B24C7">
              <w:rPr>
                <w:webHidden/>
              </w:rPr>
              <w:fldChar w:fldCharType="separate"/>
            </w:r>
            <w:r w:rsidRPr="004B24C7">
              <w:rPr>
                <w:webHidden/>
              </w:rPr>
              <w:t>90</w:t>
            </w:r>
            <w:r w:rsidRPr="004B24C7">
              <w:rPr>
                <w:webHidden/>
              </w:rPr>
              <w:fldChar w:fldCharType="end"/>
            </w:r>
          </w:hyperlink>
        </w:p>
        <w:p w14:paraId="191EB5A1" w14:textId="2EE67E7F" w:rsidR="00911724" w:rsidRPr="004B24C7" w:rsidRDefault="00911724" w:rsidP="003812C9">
          <w:pPr>
            <w:pStyle w:val="TOC2"/>
            <w:rPr>
              <w:sz w:val="24"/>
              <w:szCs w:val="24"/>
              <w:lang w:val="en-PK" w:eastAsia="en-PK"/>
            </w:rPr>
          </w:pPr>
          <w:hyperlink w:anchor="_Toc242459596" w:history="1">
            <w:r w:rsidRPr="004B24C7">
              <w:rPr>
                <w:rStyle w:val="Hyperlink"/>
                <w:bCs/>
              </w:rPr>
              <w:t>R0045 Tyrrell et al. (2016)</w:t>
            </w:r>
            <w:r w:rsidRPr="004B24C7">
              <w:rPr>
                <w:webHidden/>
              </w:rPr>
              <w:tab/>
            </w:r>
            <w:r w:rsidRPr="004B24C7">
              <w:rPr>
                <w:webHidden/>
              </w:rPr>
              <w:fldChar w:fldCharType="begin"/>
            </w:r>
            <w:r w:rsidRPr="004B24C7">
              <w:rPr>
                <w:webHidden/>
              </w:rPr>
              <w:instrText xml:space="preserve"> PAGEREF _Toc242459596 \h </w:instrText>
            </w:r>
            <w:r w:rsidRPr="004B24C7">
              <w:rPr>
                <w:webHidden/>
              </w:rPr>
            </w:r>
            <w:r w:rsidRPr="004B24C7">
              <w:rPr>
                <w:webHidden/>
              </w:rPr>
              <w:fldChar w:fldCharType="separate"/>
            </w:r>
            <w:r w:rsidRPr="004B24C7">
              <w:rPr>
                <w:webHidden/>
              </w:rPr>
              <w:t>91</w:t>
            </w:r>
            <w:r w:rsidRPr="004B24C7">
              <w:rPr>
                <w:webHidden/>
              </w:rPr>
              <w:fldChar w:fldCharType="end"/>
            </w:r>
          </w:hyperlink>
        </w:p>
        <w:p w14:paraId="4A2AB39C" w14:textId="2D57BF98" w:rsidR="00911724" w:rsidRPr="004B24C7" w:rsidRDefault="00911724" w:rsidP="003812C9">
          <w:pPr>
            <w:pStyle w:val="TOC2"/>
            <w:rPr>
              <w:sz w:val="24"/>
              <w:szCs w:val="24"/>
              <w:lang w:val="en-PK" w:eastAsia="en-PK"/>
            </w:rPr>
          </w:pPr>
          <w:hyperlink w:anchor="_Toc242459597" w:history="1">
            <w:r w:rsidRPr="004B24C7">
              <w:rPr>
                <w:rStyle w:val="Hyperlink"/>
                <w:bCs/>
              </w:rPr>
              <w:t>R0974 Hafiz et al. (2023)</w:t>
            </w:r>
            <w:r w:rsidRPr="004B24C7">
              <w:rPr>
                <w:webHidden/>
              </w:rPr>
              <w:tab/>
            </w:r>
            <w:r w:rsidRPr="004B24C7">
              <w:rPr>
                <w:webHidden/>
              </w:rPr>
              <w:fldChar w:fldCharType="begin"/>
            </w:r>
            <w:r w:rsidRPr="004B24C7">
              <w:rPr>
                <w:webHidden/>
              </w:rPr>
              <w:instrText xml:space="preserve"> PAGEREF _Toc242459597 \h </w:instrText>
            </w:r>
            <w:r w:rsidRPr="004B24C7">
              <w:rPr>
                <w:webHidden/>
              </w:rPr>
            </w:r>
            <w:r w:rsidRPr="004B24C7">
              <w:rPr>
                <w:webHidden/>
              </w:rPr>
              <w:fldChar w:fldCharType="separate"/>
            </w:r>
            <w:r w:rsidRPr="004B24C7">
              <w:rPr>
                <w:webHidden/>
              </w:rPr>
              <w:t>91</w:t>
            </w:r>
            <w:r w:rsidRPr="004B24C7">
              <w:rPr>
                <w:webHidden/>
              </w:rPr>
              <w:fldChar w:fldCharType="end"/>
            </w:r>
          </w:hyperlink>
        </w:p>
        <w:p w14:paraId="63394482" w14:textId="219DFE57" w:rsidR="00911724" w:rsidRPr="004B24C7" w:rsidRDefault="00911724" w:rsidP="003812C9">
          <w:pPr>
            <w:pStyle w:val="TOC2"/>
            <w:rPr>
              <w:sz w:val="24"/>
              <w:szCs w:val="24"/>
              <w:lang w:val="en-PK" w:eastAsia="en-PK"/>
            </w:rPr>
          </w:pPr>
          <w:hyperlink w:anchor="_Toc242459598" w:history="1">
            <w:r w:rsidRPr="004B24C7">
              <w:rPr>
                <w:rStyle w:val="Hyperlink"/>
                <w:bCs/>
              </w:rPr>
              <w:t>Article ID crosswalk</w:t>
            </w:r>
            <w:r w:rsidRPr="004B24C7">
              <w:rPr>
                <w:webHidden/>
              </w:rPr>
              <w:tab/>
            </w:r>
            <w:r w:rsidRPr="004B24C7">
              <w:rPr>
                <w:webHidden/>
              </w:rPr>
              <w:fldChar w:fldCharType="begin"/>
            </w:r>
            <w:r w:rsidRPr="004B24C7">
              <w:rPr>
                <w:webHidden/>
              </w:rPr>
              <w:instrText xml:space="preserve"> PAGEREF _Toc242459598 \h </w:instrText>
            </w:r>
            <w:r w:rsidRPr="004B24C7">
              <w:rPr>
                <w:webHidden/>
              </w:rPr>
            </w:r>
            <w:r w:rsidRPr="004B24C7">
              <w:rPr>
                <w:webHidden/>
              </w:rPr>
              <w:fldChar w:fldCharType="separate"/>
            </w:r>
            <w:r w:rsidRPr="004B24C7">
              <w:rPr>
                <w:webHidden/>
              </w:rPr>
              <w:t>92</w:t>
            </w:r>
            <w:r w:rsidRPr="004B24C7">
              <w:rPr>
                <w:webHidden/>
              </w:rPr>
              <w:fldChar w:fldCharType="end"/>
            </w:r>
          </w:hyperlink>
        </w:p>
        <w:p w14:paraId="27060B17" w14:textId="6FC76968" w:rsidR="00911724" w:rsidRPr="004B24C7" w:rsidRDefault="005D13E7">
          <w:pPr>
            <w:pStyle w:val="TOC1"/>
            <w:tabs>
              <w:tab w:val="right" w:leader="dot" w:pos="9016"/>
            </w:tabs>
            <w:rPr>
              <w:rFonts w:ascii="Arial" w:eastAsiaTheme="minorEastAsia" w:hAnsi="Arial" w:cs="Arial"/>
              <w:b/>
              <w:bCs/>
              <w:noProof/>
              <w:color w:val="auto"/>
              <w:szCs w:val="24"/>
              <w:lang w:val="en-PK" w:eastAsia="en-PK"/>
            </w:rPr>
          </w:pPr>
          <w:hyperlink w:anchor="_Toc242459599" w:history="1">
            <w:r>
              <w:rPr>
                <w:rStyle w:val="Hyperlink"/>
                <w:rFonts w:ascii="Arial" w:hAnsi="Arial" w:cs="Arial"/>
                <w:b/>
                <w:bCs/>
                <w:noProof/>
              </w:rPr>
              <w:t>Appendix C:</w:t>
            </w:r>
            <w:r w:rsidR="00911724" w:rsidRPr="004B24C7">
              <w:rPr>
                <w:rStyle w:val="Hyperlink"/>
                <w:rFonts w:ascii="Arial" w:hAnsi="Arial" w:cs="Arial"/>
                <w:b/>
                <w:bCs/>
                <w:noProof/>
              </w:rPr>
              <w:t xml:space="preserve"> Thematic synthesis trail</w:t>
            </w:r>
            <w:r w:rsidR="00911724" w:rsidRPr="004B24C7">
              <w:rPr>
                <w:rFonts w:ascii="Arial" w:hAnsi="Arial" w:cs="Arial"/>
                <w:b/>
                <w:bCs/>
                <w:noProof/>
                <w:webHidden/>
              </w:rPr>
              <w:tab/>
            </w:r>
            <w:r w:rsidR="00911724" w:rsidRPr="004B24C7">
              <w:rPr>
                <w:rFonts w:ascii="Arial" w:hAnsi="Arial" w:cs="Arial"/>
                <w:b/>
                <w:bCs/>
                <w:noProof/>
                <w:webHidden/>
              </w:rPr>
              <w:fldChar w:fldCharType="begin"/>
            </w:r>
            <w:r w:rsidR="00911724" w:rsidRPr="004B24C7">
              <w:rPr>
                <w:rFonts w:ascii="Arial" w:hAnsi="Arial" w:cs="Arial"/>
                <w:b/>
                <w:bCs/>
                <w:noProof/>
                <w:webHidden/>
              </w:rPr>
              <w:instrText xml:space="preserve"> PAGEREF _Toc242459599 \h </w:instrText>
            </w:r>
            <w:r w:rsidR="00911724" w:rsidRPr="004B24C7">
              <w:rPr>
                <w:rFonts w:ascii="Arial" w:hAnsi="Arial" w:cs="Arial"/>
                <w:b/>
                <w:bCs/>
                <w:noProof/>
                <w:webHidden/>
              </w:rPr>
            </w:r>
            <w:r w:rsidR="00911724" w:rsidRPr="004B24C7">
              <w:rPr>
                <w:rFonts w:ascii="Arial" w:hAnsi="Arial" w:cs="Arial"/>
                <w:b/>
                <w:bCs/>
                <w:noProof/>
                <w:webHidden/>
              </w:rPr>
              <w:fldChar w:fldCharType="separate"/>
            </w:r>
            <w:r w:rsidR="00911724" w:rsidRPr="004B24C7">
              <w:rPr>
                <w:rFonts w:ascii="Arial" w:hAnsi="Arial" w:cs="Arial"/>
                <w:b/>
                <w:bCs/>
                <w:noProof/>
                <w:webHidden/>
              </w:rPr>
              <w:t>93</w:t>
            </w:r>
            <w:r w:rsidR="00911724" w:rsidRPr="004B24C7">
              <w:rPr>
                <w:rFonts w:ascii="Arial" w:hAnsi="Arial" w:cs="Arial"/>
                <w:b/>
                <w:bCs/>
                <w:noProof/>
                <w:webHidden/>
              </w:rPr>
              <w:fldChar w:fldCharType="end"/>
            </w:r>
          </w:hyperlink>
        </w:p>
        <w:p w14:paraId="2DE43F5B" w14:textId="3CADC423" w:rsidR="00911724" w:rsidRPr="004B24C7" w:rsidRDefault="00911724">
          <w:pPr>
            <w:pStyle w:val="TOC3"/>
            <w:tabs>
              <w:tab w:val="right" w:leader="dot" w:pos="9016"/>
            </w:tabs>
            <w:rPr>
              <w:rFonts w:ascii="Arial" w:hAnsi="Arial" w:cs="Arial"/>
              <w:noProof/>
              <w:sz w:val="24"/>
              <w:szCs w:val="24"/>
              <w:lang w:val="en-PK" w:eastAsia="en-PK"/>
            </w:rPr>
          </w:pPr>
          <w:hyperlink w:anchor="_Toc242459600" w:history="1">
            <w:r w:rsidRPr="004B24C7">
              <w:rPr>
                <w:rStyle w:val="Hyperlink"/>
                <w:rFonts w:ascii="Arial" w:hAnsi="Arial" w:cs="Arial"/>
                <w:noProof/>
              </w:rPr>
              <w:t>C1 R0046</w:t>
            </w:r>
            <w:r w:rsidRPr="004B24C7">
              <w:rPr>
                <w:rFonts w:ascii="Arial" w:hAnsi="Arial" w:cs="Arial"/>
                <w:noProof/>
                <w:webHidden/>
              </w:rPr>
              <w:tab/>
            </w:r>
            <w:r w:rsidRPr="004B24C7">
              <w:rPr>
                <w:rFonts w:ascii="Arial" w:hAnsi="Arial" w:cs="Arial"/>
                <w:noProof/>
                <w:webHidden/>
              </w:rPr>
              <w:fldChar w:fldCharType="begin"/>
            </w:r>
            <w:r w:rsidRPr="004B24C7">
              <w:rPr>
                <w:rFonts w:ascii="Arial" w:hAnsi="Arial" w:cs="Arial"/>
                <w:noProof/>
                <w:webHidden/>
              </w:rPr>
              <w:instrText xml:space="preserve"> PAGEREF _Toc242459600 \h </w:instrText>
            </w:r>
            <w:r w:rsidRPr="004B24C7">
              <w:rPr>
                <w:rFonts w:ascii="Arial" w:hAnsi="Arial" w:cs="Arial"/>
                <w:noProof/>
                <w:webHidden/>
              </w:rPr>
            </w:r>
            <w:r w:rsidRPr="004B24C7">
              <w:rPr>
                <w:rFonts w:ascii="Arial" w:hAnsi="Arial" w:cs="Arial"/>
                <w:noProof/>
                <w:webHidden/>
              </w:rPr>
              <w:fldChar w:fldCharType="separate"/>
            </w:r>
            <w:r w:rsidRPr="004B24C7">
              <w:rPr>
                <w:rFonts w:ascii="Arial" w:hAnsi="Arial" w:cs="Arial"/>
                <w:noProof/>
                <w:webHidden/>
              </w:rPr>
              <w:t>93</w:t>
            </w:r>
            <w:r w:rsidRPr="004B24C7">
              <w:rPr>
                <w:rFonts w:ascii="Arial" w:hAnsi="Arial" w:cs="Arial"/>
                <w:noProof/>
                <w:webHidden/>
              </w:rPr>
              <w:fldChar w:fldCharType="end"/>
            </w:r>
          </w:hyperlink>
        </w:p>
        <w:p w14:paraId="285F6345" w14:textId="48766BA2" w:rsidR="00911724" w:rsidRPr="004B24C7" w:rsidRDefault="00911724">
          <w:pPr>
            <w:pStyle w:val="TOC3"/>
            <w:tabs>
              <w:tab w:val="right" w:leader="dot" w:pos="9016"/>
            </w:tabs>
            <w:rPr>
              <w:rFonts w:ascii="Arial" w:hAnsi="Arial" w:cs="Arial"/>
              <w:noProof/>
              <w:sz w:val="24"/>
              <w:szCs w:val="24"/>
              <w:lang w:val="en-PK" w:eastAsia="en-PK"/>
            </w:rPr>
          </w:pPr>
          <w:hyperlink w:anchor="_Toc242459601" w:history="1">
            <w:r w:rsidRPr="004B24C7">
              <w:rPr>
                <w:rStyle w:val="Hyperlink"/>
                <w:rFonts w:ascii="Arial" w:hAnsi="Arial" w:cs="Arial"/>
                <w:noProof/>
              </w:rPr>
              <w:t>C2 R0024</w:t>
            </w:r>
            <w:r w:rsidRPr="004B24C7">
              <w:rPr>
                <w:rFonts w:ascii="Arial" w:hAnsi="Arial" w:cs="Arial"/>
                <w:noProof/>
                <w:webHidden/>
              </w:rPr>
              <w:tab/>
            </w:r>
            <w:r w:rsidRPr="004B24C7">
              <w:rPr>
                <w:rFonts w:ascii="Arial" w:hAnsi="Arial" w:cs="Arial"/>
                <w:noProof/>
                <w:webHidden/>
              </w:rPr>
              <w:fldChar w:fldCharType="begin"/>
            </w:r>
            <w:r w:rsidRPr="004B24C7">
              <w:rPr>
                <w:rFonts w:ascii="Arial" w:hAnsi="Arial" w:cs="Arial"/>
                <w:noProof/>
                <w:webHidden/>
              </w:rPr>
              <w:instrText xml:space="preserve"> PAGEREF _Toc242459601 \h </w:instrText>
            </w:r>
            <w:r w:rsidRPr="004B24C7">
              <w:rPr>
                <w:rFonts w:ascii="Arial" w:hAnsi="Arial" w:cs="Arial"/>
                <w:noProof/>
                <w:webHidden/>
              </w:rPr>
            </w:r>
            <w:r w:rsidRPr="004B24C7">
              <w:rPr>
                <w:rFonts w:ascii="Arial" w:hAnsi="Arial" w:cs="Arial"/>
                <w:noProof/>
                <w:webHidden/>
              </w:rPr>
              <w:fldChar w:fldCharType="separate"/>
            </w:r>
            <w:r w:rsidRPr="004B24C7">
              <w:rPr>
                <w:rFonts w:ascii="Arial" w:hAnsi="Arial" w:cs="Arial"/>
                <w:noProof/>
                <w:webHidden/>
              </w:rPr>
              <w:t>93</w:t>
            </w:r>
            <w:r w:rsidRPr="004B24C7">
              <w:rPr>
                <w:rFonts w:ascii="Arial" w:hAnsi="Arial" w:cs="Arial"/>
                <w:noProof/>
                <w:webHidden/>
              </w:rPr>
              <w:fldChar w:fldCharType="end"/>
            </w:r>
          </w:hyperlink>
        </w:p>
        <w:p w14:paraId="6E702668" w14:textId="1EEA572B" w:rsidR="00911724" w:rsidRPr="004B24C7" w:rsidRDefault="00911724">
          <w:pPr>
            <w:pStyle w:val="TOC3"/>
            <w:tabs>
              <w:tab w:val="right" w:leader="dot" w:pos="9016"/>
            </w:tabs>
            <w:rPr>
              <w:rFonts w:ascii="Arial" w:hAnsi="Arial" w:cs="Arial"/>
              <w:noProof/>
              <w:sz w:val="24"/>
              <w:szCs w:val="24"/>
              <w:lang w:val="en-PK" w:eastAsia="en-PK"/>
            </w:rPr>
          </w:pPr>
          <w:hyperlink w:anchor="_Toc242459602" w:history="1">
            <w:r w:rsidRPr="004B24C7">
              <w:rPr>
                <w:rStyle w:val="Hyperlink"/>
                <w:rFonts w:ascii="Arial" w:hAnsi="Arial" w:cs="Arial"/>
                <w:noProof/>
              </w:rPr>
              <w:t>C3 R0096</w:t>
            </w:r>
            <w:r w:rsidRPr="004B24C7">
              <w:rPr>
                <w:rFonts w:ascii="Arial" w:hAnsi="Arial" w:cs="Arial"/>
                <w:noProof/>
                <w:webHidden/>
              </w:rPr>
              <w:tab/>
            </w:r>
            <w:r w:rsidRPr="004B24C7">
              <w:rPr>
                <w:rFonts w:ascii="Arial" w:hAnsi="Arial" w:cs="Arial"/>
                <w:noProof/>
                <w:webHidden/>
              </w:rPr>
              <w:fldChar w:fldCharType="begin"/>
            </w:r>
            <w:r w:rsidRPr="004B24C7">
              <w:rPr>
                <w:rFonts w:ascii="Arial" w:hAnsi="Arial" w:cs="Arial"/>
                <w:noProof/>
                <w:webHidden/>
              </w:rPr>
              <w:instrText xml:space="preserve"> PAGEREF _Toc242459602 \h </w:instrText>
            </w:r>
            <w:r w:rsidRPr="004B24C7">
              <w:rPr>
                <w:rFonts w:ascii="Arial" w:hAnsi="Arial" w:cs="Arial"/>
                <w:noProof/>
                <w:webHidden/>
              </w:rPr>
            </w:r>
            <w:r w:rsidRPr="004B24C7">
              <w:rPr>
                <w:rFonts w:ascii="Arial" w:hAnsi="Arial" w:cs="Arial"/>
                <w:noProof/>
                <w:webHidden/>
              </w:rPr>
              <w:fldChar w:fldCharType="separate"/>
            </w:r>
            <w:r w:rsidRPr="004B24C7">
              <w:rPr>
                <w:rFonts w:ascii="Arial" w:hAnsi="Arial" w:cs="Arial"/>
                <w:noProof/>
                <w:webHidden/>
              </w:rPr>
              <w:t>93</w:t>
            </w:r>
            <w:r w:rsidRPr="004B24C7">
              <w:rPr>
                <w:rFonts w:ascii="Arial" w:hAnsi="Arial" w:cs="Arial"/>
                <w:noProof/>
                <w:webHidden/>
              </w:rPr>
              <w:fldChar w:fldCharType="end"/>
            </w:r>
          </w:hyperlink>
        </w:p>
        <w:p w14:paraId="5F7E438A" w14:textId="7C124CDB" w:rsidR="00911724" w:rsidRPr="004B24C7" w:rsidRDefault="00911724">
          <w:pPr>
            <w:pStyle w:val="TOC3"/>
            <w:tabs>
              <w:tab w:val="right" w:leader="dot" w:pos="9016"/>
            </w:tabs>
            <w:rPr>
              <w:rFonts w:ascii="Arial" w:hAnsi="Arial" w:cs="Arial"/>
              <w:noProof/>
              <w:sz w:val="24"/>
              <w:szCs w:val="24"/>
              <w:lang w:val="en-PK" w:eastAsia="en-PK"/>
            </w:rPr>
          </w:pPr>
          <w:hyperlink w:anchor="_Toc242459603" w:history="1">
            <w:r w:rsidRPr="004B24C7">
              <w:rPr>
                <w:rStyle w:val="Hyperlink"/>
                <w:rFonts w:ascii="Arial" w:hAnsi="Arial" w:cs="Arial"/>
                <w:noProof/>
              </w:rPr>
              <w:t>C4 R0132</w:t>
            </w:r>
            <w:r w:rsidRPr="004B24C7">
              <w:rPr>
                <w:rFonts w:ascii="Arial" w:hAnsi="Arial" w:cs="Arial"/>
                <w:noProof/>
                <w:webHidden/>
              </w:rPr>
              <w:tab/>
            </w:r>
            <w:r w:rsidRPr="004B24C7">
              <w:rPr>
                <w:rFonts w:ascii="Arial" w:hAnsi="Arial" w:cs="Arial"/>
                <w:noProof/>
                <w:webHidden/>
              </w:rPr>
              <w:fldChar w:fldCharType="begin"/>
            </w:r>
            <w:r w:rsidRPr="004B24C7">
              <w:rPr>
                <w:rFonts w:ascii="Arial" w:hAnsi="Arial" w:cs="Arial"/>
                <w:noProof/>
                <w:webHidden/>
              </w:rPr>
              <w:instrText xml:space="preserve"> PAGEREF _Toc242459603 \h </w:instrText>
            </w:r>
            <w:r w:rsidRPr="004B24C7">
              <w:rPr>
                <w:rFonts w:ascii="Arial" w:hAnsi="Arial" w:cs="Arial"/>
                <w:noProof/>
                <w:webHidden/>
              </w:rPr>
            </w:r>
            <w:r w:rsidRPr="004B24C7">
              <w:rPr>
                <w:rFonts w:ascii="Arial" w:hAnsi="Arial" w:cs="Arial"/>
                <w:noProof/>
                <w:webHidden/>
              </w:rPr>
              <w:fldChar w:fldCharType="separate"/>
            </w:r>
            <w:r w:rsidRPr="004B24C7">
              <w:rPr>
                <w:rFonts w:ascii="Arial" w:hAnsi="Arial" w:cs="Arial"/>
                <w:noProof/>
                <w:webHidden/>
              </w:rPr>
              <w:t>93</w:t>
            </w:r>
            <w:r w:rsidRPr="004B24C7">
              <w:rPr>
                <w:rFonts w:ascii="Arial" w:hAnsi="Arial" w:cs="Arial"/>
                <w:noProof/>
                <w:webHidden/>
              </w:rPr>
              <w:fldChar w:fldCharType="end"/>
            </w:r>
          </w:hyperlink>
        </w:p>
        <w:p w14:paraId="09F1E45F" w14:textId="64E7AAB2" w:rsidR="00911724" w:rsidRPr="004B24C7" w:rsidRDefault="00911724">
          <w:pPr>
            <w:pStyle w:val="TOC3"/>
            <w:tabs>
              <w:tab w:val="right" w:leader="dot" w:pos="9016"/>
            </w:tabs>
            <w:rPr>
              <w:rFonts w:ascii="Arial" w:hAnsi="Arial" w:cs="Arial"/>
              <w:noProof/>
              <w:sz w:val="24"/>
              <w:szCs w:val="24"/>
              <w:lang w:val="en-PK" w:eastAsia="en-PK"/>
            </w:rPr>
          </w:pPr>
          <w:hyperlink w:anchor="_Toc242459604" w:history="1">
            <w:r w:rsidRPr="004B24C7">
              <w:rPr>
                <w:rStyle w:val="Hyperlink"/>
                <w:rFonts w:ascii="Arial" w:hAnsi="Arial" w:cs="Arial"/>
                <w:noProof/>
              </w:rPr>
              <w:t>C5 R0058</w:t>
            </w:r>
            <w:r w:rsidRPr="004B24C7">
              <w:rPr>
                <w:rFonts w:ascii="Arial" w:hAnsi="Arial" w:cs="Arial"/>
                <w:noProof/>
                <w:webHidden/>
              </w:rPr>
              <w:tab/>
            </w:r>
            <w:r w:rsidRPr="004B24C7">
              <w:rPr>
                <w:rFonts w:ascii="Arial" w:hAnsi="Arial" w:cs="Arial"/>
                <w:noProof/>
                <w:webHidden/>
              </w:rPr>
              <w:fldChar w:fldCharType="begin"/>
            </w:r>
            <w:r w:rsidRPr="004B24C7">
              <w:rPr>
                <w:rFonts w:ascii="Arial" w:hAnsi="Arial" w:cs="Arial"/>
                <w:noProof/>
                <w:webHidden/>
              </w:rPr>
              <w:instrText xml:space="preserve"> PAGEREF _Toc242459604 \h </w:instrText>
            </w:r>
            <w:r w:rsidRPr="004B24C7">
              <w:rPr>
                <w:rFonts w:ascii="Arial" w:hAnsi="Arial" w:cs="Arial"/>
                <w:noProof/>
                <w:webHidden/>
              </w:rPr>
            </w:r>
            <w:r w:rsidRPr="004B24C7">
              <w:rPr>
                <w:rFonts w:ascii="Arial" w:hAnsi="Arial" w:cs="Arial"/>
                <w:noProof/>
                <w:webHidden/>
              </w:rPr>
              <w:fldChar w:fldCharType="separate"/>
            </w:r>
            <w:r w:rsidRPr="004B24C7">
              <w:rPr>
                <w:rFonts w:ascii="Arial" w:hAnsi="Arial" w:cs="Arial"/>
                <w:noProof/>
                <w:webHidden/>
              </w:rPr>
              <w:t>94</w:t>
            </w:r>
            <w:r w:rsidRPr="004B24C7">
              <w:rPr>
                <w:rFonts w:ascii="Arial" w:hAnsi="Arial" w:cs="Arial"/>
                <w:noProof/>
                <w:webHidden/>
              </w:rPr>
              <w:fldChar w:fldCharType="end"/>
            </w:r>
          </w:hyperlink>
        </w:p>
        <w:p w14:paraId="1FD2BED2" w14:textId="71DCCAF8" w:rsidR="00911724" w:rsidRPr="004B24C7" w:rsidRDefault="00911724">
          <w:pPr>
            <w:pStyle w:val="TOC3"/>
            <w:tabs>
              <w:tab w:val="right" w:leader="dot" w:pos="9016"/>
            </w:tabs>
            <w:rPr>
              <w:rFonts w:ascii="Arial" w:hAnsi="Arial" w:cs="Arial"/>
              <w:noProof/>
              <w:sz w:val="24"/>
              <w:szCs w:val="24"/>
              <w:lang w:val="en-PK" w:eastAsia="en-PK"/>
            </w:rPr>
          </w:pPr>
          <w:hyperlink w:anchor="_Toc242459605" w:history="1">
            <w:r w:rsidRPr="004B24C7">
              <w:rPr>
                <w:rStyle w:val="Hyperlink"/>
                <w:rFonts w:ascii="Arial" w:hAnsi="Arial" w:cs="Arial"/>
                <w:noProof/>
              </w:rPr>
              <w:t>C6 R0040</w:t>
            </w:r>
            <w:r w:rsidRPr="004B24C7">
              <w:rPr>
                <w:rFonts w:ascii="Arial" w:hAnsi="Arial" w:cs="Arial"/>
                <w:noProof/>
                <w:webHidden/>
              </w:rPr>
              <w:tab/>
            </w:r>
            <w:r w:rsidRPr="004B24C7">
              <w:rPr>
                <w:rFonts w:ascii="Arial" w:hAnsi="Arial" w:cs="Arial"/>
                <w:noProof/>
                <w:webHidden/>
              </w:rPr>
              <w:fldChar w:fldCharType="begin"/>
            </w:r>
            <w:r w:rsidRPr="004B24C7">
              <w:rPr>
                <w:rFonts w:ascii="Arial" w:hAnsi="Arial" w:cs="Arial"/>
                <w:noProof/>
                <w:webHidden/>
              </w:rPr>
              <w:instrText xml:space="preserve"> PAGEREF _Toc242459605 \h </w:instrText>
            </w:r>
            <w:r w:rsidRPr="004B24C7">
              <w:rPr>
                <w:rFonts w:ascii="Arial" w:hAnsi="Arial" w:cs="Arial"/>
                <w:noProof/>
                <w:webHidden/>
              </w:rPr>
            </w:r>
            <w:r w:rsidRPr="004B24C7">
              <w:rPr>
                <w:rFonts w:ascii="Arial" w:hAnsi="Arial" w:cs="Arial"/>
                <w:noProof/>
                <w:webHidden/>
              </w:rPr>
              <w:fldChar w:fldCharType="separate"/>
            </w:r>
            <w:r w:rsidRPr="004B24C7">
              <w:rPr>
                <w:rFonts w:ascii="Arial" w:hAnsi="Arial" w:cs="Arial"/>
                <w:noProof/>
                <w:webHidden/>
              </w:rPr>
              <w:t>94</w:t>
            </w:r>
            <w:r w:rsidRPr="004B24C7">
              <w:rPr>
                <w:rFonts w:ascii="Arial" w:hAnsi="Arial" w:cs="Arial"/>
                <w:noProof/>
                <w:webHidden/>
              </w:rPr>
              <w:fldChar w:fldCharType="end"/>
            </w:r>
          </w:hyperlink>
        </w:p>
        <w:p w14:paraId="72EF3B81" w14:textId="08DC95E2" w:rsidR="00911724" w:rsidRPr="004B24C7" w:rsidRDefault="00911724">
          <w:pPr>
            <w:pStyle w:val="TOC3"/>
            <w:tabs>
              <w:tab w:val="right" w:leader="dot" w:pos="9016"/>
            </w:tabs>
            <w:rPr>
              <w:rFonts w:ascii="Arial" w:hAnsi="Arial" w:cs="Arial"/>
              <w:noProof/>
              <w:sz w:val="24"/>
              <w:szCs w:val="24"/>
              <w:lang w:val="en-PK" w:eastAsia="en-PK"/>
            </w:rPr>
          </w:pPr>
          <w:hyperlink w:anchor="_Toc242459606" w:history="1">
            <w:r w:rsidRPr="004B24C7">
              <w:rPr>
                <w:rStyle w:val="Hyperlink"/>
                <w:rFonts w:ascii="Arial" w:hAnsi="Arial" w:cs="Arial"/>
                <w:noProof/>
              </w:rPr>
              <w:t>C7 R0097</w:t>
            </w:r>
            <w:r w:rsidRPr="004B24C7">
              <w:rPr>
                <w:rFonts w:ascii="Arial" w:hAnsi="Arial" w:cs="Arial"/>
                <w:noProof/>
                <w:webHidden/>
              </w:rPr>
              <w:tab/>
            </w:r>
            <w:r w:rsidRPr="004B24C7">
              <w:rPr>
                <w:rFonts w:ascii="Arial" w:hAnsi="Arial" w:cs="Arial"/>
                <w:noProof/>
                <w:webHidden/>
              </w:rPr>
              <w:fldChar w:fldCharType="begin"/>
            </w:r>
            <w:r w:rsidRPr="004B24C7">
              <w:rPr>
                <w:rFonts w:ascii="Arial" w:hAnsi="Arial" w:cs="Arial"/>
                <w:noProof/>
                <w:webHidden/>
              </w:rPr>
              <w:instrText xml:space="preserve"> PAGEREF _Toc242459606 \h </w:instrText>
            </w:r>
            <w:r w:rsidRPr="004B24C7">
              <w:rPr>
                <w:rFonts w:ascii="Arial" w:hAnsi="Arial" w:cs="Arial"/>
                <w:noProof/>
                <w:webHidden/>
              </w:rPr>
            </w:r>
            <w:r w:rsidRPr="004B24C7">
              <w:rPr>
                <w:rFonts w:ascii="Arial" w:hAnsi="Arial" w:cs="Arial"/>
                <w:noProof/>
                <w:webHidden/>
              </w:rPr>
              <w:fldChar w:fldCharType="separate"/>
            </w:r>
            <w:r w:rsidRPr="004B24C7">
              <w:rPr>
                <w:rFonts w:ascii="Arial" w:hAnsi="Arial" w:cs="Arial"/>
                <w:noProof/>
                <w:webHidden/>
              </w:rPr>
              <w:t>94</w:t>
            </w:r>
            <w:r w:rsidRPr="004B24C7">
              <w:rPr>
                <w:rFonts w:ascii="Arial" w:hAnsi="Arial" w:cs="Arial"/>
                <w:noProof/>
                <w:webHidden/>
              </w:rPr>
              <w:fldChar w:fldCharType="end"/>
            </w:r>
          </w:hyperlink>
        </w:p>
        <w:p w14:paraId="5ECAAD10" w14:textId="6101AFB3" w:rsidR="00911724" w:rsidRPr="004B24C7" w:rsidRDefault="00911724">
          <w:pPr>
            <w:pStyle w:val="TOC3"/>
            <w:tabs>
              <w:tab w:val="right" w:leader="dot" w:pos="9016"/>
            </w:tabs>
            <w:rPr>
              <w:rFonts w:ascii="Arial" w:hAnsi="Arial" w:cs="Arial"/>
              <w:noProof/>
              <w:sz w:val="24"/>
              <w:szCs w:val="24"/>
              <w:lang w:val="en-PK" w:eastAsia="en-PK"/>
            </w:rPr>
          </w:pPr>
          <w:hyperlink w:anchor="_Toc242459607" w:history="1">
            <w:r w:rsidRPr="004B24C7">
              <w:rPr>
                <w:rStyle w:val="Hyperlink"/>
                <w:rFonts w:ascii="Arial" w:hAnsi="Arial" w:cs="Arial"/>
                <w:noProof/>
              </w:rPr>
              <w:t>C8 R0312</w:t>
            </w:r>
            <w:r w:rsidRPr="004B24C7">
              <w:rPr>
                <w:rFonts w:ascii="Arial" w:hAnsi="Arial" w:cs="Arial"/>
                <w:noProof/>
                <w:webHidden/>
              </w:rPr>
              <w:tab/>
            </w:r>
            <w:r w:rsidRPr="004B24C7">
              <w:rPr>
                <w:rFonts w:ascii="Arial" w:hAnsi="Arial" w:cs="Arial"/>
                <w:noProof/>
                <w:webHidden/>
              </w:rPr>
              <w:fldChar w:fldCharType="begin"/>
            </w:r>
            <w:r w:rsidRPr="004B24C7">
              <w:rPr>
                <w:rFonts w:ascii="Arial" w:hAnsi="Arial" w:cs="Arial"/>
                <w:noProof/>
                <w:webHidden/>
              </w:rPr>
              <w:instrText xml:space="preserve"> PAGEREF _Toc242459607 \h </w:instrText>
            </w:r>
            <w:r w:rsidRPr="004B24C7">
              <w:rPr>
                <w:rFonts w:ascii="Arial" w:hAnsi="Arial" w:cs="Arial"/>
                <w:noProof/>
                <w:webHidden/>
              </w:rPr>
            </w:r>
            <w:r w:rsidRPr="004B24C7">
              <w:rPr>
                <w:rFonts w:ascii="Arial" w:hAnsi="Arial" w:cs="Arial"/>
                <w:noProof/>
                <w:webHidden/>
              </w:rPr>
              <w:fldChar w:fldCharType="separate"/>
            </w:r>
            <w:r w:rsidRPr="004B24C7">
              <w:rPr>
                <w:rFonts w:ascii="Arial" w:hAnsi="Arial" w:cs="Arial"/>
                <w:noProof/>
                <w:webHidden/>
              </w:rPr>
              <w:t>94</w:t>
            </w:r>
            <w:r w:rsidRPr="004B24C7">
              <w:rPr>
                <w:rFonts w:ascii="Arial" w:hAnsi="Arial" w:cs="Arial"/>
                <w:noProof/>
                <w:webHidden/>
              </w:rPr>
              <w:fldChar w:fldCharType="end"/>
            </w:r>
          </w:hyperlink>
        </w:p>
        <w:p w14:paraId="205E198E" w14:textId="5928B0D7" w:rsidR="00911724" w:rsidRPr="004B24C7" w:rsidRDefault="00911724">
          <w:pPr>
            <w:pStyle w:val="TOC3"/>
            <w:tabs>
              <w:tab w:val="right" w:leader="dot" w:pos="9016"/>
            </w:tabs>
            <w:rPr>
              <w:rFonts w:ascii="Arial" w:hAnsi="Arial" w:cs="Arial"/>
              <w:noProof/>
              <w:sz w:val="24"/>
              <w:szCs w:val="24"/>
              <w:lang w:val="en-PK" w:eastAsia="en-PK"/>
            </w:rPr>
          </w:pPr>
          <w:hyperlink w:anchor="_Toc242459608" w:history="1">
            <w:r w:rsidRPr="004B24C7">
              <w:rPr>
                <w:rStyle w:val="Hyperlink"/>
                <w:rFonts w:ascii="Arial" w:hAnsi="Arial" w:cs="Arial"/>
                <w:noProof/>
              </w:rPr>
              <w:t>C9 S0001</w:t>
            </w:r>
            <w:r w:rsidRPr="004B24C7">
              <w:rPr>
                <w:rFonts w:ascii="Arial" w:hAnsi="Arial" w:cs="Arial"/>
                <w:noProof/>
                <w:webHidden/>
              </w:rPr>
              <w:tab/>
            </w:r>
            <w:r w:rsidRPr="004B24C7">
              <w:rPr>
                <w:rFonts w:ascii="Arial" w:hAnsi="Arial" w:cs="Arial"/>
                <w:noProof/>
                <w:webHidden/>
              </w:rPr>
              <w:fldChar w:fldCharType="begin"/>
            </w:r>
            <w:r w:rsidRPr="004B24C7">
              <w:rPr>
                <w:rFonts w:ascii="Arial" w:hAnsi="Arial" w:cs="Arial"/>
                <w:noProof/>
                <w:webHidden/>
              </w:rPr>
              <w:instrText xml:space="preserve"> PAGEREF _Toc242459608 \h </w:instrText>
            </w:r>
            <w:r w:rsidRPr="004B24C7">
              <w:rPr>
                <w:rFonts w:ascii="Arial" w:hAnsi="Arial" w:cs="Arial"/>
                <w:noProof/>
                <w:webHidden/>
              </w:rPr>
            </w:r>
            <w:r w:rsidRPr="004B24C7">
              <w:rPr>
                <w:rFonts w:ascii="Arial" w:hAnsi="Arial" w:cs="Arial"/>
                <w:noProof/>
                <w:webHidden/>
              </w:rPr>
              <w:fldChar w:fldCharType="separate"/>
            </w:r>
            <w:r w:rsidRPr="004B24C7">
              <w:rPr>
                <w:rFonts w:ascii="Arial" w:hAnsi="Arial" w:cs="Arial"/>
                <w:noProof/>
                <w:webHidden/>
              </w:rPr>
              <w:t>95</w:t>
            </w:r>
            <w:r w:rsidRPr="004B24C7">
              <w:rPr>
                <w:rFonts w:ascii="Arial" w:hAnsi="Arial" w:cs="Arial"/>
                <w:noProof/>
                <w:webHidden/>
              </w:rPr>
              <w:fldChar w:fldCharType="end"/>
            </w:r>
          </w:hyperlink>
        </w:p>
        <w:p w14:paraId="55070EC9" w14:textId="0811FA68" w:rsidR="00911724" w:rsidRPr="004B24C7" w:rsidRDefault="00911724">
          <w:pPr>
            <w:pStyle w:val="TOC3"/>
            <w:tabs>
              <w:tab w:val="right" w:leader="dot" w:pos="9016"/>
            </w:tabs>
            <w:rPr>
              <w:rFonts w:ascii="Arial" w:hAnsi="Arial" w:cs="Arial"/>
              <w:noProof/>
              <w:sz w:val="24"/>
              <w:szCs w:val="24"/>
              <w:lang w:val="en-PK" w:eastAsia="en-PK"/>
            </w:rPr>
          </w:pPr>
          <w:hyperlink w:anchor="_Toc242459609" w:history="1">
            <w:r w:rsidRPr="004B24C7">
              <w:rPr>
                <w:rStyle w:val="Hyperlink"/>
                <w:rFonts w:ascii="Arial" w:hAnsi="Arial" w:cs="Arial"/>
                <w:noProof/>
              </w:rPr>
              <w:t>C10 S0002</w:t>
            </w:r>
            <w:r w:rsidRPr="004B24C7">
              <w:rPr>
                <w:rFonts w:ascii="Arial" w:hAnsi="Arial" w:cs="Arial"/>
                <w:noProof/>
                <w:webHidden/>
              </w:rPr>
              <w:tab/>
            </w:r>
            <w:r w:rsidRPr="004B24C7">
              <w:rPr>
                <w:rFonts w:ascii="Arial" w:hAnsi="Arial" w:cs="Arial"/>
                <w:noProof/>
                <w:webHidden/>
              </w:rPr>
              <w:fldChar w:fldCharType="begin"/>
            </w:r>
            <w:r w:rsidRPr="004B24C7">
              <w:rPr>
                <w:rFonts w:ascii="Arial" w:hAnsi="Arial" w:cs="Arial"/>
                <w:noProof/>
                <w:webHidden/>
              </w:rPr>
              <w:instrText xml:space="preserve"> PAGEREF _Toc242459609 \h </w:instrText>
            </w:r>
            <w:r w:rsidRPr="004B24C7">
              <w:rPr>
                <w:rFonts w:ascii="Arial" w:hAnsi="Arial" w:cs="Arial"/>
                <w:noProof/>
                <w:webHidden/>
              </w:rPr>
            </w:r>
            <w:r w:rsidRPr="004B24C7">
              <w:rPr>
                <w:rFonts w:ascii="Arial" w:hAnsi="Arial" w:cs="Arial"/>
                <w:noProof/>
                <w:webHidden/>
              </w:rPr>
              <w:fldChar w:fldCharType="separate"/>
            </w:r>
            <w:r w:rsidRPr="004B24C7">
              <w:rPr>
                <w:rFonts w:ascii="Arial" w:hAnsi="Arial" w:cs="Arial"/>
                <w:noProof/>
                <w:webHidden/>
              </w:rPr>
              <w:t>95</w:t>
            </w:r>
            <w:r w:rsidRPr="004B24C7">
              <w:rPr>
                <w:rFonts w:ascii="Arial" w:hAnsi="Arial" w:cs="Arial"/>
                <w:noProof/>
                <w:webHidden/>
              </w:rPr>
              <w:fldChar w:fldCharType="end"/>
            </w:r>
          </w:hyperlink>
        </w:p>
        <w:p w14:paraId="0ACF29B0" w14:textId="484FEB3E" w:rsidR="00911724" w:rsidRPr="004B24C7" w:rsidRDefault="00911724">
          <w:pPr>
            <w:pStyle w:val="TOC3"/>
            <w:tabs>
              <w:tab w:val="right" w:leader="dot" w:pos="9016"/>
            </w:tabs>
            <w:rPr>
              <w:rFonts w:ascii="Arial" w:hAnsi="Arial" w:cs="Arial"/>
              <w:noProof/>
              <w:sz w:val="24"/>
              <w:szCs w:val="24"/>
              <w:lang w:val="en-PK" w:eastAsia="en-PK"/>
            </w:rPr>
          </w:pPr>
          <w:hyperlink w:anchor="_Toc242459610" w:history="1">
            <w:r w:rsidRPr="004B24C7">
              <w:rPr>
                <w:rStyle w:val="Hyperlink"/>
                <w:rFonts w:ascii="Arial" w:hAnsi="Arial" w:cs="Arial"/>
                <w:noProof/>
              </w:rPr>
              <w:t>C11 S0003</w:t>
            </w:r>
            <w:r w:rsidRPr="004B24C7">
              <w:rPr>
                <w:rFonts w:ascii="Arial" w:hAnsi="Arial" w:cs="Arial"/>
                <w:noProof/>
                <w:webHidden/>
              </w:rPr>
              <w:tab/>
            </w:r>
            <w:r w:rsidRPr="004B24C7">
              <w:rPr>
                <w:rFonts w:ascii="Arial" w:hAnsi="Arial" w:cs="Arial"/>
                <w:noProof/>
                <w:webHidden/>
              </w:rPr>
              <w:fldChar w:fldCharType="begin"/>
            </w:r>
            <w:r w:rsidRPr="004B24C7">
              <w:rPr>
                <w:rFonts w:ascii="Arial" w:hAnsi="Arial" w:cs="Arial"/>
                <w:noProof/>
                <w:webHidden/>
              </w:rPr>
              <w:instrText xml:space="preserve"> PAGEREF _Toc242459610 \h </w:instrText>
            </w:r>
            <w:r w:rsidRPr="004B24C7">
              <w:rPr>
                <w:rFonts w:ascii="Arial" w:hAnsi="Arial" w:cs="Arial"/>
                <w:noProof/>
                <w:webHidden/>
              </w:rPr>
            </w:r>
            <w:r w:rsidRPr="004B24C7">
              <w:rPr>
                <w:rFonts w:ascii="Arial" w:hAnsi="Arial" w:cs="Arial"/>
                <w:noProof/>
                <w:webHidden/>
              </w:rPr>
              <w:fldChar w:fldCharType="separate"/>
            </w:r>
            <w:r w:rsidRPr="004B24C7">
              <w:rPr>
                <w:rFonts w:ascii="Arial" w:hAnsi="Arial" w:cs="Arial"/>
                <w:noProof/>
                <w:webHidden/>
              </w:rPr>
              <w:t>95</w:t>
            </w:r>
            <w:r w:rsidRPr="004B24C7">
              <w:rPr>
                <w:rFonts w:ascii="Arial" w:hAnsi="Arial" w:cs="Arial"/>
                <w:noProof/>
                <w:webHidden/>
              </w:rPr>
              <w:fldChar w:fldCharType="end"/>
            </w:r>
          </w:hyperlink>
        </w:p>
        <w:p w14:paraId="487EF14B" w14:textId="5A6B598C" w:rsidR="00911724" w:rsidRPr="004B24C7" w:rsidRDefault="00911724" w:rsidP="003812C9">
          <w:pPr>
            <w:pStyle w:val="TOC2"/>
            <w:rPr>
              <w:sz w:val="24"/>
              <w:szCs w:val="24"/>
              <w:lang w:val="en-PK" w:eastAsia="en-PK"/>
            </w:rPr>
          </w:pPr>
          <w:hyperlink w:anchor="_Toc242459611" w:history="1">
            <w:r w:rsidRPr="004B24C7">
              <w:rPr>
                <w:rStyle w:val="Hyperlink"/>
              </w:rPr>
              <w:t>Study contributions to analytical themes</w:t>
            </w:r>
            <w:r w:rsidRPr="004B24C7">
              <w:rPr>
                <w:webHidden/>
              </w:rPr>
              <w:tab/>
            </w:r>
            <w:r w:rsidRPr="004B24C7">
              <w:rPr>
                <w:webHidden/>
              </w:rPr>
              <w:fldChar w:fldCharType="begin"/>
            </w:r>
            <w:r w:rsidRPr="004B24C7">
              <w:rPr>
                <w:webHidden/>
              </w:rPr>
              <w:instrText xml:space="preserve"> PAGEREF _Toc242459611 \h </w:instrText>
            </w:r>
            <w:r w:rsidRPr="004B24C7">
              <w:rPr>
                <w:webHidden/>
              </w:rPr>
            </w:r>
            <w:r w:rsidRPr="004B24C7">
              <w:rPr>
                <w:webHidden/>
              </w:rPr>
              <w:fldChar w:fldCharType="separate"/>
            </w:r>
            <w:r w:rsidRPr="004B24C7">
              <w:rPr>
                <w:webHidden/>
              </w:rPr>
              <w:t>96</w:t>
            </w:r>
            <w:r w:rsidRPr="004B24C7">
              <w:rPr>
                <w:webHidden/>
              </w:rPr>
              <w:fldChar w:fldCharType="end"/>
            </w:r>
          </w:hyperlink>
        </w:p>
        <w:p w14:paraId="48FBB877" w14:textId="23B654E1" w:rsidR="00911724" w:rsidRPr="004B24C7" w:rsidRDefault="00911724" w:rsidP="003812C9">
          <w:pPr>
            <w:pStyle w:val="TOC2"/>
            <w:rPr>
              <w:sz w:val="24"/>
              <w:szCs w:val="24"/>
              <w:lang w:val="en-PK" w:eastAsia="en-PK"/>
            </w:rPr>
          </w:pPr>
          <w:hyperlink w:anchor="_Toc242459612" w:history="1">
            <w:r w:rsidRPr="004B24C7">
              <w:rPr>
                <w:rStyle w:val="Hyperlink"/>
                <w:bCs/>
              </w:rPr>
              <w:t>Contrasting accounts and sensitivity checks</w:t>
            </w:r>
            <w:r w:rsidRPr="004B24C7">
              <w:rPr>
                <w:webHidden/>
              </w:rPr>
              <w:tab/>
            </w:r>
            <w:r w:rsidRPr="004B24C7">
              <w:rPr>
                <w:webHidden/>
              </w:rPr>
              <w:fldChar w:fldCharType="begin"/>
            </w:r>
            <w:r w:rsidRPr="004B24C7">
              <w:rPr>
                <w:webHidden/>
              </w:rPr>
              <w:instrText xml:space="preserve"> PAGEREF _Toc242459612 \h </w:instrText>
            </w:r>
            <w:r w:rsidRPr="004B24C7">
              <w:rPr>
                <w:webHidden/>
              </w:rPr>
            </w:r>
            <w:r w:rsidRPr="004B24C7">
              <w:rPr>
                <w:webHidden/>
              </w:rPr>
              <w:fldChar w:fldCharType="separate"/>
            </w:r>
            <w:r w:rsidRPr="004B24C7">
              <w:rPr>
                <w:webHidden/>
              </w:rPr>
              <w:t>97</w:t>
            </w:r>
            <w:r w:rsidRPr="004B24C7">
              <w:rPr>
                <w:webHidden/>
              </w:rPr>
              <w:fldChar w:fldCharType="end"/>
            </w:r>
          </w:hyperlink>
        </w:p>
        <w:p w14:paraId="7BE08E7C" w14:textId="6AE13839" w:rsidR="00911724" w:rsidRPr="004B24C7" w:rsidRDefault="00911724">
          <w:pPr>
            <w:pStyle w:val="TOC1"/>
            <w:tabs>
              <w:tab w:val="right" w:leader="dot" w:pos="9016"/>
            </w:tabs>
            <w:rPr>
              <w:rFonts w:ascii="Arial" w:eastAsiaTheme="minorEastAsia" w:hAnsi="Arial" w:cs="Arial"/>
              <w:b/>
              <w:bCs/>
              <w:noProof/>
              <w:color w:val="auto"/>
              <w:szCs w:val="24"/>
              <w:lang w:val="en-PK" w:eastAsia="en-PK"/>
            </w:rPr>
          </w:pPr>
          <w:hyperlink w:anchor="_Toc242459613" w:history="1">
            <w:r w:rsidRPr="004B24C7">
              <w:rPr>
                <w:rStyle w:val="Hyperlink"/>
                <w:rFonts w:ascii="Arial" w:hAnsi="Arial" w:cs="Arial"/>
                <w:b/>
                <w:bCs/>
                <w:noProof/>
              </w:rPr>
              <w:t>Appendix D</w:t>
            </w:r>
            <w:r w:rsidR="005D13E7">
              <w:rPr>
                <w:rStyle w:val="Hyperlink"/>
                <w:rFonts w:ascii="Arial" w:hAnsi="Arial" w:cs="Arial"/>
                <w:b/>
                <w:bCs/>
                <w:noProof/>
              </w:rPr>
              <w:t>:</w:t>
            </w:r>
            <w:r w:rsidRPr="004B24C7">
              <w:rPr>
                <w:rStyle w:val="Hyperlink"/>
                <w:rFonts w:ascii="Arial" w:hAnsi="Arial" w:cs="Arial"/>
                <w:b/>
                <w:bCs/>
                <w:noProof/>
              </w:rPr>
              <w:t xml:space="preserve"> CASP appraisal rationales</w:t>
            </w:r>
            <w:r w:rsidRPr="004B24C7">
              <w:rPr>
                <w:rFonts w:ascii="Arial" w:hAnsi="Arial" w:cs="Arial"/>
                <w:b/>
                <w:bCs/>
                <w:noProof/>
                <w:webHidden/>
              </w:rPr>
              <w:tab/>
            </w:r>
            <w:r w:rsidRPr="004B24C7">
              <w:rPr>
                <w:rFonts w:ascii="Arial" w:hAnsi="Arial" w:cs="Arial"/>
                <w:b/>
                <w:bCs/>
                <w:noProof/>
                <w:webHidden/>
              </w:rPr>
              <w:fldChar w:fldCharType="begin"/>
            </w:r>
            <w:r w:rsidRPr="004B24C7">
              <w:rPr>
                <w:rFonts w:ascii="Arial" w:hAnsi="Arial" w:cs="Arial"/>
                <w:b/>
                <w:bCs/>
                <w:noProof/>
                <w:webHidden/>
              </w:rPr>
              <w:instrText xml:space="preserve"> PAGEREF _Toc242459613 \h </w:instrText>
            </w:r>
            <w:r w:rsidRPr="004B24C7">
              <w:rPr>
                <w:rFonts w:ascii="Arial" w:hAnsi="Arial" w:cs="Arial"/>
                <w:b/>
                <w:bCs/>
                <w:noProof/>
                <w:webHidden/>
              </w:rPr>
            </w:r>
            <w:r w:rsidRPr="004B24C7">
              <w:rPr>
                <w:rFonts w:ascii="Arial" w:hAnsi="Arial" w:cs="Arial"/>
                <w:b/>
                <w:bCs/>
                <w:noProof/>
                <w:webHidden/>
              </w:rPr>
              <w:fldChar w:fldCharType="separate"/>
            </w:r>
            <w:r w:rsidRPr="004B24C7">
              <w:rPr>
                <w:rFonts w:ascii="Arial" w:hAnsi="Arial" w:cs="Arial"/>
                <w:b/>
                <w:bCs/>
                <w:noProof/>
                <w:webHidden/>
              </w:rPr>
              <w:t>98</w:t>
            </w:r>
            <w:r w:rsidRPr="004B24C7">
              <w:rPr>
                <w:rFonts w:ascii="Arial" w:hAnsi="Arial" w:cs="Arial"/>
                <w:b/>
                <w:bCs/>
                <w:noProof/>
                <w:webHidden/>
              </w:rPr>
              <w:fldChar w:fldCharType="end"/>
            </w:r>
          </w:hyperlink>
        </w:p>
        <w:p w14:paraId="70C72268" w14:textId="2AA717A8" w:rsidR="00911724" w:rsidRPr="004B24C7" w:rsidRDefault="00911724" w:rsidP="003812C9">
          <w:pPr>
            <w:pStyle w:val="TOC2"/>
            <w:rPr>
              <w:sz w:val="24"/>
              <w:szCs w:val="24"/>
              <w:lang w:val="en-PK" w:eastAsia="en-PK"/>
            </w:rPr>
          </w:pPr>
          <w:hyperlink w:anchor="_Toc242459614" w:history="1">
            <w:r w:rsidRPr="004B24C7">
              <w:rPr>
                <w:rStyle w:val="Hyperlink"/>
                <w:bCs/>
              </w:rPr>
              <w:t>D1 R0024 Berry et al. (2018)</w:t>
            </w:r>
            <w:r w:rsidRPr="004B24C7">
              <w:rPr>
                <w:webHidden/>
              </w:rPr>
              <w:tab/>
            </w:r>
            <w:r w:rsidRPr="004B24C7">
              <w:rPr>
                <w:webHidden/>
              </w:rPr>
              <w:fldChar w:fldCharType="begin"/>
            </w:r>
            <w:r w:rsidRPr="004B24C7">
              <w:rPr>
                <w:webHidden/>
              </w:rPr>
              <w:instrText xml:space="preserve"> PAGEREF _Toc242459614 \h </w:instrText>
            </w:r>
            <w:r w:rsidRPr="004B24C7">
              <w:rPr>
                <w:webHidden/>
              </w:rPr>
            </w:r>
            <w:r w:rsidRPr="004B24C7">
              <w:rPr>
                <w:webHidden/>
              </w:rPr>
              <w:fldChar w:fldCharType="separate"/>
            </w:r>
            <w:r w:rsidRPr="004B24C7">
              <w:rPr>
                <w:webHidden/>
              </w:rPr>
              <w:t>98</w:t>
            </w:r>
            <w:r w:rsidRPr="004B24C7">
              <w:rPr>
                <w:webHidden/>
              </w:rPr>
              <w:fldChar w:fldCharType="end"/>
            </w:r>
          </w:hyperlink>
        </w:p>
        <w:p w14:paraId="227FD742" w14:textId="1F5096B6" w:rsidR="00911724" w:rsidRPr="004B24C7" w:rsidRDefault="00911724" w:rsidP="003812C9">
          <w:pPr>
            <w:pStyle w:val="TOC2"/>
            <w:rPr>
              <w:sz w:val="24"/>
              <w:szCs w:val="24"/>
              <w:lang w:val="en-PK" w:eastAsia="en-PK"/>
            </w:rPr>
          </w:pPr>
          <w:hyperlink w:anchor="_Toc242459615" w:history="1">
            <w:r w:rsidRPr="004B24C7">
              <w:rPr>
                <w:rStyle w:val="Hyperlink"/>
                <w:bCs/>
              </w:rPr>
              <w:t>D2 R0046 Sweeting et al. (2016)</w:t>
            </w:r>
            <w:r w:rsidRPr="004B24C7">
              <w:rPr>
                <w:webHidden/>
              </w:rPr>
              <w:tab/>
            </w:r>
            <w:r w:rsidRPr="004B24C7">
              <w:rPr>
                <w:webHidden/>
              </w:rPr>
              <w:fldChar w:fldCharType="begin"/>
            </w:r>
            <w:r w:rsidRPr="004B24C7">
              <w:rPr>
                <w:webHidden/>
              </w:rPr>
              <w:instrText xml:space="preserve"> PAGEREF _Toc242459615 \h </w:instrText>
            </w:r>
            <w:r w:rsidRPr="004B24C7">
              <w:rPr>
                <w:webHidden/>
              </w:rPr>
            </w:r>
            <w:r w:rsidRPr="004B24C7">
              <w:rPr>
                <w:webHidden/>
              </w:rPr>
              <w:fldChar w:fldCharType="separate"/>
            </w:r>
            <w:r w:rsidRPr="004B24C7">
              <w:rPr>
                <w:webHidden/>
              </w:rPr>
              <w:t>99</w:t>
            </w:r>
            <w:r w:rsidRPr="004B24C7">
              <w:rPr>
                <w:webHidden/>
              </w:rPr>
              <w:fldChar w:fldCharType="end"/>
            </w:r>
          </w:hyperlink>
        </w:p>
        <w:p w14:paraId="1D71D2F9" w14:textId="699C919E" w:rsidR="00911724" w:rsidRPr="004B24C7" w:rsidRDefault="00911724" w:rsidP="003812C9">
          <w:pPr>
            <w:pStyle w:val="TOC2"/>
            <w:rPr>
              <w:sz w:val="24"/>
              <w:szCs w:val="24"/>
              <w:lang w:val="en-PK" w:eastAsia="en-PK"/>
            </w:rPr>
          </w:pPr>
          <w:hyperlink w:anchor="_Toc242459616" w:history="1">
            <w:r w:rsidRPr="004B24C7">
              <w:rPr>
                <w:rStyle w:val="Hyperlink"/>
                <w:bCs/>
              </w:rPr>
              <w:t>D3 R0132 Tang et al. (2026)</w:t>
            </w:r>
            <w:r w:rsidRPr="004B24C7">
              <w:rPr>
                <w:webHidden/>
              </w:rPr>
              <w:tab/>
            </w:r>
            <w:r w:rsidRPr="004B24C7">
              <w:rPr>
                <w:webHidden/>
              </w:rPr>
              <w:fldChar w:fldCharType="begin"/>
            </w:r>
            <w:r w:rsidRPr="004B24C7">
              <w:rPr>
                <w:webHidden/>
              </w:rPr>
              <w:instrText xml:space="preserve"> PAGEREF _Toc242459616 \h </w:instrText>
            </w:r>
            <w:r w:rsidRPr="004B24C7">
              <w:rPr>
                <w:webHidden/>
              </w:rPr>
            </w:r>
            <w:r w:rsidRPr="004B24C7">
              <w:rPr>
                <w:webHidden/>
              </w:rPr>
              <w:fldChar w:fldCharType="separate"/>
            </w:r>
            <w:r w:rsidRPr="004B24C7">
              <w:rPr>
                <w:webHidden/>
              </w:rPr>
              <w:t>100</w:t>
            </w:r>
            <w:r w:rsidRPr="004B24C7">
              <w:rPr>
                <w:webHidden/>
              </w:rPr>
              <w:fldChar w:fldCharType="end"/>
            </w:r>
          </w:hyperlink>
        </w:p>
        <w:p w14:paraId="32B765B0" w14:textId="1862372D" w:rsidR="00911724" w:rsidRPr="004B24C7" w:rsidRDefault="00911724" w:rsidP="003812C9">
          <w:pPr>
            <w:pStyle w:val="TOC2"/>
            <w:rPr>
              <w:sz w:val="24"/>
              <w:szCs w:val="24"/>
              <w:lang w:val="en-PK" w:eastAsia="en-PK"/>
            </w:rPr>
          </w:pPr>
          <w:hyperlink w:anchor="_Toc242459617" w:history="1">
            <w:r w:rsidRPr="004B24C7">
              <w:rPr>
                <w:rStyle w:val="Hyperlink"/>
                <w:bCs/>
              </w:rPr>
              <w:t>D4 R0096 Scott et al. (2020)</w:t>
            </w:r>
            <w:r w:rsidRPr="004B24C7">
              <w:rPr>
                <w:webHidden/>
              </w:rPr>
              <w:tab/>
            </w:r>
            <w:r w:rsidRPr="004B24C7">
              <w:rPr>
                <w:webHidden/>
              </w:rPr>
              <w:fldChar w:fldCharType="begin"/>
            </w:r>
            <w:r w:rsidRPr="004B24C7">
              <w:rPr>
                <w:webHidden/>
              </w:rPr>
              <w:instrText xml:space="preserve"> PAGEREF _Toc242459617 \h </w:instrText>
            </w:r>
            <w:r w:rsidRPr="004B24C7">
              <w:rPr>
                <w:webHidden/>
              </w:rPr>
            </w:r>
            <w:r w:rsidRPr="004B24C7">
              <w:rPr>
                <w:webHidden/>
              </w:rPr>
              <w:fldChar w:fldCharType="separate"/>
            </w:r>
            <w:r w:rsidRPr="004B24C7">
              <w:rPr>
                <w:webHidden/>
              </w:rPr>
              <w:t>101</w:t>
            </w:r>
            <w:r w:rsidRPr="004B24C7">
              <w:rPr>
                <w:webHidden/>
              </w:rPr>
              <w:fldChar w:fldCharType="end"/>
            </w:r>
          </w:hyperlink>
        </w:p>
        <w:p w14:paraId="40C4D280" w14:textId="05DFDF23" w:rsidR="00911724" w:rsidRPr="004B24C7" w:rsidRDefault="00911724" w:rsidP="003812C9">
          <w:pPr>
            <w:pStyle w:val="TOC2"/>
            <w:rPr>
              <w:sz w:val="24"/>
              <w:szCs w:val="24"/>
              <w:lang w:val="en-PK" w:eastAsia="en-PK"/>
            </w:rPr>
          </w:pPr>
          <w:hyperlink w:anchor="_Toc242459618" w:history="1">
            <w:r w:rsidRPr="004B24C7">
              <w:rPr>
                <w:rStyle w:val="Hyperlink"/>
                <w:bCs/>
              </w:rPr>
              <w:t>D5 R0058 Canzini and Langdon-Daly (2025)</w:t>
            </w:r>
            <w:r w:rsidRPr="004B24C7">
              <w:rPr>
                <w:webHidden/>
              </w:rPr>
              <w:tab/>
            </w:r>
            <w:r w:rsidRPr="004B24C7">
              <w:rPr>
                <w:webHidden/>
              </w:rPr>
              <w:fldChar w:fldCharType="begin"/>
            </w:r>
            <w:r w:rsidRPr="004B24C7">
              <w:rPr>
                <w:webHidden/>
              </w:rPr>
              <w:instrText xml:space="preserve"> PAGEREF _Toc242459618 \h </w:instrText>
            </w:r>
            <w:r w:rsidRPr="004B24C7">
              <w:rPr>
                <w:webHidden/>
              </w:rPr>
            </w:r>
            <w:r w:rsidRPr="004B24C7">
              <w:rPr>
                <w:webHidden/>
              </w:rPr>
              <w:fldChar w:fldCharType="separate"/>
            </w:r>
            <w:r w:rsidRPr="004B24C7">
              <w:rPr>
                <w:webHidden/>
              </w:rPr>
              <w:t>102</w:t>
            </w:r>
            <w:r w:rsidRPr="004B24C7">
              <w:rPr>
                <w:webHidden/>
              </w:rPr>
              <w:fldChar w:fldCharType="end"/>
            </w:r>
          </w:hyperlink>
        </w:p>
        <w:p w14:paraId="59CC4FDD" w14:textId="601C2867" w:rsidR="00911724" w:rsidRPr="004B24C7" w:rsidRDefault="00911724" w:rsidP="003812C9">
          <w:pPr>
            <w:pStyle w:val="TOC2"/>
            <w:rPr>
              <w:sz w:val="24"/>
              <w:szCs w:val="24"/>
              <w:lang w:val="en-PK" w:eastAsia="en-PK"/>
            </w:rPr>
          </w:pPr>
          <w:hyperlink w:anchor="_Toc242459619" w:history="1">
            <w:r w:rsidRPr="004B24C7">
              <w:rPr>
                <w:rStyle w:val="Hyperlink"/>
                <w:bCs/>
              </w:rPr>
              <w:t>D6 R0040 Rodrigues et al. (2025)</w:t>
            </w:r>
            <w:r w:rsidRPr="004B24C7">
              <w:rPr>
                <w:webHidden/>
              </w:rPr>
              <w:tab/>
            </w:r>
            <w:r w:rsidRPr="004B24C7">
              <w:rPr>
                <w:webHidden/>
              </w:rPr>
              <w:fldChar w:fldCharType="begin"/>
            </w:r>
            <w:r w:rsidRPr="004B24C7">
              <w:rPr>
                <w:webHidden/>
              </w:rPr>
              <w:instrText xml:space="preserve"> PAGEREF _Toc242459619 \h </w:instrText>
            </w:r>
            <w:r w:rsidRPr="004B24C7">
              <w:rPr>
                <w:webHidden/>
              </w:rPr>
            </w:r>
            <w:r w:rsidRPr="004B24C7">
              <w:rPr>
                <w:webHidden/>
              </w:rPr>
              <w:fldChar w:fldCharType="separate"/>
            </w:r>
            <w:r w:rsidRPr="004B24C7">
              <w:rPr>
                <w:webHidden/>
              </w:rPr>
              <w:t>103</w:t>
            </w:r>
            <w:r w:rsidRPr="004B24C7">
              <w:rPr>
                <w:webHidden/>
              </w:rPr>
              <w:fldChar w:fldCharType="end"/>
            </w:r>
          </w:hyperlink>
        </w:p>
        <w:p w14:paraId="0E20C98C" w14:textId="4069108B" w:rsidR="00911724" w:rsidRPr="004B24C7" w:rsidRDefault="00911724" w:rsidP="003812C9">
          <w:pPr>
            <w:pStyle w:val="TOC2"/>
            <w:rPr>
              <w:sz w:val="24"/>
              <w:szCs w:val="24"/>
              <w:lang w:val="en-PK" w:eastAsia="en-PK"/>
            </w:rPr>
          </w:pPr>
          <w:hyperlink w:anchor="_Toc242459620" w:history="1">
            <w:r w:rsidRPr="004B24C7">
              <w:rPr>
                <w:rStyle w:val="Hyperlink"/>
                <w:bCs/>
              </w:rPr>
              <w:t>D7 R0097 Orlando et al. (2025)</w:t>
            </w:r>
            <w:r w:rsidRPr="004B24C7">
              <w:rPr>
                <w:webHidden/>
              </w:rPr>
              <w:tab/>
            </w:r>
            <w:r w:rsidRPr="004B24C7">
              <w:rPr>
                <w:webHidden/>
              </w:rPr>
              <w:fldChar w:fldCharType="begin"/>
            </w:r>
            <w:r w:rsidRPr="004B24C7">
              <w:rPr>
                <w:webHidden/>
              </w:rPr>
              <w:instrText xml:space="preserve"> PAGEREF _Toc242459620 \h </w:instrText>
            </w:r>
            <w:r w:rsidRPr="004B24C7">
              <w:rPr>
                <w:webHidden/>
              </w:rPr>
            </w:r>
            <w:r w:rsidRPr="004B24C7">
              <w:rPr>
                <w:webHidden/>
              </w:rPr>
              <w:fldChar w:fldCharType="separate"/>
            </w:r>
            <w:r w:rsidRPr="004B24C7">
              <w:rPr>
                <w:webHidden/>
              </w:rPr>
              <w:t>104</w:t>
            </w:r>
            <w:r w:rsidRPr="004B24C7">
              <w:rPr>
                <w:webHidden/>
              </w:rPr>
              <w:fldChar w:fldCharType="end"/>
            </w:r>
          </w:hyperlink>
        </w:p>
        <w:p w14:paraId="1AE0C7CB" w14:textId="092CBE48" w:rsidR="00911724" w:rsidRPr="004B24C7" w:rsidRDefault="00911724" w:rsidP="003812C9">
          <w:pPr>
            <w:pStyle w:val="TOC2"/>
            <w:rPr>
              <w:sz w:val="24"/>
              <w:szCs w:val="24"/>
              <w:lang w:val="en-PK" w:eastAsia="en-PK"/>
            </w:rPr>
          </w:pPr>
          <w:hyperlink w:anchor="_Toc242459621" w:history="1">
            <w:r w:rsidRPr="004B24C7">
              <w:rPr>
                <w:rStyle w:val="Hyperlink"/>
                <w:bCs/>
              </w:rPr>
              <w:t>D8 R0312 Hawkes et al. (2024)</w:t>
            </w:r>
            <w:r w:rsidRPr="004B24C7">
              <w:rPr>
                <w:webHidden/>
              </w:rPr>
              <w:tab/>
            </w:r>
            <w:r w:rsidRPr="004B24C7">
              <w:rPr>
                <w:webHidden/>
              </w:rPr>
              <w:fldChar w:fldCharType="begin"/>
            </w:r>
            <w:r w:rsidRPr="004B24C7">
              <w:rPr>
                <w:webHidden/>
              </w:rPr>
              <w:instrText xml:space="preserve"> PAGEREF _Toc242459621 \h </w:instrText>
            </w:r>
            <w:r w:rsidRPr="004B24C7">
              <w:rPr>
                <w:webHidden/>
              </w:rPr>
            </w:r>
            <w:r w:rsidRPr="004B24C7">
              <w:rPr>
                <w:webHidden/>
              </w:rPr>
              <w:fldChar w:fldCharType="separate"/>
            </w:r>
            <w:r w:rsidRPr="004B24C7">
              <w:rPr>
                <w:webHidden/>
              </w:rPr>
              <w:t>105</w:t>
            </w:r>
            <w:r w:rsidRPr="004B24C7">
              <w:rPr>
                <w:webHidden/>
              </w:rPr>
              <w:fldChar w:fldCharType="end"/>
            </w:r>
          </w:hyperlink>
        </w:p>
        <w:p w14:paraId="3C5D789C" w14:textId="6C60BE01" w:rsidR="00911724" w:rsidRPr="004B24C7" w:rsidRDefault="00911724" w:rsidP="003812C9">
          <w:pPr>
            <w:pStyle w:val="TOC2"/>
            <w:rPr>
              <w:sz w:val="24"/>
              <w:szCs w:val="24"/>
              <w:lang w:val="en-PK" w:eastAsia="en-PK"/>
            </w:rPr>
          </w:pPr>
          <w:hyperlink w:anchor="_Toc242459622" w:history="1">
            <w:r w:rsidRPr="004B24C7">
              <w:rPr>
                <w:rStyle w:val="Hyperlink"/>
                <w:bCs/>
              </w:rPr>
              <w:t>D9 S0001 Howard Wilsher, Fearne and Panagiotaki (2019)</w:t>
            </w:r>
            <w:r w:rsidRPr="004B24C7">
              <w:rPr>
                <w:webHidden/>
              </w:rPr>
              <w:tab/>
            </w:r>
            <w:r w:rsidRPr="004B24C7">
              <w:rPr>
                <w:webHidden/>
              </w:rPr>
              <w:fldChar w:fldCharType="begin"/>
            </w:r>
            <w:r w:rsidRPr="004B24C7">
              <w:rPr>
                <w:webHidden/>
              </w:rPr>
              <w:instrText xml:space="preserve"> PAGEREF _Toc242459622 \h </w:instrText>
            </w:r>
            <w:r w:rsidRPr="004B24C7">
              <w:rPr>
                <w:webHidden/>
              </w:rPr>
            </w:r>
            <w:r w:rsidRPr="004B24C7">
              <w:rPr>
                <w:webHidden/>
              </w:rPr>
              <w:fldChar w:fldCharType="separate"/>
            </w:r>
            <w:r w:rsidRPr="004B24C7">
              <w:rPr>
                <w:webHidden/>
              </w:rPr>
              <w:t>107</w:t>
            </w:r>
            <w:r w:rsidRPr="004B24C7">
              <w:rPr>
                <w:webHidden/>
              </w:rPr>
              <w:fldChar w:fldCharType="end"/>
            </w:r>
          </w:hyperlink>
        </w:p>
        <w:p w14:paraId="68E8C58C" w14:textId="28E54722" w:rsidR="00911724" w:rsidRPr="004B24C7" w:rsidRDefault="00911724" w:rsidP="003812C9">
          <w:pPr>
            <w:pStyle w:val="TOC2"/>
            <w:rPr>
              <w:sz w:val="24"/>
              <w:szCs w:val="24"/>
              <w:lang w:val="en-PK" w:eastAsia="en-PK"/>
            </w:rPr>
          </w:pPr>
          <w:hyperlink w:anchor="_Toc242459623" w:history="1">
            <w:r w:rsidRPr="004B24C7">
              <w:rPr>
                <w:rStyle w:val="Hyperlink"/>
                <w:bCs/>
              </w:rPr>
              <w:t>D10 S0002 Trahearn et al. (2021)</w:t>
            </w:r>
            <w:r w:rsidRPr="004B24C7">
              <w:rPr>
                <w:webHidden/>
              </w:rPr>
              <w:tab/>
            </w:r>
            <w:r w:rsidRPr="004B24C7">
              <w:rPr>
                <w:webHidden/>
              </w:rPr>
              <w:fldChar w:fldCharType="begin"/>
            </w:r>
            <w:r w:rsidRPr="004B24C7">
              <w:rPr>
                <w:webHidden/>
              </w:rPr>
              <w:instrText xml:space="preserve"> PAGEREF _Toc242459623 \h </w:instrText>
            </w:r>
            <w:r w:rsidRPr="004B24C7">
              <w:rPr>
                <w:webHidden/>
              </w:rPr>
            </w:r>
            <w:r w:rsidRPr="004B24C7">
              <w:rPr>
                <w:webHidden/>
              </w:rPr>
              <w:fldChar w:fldCharType="separate"/>
            </w:r>
            <w:r w:rsidRPr="004B24C7">
              <w:rPr>
                <w:webHidden/>
              </w:rPr>
              <w:t>109</w:t>
            </w:r>
            <w:r w:rsidRPr="004B24C7">
              <w:rPr>
                <w:webHidden/>
              </w:rPr>
              <w:fldChar w:fldCharType="end"/>
            </w:r>
          </w:hyperlink>
        </w:p>
        <w:p w14:paraId="44EF73A3" w14:textId="6FC1EE59" w:rsidR="00911724" w:rsidRPr="004B24C7" w:rsidRDefault="00911724" w:rsidP="003812C9">
          <w:pPr>
            <w:pStyle w:val="TOC2"/>
            <w:rPr>
              <w:sz w:val="24"/>
              <w:szCs w:val="24"/>
              <w:lang w:val="en-PK" w:eastAsia="en-PK"/>
            </w:rPr>
          </w:pPr>
          <w:hyperlink w:anchor="_Toc242459624" w:history="1">
            <w:r w:rsidRPr="004B24C7">
              <w:rPr>
                <w:rStyle w:val="Hyperlink"/>
                <w:bCs/>
              </w:rPr>
              <w:t>D11 S0003 Hunter et al. (2025)</w:t>
            </w:r>
            <w:r w:rsidRPr="004B24C7">
              <w:rPr>
                <w:webHidden/>
              </w:rPr>
              <w:tab/>
            </w:r>
            <w:r w:rsidRPr="004B24C7">
              <w:rPr>
                <w:webHidden/>
              </w:rPr>
              <w:fldChar w:fldCharType="begin"/>
            </w:r>
            <w:r w:rsidRPr="004B24C7">
              <w:rPr>
                <w:webHidden/>
              </w:rPr>
              <w:instrText xml:space="preserve"> PAGEREF _Toc242459624 \h </w:instrText>
            </w:r>
            <w:r w:rsidRPr="004B24C7">
              <w:rPr>
                <w:webHidden/>
              </w:rPr>
            </w:r>
            <w:r w:rsidRPr="004B24C7">
              <w:rPr>
                <w:webHidden/>
              </w:rPr>
              <w:fldChar w:fldCharType="separate"/>
            </w:r>
            <w:r w:rsidRPr="004B24C7">
              <w:rPr>
                <w:webHidden/>
              </w:rPr>
              <w:t>110</w:t>
            </w:r>
            <w:r w:rsidRPr="004B24C7">
              <w:rPr>
                <w:webHidden/>
              </w:rPr>
              <w:fldChar w:fldCharType="end"/>
            </w:r>
          </w:hyperlink>
        </w:p>
        <w:p w14:paraId="3133FDA5" w14:textId="58DE079F" w:rsidR="00911724" w:rsidRPr="004B24C7" w:rsidRDefault="00911724" w:rsidP="003812C9">
          <w:pPr>
            <w:pStyle w:val="TOC2"/>
            <w:rPr>
              <w:sz w:val="24"/>
              <w:szCs w:val="24"/>
              <w:lang w:val="en-PK" w:eastAsia="en-PK"/>
            </w:rPr>
          </w:pPr>
          <w:hyperlink w:anchor="_Toc242459625" w:history="1">
            <w:r w:rsidRPr="004B24C7">
              <w:rPr>
                <w:rStyle w:val="Hyperlink"/>
                <w:bCs/>
              </w:rPr>
              <w:t>D12 R0465 Easton et al. (2018)</w:t>
            </w:r>
            <w:r w:rsidRPr="004B24C7">
              <w:rPr>
                <w:webHidden/>
              </w:rPr>
              <w:tab/>
            </w:r>
            <w:r w:rsidRPr="004B24C7">
              <w:rPr>
                <w:webHidden/>
              </w:rPr>
              <w:fldChar w:fldCharType="begin"/>
            </w:r>
            <w:r w:rsidRPr="004B24C7">
              <w:rPr>
                <w:webHidden/>
              </w:rPr>
              <w:instrText xml:space="preserve"> PAGEREF _Toc242459625 \h </w:instrText>
            </w:r>
            <w:r w:rsidRPr="004B24C7">
              <w:rPr>
                <w:webHidden/>
              </w:rPr>
            </w:r>
            <w:r w:rsidRPr="004B24C7">
              <w:rPr>
                <w:webHidden/>
              </w:rPr>
              <w:fldChar w:fldCharType="separate"/>
            </w:r>
            <w:r w:rsidRPr="004B24C7">
              <w:rPr>
                <w:webHidden/>
              </w:rPr>
              <w:t>111</w:t>
            </w:r>
            <w:r w:rsidRPr="004B24C7">
              <w:rPr>
                <w:webHidden/>
              </w:rPr>
              <w:fldChar w:fldCharType="end"/>
            </w:r>
          </w:hyperlink>
        </w:p>
        <w:p w14:paraId="32967D15" w14:textId="54D9AFA6" w:rsidR="00911724" w:rsidRPr="004B24C7" w:rsidRDefault="00911724" w:rsidP="003812C9">
          <w:pPr>
            <w:pStyle w:val="TOC2"/>
            <w:rPr>
              <w:sz w:val="24"/>
              <w:szCs w:val="24"/>
              <w:lang w:val="en-PK" w:eastAsia="en-PK"/>
            </w:rPr>
          </w:pPr>
          <w:hyperlink w:anchor="_Toc242459626" w:history="1">
            <w:r w:rsidRPr="004B24C7">
              <w:rPr>
                <w:rStyle w:val="Hyperlink"/>
                <w:bCs/>
              </w:rPr>
              <w:t>D13 R0045 Tyrrell et al. (2016)</w:t>
            </w:r>
            <w:r w:rsidRPr="004B24C7">
              <w:rPr>
                <w:webHidden/>
              </w:rPr>
              <w:tab/>
            </w:r>
            <w:r w:rsidRPr="004B24C7">
              <w:rPr>
                <w:webHidden/>
              </w:rPr>
              <w:fldChar w:fldCharType="begin"/>
            </w:r>
            <w:r w:rsidRPr="004B24C7">
              <w:rPr>
                <w:webHidden/>
              </w:rPr>
              <w:instrText xml:space="preserve"> PAGEREF _Toc242459626 \h </w:instrText>
            </w:r>
            <w:r w:rsidRPr="004B24C7">
              <w:rPr>
                <w:webHidden/>
              </w:rPr>
            </w:r>
            <w:r w:rsidRPr="004B24C7">
              <w:rPr>
                <w:webHidden/>
              </w:rPr>
              <w:fldChar w:fldCharType="separate"/>
            </w:r>
            <w:r w:rsidRPr="004B24C7">
              <w:rPr>
                <w:webHidden/>
              </w:rPr>
              <w:t>112</w:t>
            </w:r>
            <w:r w:rsidRPr="004B24C7">
              <w:rPr>
                <w:webHidden/>
              </w:rPr>
              <w:fldChar w:fldCharType="end"/>
            </w:r>
          </w:hyperlink>
        </w:p>
        <w:p w14:paraId="524955CF" w14:textId="79B97C81" w:rsidR="00911724" w:rsidRPr="004B24C7" w:rsidRDefault="00911724" w:rsidP="003812C9">
          <w:pPr>
            <w:pStyle w:val="TOC2"/>
            <w:rPr>
              <w:sz w:val="24"/>
              <w:szCs w:val="24"/>
              <w:lang w:val="en-PK" w:eastAsia="en-PK"/>
            </w:rPr>
          </w:pPr>
          <w:hyperlink w:anchor="_Toc242459627" w:history="1">
            <w:r w:rsidRPr="004B24C7">
              <w:rPr>
                <w:rStyle w:val="Hyperlink"/>
                <w:bCs/>
              </w:rPr>
              <w:t>D14 R0974 Hafiz et al. (2023)</w:t>
            </w:r>
            <w:r w:rsidRPr="004B24C7">
              <w:rPr>
                <w:webHidden/>
              </w:rPr>
              <w:tab/>
            </w:r>
            <w:r w:rsidRPr="004B24C7">
              <w:rPr>
                <w:webHidden/>
              </w:rPr>
              <w:fldChar w:fldCharType="begin"/>
            </w:r>
            <w:r w:rsidRPr="004B24C7">
              <w:rPr>
                <w:webHidden/>
              </w:rPr>
              <w:instrText xml:space="preserve"> PAGEREF _Toc242459627 \h </w:instrText>
            </w:r>
            <w:r w:rsidRPr="004B24C7">
              <w:rPr>
                <w:webHidden/>
              </w:rPr>
            </w:r>
            <w:r w:rsidRPr="004B24C7">
              <w:rPr>
                <w:webHidden/>
              </w:rPr>
              <w:fldChar w:fldCharType="separate"/>
            </w:r>
            <w:r w:rsidRPr="004B24C7">
              <w:rPr>
                <w:webHidden/>
              </w:rPr>
              <w:t>113</w:t>
            </w:r>
            <w:r w:rsidRPr="004B24C7">
              <w:rPr>
                <w:webHidden/>
              </w:rPr>
              <w:fldChar w:fldCharType="end"/>
            </w:r>
          </w:hyperlink>
        </w:p>
        <w:p w14:paraId="626DD577" w14:textId="7F65F4D0" w:rsidR="00911724" w:rsidRPr="004B24C7" w:rsidRDefault="00911724">
          <w:pPr>
            <w:pStyle w:val="TOC1"/>
            <w:tabs>
              <w:tab w:val="right" w:leader="dot" w:pos="9016"/>
            </w:tabs>
            <w:rPr>
              <w:rFonts w:ascii="Arial" w:eastAsiaTheme="minorEastAsia" w:hAnsi="Arial" w:cs="Arial"/>
              <w:b/>
              <w:bCs/>
              <w:noProof/>
              <w:color w:val="auto"/>
              <w:szCs w:val="24"/>
              <w:lang w:val="en-PK" w:eastAsia="en-PK"/>
            </w:rPr>
          </w:pPr>
          <w:hyperlink w:anchor="_Toc242459628" w:history="1">
            <w:r w:rsidRPr="004B24C7">
              <w:rPr>
                <w:rStyle w:val="Hyperlink"/>
                <w:rFonts w:ascii="Arial" w:hAnsi="Arial" w:cs="Arial"/>
                <w:b/>
                <w:bCs/>
                <w:noProof/>
              </w:rPr>
              <w:t>Appendix E</w:t>
            </w:r>
            <w:r w:rsidR="005D13E7">
              <w:rPr>
                <w:rStyle w:val="Hyperlink"/>
                <w:rFonts w:ascii="Arial" w:hAnsi="Arial" w:cs="Arial"/>
                <w:b/>
                <w:bCs/>
                <w:noProof/>
              </w:rPr>
              <w:t>:</w:t>
            </w:r>
            <w:r w:rsidRPr="004B24C7">
              <w:rPr>
                <w:rStyle w:val="Hyperlink"/>
                <w:rFonts w:ascii="Arial" w:hAnsi="Arial" w:cs="Arial"/>
                <w:b/>
                <w:bCs/>
                <w:noProof/>
              </w:rPr>
              <w:t xml:space="preserve"> Chapter word counts</w:t>
            </w:r>
            <w:r w:rsidRPr="004B24C7">
              <w:rPr>
                <w:rFonts w:ascii="Arial" w:hAnsi="Arial" w:cs="Arial"/>
                <w:b/>
                <w:bCs/>
                <w:noProof/>
                <w:webHidden/>
              </w:rPr>
              <w:tab/>
            </w:r>
            <w:r w:rsidRPr="004B24C7">
              <w:rPr>
                <w:rFonts w:ascii="Arial" w:hAnsi="Arial" w:cs="Arial"/>
                <w:b/>
                <w:bCs/>
                <w:noProof/>
                <w:webHidden/>
              </w:rPr>
              <w:fldChar w:fldCharType="begin"/>
            </w:r>
            <w:r w:rsidRPr="004B24C7">
              <w:rPr>
                <w:rFonts w:ascii="Arial" w:hAnsi="Arial" w:cs="Arial"/>
                <w:b/>
                <w:bCs/>
                <w:noProof/>
                <w:webHidden/>
              </w:rPr>
              <w:instrText xml:space="preserve"> PAGEREF _Toc242459628 \h </w:instrText>
            </w:r>
            <w:r w:rsidRPr="004B24C7">
              <w:rPr>
                <w:rFonts w:ascii="Arial" w:hAnsi="Arial" w:cs="Arial"/>
                <w:b/>
                <w:bCs/>
                <w:noProof/>
                <w:webHidden/>
              </w:rPr>
            </w:r>
            <w:r w:rsidRPr="004B24C7">
              <w:rPr>
                <w:rFonts w:ascii="Arial" w:hAnsi="Arial" w:cs="Arial"/>
                <w:b/>
                <w:bCs/>
                <w:noProof/>
                <w:webHidden/>
              </w:rPr>
              <w:fldChar w:fldCharType="separate"/>
            </w:r>
            <w:r w:rsidRPr="004B24C7">
              <w:rPr>
                <w:rFonts w:ascii="Arial" w:hAnsi="Arial" w:cs="Arial"/>
                <w:b/>
                <w:bCs/>
                <w:noProof/>
                <w:webHidden/>
              </w:rPr>
              <w:t>115</w:t>
            </w:r>
            <w:r w:rsidRPr="004B24C7">
              <w:rPr>
                <w:rFonts w:ascii="Arial" w:hAnsi="Arial" w:cs="Arial"/>
                <w:b/>
                <w:bCs/>
                <w:noProof/>
                <w:webHidden/>
              </w:rPr>
              <w:fldChar w:fldCharType="end"/>
            </w:r>
          </w:hyperlink>
        </w:p>
        <w:p w14:paraId="2AA32C52" w14:textId="1D726FE9" w:rsidR="00911724" w:rsidRPr="004B24C7" w:rsidRDefault="005D13E7">
          <w:pPr>
            <w:pStyle w:val="TOC1"/>
            <w:tabs>
              <w:tab w:val="right" w:leader="dot" w:pos="9016"/>
            </w:tabs>
            <w:rPr>
              <w:rFonts w:ascii="Arial" w:eastAsiaTheme="minorEastAsia" w:hAnsi="Arial" w:cs="Arial"/>
              <w:b/>
              <w:bCs/>
              <w:noProof/>
              <w:color w:val="auto"/>
              <w:szCs w:val="24"/>
              <w:lang w:val="en-PK" w:eastAsia="en-PK"/>
            </w:rPr>
          </w:pPr>
          <w:hyperlink w:anchor="_Toc242459629" w:history="1">
            <w:r>
              <w:rPr>
                <w:rStyle w:val="Hyperlink"/>
                <w:rFonts w:ascii="Arial" w:hAnsi="Arial" w:cs="Arial"/>
                <w:b/>
                <w:bCs/>
                <w:noProof/>
              </w:rPr>
              <w:t>Appendix F:</w:t>
            </w:r>
            <w:r w:rsidR="00911724" w:rsidRPr="004B24C7">
              <w:rPr>
                <w:rStyle w:val="Hyperlink"/>
                <w:rFonts w:ascii="Arial" w:hAnsi="Arial" w:cs="Arial"/>
                <w:b/>
                <w:bCs/>
                <w:noProof/>
              </w:rPr>
              <w:t xml:space="preserve"> Selection audit and review decisions</w:t>
            </w:r>
            <w:r w:rsidR="00911724" w:rsidRPr="004B24C7">
              <w:rPr>
                <w:rFonts w:ascii="Arial" w:hAnsi="Arial" w:cs="Arial"/>
                <w:b/>
                <w:bCs/>
                <w:noProof/>
                <w:webHidden/>
              </w:rPr>
              <w:tab/>
            </w:r>
            <w:r w:rsidR="00911724" w:rsidRPr="004B24C7">
              <w:rPr>
                <w:rFonts w:ascii="Arial" w:hAnsi="Arial" w:cs="Arial"/>
                <w:b/>
                <w:bCs/>
                <w:noProof/>
                <w:webHidden/>
              </w:rPr>
              <w:fldChar w:fldCharType="begin"/>
            </w:r>
            <w:r w:rsidR="00911724" w:rsidRPr="004B24C7">
              <w:rPr>
                <w:rFonts w:ascii="Arial" w:hAnsi="Arial" w:cs="Arial"/>
                <w:b/>
                <w:bCs/>
                <w:noProof/>
                <w:webHidden/>
              </w:rPr>
              <w:instrText xml:space="preserve"> PAGEREF _Toc242459629 \h </w:instrText>
            </w:r>
            <w:r w:rsidR="00911724" w:rsidRPr="004B24C7">
              <w:rPr>
                <w:rFonts w:ascii="Arial" w:hAnsi="Arial" w:cs="Arial"/>
                <w:b/>
                <w:bCs/>
                <w:noProof/>
                <w:webHidden/>
              </w:rPr>
            </w:r>
            <w:r w:rsidR="00911724" w:rsidRPr="004B24C7">
              <w:rPr>
                <w:rFonts w:ascii="Arial" w:hAnsi="Arial" w:cs="Arial"/>
                <w:b/>
                <w:bCs/>
                <w:noProof/>
                <w:webHidden/>
              </w:rPr>
              <w:fldChar w:fldCharType="separate"/>
            </w:r>
            <w:r w:rsidR="00911724" w:rsidRPr="004B24C7">
              <w:rPr>
                <w:rFonts w:ascii="Arial" w:hAnsi="Arial" w:cs="Arial"/>
                <w:b/>
                <w:bCs/>
                <w:noProof/>
                <w:webHidden/>
              </w:rPr>
              <w:t>116</w:t>
            </w:r>
            <w:r w:rsidR="00911724" w:rsidRPr="004B24C7">
              <w:rPr>
                <w:rFonts w:ascii="Arial" w:hAnsi="Arial" w:cs="Arial"/>
                <w:b/>
                <w:bCs/>
                <w:noProof/>
                <w:webHidden/>
              </w:rPr>
              <w:fldChar w:fldCharType="end"/>
            </w:r>
          </w:hyperlink>
        </w:p>
        <w:p w14:paraId="50E80374" w14:textId="2C498296" w:rsidR="00911724" w:rsidRPr="004B24C7" w:rsidRDefault="00911724" w:rsidP="003812C9">
          <w:pPr>
            <w:pStyle w:val="TOC2"/>
            <w:rPr>
              <w:sz w:val="24"/>
              <w:szCs w:val="24"/>
              <w:lang w:val="en-PK" w:eastAsia="en-PK"/>
            </w:rPr>
          </w:pPr>
          <w:hyperlink w:anchor="_Toc242459630" w:history="1">
            <w:r w:rsidRPr="004B24C7">
              <w:rPr>
                <w:rStyle w:val="Hyperlink"/>
                <w:bCs/>
              </w:rPr>
              <w:t>F1 Verified identification and historical screening snapshot</w:t>
            </w:r>
            <w:r w:rsidRPr="004B24C7">
              <w:rPr>
                <w:webHidden/>
              </w:rPr>
              <w:tab/>
            </w:r>
            <w:r w:rsidRPr="004B24C7">
              <w:rPr>
                <w:webHidden/>
              </w:rPr>
              <w:fldChar w:fldCharType="begin"/>
            </w:r>
            <w:r w:rsidRPr="004B24C7">
              <w:rPr>
                <w:webHidden/>
              </w:rPr>
              <w:instrText xml:space="preserve"> PAGEREF _Toc242459630 \h </w:instrText>
            </w:r>
            <w:r w:rsidRPr="004B24C7">
              <w:rPr>
                <w:webHidden/>
              </w:rPr>
            </w:r>
            <w:r w:rsidRPr="004B24C7">
              <w:rPr>
                <w:webHidden/>
              </w:rPr>
              <w:fldChar w:fldCharType="separate"/>
            </w:r>
            <w:r w:rsidRPr="004B24C7">
              <w:rPr>
                <w:webHidden/>
              </w:rPr>
              <w:t>116</w:t>
            </w:r>
            <w:r w:rsidRPr="004B24C7">
              <w:rPr>
                <w:webHidden/>
              </w:rPr>
              <w:fldChar w:fldCharType="end"/>
            </w:r>
          </w:hyperlink>
        </w:p>
        <w:p w14:paraId="6FD965C9" w14:textId="3BE1F508" w:rsidR="00911724" w:rsidRPr="004B24C7" w:rsidRDefault="00911724" w:rsidP="003812C9">
          <w:pPr>
            <w:pStyle w:val="TOC2"/>
            <w:rPr>
              <w:sz w:val="24"/>
              <w:szCs w:val="24"/>
              <w:lang w:val="en-PK" w:eastAsia="en-PK"/>
            </w:rPr>
          </w:pPr>
          <w:hyperlink w:anchor="_Toc242459631" w:history="1">
            <w:r w:rsidRPr="004B24C7">
              <w:rPr>
                <w:rStyle w:val="Hyperlink"/>
                <w:bCs/>
              </w:rPr>
              <w:t>F2 Why the earlier report-stage totals are not reused</w:t>
            </w:r>
            <w:r w:rsidRPr="004B24C7">
              <w:rPr>
                <w:webHidden/>
              </w:rPr>
              <w:tab/>
            </w:r>
            <w:r w:rsidRPr="004B24C7">
              <w:rPr>
                <w:webHidden/>
              </w:rPr>
              <w:fldChar w:fldCharType="begin"/>
            </w:r>
            <w:r w:rsidRPr="004B24C7">
              <w:rPr>
                <w:webHidden/>
              </w:rPr>
              <w:instrText xml:space="preserve"> PAGEREF _Toc242459631 \h </w:instrText>
            </w:r>
            <w:r w:rsidRPr="004B24C7">
              <w:rPr>
                <w:webHidden/>
              </w:rPr>
            </w:r>
            <w:r w:rsidRPr="004B24C7">
              <w:rPr>
                <w:webHidden/>
              </w:rPr>
              <w:fldChar w:fldCharType="separate"/>
            </w:r>
            <w:r w:rsidRPr="004B24C7">
              <w:rPr>
                <w:webHidden/>
              </w:rPr>
              <w:t>117</w:t>
            </w:r>
            <w:r w:rsidRPr="004B24C7">
              <w:rPr>
                <w:webHidden/>
              </w:rPr>
              <w:fldChar w:fldCharType="end"/>
            </w:r>
          </w:hyperlink>
        </w:p>
        <w:p w14:paraId="0222B866" w14:textId="25D7AFC0" w:rsidR="00911724" w:rsidRPr="004B24C7" w:rsidRDefault="00911724" w:rsidP="003812C9">
          <w:pPr>
            <w:pStyle w:val="TOC2"/>
            <w:rPr>
              <w:sz w:val="24"/>
              <w:szCs w:val="24"/>
              <w:lang w:val="en-PK" w:eastAsia="en-PK"/>
            </w:rPr>
          </w:pPr>
          <w:hyperlink w:anchor="_Toc242459632" w:history="1">
            <w:r w:rsidRPr="004B24C7">
              <w:rPr>
                <w:rStyle w:val="Hyperlink"/>
                <w:bCs/>
              </w:rPr>
              <w:t>F3 Current focused assessment</w:t>
            </w:r>
            <w:r w:rsidRPr="004B24C7">
              <w:rPr>
                <w:webHidden/>
              </w:rPr>
              <w:tab/>
            </w:r>
            <w:r w:rsidRPr="004B24C7">
              <w:rPr>
                <w:webHidden/>
              </w:rPr>
              <w:fldChar w:fldCharType="begin"/>
            </w:r>
            <w:r w:rsidRPr="004B24C7">
              <w:rPr>
                <w:webHidden/>
              </w:rPr>
              <w:instrText xml:space="preserve"> PAGEREF _Toc242459632 \h </w:instrText>
            </w:r>
            <w:r w:rsidRPr="004B24C7">
              <w:rPr>
                <w:webHidden/>
              </w:rPr>
            </w:r>
            <w:r w:rsidRPr="004B24C7">
              <w:rPr>
                <w:webHidden/>
              </w:rPr>
              <w:fldChar w:fldCharType="separate"/>
            </w:r>
            <w:r w:rsidRPr="004B24C7">
              <w:rPr>
                <w:webHidden/>
              </w:rPr>
              <w:t>117</w:t>
            </w:r>
            <w:r w:rsidRPr="004B24C7">
              <w:rPr>
                <w:webHidden/>
              </w:rPr>
              <w:fldChar w:fldCharType="end"/>
            </w:r>
          </w:hyperlink>
        </w:p>
        <w:p w14:paraId="0908D595" w14:textId="28C3EF69" w:rsidR="00911724" w:rsidRPr="004B24C7" w:rsidRDefault="00911724" w:rsidP="003812C9">
          <w:pPr>
            <w:pStyle w:val="TOC2"/>
            <w:rPr>
              <w:sz w:val="24"/>
              <w:szCs w:val="24"/>
              <w:lang w:val="en-PK" w:eastAsia="en-PK"/>
            </w:rPr>
          </w:pPr>
          <w:hyperlink w:anchor="_Toc242459633" w:history="1">
            <w:r w:rsidRPr="004B24C7">
              <w:rPr>
                <w:rStyle w:val="Hyperlink"/>
                <w:bCs/>
              </w:rPr>
              <w:t>F4 Documented review decisions</w:t>
            </w:r>
            <w:r w:rsidRPr="004B24C7">
              <w:rPr>
                <w:webHidden/>
              </w:rPr>
              <w:tab/>
            </w:r>
            <w:r w:rsidRPr="004B24C7">
              <w:rPr>
                <w:webHidden/>
              </w:rPr>
              <w:fldChar w:fldCharType="begin"/>
            </w:r>
            <w:r w:rsidRPr="004B24C7">
              <w:rPr>
                <w:webHidden/>
              </w:rPr>
              <w:instrText xml:space="preserve"> PAGEREF _Toc242459633 \h </w:instrText>
            </w:r>
            <w:r w:rsidRPr="004B24C7">
              <w:rPr>
                <w:webHidden/>
              </w:rPr>
            </w:r>
            <w:r w:rsidRPr="004B24C7">
              <w:rPr>
                <w:webHidden/>
              </w:rPr>
              <w:fldChar w:fldCharType="separate"/>
            </w:r>
            <w:r w:rsidRPr="004B24C7">
              <w:rPr>
                <w:webHidden/>
              </w:rPr>
              <w:t>118</w:t>
            </w:r>
            <w:r w:rsidRPr="004B24C7">
              <w:rPr>
                <w:webHidden/>
              </w:rPr>
              <w:fldChar w:fldCharType="end"/>
            </w:r>
          </w:hyperlink>
        </w:p>
        <w:p w14:paraId="5CB0DA53" w14:textId="32F67545" w:rsidR="00911724" w:rsidRPr="004B24C7" w:rsidRDefault="00911724">
          <w:pPr>
            <w:rPr>
              <w:rFonts w:ascii="Arial" w:hAnsi="Arial" w:cs="Arial"/>
            </w:rPr>
          </w:pPr>
          <w:r w:rsidRPr="004B24C7">
            <w:rPr>
              <w:rFonts w:ascii="Arial" w:hAnsi="Arial" w:cs="Arial"/>
              <w:b/>
              <w:bCs/>
              <w:noProof/>
            </w:rPr>
            <w:fldChar w:fldCharType="end"/>
          </w:r>
        </w:p>
      </w:sdtContent>
    </w:sdt>
    <w:p w14:paraId="2FFC9DB6" w14:textId="20CBC503" w:rsidR="007E77F1" w:rsidRPr="004B24C7" w:rsidRDefault="007E77F1" w:rsidP="000A2871">
      <w:pPr>
        <w:spacing w:after="60" w:line="360" w:lineRule="auto"/>
        <w:rPr>
          <w:rFonts w:ascii="Arial" w:hAnsi="Arial" w:cs="Arial"/>
        </w:rPr>
      </w:pPr>
    </w:p>
    <w:p w14:paraId="093B1867" w14:textId="6E64F4F0" w:rsidR="007E77F1" w:rsidRPr="000A2871" w:rsidRDefault="007E77F1" w:rsidP="004B24C7">
      <w:pPr>
        <w:pStyle w:val="Heading1"/>
        <w:keepNext w:val="0"/>
        <w:keepLines w:val="0"/>
        <w:spacing w:before="480" w:line="360" w:lineRule="auto"/>
        <w:ind w:left="0" w:firstLine="0"/>
        <w:jc w:val="left"/>
        <w:rPr>
          <w:rFonts w:ascii="Arial" w:hAnsi="Arial" w:cs="Arial"/>
          <w:b w:val="0"/>
          <w:bCs/>
          <w:sz w:val="46"/>
          <w:szCs w:val="46"/>
        </w:rPr>
      </w:pPr>
      <w:bookmarkStart w:id="6" w:name="_82yrhj9xgd2t" w:colFirst="0" w:colLast="0"/>
      <w:bookmarkEnd w:id="6"/>
    </w:p>
    <w:p w14:paraId="029815D6" w14:textId="77777777" w:rsidR="004B24C7" w:rsidRDefault="004B24C7">
      <w:pPr>
        <w:rPr>
          <w:rFonts w:ascii="Arial" w:eastAsia="Times New Roman" w:hAnsi="Arial" w:cs="Arial"/>
          <w:b/>
          <w:bCs/>
          <w:color w:val="000000"/>
          <w:sz w:val="46"/>
          <w:szCs w:val="46"/>
        </w:rPr>
      </w:pPr>
      <w:bookmarkStart w:id="7" w:name="_kn23egyu453c" w:colFirst="0" w:colLast="0"/>
      <w:bookmarkStart w:id="8" w:name="_Toc242459510"/>
      <w:bookmarkEnd w:id="7"/>
      <w:r>
        <w:rPr>
          <w:rFonts w:ascii="Arial" w:hAnsi="Arial" w:cs="Arial"/>
          <w:bCs/>
          <w:sz w:val="46"/>
          <w:szCs w:val="46"/>
        </w:rPr>
        <w:br w:type="page"/>
      </w:r>
    </w:p>
    <w:p w14:paraId="3B23CD42" w14:textId="32159F96" w:rsidR="007E77F1" w:rsidRPr="000A2871" w:rsidRDefault="007E77F1" w:rsidP="005E433D">
      <w:pPr>
        <w:pStyle w:val="Heading1"/>
        <w:keepNext w:val="0"/>
        <w:keepLines w:val="0"/>
        <w:spacing w:before="480" w:line="360" w:lineRule="auto"/>
        <w:jc w:val="left"/>
        <w:rPr>
          <w:rFonts w:ascii="Arial" w:hAnsi="Arial" w:cs="Arial"/>
          <w:b w:val="0"/>
          <w:bCs/>
          <w:sz w:val="46"/>
          <w:szCs w:val="46"/>
        </w:rPr>
      </w:pPr>
      <w:r w:rsidRPr="000A2871">
        <w:rPr>
          <w:rFonts w:ascii="Arial" w:hAnsi="Arial" w:cs="Arial"/>
          <w:bCs/>
          <w:sz w:val="46"/>
          <w:szCs w:val="46"/>
        </w:rPr>
        <w:lastRenderedPageBreak/>
        <w:t>List of figures and tables</w:t>
      </w:r>
      <w:bookmarkEnd w:id="8"/>
    </w:p>
    <w:p w14:paraId="67862C66" w14:textId="77777777" w:rsidR="007E77F1" w:rsidRPr="000A2871" w:rsidRDefault="007E77F1" w:rsidP="000A2871">
      <w:pPr>
        <w:spacing w:line="360" w:lineRule="auto"/>
        <w:rPr>
          <w:rFonts w:ascii="Arial" w:hAnsi="Arial" w:cs="Arial"/>
        </w:rPr>
      </w:pPr>
      <w:r w:rsidRPr="000A2871">
        <w:rPr>
          <w:rFonts w:ascii="Arial" w:hAnsi="Arial" w:cs="Arial"/>
        </w:rPr>
        <w:t>Table 1.1. Terms used in this dissertation</w:t>
      </w:r>
    </w:p>
    <w:p w14:paraId="21623393" w14:textId="77777777" w:rsidR="007E77F1" w:rsidRPr="000A2871" w:rsidRDefault="007E77F1" w:rsidP="000A2871">
      <w:pPr>
        <w:spacing w:line="360" w:lineRule="auto"/>
        <w:rPr>
          <w:rFonts w:ascii="Arial" w:hAnsi="Arial" w:cs="Arial"/>
        </w:rPr>
      </w:pPr>
      <w:r w:rsidRPr="000A2871">
        <w:rPr>
          <w:rFonts w:ascii="Arial" w:hAnsi="Arial" w:cs="Arial"/>
        </w:rPr>
        <w:t>Figure 2.1. An integrated framework for interpreting behaviour and support</w:t>
      </w:r>
    </w:p>
    <w:p w14:paraId="4F61652B" w14:textId="77777777" w:rsidR="007E77F1" w:rsidRPr="000A2871" w:rsidRDefault="007E77F1" w:rsidP="000A2871">
      <w:pPr>
        <w:spacing w:line="360" w:lineRule="auto"/>
        <w:rPr>
          <w:rFonts w:ascii="Arial" w:hAnsi="Arial" w:cs="Arial"/>
        </w:rPr>
      </w:pPr>
      <w:r w:rsidRPr="000A2871">
        <w:rPr>
          <w:rFonts w:ascii="Arial" w:hAnsi="Arial" w:cs="Arial"/>
        </w:rPr>
        <w:t>Table 2.1. Applying the frameworks to the review</w:t>
      </w:r>
    </w:p>
    <w:p w14:paraId="6673097F" w14:textId="77777777" w:rsidR="007E77F1" w:rsidRPr="000A2871" w:rsidRDefault="007E77F1" w:rsidP="000A2871">
      <w:pPr>
        <w:spacing w:line="360" w:lineRule="auto"/>
        <w:rPr>
          <w:rFonts w:ascii="Arial" w:hAnsi="Arial" w:cs="Arial"/>
        </w:rPr>
      </w:pPr>
      <w:r w:rsidRPr="000A2871">
        <w:rPr>
          <w:rFonts w:ascii="Arial" w:hAnsi="Arial" w:cs="Arial"/>
        </w:rPr>
        <w:t>Table 3.1. SPIDER specification</w:t>
      </w:r>
    </w:p>
    <w:p w14:paraId="66403609" w14:textId="77777777" w:rsidR="007E77F1" w:rsidRPr="000A2871" w:rsidRDefault="007E77F1" w:rsidP="000A2871">
      <w:pPr>
        <w:spacing w:line="360" w:lineRule="auto"/>
        <w:rPr>
          <w:rFonts w:ascii="Arial" w:hAnsi="Arial" w:cs="Arial"/>
        </w:rPr>
      </w:pPr>
      <w:r w:rsidRPr="000A2871">
        <w:rPr>
          <w:rFonts w:ascii="Arial" w:hAnsi="Arial" w:cs="Arial"/>
        </w:rPr>
        <w:t>Table 3.2. Imported records before deduplication</w:t>
      </w:r>
    </w:p>
    <w:p w14:paraId="4865DC7F" w14:textId="77777777" w:rsidR="007E77F1" w:rsidRPr="000A2871" w:rsidRDefault="007E77F1" w:rsidP="000A2871">
      <w:pPr>
        <w:spacing w:line="360" w:lineRule="auto"/>
        <w:rPr>
          <w:rFonts w:ascii="Arial" w:hAnsi="Arial" w:cs="Arial"/>
        </w:rPr>
      </w:pPr>
      <w:r w:rsidRPr="000A2871">
        <w:rPr>
          <w:rFonts w:ascii="Arial" w:hAnsi="Arial" w:cs="Arial"/>
        </w:rPr>
        <w:t>Table 3.3. Core eligibility rules</w:t>
      </w:r>
    </w:p>
    <w:p w14:paraId="06C8DD31" w14:textId="77777777" w:rsidR="007E77F1" w:rsidRPr="000A2871" w:rsidRDefault="007E77F1" w:rsidP="000A2871">
      <w:pPr>
        <w:spacing w:line="360" w:lineRule="auto"/>
        <w:rPr>
          <w:rFonts w:ascii="Arial" w:hAnsi="Arial" w:cs="Arial"/>
        </w:rPr>
      </w:pPr>
      <w:r w:rsidRPr="000A2871">
        <w:rPr>
          <w:rFonts w:ascii="Arial" w:hAnsi="Arial" w:cs="Arial"/>
        </w:rPr>
        <w:t>Table 3.4. Six phases applied to published findings</w:t>
      </w:r>
    </w:p>
    <w:p w14:paraId="62DA473D" w14:textId="77777777" w:rsidR="007E77F1" w:rsidRPr="000A2871" w:rsidRDefault="007E77F1" w:rsidP="000A2871">
      <w:pPr>
        <w:spacing w:line="360" w:lineRule="auto"/>
        <w:rPr>
          <w:rFonts w:ascii="Arial" w:hAnsi="Arial" w:cs="Arial"/>
        </w:rPr>
      </w:pPr>
      <w:r w:rsidRPr="000A2871">
        <w:rPr>
          <w:rFonts w:ascii="Arial" w:hAnsi="Arial" w:cs="Arial"/>
        </w:rPr>
        <w:t>Figure 4.1. PRISMA 2020-informed selection flow and current reassessment</w:t>
      </w:r>
    </w:p>
    <w:p w14:paraId="6AEBCFF7" w14:textId="77777777" w:rsidR="007E77F1" w:rsidRPr="000A2871" w:rsidRDefault="007E77F1" w:rsidP="000A2871">
      <w:pPr>
        <w:spacing w:line="360" w:lineRule="auto"/>
        <w:rPr>
          <w:rFonts w:ascii="Arial" w:hAnsi="Arial" w:cs="Arial"/>
        </w:rPr>
      </w:pPr>
      <w:r w:rsidRPr="000A2871">
        <w:rPr>
          <w:rFonts w:ascii="Arial" w:hAnsi="Arial" w:cs="Arial"/>
        </w:rPr>
        <w:t>Table 4.1. Eleven synthesis articles and three contextual reports</w:t>
      </w:r>
    </w:p>
    <w:p w14:paraId="73962AA4" w14:textId="77777777" w:rsidR="007E77F1" w:rsidRPr="000A2871" w:rsidRDefault="007E77F1" w:rsidP="000A2871">
      <w:pPr>
        <w:spacing w:line="360" w:lineRule="auto"/>
        <w:rPr>
          <w:rFonts w:ascii="Arial" w:hAnsi="Arial" w:cs="Arial"/>
        </w:rPr>
      </w:pPr>
      <w:r w:rsidRPr="000A2871">
        <w:rPr>
          <w:rFonts w:ascii="Arial" w:hAnsi="Arial" w:cs="Arial"/>
        </w:rPr>
        <w:t>Table 4.2. CASP qualitative appraisal summary</w:t>
      </w:r>
    </w:p>
    <w:p w14:paraId="62EED5C7" w14:textId="77777777" w:rsidR="007E77F1" w:rsidRPr="000A2871" w:rsidRDefault="007E77F1" w:rsidP="000A2871">
      <w:pPr>
        <w:spacing w:line="360" w:lineRule="auto"/>
        <w:rPr>
          <w:rFonts w:ascii="Arial" w:hAnsi="Arial" w:cs="Arial"/>
        </w:rPr>
      </w:pPr>
      <w:r w:rsidRPr="000A2871">
        <w:rPr>
          <w:rFonts w:ascii="Arial" w:hAnsi="Arial" w:cs="Arial"/>
        </w:rPr>
        <w:t>Figure 4.2. Relationships between the five analytical themes</w:t>
      </w:r>
    </w:p>
    <w:p w14:paraId="7F8C2B66" w14:textId="77777777" w:rsidR="007E77F1" w:rsidRPr="000A2871" w:rsidRDefault="007E77F1" w:rsidP="000A2871">
      <w:pPr>
        <w:spacing w:line="360" w:lineRule="auto"/>
        <w:rPr>
          <w:rFonts w:ascii="Arial" w:hAnsi="Arial" w:cs="Arial"/>
        </w:rPr>
      </w:pPr>
      <w:r w:rsidRPr="000A2871">
        <w:rPr>
          <w:rFonts w:ascii="Arial" w:hAnsi="Arial" w:cs="Arial"/>
        </w:rPr>
        <w:t>Table 5.1. Practice implications and questions for evaluation</w:t>
      </w:r>
    </w:p>
    <w:p w14:paraId="3F69EEC7" w14:textId="77777777" w:rsidR="007E77F1" w:rsidRPr="000A2871" w:rsidRDefault="007E77F1" w:rsidP="000A2871">
      <w:pPr>
        <w:pStyle w:val="Heading1"/>
        <w:keepNext w:val="0"/>
        <w:keepLines w:val="0"/>
        <w:spacing w:before="480" w:line="360" w:lineRule="auto"/>
        <w:rPr>
          <w:rFonts w:ascii="Arial" w:hAnsi="Arial" w:cs="Arial"/>
          <w:b w:val="0"/>
          <w:bCs/>
          <w:sz w:val="46"/>
          <w:szCs w:val="46"/>
        </w:rPr>
      </w:pPr>
      <w:bookmarkStart w:id="9" w:name="_wdaczx82zh76" w:colFirst="0" w:colLast="0"/>
      <w:bookmarkEnd w:id="9"/>
      <w:r w:rsidRPr="000A2871">
        <w:rPr>
          <w:rFonts w:ascii="Arial" w:hAnsi="Arial" w:cs="Arial"/>
        </w:rPr>
        <w:br w:type="page"/>
      </w:r>
    </w:p>
    <w:p w14:paraId="5DFA128C" w14:textId="77777777" w:rsidR="007E77F1" w:rsidRPr="000A2871" w:rsidRDefault="007E77F1" w:rsidP="005E433D">
      <w:pPr>
        <w:pStyle w:val="Heading1"/>
        <w:keepNext w:val="0"/>
        <w:keepLines w:val="0"/>
        <w:spacing w:before="480" w:line="360" w:lineRule="auto"/>
        <w:jc w:val="left"/>
        <w:rPr>
          <w:rFonts w:ascii="Arial" w:hAnsi="Arial" w:cs="Arial"/>
          <w:b w:val="0"/>
          <w:bCs/>
          <w:sz w:val="46"/>
          <w:szCs w:val="46"/>
        </w:rPr>
      </w:pPr>
      <w:bookmarkStart w:id="10" w:name="_wzs3nete5lvq" w:colFirst="0" w:colLast="0"/>
      <w:bookmarkStart w:id="11" w:name="_Toc242459511"/>
      <w:bookmarkEnd w:id="10"/>
      <w:r w:rsidRPr="000A2871">
        <w:rPr>
          <w:rFonts w:ascii="Arial" w:hAnsi="Arial" w:cs="Arial"/>
          <w:bCs/>
          <w:sz w:val="46"/>
          <w:szCs w:val="46"/>
        </w:rPr>
        <w:lastRenderedPageBreak/>
        <w:t>Abbreviations</w:t>
      </w:r>
      <w:bookmarkEnd w:id="11"/>
    </w:p>
    <w:tbl>
      <w:tblPr>
        <w:tblW w:w="8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15"/>
        <w:gridCol w:w="7080"/>
      </w:tblGrid>
      <w:tr w:rsidR="007E77F1" w:rsidRPr="000A2871" w14:paraId="22BF4C17" w14:textId="77777777" w:rsidTr="00842588">
        <w:trPr>
          <w:trHeight w:val="405"/>
        </w:trPr>
        <w:tc>
          <w:tcPr>
            <w:tcW w:w="1815" w:type="dxa"/>
            <w:tcMar>
              <w:top w:w="80" w:type="dxa"/>
              <w:left w:w="80" w:type="dxa"/>
              <w:bottom w:w="80" w:type="dxa"/>
              <w:right w:w="80" w:type="dxa"/>
            </w:tcMar>
          </w:tcPr>
          <w:p w14:paraId="5DA65EEC" w14:textId="77777777" w:rsidR="007E77F1" w:rsidRPr="00A96513" w:rsidRDefault="007E77F1" w:rsidP="000A2871">
            <w:pPr>
              <w:spacing w:line="360" w:lineRule="auto"/>
              <w:rPr>
                <w:rFonts w:ascii="Arial" w:hAnsi="Arial" w:cs="Arial"/>
                <w:b/>
                <w:bCs/>
                <w:sz w:val="21"/>
                <w:szCs w:val="21"/>
              </w:rPr>
            </w:pPr>
            <w:r w:rsidRPr="00A96513">
              <w:rPr>
                <w:rFonts w:ascii="Arial" w:hAnsi="Arial" w:cs="Arial"/>
                <w:b/>
                <w:bCs/>
                <w:sz w:val="21"/>
                <w:szCs w:val="21"/>
              </w:rPr>
              <w:t>Abbreviation</w:t>
            </w:r>
          </w:p>
        </w:tc>
        <w:tc>
          <w:tcPr>
            <w:tcW w:w="7080" w:type="dxa"/>
            <w:tcMar>
              <w:top w:w="80" w:type="dxa"/>
              <w:left w:w="80" w:type="dxa"/>
              <w:bottom w:w="80" w:type="dxa"/>
              <w:right w:w="80" w:type="dxa"/>
            </w:tcMar>
          </w:tcPr>
          <w:p w14:paraId="52946A4F" w14:textId="77777777" w:rsidR="007E77F1" w:rsidRPr="00A96513" w:rsidRDefault="007E77F1" w:rsidP="000A2871">
            <w:pPr>
              <w:spacing w:line="360" w:lineRule="auto"/>
              <w:rPr>
                <w:rFonts w:ascii="Arial" w:hAnsi="Arial" w:cs="Arial"/>
                <w:b/>
                <w:bCs/>
                <w:sz w:val="21"/>
                <w:szCs w:val="21"/>
              </w:rPr>
            </w:pPr>
            <w:r w:rsidRPr="00A96513">
              <w:rPr>
                <w:rFonts w:ascii="Arial" w:hAnsi="Arial" w:cs="Arial"/>
                <w:b/>
                <w:bCs/>
                <w:sz w:val="21"/>
                <w:szCs w:val="21"/>
              </w:rPr>
              <w:t>Meaning</w:t>
            </w:r>
          </w:p>
        </w:tc>
      </w:tr>
      <w:tr w:rsidR="007E77F1" w:rsidRPr="000A2871" w14:paraId="67C9DD70" w14:textId="77777777" w:rsidTr="00842588">
        <w:trPr>
          <w:trHeight w:val="405"/>
        </w:trPr>
        <w:tc>
          <w:tcPr>
            <w:tcW w:w="1815" w:type="dxa"/>
            <w:tcMar>
              <w:top w:w="80" w:type="dxa"/>
              <w:left w:w="80" w:type="dxa"/>
              <w:bottom w:w="80" w:type="dxa"/>
              <w:right w:w="80" w:type="dxa"/>
            </w:tcMar>
          </w:tcPr>
          <w:p w14:paraId="1FD6DDB5"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BMC</w:t>
            </w:r>
          </w:p>
        </w:tc>
        <w:tc>
          <w:tcPr>
            <w:tcW w:w="7080" w:type="dxa"/>
            <w:tcMar>
              <w:top w:w="80" w:type="dxa"/>
              <w:left w:w="80" w:type="dxa"/>
              <w:bottom w:w="80" w:type="dxa"/>
              <w:right w:w="80" w:type="dxa"/>
            </w:tcMar>
          </w:tcPr>
          <w:p w14:paraId="110429F2"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BioMed Central</w:t>
            </w:r>
          </w:p>
        </w:tc>
      </w:tr>
      <w:tr w:rsidR="007E77F1" w:rsidRPr="000A2871" w14:paraId="15E50C65" w14:textId="77777777" w:rsidTr="00842588">
        <w:trPr>
          <w:trHeight w:val="405"/>
        </w:trPr>
        <w:tc>
          <w:tcPr>
            <w:tcW w:w="1815" w:type="dxa"/>
            <w:tcMar>
              <w:top w:w="80" w:type="dxa"/>
              <w:left w:w="80" w:type="dxa"/>
              <w:bottom w:w="80" w:type="dxa"/>
              <w:right w:w="80" w:type="dxa"/>
            </w:tcMar>
          </w:tcPr>
          <w:p w14:paraId="4640F830"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BMI</w:t>
            </w:r>
          </w:p>
        </w:tc>
        <w:tc>
          <w:tcPr>
            <w:tcW w:w="7080" w:type="dxa"/>
            <w:tcMar>
              <w:top w:w="80" w:type="dxa"/>
              <w:left w:w="80" w:type="dxa"/>
              <w:bottom w:w="80" w:type="dxa"/>
              <w:right w:w="80" w:type="dxa"/>
            </w:tcMar>
          </w:tcPr>
          <w:p w14:paraId="457E35DC"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Body mass index</w:t>
            </w:r>
          </w:p>
        </w:tc>
      </w:tr>
      <w:tr w:rsidR="007E77F1" w:rsidRPr="000A2871" w14:paraId="3CB1502D" w14:textId="77777777" w:rsidTr="00842588">
        <w:trPr>
          <w:trHeight w:val="405"/>
        </w:trPr>
        <w:tc>
          <w:tcPr>
            <w:tcW w:w="1815" w:type="dxa"/>
            <w:tcMar>
              <w:top w:w="80" w:type="dxa"/>
              <w:left w:w="80" w:type="dxa"/>
              <w:bottom w:w="80" w:type="dxa"/>
              <w:right w:w="80" w:type="dxa"/>
            </w:tcMar>
          </w:tcPr>
          <w:p w14:paraId="0F193F82"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CASP</w:t>
            </w:r>
          </w:p>
        </w:tc>
        <w:tc>
          <w:tcPr>
            <w:tcW w:w="7080" w:type="dxa"/>
            <w:tcMar>
              <w:top w:w="80" w:type="dxa"/>
              <w:left w:w="80" w:type="dxa"/>
              <w:bottom w:w="80" w:type="dxa"/>
              <w:right w:w="80" w:type="dxa"/>
            </w:tcMar>
          </w:tcPr>
          <w:p w14:paraId="56A61646"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Critical Appraisal Skills Programme</w:t>
            </w:r>
          </w:p>
        </w:tc>
      </w:tr>
      <w:tr w:rsidR="007E77F1" w:rsidRPr="000A2871" w14:paraId="33DB803C" w14:textId="77777777" w:rsidTr="00842588">
        <w:trPr>
          <w:trHeight w:val="405"/>
        </w:trPr>
        <w:tc>
          <w:tcPr>
            <w:tcW w:w="1815" w:type="dxa"/>
            <w:tcMar>
              <w:top w:w="80" w:type="dxa"/>
              <w:left w:w="80" w:type="dxa"/>
              <w:bottom w:w="80" w:type="dxa"/>
              <w:right w:w="80" w:type="dxa"/>
            </w:tcMar>
          </w:tcPr>
          <w:p w14:paraId="795D9287"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COM-B</w:t>
            </w:r>
          </w:p>
        </w:tc>
        <w:tc>
          <w:tcPr>
            <w:tcW w:w="7080" w:type="dxa"/>
            <w:tcMar>
              <w:top w:w="80" w:type="dxa"/>
              <w:left w:w="80" w:type="dxa"/>
              <w:bottom w:w="80" w:type="dxa"/>
              <w:right w:w="80" w:type="dxa"/>
            </w:tcMar>
          </w:tcPr>
          <w:p w14:paraId="15CB507D"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Capability, opportunity, motivation and behaviour</w:t>
            </w:r>
          </w:p>
        </w:tc>
      </w:tr>
      <w:tr w:rsidR="007E77F1" w:rsidRPr="000A2871" w14:paraId="490EB1AF" w14:textId="77777777" w:rsidTr="00842588">
        <w:trPr>
          <w:trHeight w:val="405"/>
        </w:trPr>
        <w:tc>
          <w:tcPr>
            <w:tcW w:w="1815" w:type="dxa"/>
            <w:tcMar>
              <w:top w:w="80" w:type="dxa"/>
              <w:left w:w="80" w:type="dxa"/>
              <w:bottom w:w="80" w:type="dxa"/>
              <w:right w:w="80" w:type="dxa"/>
            </w:tcMar>
          </w:tcPr>
          <w:p w14:paraId="06D359D0"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CT</w:t>
            </w:r>
          </w:p>
        </w:tc>
        <w:tc>
          <w:tcPr>
            <w:tcW w:w="7080" w:type="dxa"/>
            <w:tcMar>
              <w:top w:w="80" w:type="dxa"/>
              <w:left w:w="80" w:type="dxa"/>
              <w:bottom w:w="80" w:type="dxa"/>
              <w:right w:w="80" w:type="dxa"/>
            </w:tcMar>
          </w:tcPr>
          <w:p w14:paraId="75293622" w14:textId="29EC98E8" w:rsidR="007E77F1" w:rsidRPr="00A96513" w:rsidRDefault="000E143F" w:rsidP="000A2871">
            <w:pPr>
              <w:spacing w:line="360" w:lineRule="auto"/>
              <w:rPr>
                <w:rFonts w:ascii="Arial" w:hAnsi="Arial" w:cs="Arial"/>
                <w:sz w:val="21"/>
                <w:szCs w:val="21"/>
              </w:rPr>
            </w:pPr>
            <w:r>
              <w:rPr>
                <w:rFonts w:ascii="Arial" w:hAnsi="Arial" w:cs="Arial"/>
                <w:sz w:val="21"/>
                <w:szCs w:val="21"/>
              </w:rPr>
              <w:t>'</w:t>
            </w:r>
            <w:r w:rsidR="008D0553">
              <w:rPr>
                <w:rFonts w:ascii="Arial" w:hAnsi="Arial" w:cs="Arial"/>
                <w:sz w:val="21"/>
                <w:szCs w:val="21"/>
              </w:rPr>
              <w:t>'Cannot tell'</w:t>
            </w:r>
            <w:r>
              <w:rPr>
                <w:rFonts w:ascii="Arial" w:hAnsi="Arial" w:cs="Arial"/>
                <w:sz w:val="21"/>
                <w:szCs w:val="21"/>
              </w:rPr>
              <w:t>'</w:t>
            </w:r>
          </w:p>
        </w:tc>
      </w:tr>
      <w:tr w:rsidR="007E77F1" w:rsidRPr="000A2871" w14:paraId="674C32F9" w14:textId="77777777" w:rsidTr="00842588">
        <w:trPr>
          <w:trHeight w:val="405"/>
        </w:trPr>
        <w:tc>
          <w:tcPr>
            <w:tcW w:w="1815" w:type="dxa"/>
            <w:tcMar>
              <w:top w:w="80" w:type="dxa"/>
              <w:left w:w="80" w:type="dxa"/>
              <w:bottom w:w="80" w:type="dxa"/>
              <w:right w:w="80" w:type="dxa"/>
            </w:tcMar>
          </w:tcPr>
          <w:p w14:paraId="53C35FD0"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DOI</w:t>
            </w:r>
          </w:p>
        </w:tc>
        <w:tc>
          <w:tcPr>
            <w:tcW w:w="7080" w:type="dxa"/>
            <w:tcMar>
              <w:top w:w="80" w:type="dxa"/>
              <w:left w:w="80" w:type="dxa"/>
              <w:bottom w:w="80" w:type="dxa"/>
              <w:right w:w="80" w:type="dxa"/>
            </w:tcMar>
          </w:tcPr>
          <w:p w14:paraId="093F9538"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Digital object identifier</w:t>
            </w:r>
          </w:p>
        </w:tc>
      </w:tr>
      <w:tr w:rsidR="007E77F1" w:rsidRPr="000A2871" w14:paraId="12E3F7F7" w14:textId="77777777" w:rsidTr="00842588">
        <w:trPr>
          <w:trHeight w:val="405"/>
        </w:trPr>
        <w:tc>
          <w:tcPr>
            <w:tcW w:w="1815" w:type="dxa"/>
            <w:tcMar>
              <w:top w:w="80" w:type="dxa"/>
              <w:left w:w="80" w:type="dxa"/>
              <w:bottom w:w="80" w:type="dxa"/>
              <w:right w:w="80" w:type="dxa"/>
            </w:tcMar>
          </w:tcPr>
          <w:p w14:paraId="714C6C0C"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FG</w:t>
            </w:r>
          </w:p>
        </w:tc>
        <w:tc>
          <w:tcPr>
            <w:tcW w:w="7080" w:type="dxa"/>
            <w:tcMar>
              <w:top w:w="80" w:type="dxa"/>
              <w:left w:w="80" w:type="dxa"/>
              <w:bottom w:w="80" w:type="dxa"/>
              <w:right w:w="80" w:type="dxa"/>
            </w:tcMar>
          </w:tcPr>
          <w:p w14:paraId="1BD9F04A"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Focus group</w:t>
            </w:r>
          </w:p>
        </w:tc>
      </w:tr>
      <w:tr w:rsidR="007E77F1" w:rsidRPr="000A2871" w14:paraId="1082F8E9" w14:textId="77777777" w:rsidTr="00842588">
        <w:trPr>
          <w:trHeight w:val="405"/>
        </w:trPr>
        <w:tc>
          <w:tcPr>
            <w:tcW w:w="1815" w:type="dxa"/>
            <w:tcMar>
              <w:top w:w="80" w:type="dxa"/>
              <w:left w:w="80" w:type="dxa"/>
              <w:bottom w:w="80" w:type="dxa"/>
              <w:right w:w="80" w:type="dxa"/>
            </w:tcMar>
          </w:tcPr>
          <w:p w14:paraId="4EAC713B"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NICE</w:t>
            </w:r>
          </w:p>
        </w:tc>
        <w:tc>
          <w:tcPr>
            <w:tcW w:w="7080" w:type="dxa"/>
            <w:tcMar>
              <w:top w:w="80" w:type="dxa"/>
              <w:left w:w="80" w:type="dxa"/>
              <w:bottom w:w="80" w:type="dxa"/>
              <w:right w:w="80" w:type="dxa"/>
            </w:tcMar>
          </w:tcPr>
          <w:p w14:paraId="4880CE9B"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National Institute for Health and Care Excellence</w:t>
            </w:r>
          </w:p>
        </w:tc>
      </w:tr>
      <w:tr w:rsidR="007E77F1" w:rsidRPr="000A2871" w14:paraId="3EB5364A" w14:textId="77777777" w:rsidTr="00842588">
        <w:trPr>
          <w:trHeight w:val="405"/>
        </w:trPr>
        <w:tc>
          <w:tcPr>
            <w:tcW w:w="1815" w:type="dxa"/>
            <w:tcMar>
              <w:top w:w="80" w:type="dxa"/>
              <w:left w:w="80" w:type="dxa"/>
              <w:bottom w:w="80" w:type="dxa"/>
              <w:right w:w="80" w:type="dxa"/>
            </w:tcMar>
          </w:tcPr>
          <w:p w14:paraId="0B93CC01"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OHID</w:t>
            </w:r>
          </w:p>
        </w:tc>
        <w:tc>
          <w:tcPr>
            <w:tcW w:w="7080" w:type="dxa"/>
            <w:tcMar>
              <w:top w:w="80" w:type="dxa"/>
              <w:left w:w="80" w:type="dxa"/>
              <w:bottom w:w="80" w:type="dxa"/>
              <w:right w:w="80" w:type="dxa"/>
            </w:tcMar>
          </w:tcPr>
          <w:p w14:paraId="4005EF2C"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Office for Health Improvement and Disparities</w:t>
            </w:r>
          </w:p>
        </w:tc>
      </w:tr>
      <w:tr w:rsidR="007E77F1" w:rsidRPr="000A2871" w14:paraId="4B90A462" w14:textId="77777777" w:rsidTr="00842588">
        <w:trPr>
          <w:trHeight w:val="405"/>
        </w:trPr>
        <w:tc>
          <w:tcPr>
            <w:tcW w:w="1815" w:type="dxa"/>
            <w:tcMar>
              <w:top w:w="80" w:type="dxa"/>
              <w:left w:w="80" w:type="dxa"/>
              <w:bottom w:w="80" w:type="dxa"/>
              <w:right w:w="80" w:type="dxa"/>
            </w:tcMar>
          </w:tcPr>
          <w:p w14:paraId="48F07D6A"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PMID</w:t>
            </w:r>
          </w:p>
        </w:tc>
        <w:tc>
          <w:tcPr>
            <w:tcW w:w="7080" w:type="dxa"/>
            <w:tcMar>
              <w:top w:w="80" w:type="dxa"/>
              <w:left w:w="80" w:type="dxa"/>
              <w:bottom w:w="80" w:type="dxa"/>
              <w:right w:w="80" w:type="dxa"/>
            </w:tcMar>
          </w:tcPr>
          <w:p w14:paraId="4D081EC1"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PubMed identifier</w:t>
            </w:r>
          </w:p>
        </w:tc>
      </w:tr>
      <w:tr w:rsidR="007E77F1" w:rsidRPr="000A2871" w14:paraId="335792E3" w14:textId="77777777" w:rsidTr="00842588">
        <w:trPr>
          <w:trHeight w:val="405"/>
        </w:trPr>
        <w:tc>
          <w:tcPr>
            <w:tcW w:w="1815" w:type="dxa"/>
            <w:tcMar>
              <w:top w:w="80" w:type="dxa"/>
              <w:left w:w="80" w:type="dxa"/>
              <w:bottom w:w="80" w:type="dxa"/>
              <w:right w:w="80" w:type="dxa"/>
            </w:tcMar>
          </w:tcPr>
          <w:p w14:paraId="06FF2E61"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PRISMA</w:t>
            </w:r>
          </w:p>
        </w:tc>
        <w:tc>
          <w:tcPr>
            <w:tcW w:w="7080" w:type="dxa"/>
            <w:tcMar>
              <w:top w:w="80" w:type="dxa"/>
              <w:left w:w="80" w:type="dxa"/>
              <w:bottom w:w="80" w:type="dxa"/>
              <w:right w:w="80" w:type="dxa"/>
            </w:tcMar>
          </w:tcPr>
          <w:p w14:paraId="06A2EC80"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Preferred Reporting Items for Systematic Reviews and Meta-Analyses</w:t>
            </w:r>
          </w:p>
        </w:tc>
      </w:tr>
      <w:tr w:rsidR="007E77F1" w:rsidRPr="000A2871" w14:paraId="4F3E4379" w14:textId="77777777" w:rsidTr="00842588">
        <w:trPr>
          <w:trHeight w:val="405"/>
        </w:trPr>
        <w:tc>
          <w:tcPr>
            <w:tcW w:w="1815" w:type="dxa"/>
            <w:tcMar>
              <w:top w:w="80" w:type="dxa"/>
              <w:left w:w="80" w:type="dxa"/>
              <w:bottom w:w="80" w:type="dxa"/>
              <w:right w:w="80" w:type="dxa"/>
            </w:tcMar>
          </w:tcPr>
          <w:p w14:paraId="41AAE4A2"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SPIDER</w:t>
            </w:r>
          </w:p>
        </w:tc>
        <w:tc>
          <w:tcPr>
            <w:tcW w:w="7080" w:type="dxa"/>
            <w:tcMar>
              <w:top w:w="80" w:type="dxa"/>
              <w:left w:w="80" w:type="dxa"/>
              <w:bottom w:w="80" w:type="dxa"/>
              <w:right w:w="80" w:type="dxa"/>
            </w:tcMar>
          </w:tcPr>
          <w:p w14:paraId="5411F058"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Sample, Phenomenon of Interest, Design, Evaluation and Research type</w:t>
            </w:r>
          </w:p>
        </w:tc>
      </w:tr>
      <w:tr w:rsidR="007E77F1" w:rsidRPr="000A2871" w14:paraId="029F7ECE" w14:textId="77777777" w:rsidTr="00842588">
        <w:trPr>
          <w:trHeight w:val="405"/>
        </w:trPr>
        <w:tc>
          <w:tcPr>
            <w:tcW w:w="1815" w:type="dxa"/>
            <w:tcMar>
              <w:top w:w="80" w:type="dxa"/>
              <w:left w:w="80" w:type="dxa"/>
              <w:bottom w:w="80" w:type="dxa"/>
              <w:right w:w="80" w:type="dxa"/>
            </w:tcMar>
          </w:tcPr>
          <w:p w14:paraId="22AF5B31"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TDF</w:t>
            </w:r>
          </w:p>
        </w:tc>
        <w:tc>
          <w:tcPr>
            <w:tcW w:w="7080" w:type="dxa"/>
            <w:tcMar>
              <w:top w:w="80" w:type="dxa"/>
              <w:left w:w="80" w:type="dxa"/>
              <w:bottom w:w="80" w:type="dxa"/>
              <w:right w:w="80" w:type="dxa"/>
            </w:tcMar>
          </w:tcPr>
          <w:p w14:paraId="3C4A1F4C"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Theoretical Domains Framework</w:t>
            </w:r>
          </w:p>
        </w:tc>
      </w:tr>
      <w:tr w:rsidR="007E77F1" w:rsidRPr="000A2871" w14:paraId="79DEC863" w14:textId="77777777" w:rsidTr="00842588">
        <w:trPr>
          <w:trHeight w:val="405"/>
        </w:trPr>
        <w:tc>
          <w:tcPr>
            <w:tcW w:w="1815" w:type="dxa"/>
            <w:tcMar>
              <w:top w:w="80" w:type="dxa"/>
              <w:left w:w="80" w:type="dxa"/>
              <w:bottom w:w="80" w:type="dxa"/>
              <w:right w:w="80" w:type="dxa"/>
            </w:tcMar>
          </w:tcPr>
          <w:p w14:paraId="3BD0504C"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TFA</w:t>
            </w:r>
          </w:p>
        </w:tc>
        <w:tc>
          <w:tcPr>
            <w:tcW w:w="7080" w:type="dxa"/>
            <w:tcMar>
              <w:top w:w="80" w:type="dxa"/>
              <w:left w:w="80" w:type="dxa"/>
              <w:bottom w:w="80" w:type="dxa"/>
              <w:right w:w="80" w:type="dxa"/>
            </w:tcMar>
          </w:tcPr>
          <w:p w14:paraId="41A53493"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Theoretical Framework of Acceptability</w:t>
            </w:r>
          </w:p>
        </w:tc>
      </w:tr>
      <w:tr w:rsidR="007E77F1" w:rsidRPr="000A2871" w14:paraId="463EAE67" w14:textId="77777777" w:rsidTr="00842588">
        <w:trPr>
          <w:trHeight w:val="405"/>
        </w:trPr>
        <w:tc>
          <w:tcPr>
            <w:tcW w:w="1815" w:type="dxa"/>
            <w:tcMar>
              <w:top w:w="80" w:type="dxa"/>
              <w:left w:w="80" w:type="dxa"/>
              <w:bottom w:w="80" w:type="dxa"/>
              <w:right w:w="80" w:type="dxa"/>
            </w:tcMar>
          </w:tcPr>
          <w:p w14:paraId="72BA67C3"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UK</w:t>
            </w:r>
          </w:p>
        </w:tc>
        <w:tc>
          <w:tcPr>
            <w:tcW w:w="7080" w:type="dxa"/>
            <w:tcMar>
              <w:top w:w="80" w:type="dxa"/>
              <w:left w:w="80" w:type="dxa"/>
              <w:bottom w:w="80" w:type="dxa"/>
              <w:right w:w="80" w:type="dxa"/>
            </w:tcMar>
          </w:tcPr>
          <w:p w14:paraId="742B8FF5"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United Kingdom</w:t>
            </w:r>
          </w:p>
        </w:tc>
      </w:tr>
      <w:tr w:rsidR="007E77F1" w:rsidRPr="000A2871" w14:paraId="1706EC09" w14:textId="77777777" w:rsidTr="00842588">
        <w:trPr>
          <w:trHeight w:val="405"/>
        </w:trPr>
        <w:tc>
          <w:tcPr>
            <w:tcW w:w="1815" w:type="dxa"/>
            <w:tcMar>
              <w:top w:w="80" w:type="dxa"/>
              <w:left w:w="80" w:type="dxa"/>
              <w:bottom w:w="80" w:type="dxa"/>
              <w:right w:w="80" w:type="dxa"/>
            </w:tcMar>
          </w:tcPr>
          <w:p w14:paraId="6DB57DC2"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WHO</w:t>
            </w:r>
          </w:p>
        </w:tc>
        <w:tc>
          <w:tcPr>
            <w:tcW w:w="7080" w:type="dxa"/>
            <w:tcMar>
              <w:top w:w="80" w:type="dxa"/>
              <w:left w:w="80" w:type="dxa"/>
              <w:bottom w:w="80" w:type="dxa"/>
              <w:right w:w="80" w:type="dxa"/>
            </w:tcMar>
          </w:tcPr>
          <w:p w14:paraId="66A65B3C" w14:textId="77777777" w:rsidR="007E77F1" w:rsidRPr="00A96513" w:rsidRDefault="007E77F1" w:rsidP="000A2871">
            <w:pPr>
              <w:spacing w:line="360" w:lineRule="auto"/>
              <w:rPr>
                <w:rFonts w:ascii="Arial" w:hAnsi="Arial" w:cs="Arial"/>
                <w:sz w:val="21"/>
                <w:szCs w:val="21"/>
              </w:rPr>
            </w:pPr>
            <w:r w:rsidRPr="00A96513">
              <w:rPr>
                <w:rFonts w:ascii="Arial" w:hAnsi="Arial" w:cs="Arial"/>
                <w:sz w:val="21"/>
                <w:szCs w:val="21"/>
              </w:rPr>
              <w:t>World Health Organization</w:t>
            </w:r>
          </w:p>
        </w:tc>
      </w:tr>
    </w:tbl>
    <w:p w14:paraId="7F99C392"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48F0C1FB" w14:textId="77777777" w:rsidR="007E77F1" w:rsidRPr="000A2871" w:rsidRDefault="007E77F1" w:rsidP="000A2871">
      <w:pPr>
        <w:spacing w:line="360" w:lineRule="auto"/>
        <w:rPr>
          <w:rFonts w:ascii="Arial" w:hAnsi="Arial" w:cs="Arial"/>
          <w:sz w:val="24"/>
          <w:szCs w:val="24"/>
        </w:rPr>
      </w:pPr>
    </w:p>
    <w:p w14:paraId="7EE1A135" w14:textId="04452D46" w:rsidR="007E77F1" w:rsidRPr="006265EE" w:rsidRDefault="007E77F1" w:rsidP="006265EE">
      <w:pPr>
        <w:pStyle w:val="Heading1"/>
        <w:keepNext w:val="0"/>
        <w:keepLines w:val="0"/>
        <w:spacing w:before="480" w:line="360" w:lineRule="auto"/>
        <w:jc w:val="left"/>
        <w:rPr>
          <w:rFonts w:ascii="Arial" w:hAnsi="Arial" w:cs="Arial"/>
          <w:b w:val="0"/>
          <w:bCs/>
          <w:sz w:val="46"/>
          <w:szCs w:val="46"/>
        </w:rPr>
      </w:pPr>
      <w:bookmarkStart w:id="12" w:name="_m8y3u1o2st8i" w:colFirst="0" w:colLast="0"/>
      <w:bookmarkEnd w:id="12"/>
      <w:r w:rsidRPr="000A2871">
        <w:rPr>
          <w:rFonts w:ascii="Arial" w:hAnsi="Arial" w:cs="Arial"/>
        </w:rPr>
        <w:br w:type="page"/>
      </w:r>
      <w:bookmarkStart w:id="13" w:name="_f9deuloj5ob4" w:colFirst="0" w:colLast="0"/>
      <w:bookmarkStart w:id="14" w:name="_Toc242459512"/>
      <w:bookmarkEnd w:id="13"/>
      <w:r w:rsidRPr="000A2871">
        <w:rPr>
          <w:rFonts w:ascii="Arial" w:hAnsi="Arial" w:cs="Arial"/>
          <w:bCs/>
          <w:sz w:val="46"/>
          <w:szCs w:val="46"/>
        </w:rPr>
        <w:lastRenderedPageBreak/>
        <w:t>1</w:t>
      </w:r>
      <w:r w:rsidR="00A33CC4">
        <w:rPr>
          <w:rFonts w:ascii="Arial" w:hAnsi="Arial" w:cs="Arial"/>
          <w:bCs/>
          <w:sz w:val="46"/>
          <w:szCs w:val="46"/>
        </w:rPr>
        <w:t>.</w:t>
      </w:r>
      <w:r w:rsidRPr="000A2871">
        <w:rPr>
          <w:rFonts w:ascii="Arial" w:hAnsi="Arial" w:cs="Arial"/>
          <w:bCs/>
          <w:sz w:val="46"/>
          <w:szCs w:val="46"/>
        </w:rPr>
        <w:t xml:space="preserve"> Introduction</w:t>
      </w:r>
      <w:bookmarkEnd w:id="14"/>
    </w:p>
    <w:p w14:paraId="10289BD1" w14:textId="3463FC9C" w:rsidR="00CD02E0" w:rsidRPr="00730F6E" w:rsidRDefault="00730F6E" w:rsidP="00730F6E">
      <w:pPr>
        <w:spacing w:line="360" w:lineRule="auto"/>
        <w:rPr>
          <w:rFonts w:ascii="Arial" w:hAnsi="Arial" w:cs="Arial"/>
        </w:rPr>
      </w:pPr>
      <w:r w:rsidRPr="00730F6E">
        <w:rPr>
          <w:rFonts w:ascii="Arial" w:hAnsi="Arial" w:cs="Arial"/>
        </w:rPr>
        <w:t xml:space="preserve">This chapter </w:t>
      </w:r>
      <w:r>
        <w:rPr>
          <w:rFonts w:ascii="Arial" w:hAnsi="Arial" w:cs="Arial"/>
        </w:rPr>
        <w:t>explores</w:t>
      </w:r>
      <w:r w:rsidRPr="00730F6E">
        <w:rPr>
          <w:rFonts w:ascii="Arial" w:hAnsi="Arial" w:cs="Arial"/>
        </w:rPr>
        <w:t xml:space="preserve"> the public health context of obesity in young adults aged 18–24 in the United Kingdom and the significance of understanding their everyday experiences. The research problem, rationale, aim and objectives are presented, followed by scope of the review and structure of the dissertation. </w:t>
      </w:r>
      <w:r w:rsidR="007051EA">
        <w:rPr>
          <w:rFonts w:ascii="Arial" w:hAnsi="Arial" w:cs="Arial"/>
        </w:rPr>
        <w:br/>
      </w:r>
    </w:p>
    <w:p w14:paraId="30F26910" w14:textId="0CB6D6AD" w:rsidR="007E77F1" w:rsidRPr="000A2871" w:rsidRDefault="007E77F1" w:rsidP="00615DFA">
      <w:pPr>
        <w:pStyle w:val="Heading2"/>
        <w:keepNext w:val="0"/>
        <w:keepLines w:val="0"/>
        <w:spacing w:after="80" w:line="360" w:lineRule="auto"/>
        <w:jc w:val="left"/>
        <w:rPr>
          <w:rFonts w:ascii="Arial" w:hAnsi="Arial" w:cs="Arial"/>
          <w:b w:val="0"/>
          <w:bCs/>
          <w:sz w:val="34"/>
          <w:szCs w:val="34"/>
        </w:rPr>
      </w:pPr>
      <w:bookmarkStart w:id="15" w:name="_m8kr3u6lu5c9" w:colFirst="0" w:colLast="0"/>
      <w:bookmarkStart w:id="16" w:name="_Toc242459513"/>
      <w:bookmarkEnd w:id="15"/>
      <w:r w:rsidRPr="000A2871">
        <w:rPr>
          <w:rFonts w:ascii="Arial" w:hAnsi="Arial" w:cs="Arial"/>
          <w:bCs/>
          <w:sz w:val="34"/>
          <w:szCs w:val="34"/>
        </w:rPr>
        <w:t>1.1 Background and public health context</w:t>
      </w:r>
      <w:bookmarkEnd w:id="16"/>
    </w:p>
    <w:p w14:paraId="5EB55990" w14:textId="77777777" w:rsidR="007E77F1" w:rsidRPr="000A2871" w:rsidRDefault="007E77F1" w:rsidP="000A2871">
      <w:pPr>
        <w:spacing w:after="120" w:line="360" w:lineRule="auto"/>
        <w:rPr>
          <w:rFonts w:ascii="Arial" w:hAnsi="Arial" w:cs="Arial"/>
        </w:rPr>
      </w:pPr>
      <w:r w:rsidRPr="000A2871">
        <w:rPr>
          <w:rFonts w:ascii="Arial" w:hAnsi="Arial" w:cs="Arial"/>
        </w:rPr>
        <w:t>Obesity prevention during young adulthood requires an understanding of the circumstances in which eating, activity and weight management occur. For adults aged 18–24, decisions about health often develop alongside changes in education, employment, housing and relationships. This dissertation examines how young adults in the United Kingdom describe these influences and how they experience interventions intended to prevent or manage obesity. Its central concern is the relationship between individual action and the practical and social conditions that make healthier behaviour achievable (Abarca-Gómez et al., 2017; NCD-RisC, 2024; Afshin et al., 2019).</w:t>
      </w:r>
    </w:p>
    <w:p w14:paraId="6E39BF7A" w14:textId="77777777" w:rsidR="007E77F1" w:rsidRPr="000A2871" w:rsidRDefault="007E77F1" w:rsidP="000A2871">
      <w:pPr>
        <w:spacing w:after="120" w:line="360" w:lineRule="auto"/>
        <w:rPr>
          <w:rFonts w:ascii="Arial" w:hAnsi="Arial" w:cs="Arial"/>
        </w:rPr>
      </w:pPr>
      <w:r w:rsidRPr="000A2871">
        <w:rPr>
          <w:rFonts w:ascii="Arial" w:hAnsi="Arial" w:cs="Arial"/>
        </w:rPr>
        <w:t>Obesity has biological, behavioural and environmental influences. Adult obesity is commonly classified using a body mass index of at least 30 kg/m², although BMI is an indirect measure of adiposity and does not give a complete account of health (WHO, 2026). NICE (2025, updated 2026) also considers central adiposity and lower BMI thresholds for some ethnic groups. Body size alone cannot disclose a person’s dietary practices, resources, emotional wellbeing or experience of care (Blüher, 2019; Heymsfield and Wadden, 2017).</w:t>
      </w:r>
    </w:p>
    <w:p w14:paraId="3873A72D" w14:textId="77777777" w:rsidR="007E77F1" w:rsidRPr="000A2871" w:rsidRDefault="007E77F1" w:rsidP="000A2871">
      <w:pPr>
        <w:spacing w:after="120" w:line="360" w:lineRule="auto"/>
        <w:rPr>
          <w:rFonts w:ascii="Arial" w:hAnsi="Arial" w:cs="Arial"/>
        </w:rPr>
      </w:pPr>
      <w:r w:rsidRPr="000A2871">
        <w:rPr>
          <w:rFonts w:ascii="Arial" w:hAnsi="Arial" w:cs="Arial"/>
        </w:rPr>
        <w:t>The wider population context demonstrates the relevance of the topic. The Office for Health Improvement and Disparities reported that 64.5% of adults in England were overweight or living with obesity in 2023–2024, including 26.5% living with obesity. Obesity prevalence was 37.4% in the most deprived areas and 19.8% in the least deprived areas (OHID, 2025). These figures concern adults overall in England. They are neither estimates for the UK as a whole nor prevalence estimates specifically for people aged 18–24. Their value here is to establish the broader context of unequal opportunities for health.</w:t>
      </w:r>
    </w:p>
    <w:p w14:paraId="47E14CED" w14:textId="6C5D54CF" w:rsidR="007E77F1" w:rsidRPr="000A2871" w:rsidRDefault="007E77F1" w:rsidP="000A2871">
      <w:pPr>
        <w:spacing w:after="120" w:line="360" w:lineRule="auto"/>
        <w:rPr>
          <w:rFonts w:ascii="Arial" w:hAnsi="Arial" w:cs="Arial"/>
        </w:rPr>
      </w:pPr>
      <w:r w:rsidRPr="000A2871">
        <w:rPr>
          <w:rFonts w:ascii="Arial" w:hAnsi="Arial" w:cs="Arial"/>
        </w:rPr>
        <w:t xml:space="preserve">Young adulthood is important because increased responsibility can coincide with limited resources. A person may become responsible for shopping and cooking before acquiring reliable income, suitable accommodation or confidence in meal preparation. Study timetables, commuting and irregular work can make daily routines unpredictable. Shared kitchens may restrict food storage and preparation, while social occasions can influence the </w:t>
      </w:r>
      <w:r w:rsidRPr="000A2871">
        <w:rPr>
          <w:rFonts w:ascii="Arial" w:hAnsi="Arial" w:cs="Arial"/>
        </w:rPr>
        <w:lastRenderedPageBreak/>
        <w:t xml:space="preserve">timing and type of meals. The same transition can also create opportunities to develop skills and supportive relationships. The review therefore treats this stage as a period of varied experiences without </w:t>
      </w:r>
      <w:r w:rsidR="007051EA" w:rsidRPr="000A2871">
        <w:rPr>
          <w:rFonts w:ascii="Arial" w:hAnsi="Arial" w:cs="Arial"/>
        </w:rPr>
        <w:t>if</w:t>
      </w:r>
      <w:r w:rsidRPr="000A2871">
        <w:rPr>
          <w:rFonts w:ascii="Arial" w:hAnsi="Arial" w:cs="Arial"/>
        </w:rPr>
        <w:t xml:space="preserve"> independence necessarily produces unhealthy behaviour (Fazzino et al., 2019; Munt et al., 2017; Sawyer et al., 2018).</w:t>
      </w:r>
    </w:p>
    <w:p w14:paraId="2951094C" w14:textId="7ADEB353" w:rsidR="007E77F1" w:rsidRPr="000A2871" w:rsidRDefault="007E77F1" w:rsidP="000A2871">
      <w:pPr>
        <w:spacing w:after="120" w:line="360" w:lineRule="auto"/>
        <w:rPr>
          <w:rFonts w:ascii="Arial" w:hAnsi="Arial" w:cs="Arial"/>
        </w:rPr>
      </w:pPr>
      <w:r w:rsidRPr="000A2871">
        <w:rPr>
          <w:rFonts w:ascii="Arial" w:hAnsi="Arial" w:cs="Arial"/>
        </w:rPr>
        <w:t>Public health approaches also need to recognise that the same behaviour can carry different meanings. Preparing food may express independence for one person and an additional responsibility for another. Physical activity can offer enjoyment or social contact, while organised exercise may feel uncomfortable or difficult to access. These distinctions matter because interventions often describe a desired behaviour without examining what performing it would involve. Understanding that practical work helps connect prevention goals with the circumstances of the people expected to act on them (Munt et al., 2017; Neve and Isaacs, 2022).</w:t>
      </w:r>
      <w:r w:rsidR="007051EA">
        <w:rPr>
          <w:rFonts w:ascii="Arial" w:hAnsi="Arial" w:cs="Arial"/>
        </w:rPr>
        <w:br/>
      </w:r>
    </w:p>
    <w:p w14:paraId="24DE8359" w14:textId="6ECA4AB5" w:rsidR="007E77F1" w:rsidRPr="000A2871" w:rsidRDefault="007E77F1" w:rsidP="00615DFA">
      <w:pPr>
        <w:pStyle w:val="Heading2"/>
        <w:keepNext w:val="0"/>
        <w:keepLines w:val="0"/>
        <w:spacing w:after="80" w:line="360" w:lineRule="auto"/>
        <w:jc w:val="left"/>
        <w:rPr>
          <w:rFonts w:ascii="Arial" w:hAnsi="Arial" w:cs="Arial"/>
          <w:b w:val="0"/>
          <w:bCs/>
          <w:sz w:val="34"/>
          <w:szCs w:val="34"/>
        </w:rPr>
      </w:pPr>
      <w:bookmarkStart w:id="17" w:name="_9wjd0ug12wfl" w:colFirst="0" w:colLast="0"/>
      <w:bookmarkStart w:id="18" w:name="_Toc242459514"/>
      <w:bookmarkEnd w:id="17"/>
      <w:r w:rsidRPr="000A2871">
        <w:rPr>
          <w:rFonts w:ascii="Arial" w:hAnsi="Arial" w:cs="Arial"/>
          <w:bCs/>
          <w:sz w:val="34"/>
          <w:szCs w:val="34"/>
        </w:rPr>
        <w:t>1.2 Current knowledge and the value of qualitative evidence</w:t>
      </w:r>
      <w:bookmarkEnd w:id="18"/>
    </w:p>
    <w:p w14:paraId="0761C5E7" w14:textId="77777777" w:rsidR="007E77F1" w:rsidRPr="000A2871" w:rsidRDefault="007E77F1" w:rsidP="000A2871">
      <w:pPr>
        <w:spacing w:after="120" w:line="360" w:lineRule="auto"/>
        <w:rPr>
          <w:rFonts w:ascii="Arial" w:hAnsi="Arial" w:cs="Arial"/>
        </w:rPr>
      </w:pPr>
      <w:r w:rsidRPr="000A2871">
        <w:rPr>
          <w:rFonts w:ascii="Arial" w:hAnsi="Arial" w:cs="Arial"/>
        </w:rPr>
        <w:t>Relevant UK research considers weight-management histories, health messages, food and alcohol practices, antidepressant treatment, workplaces and digital information. The studies examined here approach these issues from different directions. Their value lies in explaining how circumstances shape choices, rather than assuming that every participant has obesity or wants to lose weight (Berry et al., 2018; Scott et al., 2020; Rodrigues et al., 2025; Orlando et al., 2025).</w:t>
      </w:r>
    </w:p>
    <w:p w14:paraId="4CF1D6DB" w14:textId="77777777" w:rsidR="007E77F1" w:rsidRPr="000A2871" w:rsidRDefault="007E77F1" w:rsidP="000A2871">
      <w:pPr>
        <w:spacing w:after="120" w:line="360" w:lineRule="auto"/>
        <w:rPr>
          <w:rFonts w:ascii="Arial" w:hAnsi="Arial" w:cs="Arial"/>
        </w:rPr>
      </w:pPr>
      <w:r w:rsidRPr="000A2871">
        <w:rPr>
          <w:rFonts w:ascii="Arial" w:hAnsi="Arial" w:cs="Arial"/>
        </w:rPr>
        <w:t>Qualitative research is useful because participants can explain what a barrier means in practice. A limited food budget may involve more than the price of one product. It may also involve uncertainty about waste, access to shops, the ability to buy in bulk and the competing cost of transport. Similarly, a recommendation to exercise may be interpreted through concerns about embarrassment, pain, safety or fitting activity around work. Such accounts can explain why information that appears straightforward to a professional is difficult to act upon in daily life (Hunter et al., 2025; Neve and Isaacs, 2022).</w:t>
      </w:r>
    </w:p>
    <w:p w14:paraId="74CC6247" w14:textId="77777777" w:rsidR="007E77F1" w:rsidRPr="000A2871" w:rsidRDefault="007E77F1" w:rsidP="000A2871">
      <w:pPr>
        <w:spacing w:after="120" w:line="360" w:lineRule="auto"/>
        <w:rPr>
          <w:rFonts w:ascii="Arial" w:hAnsi="Arial" w:cs="Arial"/>
        </w:rPr>
      </w:pPr>
      <w:r w:rsidRPr="000A2871">
        <w:rPr>
          <w:rFonts w:ascii="Arial" w:hAnsi="Arial" w:cs="Arial"/>
        </w:rPr>
        <w:t xml:space="preserve">The distinction between perceived effectiveness and measured effectiveness is especially important. Participants may consider support useful because it makes planning easier, improves confidence or reduces isolation. These experiences do not establish a causal effect on BMI or obesity prevalence. Equally, a programme with a measurable average effect can remain inaccessible or distressing for some people. This dissertation focuses on experiences, acceptability and perceived usefulness. It does not estimate pooled </w:t>
      </w:r>
      <w:r w:rsidRPr="000A2871">
        <w:rPr>
          <w:rFonts w:ascii="Arial" w:hAnsi="Arial" w:cs="Arial"/>
        </w:rPr>
        <w:lastRenderedPageBreak/>
        <w:t>intervention effects or rank interventions according to weight loss (Ashton et al., 2020; Godino et al., 2016).</w:t>
      </w:r>
    </w:p>
    <w:p w14:paraId="5FE32C03" w14:textId="4C92825E" w:rsidR="007E77F1" w:rsidRPr="000A2871" w:rsidRDefault="007E77F1" w:rsidP="000A2871">
      <w:pPr>
        <w:spacing w:after="120" w:line="360" w:lineRule="auto"/>
        <w:rPr>
          <w:rFonts w:ascii="Arial" w:hAnsi="Arial" w:cs="Arial"/>
        </w:rPr>
      </w:pPr>
      <w:r w:rsidRPr="000A2871">
        <w:rPr>
          <w:rFonts w:ascii="Arial" w:hAnsi="Arial" w:cs="Arial"/>
        </w:rPr>
        <w:t xml:space="preserve">The evidence also distinguishes determinants reported by participants from determinants established through causal research. An interview can reveal that someone associates irregular work with disrupted </w:t>
      </w:r>
      <w:r w:rsidR="00EE075C" w:rsidRPr="000A2871">
        <w:rPr>
          <w:rFonts w:ascii="Arial" w:hAnsi="Arial" w:cs="Arial"/>
        </w:rPr>
        <w:t>meals but</w:t>
      </w:r>
      <w:r w:rsidRPr="000A2871">
        <w:rPr>
          <w:rFonts w:ascii="Arial" w:hAnsi="Arial" w:cs="Arial"/>
        </w:rPr>
        <w:t xml:space="preserve"> cannot isolate the effect of working hours from income, household arrangements or other influences. In this dissertation, the term determinants therefore </w:t>
      </w:r>
      <w:r w:rsidR="00EE075C" w:rsidRPr="000A2871">
        <w:rPr>
          <w:rFonts w:ascii="Arial" w:hAnsi="Arial" w:cs="Arial"/>
        </w:rPr>
        <w:t>refer</w:t>
      </w:r>
      <w:r w:rsidRPr="000A2871">
        <w:rPr>
          <w:rFonts w:ascii="Arial" w:hAnsi="Arial" w:cs="Arial"/>
        </w:rPr>
        <w:t xml:space="preserve"> to experienced influences on relevant practices. This interpretation preserves the value of qualitative explanation while avoiding a claim that a small collection of accounts identifies the independent causes of obesity (Flemming and Noyes, 2021).</w:t>
      </w:r>
      <w:r w:rsidR="007051EA">
        <w:rPr>
          <w:rFonts w:ascii="Arial" w:hAnsi="Arial" w:cs="Arial"/>
        </w:rPr>
        <w:br/>
      </w:r>
    </w:p>
    <w:p w14:paraId="291C506C" w14:textId="61A0E662" w:rsidR="007E77F1" w:rsidRPr="000A2871" w:rsidRDefault="007E77F1" w:rsidP="00775D14">
      <w:pPr>
        <w:pStyle w:val="Heading2"/>
        <w:keepNext w:val="0"/>
        <w:keepLines w:val="0"/>
        <w:spacing w:after="80" w:line="360" w:lineRule="auto"/>
        <w:jc w:val="left"/>
        <w:rPr>
          <w:rFonts w:ascii="Arial" w:hAnsi="Arial" w:cs="Arial"/>
          <w:b w:val="0"/>
          <w:bCs/>
          <w:sz w:val="34"/>
          <w:szCs w:val="34"/>
        </w:rPr>
      </w:pPr>
      <w:bookmarkStart w:id="19" w:name="_rpmhuembvsrh" w:colFirst="0" w:colLast="0"/>
      <w:bookmarkStart w:id="20" w:name="_Toc242459515"/>
      <w:bookmarkEnd w:id="19"/>
      <w:r w:rsidRPr="000A2871">
        <w:rPr>
          <w:rFonts w:ascii="Arial" w:hAnsi="Arial" w:cs="Arial"/>
          <w:bCs/>
          <w:sz w:val="34"/>
          <w:szCs w:val="34"/>
        </w:rPr>
        <w:t>1.3 Research problem and rationale</w:t>
      </w:r>
      <w:bookmarkEnd w:id="20"/>
    </w:p>
    <w:p w14:paraId="3E461733" w14:textId="77777777" w:rsidR="007E77F1" w:rsidRPr="000A2871" w:rsidRDefault="007E77F1" w:rsidP="000A2871">
      <w:pPr>
        <w:spacing w:after="120" w:line="360" w:lineRule="auto"/>
        <w:rPr>
          <w:rFonts w:ascii="Arial" w:hAnsi="Arial" w:cs="Arial"/>
        </w:rPr>
      </w:pPr>
      <w:r w:rsidRPr="000A2871">
        <w:rPr>
          <w:rFonts w:ascii="Arial" w:hAnsi="Arial" w:cs="Arial"/>
        </w:rPr>
        <w:t>Evidence about young adults is dispersed across public health, nutrition, psychology and social care. Studies often combine adolescents with older adults, recruit mainly university students or report an average age without a complete range. A UK university affiliation also does not necessarily establish where every participant lived. These reporting problems matter when the question concerns a defined population. They can make a relevant paper unsuitable for unrestricted inclusion, even when its methods are otherwise sound.</w:t>
      </w:r>
    </w:p>
    <w:p w14:paraId="21F4E2CF" w14:textId="77777777" w:rsidR="007E77F1" w:rsidRPr="000A2871" w:rsidRDefault="007E77F1" w:rsidP="000A2871">
      <w:pPr>
        <w:spacing w:after="120" w:line="360" w:lineRule="auto"/>
        <w:rPr>
          <w:rFonts w:ascii="Arial" w:hAnsi="Arial" w:cs="Arial"/>
        </w:rPr>
      </w:pPr>
      <w:r w:rsidRPr="000A2871">
        <w:rPr>
          <w:rFonts w:ascii="Arial" w:hAnsi="Arial" w:cs="Arial"/>
        </w:rPr>
        <w:t>The review has relevance to public health and social care. Universities, community organisations, local authorities and health services can influence access to affordable food, physical activity and support. Qualitative evidence may help these organisations recognise barriers that attendance figures or weight measurements cannot explain. Its contribution is to inform feasible, respectful responses and identify questions for subsequent evaluation, rather than to demonstrate that a proposed service change will prevent obesity (Marmot et al., 2020; WHO, 2023; WHO, 2025).</w:t>
      </w:r>
    </w:p>
    <w:p w14:paraId="4AADEC86" w14:textId="77777777" w:rsidR="007E77F1" w:rsidRPr="000A2871" w:rsidRDefault="007E77F1" w:rsidP="000A2871">
      <w:pPr>
        <w:spacing w:after="120" w:line="360" w:lineRule="auto"/>
        <w:rPr>
          <w:rFonts w:ascii="Arial" w:hAnsi="Arial" w:cs="Arial"/>
        </w:rPr>
      </w:pPr>
      <w:r w:rsidRPr="000A2871">
        <w:rPr>
          <w:rFonts w:ascii="Arial" w:hAnsi="Arial" w:cs="Arial"/>
        </w:rPr>
        <w:t>The review also responds to a practical gap. Services can provide information without knowing whether it fits a young adult’s routine, budget or priorities. Understanding why support feels helpful, burdensome or judgemental can inform how it is offered. This is particularly relevant when food, mental health and social participation are closely connected. The intention is to develop grounded questions for service improvement, while keeping participants’ experiences distinct from claims about intervention effects.</w:t>
      </w:r>
    </w:p>
    <w:p w14:paraId="0D57BBE8" w14:textId="2BA03CDF" w:rsidR="007E77F1" w:rsidRPr="000A2871" w:rsidRDefault="007E77F1" w:rsidP="000A2871">
      <w:pPr>
        <w:spacing w:after="120" w:line="360" w:lineRule="auto"/>
        <w:rPr>
          <w:rFonts w:ascii="Arial" w:hAnsi="Arial" w:cs="Arial"/>
        </w:rPr>
      </w:pPr>
      <w:r w:rsidRPr="000A2871">
        <w:rPr>
          <w:rFonts w:ascii="Arial" w:hAnsi="Arial" w:cs="Arial"/>
        </w:rPr>
        <w:t xml:space="preserve">A further reason for bringing these studies together is that young adults encounter support across different services. A workplace initiative, a social media message and a conversation about medication may address related concerns while making different demands. Examining these encounters together can reveal recurring questions about trust, practical assistance </w:t>
      </w:r>
      <w:r w:rsidRPr="000A2871">
        <w:rPr>
          <w:rFonts w:ascii="Arial" w:hAnsi="Arial" w:cs="Arial"/>
        </w:rPr>
        <w:lastRenderedPageBreak/>
        <w:t>and control over participation. It also makes differences visible: a preference expressed during clinical care should not automatically become a recommendation for a university campaign. The synthesis considers these settings in relation to one another without treating their participants or purposes as interchangeable.</w:t>
      </w:r>
      <w:r w:rsidR="007051EA">
        <w:rPr>
          <w:rFonts w:ascii="Arial" w:hAnsi="Arial" w:cs="Arial"/>
        </w:rPr>
        <w:br/>
      </w:r>
    </w:p>
    <w:p w14:paraId="79D063FB" w14:textId="74B31557" w:rsidR="007E77F1" w:rsidRPr="000A2871" w:rsidRDefault="007E77F1" w:rsidP="00775D14">
      <w:pPr>
        <w:pStyle w:val="Heading2"/>
        <w:keepNext w:val="0"/>
        <w:keepLines w:val="0"/>
        <w:spacing w:after="80" w:line="360" w:lineRule="auto"/>
        <w:jc w:val="left"/>
        <w:rPr>
          <w:rFonts w:ascii="Arial" w:hAnsi="Arial" w:cs="Arial"/>
          <w:b w:val="0"/>
          <w:bCs/>
          <w:sz w:val="34"/>
          <w:szCs w:val="34"/>
        </w:rPr>
      </w:pPr>
      <w:bookmarkStart w:id="21" w:name="_x9sw2ceg4mab" w:colFirst="0" w:colLast="0"/>
      <w:bookmarkStart w:id="22" w:name="_Toc242459516"/>
      <w:bookmarkEnd w:id="21"/>
      <w:r w:rsidRPr="000A2871">
        <w:rPr>
          <w:rFonts w:ascii="Arial" w:hAnsi="Arial" w:cs="Arial"/>
          <w:bCs/>
          <w:sz w:val="34"/>
          <w:szCs w:val="34"/>
        </w:rPr>
        <w:t>1.4 Aim, research question and objectives</w:t>
      </w:r>
      <w:bookmarkEnd w:id="22"/>
    </w:p>
    <w:p w14:paraId="4A9896EF" w14:textId="77777777" w:rsidR="007E77F1" w:rsidRPr="000A2871" w:rsidRDefault="007E77F1" w:rsidP="000A2871">
      <w:pPr>
        <w:spacing w:after="120" w:line="360" w:lineRule="auto"/>
        <w:rPr>
          <w:rFonts w:ascii="Arial" w:hAnsi="Arial" w:cs="Arial"/>
        </w:rPr>
      </w:pPr>
      <w:r w:rsidRPr="000A2871">
        <w:rPr>
          <w:rFonts w:ascii="Arial" w:hAnsi="Arial" w:cs="Arial"/>
        </w:rPr>
        <w:t>The aim is to identify, critically appraise and synthesise qualitative evidence on determinants of obesity-related behaviours and perceived effectiveness of relevant interventions among young adults aged 18–24 living in the United Kingdom.</w:t>
      </w:r>
    </w:p>
    <w:p w14:paraId="5AE32750" w14:textId="77777777" w:rsidR="007E77F1" w:rsidRPr="000A2871" w:rsidRDefault="007E77F1" w:rsidP="000A2871">
      <w:pPr>
        <w:spacing w:after="120" w:line="360" w:lineRule="auto"/>
        <w:rPr>
          <w:rFonts w:ascii="Arial" w:hAnsi="Arial" w:cs="Arial"/>
        </w:rPr>
      </w:pPr>
      <w:r w:rsidRPr="000A2871">
        <w:rPr>
          <w:rFonts w:ascii="Arial" w:hAnsi="Arial" w:cs="Arial"/>
        </w:rPr>
        <w:t>The research question is: What influences obesity-related behaviours among UK young adults aged 18–24, and how do they describe the usefulness, acceptability and limitations of prevention or weight-management support?</w:t>
      </w:r>
    </w:p>
    <w:p w14:paraId="576815C2" w14:textId="3D4BFFFE" w:rsidR="007E77F1" w:rsidRPr="000A2871" w:rsidRDefault="007E77F1" w:rsidP="000A2871">
      <w:pPr>
        <w:spacing w:after="120" w:line="360" w:lineRule="auto"/>
        <w:rPr>
          <w:rFonts w:ascii="Arial" w:hAnsi="Arial" w:cs="Arial"/>
        </w:rPr>
      </w:pPr>
      <w:r w:rsidRPr="000A2871">
        <w:rPr>
          <w:rFonts w:ascii="Arial" w:hAnsi="Arial" w:cs="Arial"/>
        </w:rPr>
        <w:t>The objectives are to assess relevant reports against the age and UK-setting criteria; appraise their qualitative methods using CASP; develop themes from eligible findings; interpret these through behavioural and acceptability frameworks; and identify implications for practice and research. The original search records and supplementary PubMed retrieval are retained to make selection transparent.</w:t>
      </w:r>
      <w:r w:rsidR="007051EA">
        <w:rPr>
          <w:rFonts w:ascii="Arial" w:hAnsi="Arial" w:cs="Arial"/>
        </w:rPr>
        <w:br/>
      </w:r>
    </w:p>
    <w:p w14:paraId="4F178A51" w14:textId="15469F59" w:rsidR="007E77F1" w:rsidRPr="000A2871" w:rsidRDefault="007E77F1" w:rsidP="00775D14">
      <w:pPr>
        <w:pStyle w:val="Heading2"/>
        <w:keepNext w:val="0"/>
        <w:keepLines w:val="0"/>
        <w:spacing w:after="80" w:line="360" w:lineRule="auto"/>
        <w:jc w:val="left"/>
        <w:rPr>
          <w:rFonts w:ascii="Arial" w:hAnsi="Arial" w:cs="Arial"/>
          <w:b w:val="0"/>
          <w:bCs/>
          <w:sz w:val="34"/>
          <w:szCs w:val="34"/>
        </w:rPr>
      </w:pPr>
      <w:bookmarkStart w:id="23" w:name="_ulz6ly6asrv" w:colFirst="0" w:colLast="0"/>
      <w:bookmarkStart w:id="24" w:name="_Toc242459517"/>
      <w:bookmarkEnd w:id="23"/>
      <w:r w:rsidRPr="000A2871">
        <w:rPr>
          <w:rFonts w:ascii="Arial" w:hAnsi="Arial" w:cs="Arial"/>
          <w:bCs/>
          <w:sz w:val="34"/>
          <w:szCs w:val="34"/>
        </w:rPr>
        <w:t>1.5 Scope and key definitions</w:t>
      </w:r>
      <w:bookmarkEnd w:id="24"/>
    </w:p>
    <w:p w14:paraId="55223345" w14:textId="10030429" w:rsidR="007E77F1" w:rsidRPr="000A2871" w:rsidRDefault="007E77F1" w:rsidP="000A2871">
      <w:pPr>
        <w:spacing w:after="120" w:line="360" w:lineRule="auto"/>
        <w:rPr>
          <w:rFonts w:ascii="Arial" w:hAnsi="Arial" w:cs="Arial"/>
        </w:rPr>
      </w:pPr>
      <w:r w:rsidRPr="000A2871">
        <w:rPr>
          <w:rFonts w:ascii="Arial" w:hAnsi="Arial" w:cs="Arial"/>
        </w:rPr>
        <w:t xml:space="preserve">The review covers England, Scotland, Wales and Northern Ireland and publications dated 2016–2026. The title and research focus remain ages 18–24; studies reporting samples aged 18–25 </w:t>
      </w:r>
      <w:r w:rsidR="00EE7907" w:rsidRPr="000A2871">
        <w:rPr>
          <w:rFonts w:ascii="Arial" w:hAnsi="Arial" w:cs="Arial"/>
        </w:rPr>
        <w:t>is</w:t>
      </w:r>
      <w:r w:rsidRPr="000A2871">
        <w:rPr>
          <w:rFonts w:ascii="Arial" w:hAnsi="Arial" w:cs="Arial"/>
        </w:rPr>
        <w:t xml:space="preserve"> accepted within the eligibility approach. International students living in the UK may qualify, while British nationality alone does not establish a UK setting. Broader studies contribute only findings that can be attributed to the relevant age group.</w:t>
      </w:r>
    </w:p>
    <w:p w14:paraId="09E0BE13" w14:textId="1EC4BF64" w:rsidR="007E77F1" w:rsidRPr="000A2871" w:rsidRDefault="007051EA" w:rsidP="000A2871">
      <w:pPr>
        <w:spacing w:before="180" w:after="100" w:line="360" w:lineRule="auto"/>
        <w:rPr>
          <w:rFonts w:ascii="Arial" w:hAnsi="Arial" w:cs="Arial"/>
        </w:rPr>
      </w:pP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lastRenderedPageBreak/>
        <w:br/>
      </w:r>
      <w:r w:rsidR="007E77F1" w:rsidRPr="000A2871">
        <w:rPr>
          <w:rFonts w:ascii="Arial" w:hAnsi="Arial" w:cs="Arial"/>
        </w:rPr>
        <w:t>Table 1.1. Terms used in this dissertation</w:t>
      </w:r>
    </w:p>
    <w:tbl>
      <w:tblPr>
        <w:tblW w:w="8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130"/>
        <w:gridCol w:w="6765"/>
      </w:tblGrid>
      <w:tr w:rsidR="007E77F1" w:rsidRPr="000A2871" w14:paraId="43C89EFA" w14:textId="77777777" w:rsidTr="00842588">
        <w:trPr>
          <w:trHeight w:val="495"/>
        </w:trPr>
        <w:tc>
          <w:tcPr>
            <w:tcW w:w="2130" w:type="dxa"/>
            <w:tcMar>
              <w:top w:w="80" w:type="dxa"/>
              <w:left w:w="80" w:type="dxa"/>
              <w:bottom w:w="80" w:type="dxa"/>
              <w:right w:w="80" w:type="dxa"/>
            </w:tcMar>
          </w:tcPr>
          <w:p w14:paraId="0DE89E12" w14:textId="77777777" w:rsidR="007E77F1" w:rsidRPr="00B27F19" w:rsidRDefault="007E77F1" w:rsidP="000A2871">
            <w:pPr>
              <w:spacing w:line="360" w:lineRule="auto"/>
              <w:rPr>
                <w:rFonts w:ascii="Arial" w:hAnsi="Arial" w:cs="Arial"/>
                <w:b/>
                <w:bCs/>
                <w:sz w:val="21"/>
                <w:szCs w:val="21"/>
              </w:rPr>
            </w:pPr>
            <w:r w:rsidRPr="00B27F19">
              <w:rPr>
                <w:rFonts w:ascii="Arial" w:hAnsi="Arial" w:cs="Arial"/>
                <w:b/>
                <w:bCs/>
                <w:sz w:val="21"/>
                <w:szCs w:val="21"/>
              </w:rPr>
              <w:t>Term</w:t>
            </w:r>
          </w:p>
        </w:tc>
        <w:tc>
          <w:tcPr>
            <w:tcW w:w="6765" w:type="dxa"/>
            <w:tcMar>
              <w:top w:w="80" w:type="dxa"/>
              <w:left w:w="80" w:type="dxa"/>
              <w:bottom w:w="80" w:type="dxa"/>
              <w:right w:w="80" w:type="dxa"/>
            </w:tcMar>
          </w:tcPr>
          <w:p w14:paraId="3004D0BD" w14:textId="77777777" w:rsidR="007E77F1" w:rsidRPr="00B27F19" w:rsidRDefault="007E77F1" w:rsidP="000A2871">
            <w:pPr>
              <w:spacing w:line="360" w:lineRule="auto"/>
              <w:rPr>
                <w:rFonts w:ascii="Arial" w:hAnsi="Arial" w:cs="Arial"/>
                <w:b/>
                <w:bCs/>
                <w:sz w:val="21"/>
                <w:szCs w:val="21"/>
              </w:rPr>
            </w:pPr>
            <w:r w:rsidRPr="00B27F19">
              <w:rPr>
                <w:rFonts w:ascii="Arial" w:hAnsi="Arial" w:cs="Arial"/>
                <w:b/>
                <w:bCs/>
                <w:sz w:val="21"/>
                <w:szCs w:val="21"/>
              </w:rPr>
              <w:t>Meaning</w:t>
            </w:r>
          </w:p>
        </w:tc>
      </w:tr>
      <w:tr w:rsidR="007E77F1" w:rsidRPr="000A2871" w14:paraId="46697A36" w14:textId="77777777" w:rsidTr="00842588">
        <w:trPr>
          <w:trHeight w:val="810"/>
        </w:trPr>
        <w:tc>
          <w:tcPr>
            <w:tcW w:w="2130" w:type="dxa"/>
            <w:tcMar>
              <w:top w:w="80" w:type="dxa"/>
              <w:left w:w="80" w:type="dxa"/>
              <w:bottom w:w="80" w:type="dxa"/>
              <w:right w:w="80" w:type="dxa"/>
            </w:tcMar>
          </w:tcPr>
          <w:p w14:paraId="0287BF21" w14:textId="77777777" w:rsidR="007E77F1" w:rsidRPr="00B27F19" w:rsidRDefault="007E77F1" w:rsidP="000A2871">
            <w:pPr>
              <w:spacing w:line="360" w:lineRule="auto"/>
              <w:rPr>
                <w:rFonts w:ascii="Arial" w:hAnsi="Arial" w:cs="Arial"/>
                <w:sz w:val="21"/>
                <w:szCs w:val="21"/>
              </w:rPr>
            </w:pPr>
            <w:r w:rsidRPr="00B27F19">
              <w:rPr>
                <w:rFonts w:ascii="Arial" w:hAnsi="Arial" w:cs="Arial"/>
                <w:sz w:val="21"/>
                <w:szCs w:val="21"/>
              </w:rPr>
              <w:t>Determinants</w:t>
            </w:r>
          </w:p>
        </w:tc>
        <w:tc>
          <w:tcPr>
            <w:tcW w:w="6765" w:type="dxa"/>
            <w:tcMar>
              <w:top w:w="80" w:type="dxa"/>
              <w:left w:w="80" w:type="dxa"/>
              <w:bottom w:w="80" w:type="dxa"/>
              <w:right w:w="80" w:type="dxa"/>
            </w:tcMar>
          </w:tcPr>
          <w:p w14:paraId="2CBC1474" w14:textId="77777777" w:rsidR="007E77F1" w:rsidRPr="00B27F19" w:rsidRDefault="007E77F1" w:rsidP="000A2871">
            <w:pPr>
              <w:spacing w:line="360" w:lineRule="auto"/>
              <w:rPr>
                <w:rFonts w:ascii="Arial" w:hAnsi="Arial" w:cs="Arial"/>
                <w:sz w:val="21"/>
                <w:szCs w:val="21"/>
              </w:rPr>
            </w:pPr>
            <w:r w:rsidRPr="00B27F19">
              <w:rPr>
                <w:rFonts w:ascii="Arial" w:hAnsi="Arial" w:cs="Arial"/>
                <w:sz w:val="21"/>
                <w:szCs w:val="21"/>
              </w:rPr>
              <w:t>Reported influences on eating, activity and weight-related practices; qualitative accounts do not establish causal effects.</w:t>
            </w:r>
          </w:p>
        </w:tc>
      </w:tr>
      <w:tr w:rsidR="007E77F1" w:rsidRPr="000A2871" w14:paraId="2296B053" w14:textId="77777777" w:rsidTr="00842588">
        <w:trPr>
          <w:trHeight w:val="810"/>
        </w:trPr>
        <w:tc>
          <w:tcPr>
            <w:tcW w:w="2130" w:type="dxa"/>
            <w:tcMar>
              <w:top w:w="80" w:type="dxa"/>
              <w:left w:w="80" w:type="dxa"/>
              <w:bottom w:w="80" w:type="dxa"/>
              <w:right w:w="80" w:type="dxa"/>
            </w:tcMar>
          </w:tcPr>
          <w:p w14:paraId="578252D1" w14:textId="35557393" w:rsidR="007E77F1" w:rsidRPr="00B27F19" w:rsidRDefault="007E77F1" w:rsidP="000A2871">
            <w:pPr>
              <w:spacing w:line="360" w:lineRule="auto"/>
              <w:rPr>
                <w:rFonts w:ascii="Arial" w:hAnsi="Arial" w:cs="Arial"/>
                <w:sz w:val="21"/>
                <w:szCs w:val="21"/>
              </w:rPr>
            </w:pPr>
            <w:r w:rsidRPr="00B27F19">
              <w:rPr>
                <w:rFonts w:ascii="Arial" w:hAnsi="Arial" w:cs="Arial"/>
                <w:sz w:val="21"/>
                <w:szCs w:val="21"/>
              </w:rPr>
              <w:t>Obesity</w:t>
            </w:r>
            <w:r w:rsidR="6890C7AA" w:rsidRPr="1782DD8B">
              <w:rPr>
                <w:rFonts w:ascii="Arial" w:hAnsi="Arial" w:cs="Arial"/>
                <w:sz w:val="21"/>
                <w:szCs w:val="21"/>
              </w:rPr>
              <w:t xml:space="preserve"> </w:t>
            </w:r>
            <w:r w:rsidRPr="00B27F19">
              <w:rPr>
                <w:rFonts w:ascii="Arial" w:hAnsi="Arial" w:cs="Arial"/>
                <w:sz w:val="21"/>
                <w:szCs w:val="21"/>
              </w:rPr>
              <w:t>related evidence</w:t>
            </w:r>
          </w:p>
        </w:tc>
        <w:tc>
          <w:tcPr>
            <w:tcW w:w="6765" w:type="dxa"/>
            <w:tcMar>
              <w:top w:w="80" w:type="dxa"/>
              <w:left w:w="80" w:type="dxa"/>
              <w:bottom w:w="80" w:type="dxa"/>
              <w:right w:w="80" w:type="dxa"/>
            </w:tcMar>
          </w:tcPr>
          <w:p w14:paraId="3DAFF6AA" w14:textId="77777777" w:rsidR="007E77F1" w:rsidRPr="00B27F19" w:rsidRDefault="007E77F1" w:rsidP="000A2871">
            <w:pPr>
              <w:spacing w:line="360" w:lineRule="auto"/>
              <w:rPr>
                <w:rFonts w:ascii="Arial" w:hAnsi="Arial" w:cs="Arial"/>
                <w:sz w:val="21"/>
                <w:szCs w:val="21"/>
              </w:rPr>
            </w:pPr>
            <w:r w:rsidRPr="00B27F19">
              <w:rPr>
                <w:rFonts w:ascii="Arial" w:hAnsi="Arial" w:cs="Arial"/>
                <w:sz w:val="21"/>
                <w:szCs w:val="21"/>
              </w:rPr>
              <w:t>Accounts about weight management or behaviours relevant to prevention, including diet, activity and associated social practices.</w:t>
            </w:r>
          </w:p>
        </w:tc>
      </w:tr>
      <w:tr w:rsidR="007E77F1" w:rsidRPr="000A2871" w14:paraId="12E7E825" w14:textId="77777777" w:rsidTr="00842588">
        <w:trPr>
          <w:trHeight w:val="810"/>
        </w:trPr>
        <w:tc>
          <w:tcPr>
            <w:tcW w:w="2130" w:type="dxa"/>
            <w:tcMar>
              <w:top w:w="80" w:type="dxa"/>
              <w:left w:w="80" w:type="dxa"/>
              <w:bottom w:w="80" w:type="dxa"/>
              <w:right w:w="80" w:type="dxa"/>
            </w:tcMar>
          </w:tcPr>
          <w:p w14:paraId="09F72E75" w14:textId="77777777" w:rsidR="007E77F1" w:rsidRPr="00B27F19" w:rsidRDefault="007E77F1" w:rsidP="000A2871">
            <w:pPr>
              <w:spacing w:line="360" w:lineRule="auto"/>
              <w:rPr>
                <w:rFonts w:ascii="Arial" w:hAnsi="Arial" w:cs="Arial"/>
                <w:sz w:val="21"/>
                <w:szCs w:val="21"/>
              </w:rPr>
            </w:pPr>
            <w:r w:rsidRPr="00B27F19">
              <w:rPr>
                <w:rFonts w:ascii="Arial" w:hAnsi="Arial" w:cs="Arial"/>
                <w:sz w:val="21"/>
                <w:szCs w:val="21"/>
              </w:rPr>
              <w:t>Perceived effectiveness</w:t>
            </w:r>
          </w:p>
        </w:tc>
        <w:tc>
          <w:tcPr>
            <w:tcW w:w="6765" w:type="dxa"/>
            <w:tcMar>
              <w:top w:w="80" w:type="dxa"/>
              <w:left w:w="80" w:type="dxa"/>
              <w:bottom w:w="80" w:type="dxa"/>
              <w:right w:w="80" w:type="dxa"/>
            </w:tcMar>
          </w:tcPr>
          <w:p w14:paraId="6ABDEADC" w14:textId="7EBE0FF7" w:rsidR="007E77F1" w:rsidRPr="00B27F19" w:rsidRDefault="007E77F1" w:rsidP="000A2871">
            <w:pPr>
              <w:spacing w:line="360" w:lineRule="auto"/>
              <w:rPr>
                <w:rFonts w:ascii="Arial" w:hAnsi="Arial" w:cs="Arial"/>
                <w:sz w:val="21"/>
                <w:szCs w:val="21"/>
              </w:rPr>
            </w:pPr>
            <w:r w:rsidRPr="00B27F19">
              <w:rPr>
                <w:rFonts w:ascii="Arial" w:hAnsi="Arial" w:cs="Arial"/>
                <w:sz w:val="21"/>
                <w:szCs w:val="21"/>
              </w:rPr>
              <w:t xml:space="preserve">Participants’ judgements of </w:t>
            </w:r>
            <w:r w:rsidR="0023497E" w:rsidRPr="00B27F19">
              <w:rPr>
                <w:rFonts w:ascii="Arial" w:hAnsi="Arial" w:cs="Arial"/>
                <w:sz w:val="21"/>
                <w:szCs w:val="21"/>
              </w:rPr>
              <w:t>the use</w:t>
            </w:r>
            <w:r w:rsidRPr="00B27F19">
              <w:rPr>
                <w:rFonts w:ascii="Arial" w:hAnsi="Arial" w:cs="Arial"/>
                <w:sz w:val="21"/>
                <w:szCs w:val="21"/>
              </w:rPr>
              <w:t>fulness or benefit, distinguished from measured changes in weight or health.</w:t>
            </w:r>
          </w:p>
        </w:tc>
      </w:tr>
      <w:tr w:rsidR="007E77F1" w:rsidRPr="000A2871" w14:paraId="00F2ED91" w14:textId="77777777" w:rsidTr="00842588">
        <w:trPr>
          <w:trHeight w:val="810"/>
        </w:trPr>
        <w:tc>
          <w:tcPr>
            <w:tcW w:w="2130" w:type="dxa"/>
            <w:tcMar>
              <w:top w:w="80" w:type="dxa"/>
              <w:left w:w="80" w:type="dxa"/>
              <w:bottom w:w="80" w:type="dxa"/>
              <w:right w:w="80" w:type="dxa"/>
            </w:tcMar>
          </w:tcPr>
          <w:p w14:paraId="65C18E55" w14:textId="77777777" w:rsidR="007E77F1" w:rsidRPr="00B27F19" w:rsidRDefault="007E77F1" w:rsidP="000A2871">
            <w:pPr>
              <w:spacing w:line="360" w:lineRule="auto"/>
              <w:rPr>
                <w:rFonts w:ascii="Arial" w:hAnsi="Arial" w:cs="Arial"/>
                <w:sz w:val="21"/>
                <w:szCs w:val="21"/>
              </w:rPr>
            </w:pPr>
            <w:r w:rsidRPr="00B27F19">
              <w:rPr>
                <w:rFonts w:ascii="Arial" w:hAnsi="Arial" w:cs="Arial"/>
                <w:sz w:val="21"/>
                <w:szCs w:val="21"/>
              </w:rPr>
              <w:t>Core evidence</w:t>
            </w:r>
          </w:p>
        </w:tc>
        <w:tc>
          <w:tcPr>
            <w:tcW w:w="6765" w:type="dxa"/>
            <w:tcMar>
              <w:top w:w="80" w:type="dxa"/>
              <w:left w:w="80" w:type="dxa"/>
              <w:bottom w:w="80" w:type="dxa"/>
              <w:right w:w="80" w:type="dxa"/>
            </w:tcMar>
          </w:tcPr>
          <w:p w14:paraId="4D7E4A3D" w14:textId="77777777" w:rsidR="007E77F1" w:rsidRPr="00B27F19" w:rsidRDefault="007E77F1" w:rsidP="000A2871">
            <w:pPr>
              <w:spacing w:line="360" w:lineRule="auto"/>
              <w:rPr>
                <w:rFonts w:ascii="Arial" w:hAnsi="Arial" w:cs="Arial"/>
                <w:sz w:val="21"/>
                <w:szCs w:val="21"/>
              </w:rPr>
            </w:pPr>
            <w:r w:rsidRPr="00B27F19">
              <w:rPr>
                <w:rFonts w:ascii="Arial" w:hAnsi="Arial" w:cs="Arial"/>
                <w:sz w:val="21"/>
                <w:szCs w:val="21"/>
              </w:rPr>
              <w:t>UK findings meeting the review’s young-adult eligibility approach, from whole samples or clearly separable accounts.</w:t>
            </w:r>
          </w:p>
        </w:tc>
      </w:tr>
      <w:tr w:rsidR="007E77F1" w:rsidRPr="000A2871" w14:paraId="0EE05BCE" w14:textId="77777777" w:rsidTr="00842588">
        <w:trPr>
          <w:trHeight w:val="810"/>
        </w:trPr>
        <w:tc>
          <w:tcPr>
            <w:tcW w:w="2130" w:type="dxa"/>
            <w:tcMar>
              <w:top w:w="80" w:type="dxa"/>
              <w:left w:w="80" w:type="dxa"/>
              <w:bottom w:w="80" w:type="dxa"/>
              <w:right w:w="80" w:type="dxa"/>
            </w:tcMar>
          </w:tcPr>
          <w:p w14:paraId="02907A45" w14:textId="77777777" w:rsidR="007E77F1" w:rsidRPr="00B27F19" w:rsidRDefault="007E77F1" w:rsidP="000A2871">
            <w:pPr>
              <w:spacing w:line="360" w:lineRule="auto"/>
              <w:rPr>
                <w:rFonts w:ascii="Arial" w:hAnsi="Arial" w:cs="Arial"/>
                <w:sz w:val="21"/>
                <w:szCs w:val="21"/>
              </w:rPr>
            </w:pPr>
            <w:r w:rsidRPr="00B27F19">
              <w:rPr>
                <w:rFonts w:ascii="Arial" w:hAnsi="Arial" w:cs="Arial"/>
                <w:sz w:val="21"/>
                <w:szCs w:val="21"/>
              </w:rPr>
              <w:t>Contextual evidence</w:t>
            </w:r>
          </w:p>
        </w:tc>
        <w:tc>
          <w:tcPr>
            <w:tcW w:w="6765" w:type="dxa"/>
            <w:tcMar>
              <w:top w:w="80" w:type="dxa"/>
              <w:left w:w="80" w:type="dxa"/>
              <w:bottom w:w="80" w:type="dxa"/>
              <w:right w:w="80" w:type="dxa"/>
            </w:tcMar>
          </w:tcPr>
          <w:p w14:paraId="7BAF4B15" w14:textId="77777777" w:rsidR="007E77F1" w:rsidRPr="00B27F19" w:rsidRDefault="007E77F1" w:rsidP="000A2871">
            <w:pPr>
              <w:spacing w:line="360" w:lineRule="auto"/>
              <w:rPr>
                <w:rFonts w:ascii="Arial" w:hAnsi="Arial" w:cs="Arial"/>
                <w:sz w:val="21"/>
                <w:szCs w:val="21"/>
              </w:rPr>
            </w:pPr>
            <w:r w:rsidRPr="00B27F19">
              <w:rPr>
                <w:rFonts w:ascii="Arial" w:hAnsi="Arial" w:cs="Arial"/>
                <w:sz w:val="21"/>
                <w:szCs w:val="21"/>
              </w:rPr>
              <w:t>Relevant findings whose age or setting does not satisfy the core criteria, plus wider literature used for interpretation.</w:t>
            </w:r>
          </w:p>
        </w:tc>
      </w:tr>
    </w:tbl>
    <w:p w14:paraId="502E99AB"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26CA18ED" w14:textId="7CEF1B1E" w:rsidR="007E77F1" w:rsidRPr="000A2871" w:rsidRDefault="007E77F1" w:rsidP="000A2871">
      <w:pPr>
        <w:spacing w:after="120" w:line="360" w:lineRule="auto"/>
        <w:rPr>
          <w:rFonts w:ascii="Arial" w:hAnsi="Arial" w:cs="Arial"/>
        </w:rPr>
      </w:pPr>
      <w:r w:rsidRPr="000A2871">
        <w:rPr>
          <w:rFonts w:ascii="Arial" w:hAnsi="Arial" w:cs="Arial"/>
        </w:rPr>
        <w:t xml:space="preserve">A UK focus is intended to improve contextual relevance, not to imply that all four nations or all groups are equally represented. Differences between education, employment, clinical care and community settings remain important. The review therefore reports where evidence comes from and considers transferability through those circumstances, rather than </w:t>
      </w:r>
      <w:r w:rsidR="00EE7907" w:rsidRPr="000A2871">
        <w:rPr>
          <w:rFonts w:ascii="Arial" w:hAnsi="Arial" w:cs="Arial"/>
        </w:rPr>
        <w:t>if</w:t>
      </w:r>
      <w:r w:rsidRPr="000A2871">
        <w:rPr>
          <w:rFonts w:ascii="Arial" w:hAnsi="Arial" w:cs="Arial"/>
        </w:rPr>
        <w:t xml:space="preserve"> a national label automatically guarantees shared experience.</w:t>
      </w:r>
      <w:r w:rsidR="007051EA">
        <w:rPr>
          <w:rFonts w:ascii="Arial" w:hAnsi="Arial" w:cs="Arial"/>
        </w:rPr>
        <w:br/>
      </w:r>
    </w:p>
    <w:p w14:paraId="322B13D7" w14:textId="515BCCCF" w:rsidR="007E77F1" w:rsidRPr="000A2871" w:rsidRDefault="007E77F1" w:rsidP="00775D14">
      <w:pPr>
        <w:pStyle w:val="Heading2"/>
        <w:keepNext w:val="0"/>
        <w:keepLines w:val="0"/>
        <w:spacing w:after="80" w:line="360" w:lineRule="auto"/>
        <w:jc w:val="left"/>
        <w:rPr>
          <w:rFonts w:ascii="Arial" w:hAnsi="Arial" w:cs="Arial"/>
          <w:b w:val="0"/>
          <w:bCs/>
          <w:sz w:val="34"/>
          <w:szCs w:val="34"/>
        </w:rPr>
      </w:pPr>
      <w:bookmarkStart w:id="25" w:name="_ywhux7mvnl3v" w:colFirst="0" w:colLast="0"/>
      <w:bookmarkStart w:id="26" w:name="_Toc242459518"/>
      <w:bookmarkEnd w:id="25"/>
      <w:r w:rsidRPr="000A2871">
        <w:rPr>
          <w:rFonts w:ascii="Arial" w:hAnsi="Arial" w:cs="Arial"/>
          <w:bCs/>
          <w:sz w:val="34"/>
          <w:szCs w:val="34"/>
        </w:rPr>
        <w:t>1.6 Review status and dissertation structure</w:t>
      </w:r>
      <w:bookmarkEnd w:id="26"/>
    </w:p>
    <w:p w14:paraId="39A4ED7B" w14:textId="77777777" w:rsidR="007E77F1" w:rsidRPr="000A2871" w:rsidRDefault="007E77F1" w:rsidP="000A2871">
      <w:pPr>
        <w:spacing w:after="120" w:line="360" w:lineRule="auto"/>
        <w:rPr>
          <w:rFonts w:ascii="Arial" w:hAnsi="Arial" w:cs="Arial"/>
        </w:rPr>
      </w:pPr>
      <w:r w:rsidRPr="000A2871">
        <w:rPr>
          <w:rFonts w:ascii="Arial" w:hAnsi="Arial" w:cs="Arial"/>
        </w:rPr>
        <w:t>Eleven articles contribute to the thematic synthesis: six through their whole samples and five through identifiable younger accounts. These comprise eight of the original nominated reports and three additions retrieved through PubMed. The other three nominated reports remain contextual because age attribution or UK location is insufficiently clear. All fourteen assessed reports are mapped and appraised. Chapter 3 explains the decisions and Chapter 4 presents the findings.</w:t>
      </w:r>
    </w:p>
    <w:p w14:paraId="07376160" w14:textId="7BF04C26" w:rsidR="007E77F1" w:rsidRDefault="007E77F1" w:rsidP="000A2871">
      <w:pPr>
        <w:spacing w:after="120" w:line="360" w:lineRule="auto"/>
        <w:rPr>
          <w:rFonts w:ascii="Arial" w:hAnsi="Arial" w:cs="Arial"/>
        </w:rPr>
      </w:pPr>
      <w:r w:rsidRPr="000A2871">
        <w:rPr>
          <w:rFonts w:ascii="Arial" w:hAnsi="Arial" w:cs="Arial"/>
        </w:rPr>
        <w:t xml:space="preserve">The dissertation moves from the literature and conceptual framework in Chapter 2 to methodology, results, discussion and conclusion. Appendices provide extraction boundaries, coding examples, appraisal rationales and the screening audit. The reference list includes the wider methodological and contextual literature; those citations do not add studies to the </w:t>
      </w:r>
      <w:r w:rsidRPr="000A2871">
        <w:rPr>
          <w:rFonts w:ascii="Arial" w:hAnsi="Arial" w:cs="Arial"/>
        </w:rPr>
        <w:lastRenderedPageBreak/>
        <w:t>core synthesis.</w:t>
      </w:r>
      <w:r w:rsidR="007051EA">
        <w:rPr>
          <w:rFonts w:ascii="Arial" w:hAnsi="Arial" w:cs="Arial"/>
        </w:rPr>
        <w:br/>
      </w:r>
    </w:p>
    <w:p w14:paraId="7565272F" w14:textId="49CCF2DF" w:rsidR="00CC5BC8" w:rsidRDefault="002E149C" w:rsidP="002E149C">
      <w:pPr>
        <w:pStyle w:val="Heading2"/>
        <w:keepNext w:val="0"/>
        <w:keepLines w:val="0"/>
        <w:spacing w:after="80" w:line="360" w:lineRule="auto"/>
        <w:jc w:val="left"/>
        <w:rPr>
          <w:rFonts w:ascii="Arial" w:hAnsi="Arial" w:cs="Arial"/>
        </w:rPr>
      </w:pPr>
      <w:bookmarkStart w:id="27" w:name="_Toc242459519"/>
      <w:r w:rsidRPr="002E149C">
        <w:rPr>
          <w:rFonts w:ascii="Arial" w:hAnsi="Arial" w:cs="Arial"/>
          <w:bCs/>
          <w:sz w:val="34"/>
          <w:szCs w:val="34"/>
        </w:rPr>
        <w:t>Summary</w:t>
      </w:r>
      <w:bookmarkEnd w:id="27"/>
    </w:p>
    <w:p w14:paraId="0345DCC9" w14:textId="0DCC55B5" w:rsidR="00C9475B" w:rsidRPr="00C9475B" w:rsidRDefault="00C9475B" w:rsidP="00B27F19">
      <w:pPr>
        <w:spacing w:line="360" w:lineRule="auto"/>
        <w:rPr>
          <w:rFonts w:ascii="Arial" w:hAnsi="Arial" w:cs="Arial"/>
        </w:rPr>
      </w:pPr>
      <w:r w:rsidRPr="00C9475B">
        <w:rPr>
          <w:rFonts w:ascii="Arial" w:hAnsi="Arial" w:cs="Arial"/>
        </w:rPr>
        <w:t>This chapter examines the public health context of obesity in young adults aged 18-24 in the United Kingdom and the significance of knowing about what they do every day. The research problem, rationale, aim and objectives are presented followed by scope of review and structure of the dissertation. </w:t>
      </w:r>
    </w:p>
    <w:p w14:paraId="736AAF09" w14:textId="77777777" w:rsidR="00C9475B" w:rsidRPr="00C9475B" w:rsidRDefault="00C9475B" w:rsidP="00C9475B"/>
    <w:p w14:paraId="290FA0C7" w14:textId="77777777" w:rsidR="00CC5BC8" w:rsidRPr="000A2871" w:rsidRDefault="00CC5BC8" w:rsidP="000A2871">
      <w:pPr>
        <w:spacing w:after="120" w:line="360" w:lineRule="auto"/>
        <w:rPr>
          <w:rFonts w:ascii="Arial" w:hAnsi="Arial" w:cs="Arial"/>
        </w:rPr>
      </w:pPr>
    </w:p>
    <w:p w14:paraId="729F639B" w14:textId="568E2E66" w:rsidR="007E77F1" w:rsidRDefault="00EE7907" w:rsidP="00E02483">
      <w:pPr>
        <w:pStyle w:val="Heading1"/>
        <w:jc w:val="left"/>
        <w:rPr>
          <w:rFonts w:ascii="Arial" w:hAnsi="Arial" w:cs="Arial"/>
          <w:bCs/>
          <w:sz w:val="46"/>
          <w:szCs w:val="46"/>
        </w:rPr>
      </w:pPr>
      <w:bookmarkStart w:id="28" w:name="_bu1borm06ujn" w:colFirst="0" w:colLast="0"/>
      <w:bookmarkEnd w:id="28"/>
      <w:r>
        <w:br w:type="page"/>
      </w:r>
      <w:bookmarkStart w:id="29" w:name="_Toc242459520"/>
      <w:r w:rsidR="007E77F1" w:rsidRPr="000A2871">
        <w:rPr>
          <w:rFonts w:ascii="Arial" w:hAnsi="Arial" w:cs="Arial"/>
          <w:bCs/>
          <w:sz w:val="46"/>
          <w:szCs w:val="46"/>
        </w:rPr>
        <w:lastRenderedPageBreak/>
        <w:t>2</w:t>
      </w:r>
      <w:r w:rsidR="00353890">
        <w:rPr>
          <w:rFonts w:ascii="Arial" w:hAnsi="Arial" w:cs="Arial"/>
          <w:bCs/>
          <w:sz w:val="46"/>
          <w:szCs w:val="46"/>
        </w:rPr>
        <w:t>.</w:t>
      </w:r>
      <w:r w:rsidR="007E77F1" w:rsidRPr="000A2871">
        <w:rPr>
          <w:rFonts w:ascii="Arial" w:hAnsi="Arial" w:cs="Arial"/>
          <w:bCs/>
          <w:sz w:val="46"/>
          <w:szCs w:val="46"/>
        </w:rPr>
        <w:t xml:space="preserve"> Literature review</w:t>
      </w:r>
      <w:bookmarkEnd w:id="29"/>
    </w:p>
    <w:p w14:paraId="3B518114" w14:textId="236D3014" w:rsidR="00B15182" w:rsidRPr="00EE5392" w:rsidRDefault="00EE5392" w:rsidP="00EE5392">
      <w:pPr>
        <w:spacing w:line="360" w:lineRule="auto"/>
        <w:rPr>
          <w:rFonts w:ascii="Arial" w:hAnsi="Arial" w:cs="Arial"/>
        </w:rPr>
      </w:pPr>
      <w:r w:rsidRPr="00EE5392">
        <w:rPr>
          <w:rFonts w:ascii="Arial" w:hAnsi="Arial" w:cs="Arial"/>
        </w:rPr>
        <w:t>This chapter reviews the literature on behaviours related to obesity and experiences of interventions among young adults in the United Kingdom. It explores changing roles, food environments, relationships, physical activity, stigma and digital influences. It also describes the conceptual frameworks underlying the review and identifies gaps in the existing evidence. </w:t>
      </w:r>
      <w:r w:rsidR="007051EA">
        <w:rPr>
          <w:rFonts w:ascii="Arial" w:hAnsi="Arial" w:cs="Arial"/>
        </w:rPr>
        <w:br/>
      </w:r>
    </w:p>
    <w:p w14:paraId="67BD394D" w14:textId="2796F3A5" w:rsidR="007E77F1" w:rsidRPr="000A2871" w:rsidRDefault="007E77F1" w:rsidP="00E02483">
      <w:pPr>
        <w:pStyle w:val="Heading2"/>
        <w:keepNext w:val="0"/>
        <w:keepLines w:val="0"/>
        <w:spacing w:after="80" w:line="360" w:lineRule="auto"/>
        <w:jc w:val="left"/>
        <w:rPr>
          <w:rFonts w:ascii="Arial" w:hAnsi="Arial" w:cs="Arial"/>
          <w:b w:val="0"/>
          <w:bCs/>
          <w:sz w:val="34"/>
          <w:szCs w:val="34"/>
        </w:rPr>
      </w:pPr>
      <w:bookmarkStart w:id="30" w:name="_Toc242459521"/>
      <w:r w:rsidRPr="000A2871">
        <w:rPr>
          <w:rFonts w:ascii="Arial" w:hAnsi="Arial" w:cs="Arial"/>
          <w:bCs/>
          <w:sz w:val="34"/>
          <w:szCs w:val="34"/>
        </w:rPr>
        <w:t>2.1 Purpose and organisation of the review</w:t>
      </w:r>
      <w:bookmarkEnd w:id="30"/>
    </w:p>
    <w:p w14:paraId="614C32E3" w14:textId="77777777" w:rsidR="007E77F1" w:rsidRPr="000A2871" w:rsidRDefault="007E77F1" w:rsidP="00E02483">
      <w:pPr>
        <w:spacing w:after="120" w:line="360" w:lineRule="auto"/>
        <w:rPr>
          <w:rFonts w:ascii="Arial" w:hAnsi="Arial" w:cs="Arial"/>
        </w:rPr>
      </w:pPr>
      <w:r w:rsidRPr="000A2871">
        <w:rPr>
          <w:rFonts w:ascii="Arial" w:hAnsi="Arial" w:cs="Arial"/>
        </w:rPr>
        <w:t>This chapter examines the circumstances surrounding obesity-related behaviour in young adulthood. It connects the eleven synthesis articles and three contextual candidates with research on food environments, transitions, stigma and intervention design. Quantitative studies inform associations and outcomes, while qualitative studies examine experiences and meanings. Wider sources help interpret the findings without adding participant evidence to the synthesis (Flemming and Noyes, 2021).</w:t>
      </w:r>
    </w:p>
    <w:p w14:paraId="4349083B" w14:textId="2EDA3699" w:rsidR="007E77F1" w:rsidRPr="000A2871" w:rsidRDefault="007E77F1" w:rsidP="00E02483">
      <w:pPr>
        <w:spacing w:after="120" w:line="360" w:lineRule="auto"/>
        <w:rPr>
          <w:rFonts w:ascii="Arial" w:hAnsi="Arial" w:cs="Arial"/>
        </w:rPr>
      </w:pPr>
      <w:r w:rsidRPr="000A2871">
        <w:rPr>
          <w:rFonts w:ascii="Arial" w:hAnsi="Arial" w:cs="Arial"/>
        </w:rPr>
        <w:t>A central question runs through the chapter: what makes healthier behaviour and support workable in everyday life? This directs attention to resources, relationships and institutional conditions as well as individual knowledge. Section 2.7 develops the conceptual framework used later to interpret the synthesis. The framework guides explanation after themes have been developed, rather than prescribing what the evidence must say.</w:t>
      </w:r>
      <w:r w:rsidR="007051EA">
        <w:rPr>
          <w:rFonts w:ascii="Arial" w:hAnsi="Arial" w:cs="Arial"/>
        </w:rPr>
        <w:br/>
      </w:r>
    </w:p>
    <w:p w14:paraId="63CD8A23" w14:textId="650DCCB1" w:rsidR="007E77F1" w:rsidRPr="000A2871" w:rsidRDefault="007E77F1" w:rsidP="00E02483">
      <w:pPr>
        <w:pStyle w:val="Heading2"/>
        <w:keepNext w:val="0"/>
        <w:keepLines w:val="0"/>
        <w:spacing w:after="80" w:line="360" w:lineRule="auto"/>
        <w:jc w:val="left"/>
        <w:rPr>
          <w:rFonts w:ascii="Arial" w:hAnsi="Arial" w:cs="Arial"/>
          <w:b w:val="0"/>
          <w:bCs/>
          <w:sz w:val="34"/>
          <w:szCs w:val="34"/>
        </w:rPr>
      </w:pPr>
      <w:bookmarkStart w:id="31" w:name="_loaznm5t2439" w:colFirst="0" w:colLast="0"/>
      <w:bookmarkStart w:id="32" w:name="_Toc242459522"/>
      <w:bookmarkEnd w:id="31"/>
      <w:r w:rsidRPr="000A2871">
        <w:rPr>
          <w:rFonts w:ascii="Arial" w:hAnsi="Arial" w:cs="Arial"/>
          <w:bCs/>
          <w:sz w:val="34"/>
          <w:szCs w:val="34"/>
        </w:rPr>
        <w:t>2.2 Young adulthood and changing responsibilities</w:t>
      </w:r>
      <w:bookmarkEnd w:id="32"/>
    </w:p>
    <w:p w14:paraId="5F393E39" w14:textId="77777777" w:rsidR="007E77F1" w:rsidRPr="000A2871" w:rsidRDefault="007E77F1" w:rsidP="00E02483">
      <w:pPr>
        <w:spacing w:after="120" w:line="360" w:lineRule="auto"/>
        <w:rPr>
          <w:rFonts w:ascii="Arial" w:hAnsi="Arial" w:cs="Arial"/>
        </w:rPr>
      </w:pPr>
      <w:r w:rsidRPr="000A2871">
        <w:rPr>
          <w:rFonts w:ascii="Arial" w:hAnsi="Arial" w:cs="Arial"/>
        </w:rPr>
        <w:t>The research focus is young adults aged 18–24, with studies reporting 18–25 samples accepted for inclusion. This is a practical review boundary rather than a claim that development stops at a particular birthday. Responsibilities differ within the group: some people live with parents, while others combine independent housing, employment, study or caring. The extended transition discussed by Sawyer et al. (2018) supports attention to this variation.</w:t>
      </w:r>
    </w:p>
    <w:p w14:paraId="321504EC" w14:textId="77777777" w:rsidR="007E77F1" w:rsidRPr="000A2871" w:rsidRDefault="007E77F1" w:rsidP="00E02483">
      <w:pPr>
        <w:spacing w:after="120" w:line="360" w:lineRule="auto"/>
        <w:rPr>
          <w:rFonts w:ascii="Arial" w:hAnsi="Arial" w:cs="Arial"/>
        </w:rPr>
      </w:pPr>
      <w:r w:rsidRPr="000A2871">
        <w:rPr>
          <w:rFonts w:ascii="Arial" w:hAnsi="Arial" w:cs="Arial"/>
        </w:rPr>
        <w:t xml:space="preserve">The transition to greater independence can change who performs the work of eating. Food previously purchased and prepared by someone else may become the young adult's responsibility. Planning, shopping, cooking, cleaning and managing leftovers require time as well as knowledge. Shared accommodation can introduce negotiations about equipment, storage and kitchen cleanliness. A recommendation to prepare fresh meals may appear simple while depending on several conditions that are not under one person's control. These </w:t>
      </w:r>
      <w:r w:rsidRPr="000A2871">
        <w:rPr>
          <w:rFonts w:ascii="Arial" w:hAnsi="Arial" w:cs="Arial"/>
        </w:rPr>
        <w:lastRenderedPageBreak/>
        <w:t>conditions help explain why a gap can arise between valuing healthy eating and sustaining it (Alexander et al., 2018; Wongprawmas et al., 2022).</w:t>
      </w:r>
    </w:p>
    <w:p w14:paraId="6B6AA102" w14:textId="77777777" w:rsidR="007E77F1" w:rsidRPr="000A2871" w:rsidRDefault="007E77F1" w:rsidP="00E02483">
      <w:pPr>
        <w:spacing w:after="120" w:line="360" w:lineRule="auto"/>
        <w:rPr>
          <w:rFonts w:ascii="Arial" w:hAnsi="Arial" w:cs="Arial"/>
        </w:rPr>
      </w:pPr>
      <w:r w:rsidRPr="000A2871">
        <w:rPr>
          <w:rFonts w:ascii="Arial" w:hAnsi="Arial" w:cs="Arial"/>
        </w:rPr>
        <w:t>Sweeting et al. (2016) provide a particularly relevant life course perspective because the study interviewed 35 people at age 24 about weight management experiences following adolescent overweight. The report describes variation in weight concern and attempts to change behaviour. This variation is analytically important: a history of overweight does not produce one predictable adult response. Concern, priorities and practical circumstances may change together. A review should preserve different trajectories rather than construct a single narrative in which becoming an adult automatically increases either responsibility or risk.</w:t>
      </w:r>
    </w:p>
    <w:p w14:paraId="74AFAA4E" w14:textId="77777777" w:rsidR="007E77F1" w:rsidRPr="000A2871" w:rsidRDefault="007E77F1" w:rsidP="00E02483">
      <w:pPr>
        <w:spacing w:after="120" w:line="360" w:lineRule="auto"/>
        <w:rPr>
          <w:rFonts w:ascii="Arial" w:hAnsi="Arial" w:cs="Arial"/>
        </w:rPr>
      </w:pPr>
      <w:r w:rsidRPr="000A2871">
        <w:rPr>
          <w:rFonts w:ascii="Arial" w:hAnsi="Arial" w:cs="Arial"/>
        </w:rPr>
        <w:t>Tyrrell et al. (2016) illustrate how independence can remain negotiated within the family. Their North-East England focus groups describe limited control over kitchens, purchasing and transport. However, the sample spans 16–20 and every group includes under-18s, so its findings provide developmental context rather than adult-only evidence. The fieldwork took place in 2006–2007; publication in a 2016 issue does not make the circumstances contemporary. This distinction is relevant when comparing older food environments with recent digital and workplace research.</w:t>
      </w:r>
    </w:p>
    <w:p w14:paraId="122577C9" w14:textId="77777777" w:rsidR="007E77F1" w:rsidRPr="000A2871" w:rsidRDefault="007E77F1" w:rsidP="00E02483">
      <w:pPr>
        <w:spacing w:after="120" w:line="360" w:lineRule="auto"/>
        <w:rPr>
          <w:rFonts w:ascii="Arial" w:hAnsi="Arial" w:cs="Arial"/>
        </w:rPr>
      </w:pPr>
      <w:r w:rsidRPr="000A2871">
        <w:rPr>
          <w:rFonts w:ascii="Arial" w:hAnsi="Arial" w:cs="Arial"/>
        </w:rPr>
        <w:t>Moving beyond university samples changes the questions asked. Orlando et al. (2025) examine UK workers in social care, food services, early years care and construction. Their young-employee accounts make breaks, shift patterns and workplace facilities visible. Employment may bring income while limiting when food, activity and rest are possible. Reviews of recruitment and retention also show why reaching young adults requires attention to who can participate and who is missed (Lam et al., 2016; Whatnall et al., 2021).</w:t>
      </w:r>
    </w:p>
    <w:p w14:paraId="427120D4" w14:textId="3D36BD24" w:rsidR="007E77F1" w:rsidRPr="000A2871" w:rsidRDefault="007E77F1" w:rsidP="00E02483">
      <w:pPr>
        <w:spacing w:after="120" w:line="360" w:lineRule="auto"/>
        <w:rPr>
          <w:rFonts w:ascii="Arial" w:hAnsi="Arial" w:cs="Arial"/>
        </w:rPr>
      </w:pPr>
      <w:r w:rsidRPr="000A2871">
        <w:rPr>
          <w:rFonts w:ascii="Arial" w:hAnsi="Arial" w:cs="Arial"/>
        </w:rPr>
        <w:t>Age categories can obscure these differences in responsibility. Two people of the same age may have very different access to money, food preparation and supportive relationships. Conversely, some experiences may be shared across neighbouring age groups because they arise from a particular transition rather than age itself. This supports retaining reported ages alongside contextual information. It also explains why the review does not interpret a university sample as a complete account of young adulthood. Recruitment through education offers access to some experiences while leaving others less visible (Sawyer et al., 2018; Whatnall et al., 2021).</w:t>
      </w:r>
    </w:p>
    <w:p w14:paraId="1FFE5146" w14:textId="77777777" w:rsidR="009E0807" w:rsidRDefault="009E0807">
      <w:pPr>
        <w:rPr>
          <w:rFonts w:ascii="Arial" w:eastAsia="Times New Roman" w:hAnsi="Arial" w:cs="Arial"/>
          <w:b/>
          <w:bCs/>
          <w:color w:val="000000"/>
          <w:sz w:val="34"/>
          <w:szCs w:val="34"/>
        </w:rPr>
      </w:pPr>
      <w:bookmarkStart w:id="33" w:name="_en3j3l30nuaq" w:colFirst="0" w:colLast="0"/>
      <w:bookmarkStart w:id="34" w:name="_Toc242459523"/>
      <w:bookmarkEnd w:id="33"/>
      <w:r>
        <w:rPr>
          <w:rFonts w:ascii="Arial" w:hAnsi="Arial" w:cs="Arial"/>
          <w:bCs/>
          <w:sz w:val="34"/>
          <w:szCs w:val="34"/>
        </w:rPr>
        <w:br w:type="page"/>
      </w:r>
    </w:p>
    <w:p w14:paraId="09053172" w14:textId="7802D6FB" w:rsidR="007E77F1" w:rsidRPr="000A2871" w:rsidRDefault="007E77F1" w:rsidP="00E02483">
      <w:pPr>
        <w:pStyle w:val="Heading2"/>
        <w:keepNext w:val="0"/>
        <w:keepLines w:val="0"/>
        <w:spacing w:after="80" w:line="360" w:lineRule="auto"/>
        <w:jc w:val="left"/>
        <w:rPr>
          <w:rFonts w:ascii="Arial" w:hAnsi="Arial" w:cs="Arial"/>
          <w:b w:val="0"/>
          <w:bCs/>
          <w:sz w:val="34"/>
          <w:szCs w:val="34"/>
        </w:rPr>
      </w:pPr>
      <w:r w:rsidRPr="000A2871">
        <w:rPr>
          <w:rFonts w:ascii="Arial" w:hAnsi="Arial" w:cs="Arial"/>
          <w:bCs/>
          <w:sz w:val="34"/>
          <w:szCs w:val="34"/>
        </w:rPr>
        <w:lastRenderedPageBreak/>
        <w:t>2.3 Food choices and practical opportunities</w:t>
      </w:r>
      <w:bookmarkEnd w:id="34"/>
    </w:p>
    <w:p w14:paraId="2746A062" w14:textId="77777777" w:rsidR="007E77F1" w:rsidRPr="000A2871" w:rsidRDefault="007E77F1" w:rsidP="00E02483">
      <w:pPr>
        <w:spacing w:after="120" w:line="360" w:lineRule="auto"/>
        <w:rPr>
          <w:rFonts w:ascii="Arial" w:hAnsi="Arial" w:cs="Arial"/>
        </w:rPr>
      </w:pPr>
      <w:r w:rsidRPr="000A2871">
        <w:rPr>
          <w:rFonts w:ascii="Arial" w:hAnsi="Arial" w:cs="Arial"/>
        </w:rPr>
        <w:t>The dietary literature challenges an explanation based entirely on nutritional knowledge. Hilger-Kolb and Diehl (2019), studying university students in Germany, examine practical barriers to healthy eating, including time and obtaining suitable food quickly. Vélez-Toral et al. (2020) address the meanings of healthy cooking and barriers to healthy eating among university students. These articles help frame questions about convenience and preparation, but they are contextual sources rather than UK participant evidence. Their relevance concerns possible mechanisms that need comparison with the UK studies.</w:t>
      </w:r>
    </w:p>
    <w:p w14:paraId="5B838B65" w14:textId="77777777" w:rsidR="007E77F1" w:rsidRPr="000A2871" w:rsidRDefault="007E77F1" w:rsidP="00E02483">
      <w:pPr>
        <w:spacing w:after="120" w:line="360" w:lineRule="auto"/>
        <w:rPr>
          <w:rFonts w:ascii="Arial" w:hAnsi="Arial" w:cs="Arial"/>
        </w:rPr>
      </w:pPr>
      <w:r w:rsidRPr="000A2871">
        <w:rPr>
          <w:rFonts w:ascii="Arial" w:hAnsi="Arial" w:cs="Arial"/>
        </w:rPr>
        <w:t>Preparing food involves planning, shopping, storage and cleaning as well as cooking. Convenience therefore includes mental effort and predictability, not simply the speed of buying a meal. Advice that supplies recipes may help with ideas while leaving costs, equipment and transport unchanged. Wider qualitative reviews support examining these conditions together (Allman-Farinelli et al., 2019; Munt et al., 2017; Neve and Isaacs, 2022).</w:t>
      </w:r>
    </w:p>
    <w:p w14:paraId="60877995" w14:textId="77777777" w:rsidR="007E77F1" w:rsidRPr="000A2871" w:rsidRDefault="007E77F1" w:rsidP="00E02483">
      <w:pPr>
        <w:spacing w:after="120" w:line="360" w:lineRule="auto"/>
        <w:rPr>
          <w:rFonts w:ascii="Arial" w:hAnsi="Arial" w:cs="Arial"/>
        </w:rPr>
      </w:pPr>
      <w:r w:rsidRPr="000A2871">
        <w:rPr>
          <w:rFonts w:ascii="Arial" w:hAnsi="Arial" w:cs="Arial"/>
        </w:rPr>
        <w:t>Affordability also requires careful interpretation. Comparing the shelf prices of individual foods does not necessarily reflect the cost of making a meal for one person. Suitable equipment, fuel, storage, travel and the possibility of waste may affect what appears affordable. Bulk purchasing can reduce unit cost while requiring cash and storage that are unavailable. The review should therefore retain participants' explanations of what a food budget allows rather than convert every account into a simple preference for cheaper products. Such explanations may reveal the resources an intervention would need to address (Briggs et al., 2024; Eskandari et al., 2022).</w:t>
      </w:r>
    </w:p>
    <w:p w14:paraId="48502571" w14:textId="77777777" w:rsidR="007E77F1" w:rsidRPr="000A2871" w:rsidRDefault="007E77F1" w:rsidP="00E02483">
      <w:pPr>
        <w:spacing w:after="120" w:line="360" w:lineRule="auto"/>
        <w:rPr>
          <w:rFonts w:ascii="Arial" w:hAnsi="Arial" w:cs="Arial"/>
        </w:rPr>
      </w:pPr>
      <w:r w:rsidRPr="000A2871">
        <w:rPr>
          <w:rFonts w:ascii="Arial" w:hAnsi="Arial" w:cs="Arial"/>
        </w:rPr>
        <w:t>Hunter et al. (2025) examine people living with obesity and food insecurity in England and Scotland. Published accounts labelled 18–24 provide examples of how discounts, preferences and partners can influence purchasing. These are used cautiously because the demographic table and one quotation label do not agree on the number in this age band. Restricted extraction and a sensitivity check prevent that reporting problem from being hidden within a whole-sample conclusion.</w:t>
      </w:r>
    </w:p>
    <w:p w14:paraId="45B9317F" w14:textId="77777777" w:rsidR="007E77F1" w:rsidRPr="000A2871" w:rsidRDefault="007E77F1" w:rsidP="00E02483">
      <w:pPr>
        <w:spacing w:after="120" w:line="360" w:lineRule="auto"/>
        <w:rPr>
          <w:rFonts w:ascii="Arial" w:hAnsi="Arial" w:cs="Arial"/>
        </w:rPr>
      </w:pPr>
      <w:r w:rsidRPr="000A2871">
        <w:rPr>
          <w:rFonts w:ascii="Arial" w:hAnsi="Arial" w:cs="Arial"/>
        </w:rPr>
        <w:t>Hafiz et al. (2023) connect food practices at Ulster University with cooking facilities, academic demands, confidence and personal priorities. These are relevant UK circumstances, but a mean age of 23 with a standard deviation of 5.3 cannot establish that all 42 participants were aged 18–25. The study is therefore used contextually. Its contribution is to suggest questions about the conditions in which knowledge is applied, rather than to supply age-specific findings for the core synthesis.</w:t>
      </w:r>
    </w:p>
    <w:p w14:paraId="6CACBFFB" w14:textId="77777777" w:rsidR="007E77F1" w:rsidRPr="000A2871" w:rsidRDefault="007E77F1" w:rsidP="00E02483">
      <w:pPr>
        <w:spacing w:after="120" w:line="360" w:lineRule="auto"/>
        <w:rPr>
          <w:rFonts w:ascii="Arial" w:hAnsi="Arial" w:cs="Arial"/>
        </w:rPr>
      </w:pPr>
      <w:r w:rsidRPr="000A2871">
        <w:rPr>
          <w:rFonts w:ascii="Arial" w:hAnsi="Arial" w:cs="Arial"/>
        </w:rPr>
        <w:t xml:space="preserve">Knowledge and opportunity are also distinct in specialist student samples. Trahearn, Merryweather and Amirabdollahian (2021) study six dietetic students at a UK university. Five </w:t>
      </w:r>
      <w:r w:rsidRPr="000A2871">
        <w:rPr>
          <w:rFonts w:ascii="Arial" w:hAnsi="Arial" w:cs="Arial"/>
        </w:rPr>
        <w:lastRenderedPageBreak/>
        <w:t>are aged 22–23 and can be identified in the published findings, allowing restricted inclusion. Their accounts connect training with placements, social life and professional body expectations. Kelly et al. (2025) and Li et al. (2022) provide wider university-food context; they are not additional synthesis studies.</w:t>
      </w:r>
    </w:p>
    <w:p w14:paraId="3A4E0123" w14:textId="77777777" w:rsidR="007E77F1" w:rsidRPr="000A2871" w:rsidRDefault="007E77F1" w:rsidP="00E02483">
      <w:pPr>
        <w:spacing w:after="120" w:line="360" w:lineRule="auto"/>
        <w:rPr>
          <w:rFonts w:ascii="Arial" w:hAnsi="Arial" w:cs="Arial"/>
        </w:rPr>
      </w:pPr>
      <w:r w:rsidRPr="000A2871">
        <w:rPr>
          <w:rFonts w:ascii="Arial" w:hAnsi="Arial" w:cs="Arial"/>
        </w:rPr>
        <w:t>Food availability is partly an institutional issue. Timetables and the operating hours of shops or cafeterias can influence whether a suitable meal is accessible when a person needs it. A healthier option may be available in principle but inconvenient during a short break or after an evening shift. Institutional changes can therefore be considered alongside education: the question becomes whether provision fits the daily circumstances of the intended users. This interpretation is developed as a proposal for practice in Chapter 5, rather than reported as a tested intervention effect (Atanasova et al., 2022; Hollands et al., 2019; Cadario and Chandon, 2020).</w:t>
      </w:r>
    </w:p>
    <w:p w14:paraId="5D8E666B" w14:textId="77777777" w:rsidR="007E77F1" w:rsidRPr="000A2871" w:rsidRDefault="007E77F1" w:rsidP="00E02483">
      <w:pPr>
        <w:spacing w:after="120" w:line="360" w:lineRule="auto"/>
        <w:rPr>
          <w:rFonts w:ascii="Arial" w:hAnsi="Arial" w:cs="Arial"/>
        </w:rPr>
      </w:pPr>
      <w:r w:rsidRPr="000A2871">
        <w:rPr>
          <w:rFonts w:ascii="Arial" w:hAnsi="Arial" w:cs="Arial"/>
        </w:rPr>
        <w:t>Diet quality, energy intake and body weight are related but different outcomes. Howard Wilsher, Fearne and Panagiotaki (2019) examine fruit and vegetable practices among British young men; this does not establish that those practices caused obesity. Research on ultra-processed food likewise spans different designs. Hall et al. (2019) use a controlled feeding experiment, whereas Lane et al. (2021; 2024), Pagliai et al. (2021) and Srour et al. (2019) examine broader observational evidence. These sources inform the nutritional context without explaining an individual participant’s motives. Monteiro et al. (2019) clarify the food-processing concept itself.</w:t>
      </w:r>
    </w:p>
    <w:p w14:paraId="3AFBF462" w14:textId="2097E80B" w:rsidR="007E77F1" w:rsidRPr="000A2871" w:rsidRDefault="007E77F1" w:rsidP="00E02483">
      <w:pPr>
        <w:spacing w:after="120" w:line="360" w:lineRule="auto"/>
        <w:rPr>
          <w:rFonts w:ascii="Arial" w:hAnsi="Arial" w:cs="Arial"/>
        </w:rPr>
      </w:pPr>
      <w:r w:rsidRPr="000A2871">
        <w:rPr>
          <w:rFonts w:ascii="Arial" w:hAnsi="Arial" w:cs="Arial"/>
        </w:rPr>
        <w:t xml:space="preserve">The focal studies therefore need to be read for what food means to participants. A regular affordable meal, avoiding waste and fitting eating around work may matter alongside nutrient targets. The analytical task is to understand these priorities before interpreting them as a lack of motivation. Behavioral recommendations become more useful when they specify the practical action and the resources it requires, rather than </w:t>
      </w:r>
      <w:r w:rsidR="00013A07" w:rsidRPr="000A2871">
        <w:rPr>
          <w:rFonts w:ascii="Arial" w:hAnsi="Arial" w:cs="Arial"/>
        </w:rPr>
        <w:t>if</w:t>
      </w:r>
      <w:r w:rsidRPr="000A2871">
        <w:rPr>
          <w:rFonts w:ascii="Arial" w:hAnsi="Arial" w:cs="Arial"/>
        </w:rPr>
        <w:t xml:space="preserve"> a general wish to eat well will produce the same routine for everyone.</w:t>
      </w:r>
    </w:p>
    <w:p w14:paraId="6EDB2173" w14:textId="27D189D6" w:rsidR="007E77F1" w:rsidRPr="000A2871" w:rsidRDefault="007E77F1" w:rsidP="00E02483">
      <w:pPr>
        <w:spacing w:after="120" w:line="360" w:lineRule="auto"/>
        <w:rPr>
          <w:rFonts w:ascii="Arial" w:hAnsi="Arial" w:cs="Arial"/>
        </w:rPr>
      </w:pPr>
      <w:r w:rsidRPr="000A2871">
        <w:rPr>
          <w:rFonts w:ascii="Arial" w:hAnsi="Arial" w:cs="Arial"/>
        </w:rPr>
        <w:t>The distinction between available food and usable food is important when interpreting environmental interventions. Availability describes what is offered; usability also depends on when it is offered, its price, portion size, acceptability and the time needed to obtain it. An intervention could change one of these conditions without improving the others. Environmental reviews can identify intervention effects across settings, whereas qualitative accounts can help explain why a particular change is welcomed or ignored. Bringing these forms of evidence into conversation supports more precise evaluation questions, rather than a general conclusion that either education or environmental change is sufficient (Hollands et al., 2019; Cadario and Chandon, 2020).</w:t>
      </w:r>
      <w:r w:rsidR="00894BC7">
        <w:rPr>
          <w:rFonts w:ascii="Arial" w:hAnsi="Arial" w:cs="Arial"/>
        </w:rPr>
        <w:br/>
      </w:r>
    </w:p>
    <w:p w14:paraId="679F2E6A" w14:textId="7A80A818" w:rsidR="007E77F1" w:rsidRPr="000A2871" w:rsidRDefault="007E77F1" w:rsidP="00E02483">
      <w:pPr>
        <w:pStyle w:val="Heading2"/>
        <w:keepNext w:val="0"/>
        <w:keepLines w:val="0"/>
        <w:spacing w:after="80" w:line="360" w:lineRule="auto"/>
        <w:jc w:val="left"/>
        <w:rPr>
          <w:rFonts w:ascii="Arial" w:hAnsi="Arial" w:cs="Arial"/>
          <w:b w:val="0"/>
          <w:bCs/>
          <w:sz w:val="34"/>
          <w:szCs w:val="34"/>
        </w:rPr>
      </w:pPr>
      <w:bookmarkStart w:id="35" w:name="_1pb3usolls90" w:colFirst="0" w:colLast="0"/>
      <w:bookmarkStart w:id="36" w:name="_Toc242459524"/>
      <w:bookmarkEnd w:id="35"/>
      <w:r w:rsidRPr="000A2871">
        <w:rPr>
          <w:rFonts w:ascii="Arial" w:hAnsi="Arial" w:cs="Arial"/>
          <w:bCs/>
          <w:sz w:val="34"/>
          <w:szCs w:val="34"/>
        </w:rPr>
        <w:lastRenderedPageBreak/>
        <w:t>2.4 Relationships, identity and social practices</w:t>
      </w:r>
      <w:bookmarkEnd w:id="36"/>
    </w:p>
    <w:p w14:paraId="60C4793D" w14:textId="77777777" w:rsidR="007E77F1" w:rsidRPr="000A2871" w:rsidRDefault="007E77F1" w:rsidP="00E02483">
      <w:pPr>
        <w:spacing w:after="120" w:line="360" w:lineRule="auto"/>
        <w:rPr>
          <w:rFonts w:ascii="Arial" w:hAnsi="Arial" w:cs="Arial"/>
        </w:rPr>
      </w:pPr>
      <w:r w:rsidRPr="000A2871">
        <w:rPr>
          <w:rFonts w:ascii="Arial" w:hAnsi="Arial" w:cs="Arial"/>
        </w:rPr>
        <w:t>Food and activity take place within relationships. Meals can express care, hospitality, cultural belonging or participation in a friendship group. Eating with others may reduce the practical burden of preparation, but it can also make individual preferences difficult to follow. The review should therefore examine the circumstances in which social relationships support or constrain behaviour. Describing peer influence as uniformly harmful would overlook its potential role in practical assistance, confidence and shared routines.</w:t>
      </w:r>
    </w:p>
    <w:p w14:paraId="6C6C061A" w14:textId="77777777" w:rsidR="007E77F1" w:rsidRPr="000A2871" w:rsidRDefault="007E77F1" w:rsidP="00E02483">
      <w:pPr>
        <w:spacing w:after="120" w:line="360" w:lineRule="auto"/>
        <w:rPr>
          <w:rFonts w:ascii="Arial" w:hAnsi="Arial" w:cs="Arial"/>
        </w:rPr>
      </w:pPr>
      <w:r w:rsidRPr="000A2871">
        <w:rPr>
          <w:rFonts w:ascii="Arial" w:hAnsi="Arial" w:cs="Arial"/>
        </w:rPr>
        <w:t>Scott et al. (2020) explicitly examine eating alongside alcohol use in 45 North-East England participants aged 18–25. Their work makes social occasions and sequences of behaviour central to interpretation. Eating before, during or after drinking cannot be fully understood as isolated food decisions. The complete sample is accepted under the review’s stated young-adult eligibility approach.</w:t>
      </w:r>
    </w:p>
    <w:p w14:paraId="073317B3" w14:textId="1796C7C9" w:rsidR="007E77F1" w:rsidRPr="000A2871" w:rsidRDefault="007E77F1" w:rsidP="00E02483">
      <w:pPr>
        <w:spacing w:after="120" w:line="360" w:lineRule="auto"/>
        <w:rPr>
          <w:rFonts w:ascii="Arial" w:hAnsi="Arial" w:cs="Arial"/>
        </w:rPr>
      </w:pPr>
      <w:r w:rsidRPr="000A2871">
        <w:rPr>
          <w:rFonts w:ascii="Arial" w:hAnsi="Arial" w:cs="Arial"/>
        </w:rPr>
        <w:t xml:space="preserve">Identity can also support healthier behaviour. The findings described in Howard Wilsher et al. (2019) connect higher consumption with </w:t>
      </w:r>
      <w:r w:rsidR="0042427F">
        <w:rPr>
          <w:rFonts w:ascii="Arial" w:hAnsi="Arial" w:cs="Arial"/>
        </w:rPr>
        <w:t>health-conscious</w:t>
      </w:r>
      <w:r w:rsidRPr="000A2871">
        <w:rPr>
          <w:rFonts w:ascii="Arial" w:hAnsi="Arial" w:cs="Arial"/>
        </w:rPr>
        <w:t xml:space="preserve"> identity and perceived control. These accounts suggest that food choices may be easier to sustain when they fit a person's understanding of themselves. However, presenting one narrow identity as the desirable model could exclude people whose priorities or resources differ. Identity should be understood through participants' accounts rather than reduced to a label applied by researchers.</w:t>
      </w:r>
    </w:p>
    <w:p w14:paraId="4E20D211" w14:textId="77777777" w:rsidR="007E77F1" w:rsidRPr="000A2871" w:rsidRDefault="007E77F1" w:rsidP="00E02483">
      <w:pPr>
        <w:spacing w:after="120" w:line="360" w:lineRule="auto"/>
        <w:rPr>
          <w:rFonts w:ascii="Arial" w:hAnsi="Arial" w:cs="Arial"/>
        </w:rPr>
      </w:pPr>
      <w:r w:rsidRPr="000A2871">
        <w:rPr>
          <w:rFonts w:ascii="Arial" w:hAnsi="Arial" w:cs="Arial"/>
        </w:rPr>
        <w:t>Group based support consequently requires attention to how the group operates. Sharing skills or planning meals can provide practical benefits, while comparisons between bodies or moral judgements about food may create discomfort. Attendance alone cannot demonstrate that participants feel supported. The qualitative review can examine what makes a relationship helpful, whether participation is voluntary and whether different experiences are recognised. These questions are relevant both to community interventions and to digital spaces that present themselves as supportive groups (Borek et al., 2018; Carrillo</w:t>
      </w:r>
      <w:r w:rsidRPr="000A2871">
        <w:rPr>
          <w:rFonts w:ascii="Cambria Math" w:eastAsia="Times New Roman" w:hAnsi="Cambria Math" w:cs="Cambria Math"/>
        </w:rPr>
        <w:t>‐</w:t>
      </w:r>
      <w:r w:rsidRPr="000A2871">
        <w:rPr>
          <w:rFonts w:ascii="Arial" w:hAnsi="Arial" w:cs="Arial"/>
        </w:rPr>
        <w:t>Álvarez et al., 2019; Tarrant et al., 2017).</w:t>
      </w:r>
    </w:p>
    <w:p w14:paraId="5C27BE2D" w14:textId="3BD3C8FB" w:rsidR="007E77F1" w:rsidRPr="000A2871" w:rsidRDefault="007E77F1" w:rsidP="00E02483">
      <w:pPr>
        <w:spacing w:after="120" w:line="360" w:lineRule="auto"/>
        <w:rPr>
          <w:rFonts w:ascii="Arial" w:hAnsi="Arial" w:cs="Arial"/>
        </w:rPr>
      </w:pPr>
      <w:r w:rsidRPr="000A2871">
        <w:rPr>
          <w:rFonts w:ascii="Arial" w:hAnsi="Arial" w:cs="Arial"/>
        </w:rPr>
        <w:t>Social support can nevertheless have different meanings. In Hawkes et al. (2024), an age-24 account values meeting women with a similar family risk of breast cancer. This is a specific form of reassurance within an intervention, rather than evidence that all young adults want group support. Social capital research also cautions against treating relationships as uniformly protective: the resources available through networks and the norms maintained within them require separate consideration (Carrillo-Álvarez et al., 2019).</w:t>
      </w:r>
      <w:r w:rsidR="007051EA">
        <w:rPr>
          <w:rFonts w:ascii="Arial" w:hAnsi="Arial" w:cs="Arial"/>
        </w:rPr>
        <w:br/>
      </w:r>
      <w:r w:rsidR="007051EA">
        <w:rPr>
          <w:rFonts w:ascii="Arial" w:hAnsi="Arial" w:cs="Arial"/>
        </w:rPr>
        <w:br/>
      </w:r>
    </w:p>
    <w:p w14:paraId="7BB7A2AE" w14:textId="34BD8D5E" w:rsidR="007E77F1" w:rsidRPr="000A2871" w:rsidRDefault="007E77F1" w:rsidP="00E02483">
      <w:pPr>
        <w:pStyle w:val="Heading2"/>
        <w:keepNext w:val="0"/>
        <w:keepLines w:val="0"/>
        <w:spacing w:after="80" w:line="360" w:lineRule="auto"/>
        <w:jc w:val="left"/>
        <w:rPr>
          <w:rFonts w:ascii="Arial" w:hAnsi="Arial" w:cs="Arial"/>
          <w:b w:val="0"/>
          <w:bCs/>
          <w:sz w:val="34"/>
          <w:szCs w:val="34"/>
        </w:rPr>
      </w:pPr>
      <w:bookmarkStart w:id="37" w:name="_6tvvy0q34vx0" w:colFirst="0" w:colLast="0"/>
      <w:bookmarkStart w:id="38" w:name="_Toc242459525"/>
      <w:bookmarkEnd w:id="37"/>
      <w:r w:rsidRPr="000A2871">
        <w:rPr>
          <w:rFonts w:ascii="Arial" w:hAnsi="Arial" w:cs="Arial"/>
          <w:bCs/>
          <w:sz w:val="34"/>
          <w:szCs w:val="34"/>
        </w:rPr>
        <w:lastRenderedPageBreak/>
        <w:t>2.5 Physical activity, sleep and access</w:t>
      </w:r>
      <w:bookmarkEnd w:id="38"/>
    </w:p>
    <w:p w14:paraId="4EE8E159" w14:textId="66FE6648" w:rsidR="007E77F1" w:rsidRPr="000A2871" w:rsidRDefault="007E77F1" w:rsidP="00E02483">
      <w:pPr>
        <w:spacing w:after="120" w:line="360" w:lineRule="auto"/>
        <w:rPr>
          <w:rFonts w:ascii="Arial" w:hAnsi="Arial" w:cs="Arial"/>
        </w:rPr>
      </w:pPr>
      <w:r w:rsidRPr="000A2871">
        <w:rPr>
          <w:rFonts w:ascii="Arial" w:hAnsi="Arial" w:cs="Arial"/>
        </w:rPr>
        <w:t xml:space="preserve">Physical activity supports health beyond its relationship with body weight (Bull et al., 2020; Warburton and Bredin, 2017). Population surveillance provides context for unequal </w:t>
      </w:r>
      <w:r w:rsidR="00013A07" w:rsidRPr="000A2871">
        <w:rPr>
          <w:rFonts w:ascii="Arial" w:hAnsi="Arial" w:cs="Arial"/>
        </w:rPr>
        <w:t>participation but</w:t>
      </w:r>
      <w:r w:rsidRPr="000A2871">
        <w:rPr>
          <w:rFonts w:ascii="Arial" w:hAnsi="Arial" w:cs="Arial"/>
        </w:rPr>
        <w:t xml:space="preserve"> does not explain every individual’s experience (Guthold et al., 2018; Sport England, 2024). The focal evidence is more detailed about food and communication than activity, so conclusions about exercise interventions must remain proportionate to that imbalance.</w:t>
      </w:r>
    </w:p>
    <w:p w14:paraId="571A0226" w14:textId="77777777" w:rsidR="007E77F1" w:rsidRPr="000A2871" w:rsidRDefault="007E77F1" w:rsidP="00E02483">
      <w:pPr>
        <w:spacing w:after="120" w:line="360" w:lineRule="auto"/>
        <w:rPr>
          <w:rFonts w:ascii="Arial" w:hAnsi="Arial" w:cs="Arial"/>
        </w:rPr>
      </w:pPr>
      <w:r w:rsidRPr="000A2871">
        <w:rPr>
          <w:rFonts w:ascii="Arial" w:hAnsi="Arial" w:cs="Arial"/>
        </w:rPr>
        <w:t>Hamer et al. (2023) interviewed ten adults with obesity in Northwest England about fear and physical activity. Although the title uses young adults, the study's recruitment range was 18–45. Pain-related fear and avoidance are relevant contextual concerns, but the whole study cannot be counted as evidence specifically about ages 18–24 without separately extractable findings. This example demonstrates why titles and age labels are insufficient for eligibility decisions and why methodological information must be checked in the report itself.</w:t>
      </w:r>
    </w:p>
    <w:p w14:paraId="1BD15E73" w14:textId="77777777" w:rsidR="007E77F1" w:rsidRPr="000A2871" w:rsidRDefault="007E77F1" w:rsidP="00E02483">
      <w:pPr>
        <w:spacing w:after="120" w:line="360" w:lineRule="auto"/>
        <w:rPr>
          <w:rFonts w:ascii="Arial" w:hAnsi="Arial" w:cs="Arial"/>
        </w:rPr>
      </w:pPr>
      <w:r w:rsidRPr="000A2871">
        <w:rPr>
          <w:rFonts w:ascii="Arial" w:hAnsi="Arial" w:cs="Arial"/>
        </w:rPr>
        <w:t>Access involves more than proximity to a facility. Cost, travel, opening hours, disability, safety and feeling welcome can influence whether an opportunity is usable. Roche et al. (2022) examine activity during the pandemic, a particular context in which ordinary routines were disrupted. These wider studies help develop questions for future research; they do not become findings from the eleven synthesis reports merely because their themes appear compatible.</w:t>
      </w:r>
    </w:p>
    <w:p w14:paraId="563D2D65" w14:textId="77777777" w:rsidR="007051EA" w:rsidRDefault="007E77F1" w:rsidP="00E02483">
      <w:pPr>
        <w:spacing w:after="120" w:line="360" w:lineRule="auto"/>
        <w:rPr>
          <w:rFonts w:ascii="Arial" w:hAnsi="Arial" w:cs="Arial"/>
        </w:rPr>
      </w:pPr>
      <w:r w:rsidRPr="000A2871">
        <w:rPr>
          <w:rFonts w:ascii="Arial" w:hAnsi="Arial" w:cs="Arial"/>
        </w:rPr>
        <w:t>Sleep also connects routines with health. Reviews by Fatima, Doi and Mamun (2016) and St-Onge et al. (2016) address relationships between sleep and weight-related health. Orlando et al. (2025) provide a more immediate account of how employment intersects with rest and other behaviours. The relevant implication is to consider the whole daily schedule. Recommending activity without asking about exhausting shifts or insufficient recovery may overlook why a suggestion feels unmanageable.</w:t>
      </w:r>
    </w:p>
    <w:p w14:paraId="4A2111CE" w14:textId="455038D1" w:rsidR="007E77F1" w:rsidRPr="000A2871" w:rsidRDefault="007051EA" w:rsidP="007051EA">
      <w:pPr>
        <w:rPr>
          <w:rFonts w:ascii="Arial" w:hAnsi="Arial" w:cs="Arial"/>
        </w:rPr>
      </w:pPr>
      <w:r>
        <w:rPr>
          <w:rFonts w:ascii="Arial" w:hAnsi="Arial" w:cs="Arial"/>
        </w:rPr>
        <w:br w:type="page"/>
      </w:r>
    </w:p>
    <w:p w14:paraId="71B4F63B" w14:textId="05630D97" w:rsidR="007E77F1" w:rsidRPr="000A2871" w:rsidRDefault="007E77F1" w:rsidP="00E02483">
      <w:pPr>
        <w:pStyle w:val="Heading2"/>
        <w:keepNext w:val="0"/>
        <w:keepLines w:val="0"/>
        <w:spacing w:after="80" w:line="360" w:lineRule="auto"/>
        <w:jc w:val="left"/>
        <w:rPr>
          <w:rFonts w:ascii="Arial" w:hAnsi="Arial" w:cs="Arial"/>
          <w:b w:val="0"/>
          <w:bCs/>
          <w:sz w:val="34"/>
          <w:szCs w:val="34"/>
        </w:rPr>
      </w:pPr>
      <w:bookmarkStart w:id="39" w:name="_th89sgf8cuf2" w:colFirst="0" w:colLast="0"/>
      <w:bookmarkStart w:id="40" w:name="_Toc242459526"/>
      <w:bookmarkEnd w:id="39"/>
      <w:r w:rsidRPr="000A2871">
        <w:rPr>
          <w:rFonts w:ascii="Arial" w:hAnsi="Arial" w:cs="Arial"/>
          <w:bCs/>
          <w:sz w:val="34"/>
          <w:szCs w:val="34"/>
        </w:rPr>
        <w:lastRenderedPageBreak/>
        <w:t>2.6 Weight stigma, body image and responsibility</w:t>
      </w:r>
      <w:bookmarkEnd w:id="40"/>
    </w:p>
    <w:p w14:paraId="465732F0" w14:textId="43A5A8F9" w:rsidR="007E77F1" w:rsidRPr="000A2871" w:rsidRDefault="007E77F1" w:rsidP="00E02483">
      <w:pPr>
        <w:spacing w:after="120" w:line="360" w:lineRule="auto"/>
        <w:rPr>
          <w:rFonts w:ascii="Arial" w:hAnsi="Arial" w:cs="Arial"/>
        </w:rPr>
      </w:pPr>
      <w:r w:rsidRPr="000A2871">
        <w:rPr>
          <w:rFonts w:ascii="Arial" w:hAnsi="Arial" w:cs="Arial"/>
        </w:rPr>
        <w:t xml:space="preserve">Weight is understood socially as well as clinically. Stigma can influence self-evaluation and experiences of </w:t>
      </w:r>
      <w:r w:rsidR="0042427F">
        <w:rPr>
          <w:rFonts w:ascii="Arial" w:hAnsi="Arial" w:cs="Arial"/>
        </w:rPr>
        <w:t>care and</w:t>
      </w:r>
      <w:r w:rsidRPr="000A2871">
        <w:rPr>
          <w:rFonts w:ascii="Arial" w:hAnsi="Arial" w:cs="Arial"/>
        </w:rPr>
        <w:t xml:space="preserve"> cannot be justified as a simple motivational tool (Rubino et al., 2020). Reviews distinguish experienced stigma from internalised weight bias and examine associations with psychological and physical outcomes (Pearl and Puhl, 2018; Wu and Berry, 2018; Bidstrup et al., 2022). These relationships warrant attention without </w:t>
      </w:r>
      <w:r w:rsidR="00530D18" w:rsidRPr="000A2871">
        <w:rPr>
          <w:rFonts w:ascii="Arial" w:hAnsi="Arial" w:cs="Arial"/>
        </w:rPr>
        <w:t>if</w:t>
      </w:r>
      <w:r w:rsidRPr="000A2871">
        <w:rPr>
          <w:rFonts w:ascii="Arial" w:hAnsi="Arial" w:cs="Arial"/>
        </w:rPr>
        <w:t xml:space="preserve"> every negative feeling reported in the focal studies represents the same process.</w:t>
      </w:r>
    </w:p>
    <w:p w14:paraId="1A4A049F" w14:textId="77777777" w:rsidR="007E77F1" w:rsidRPr="000A2871" w:rsidRDefault="007E77F1" w:rsidP="00E02483">
      <w:pPr>
        <w:spacing w:after="120" w:line="360" w:lineRule="auto"/>
        <w:rPr>
          <w:rFonts w:ascii="Arial" w:hAnsi="Arial" w:cs="Arial"/>
        </w:rPr>
      </w:pPr>
      <w:r w:rsidRPr="000A2871">
        <w:rPr>
          <w:rFonts w:ascii="Arial" w:hAnsi="Arial" w:cs="Arial"/>
        </w:rPr>
        <w:t>Broader evidence spans children, adolescents and adults, including Pont et al. (2017), Puhl and Lessard (2020) and Warnick et al. (2022). It can establish the relevance of respectful communication across the life course, but younger samples cannot answer this adult review directly. Flint and Reale (2018) also show that stigma can occur within exercise-related settings. Health-promoting environments should therefore be examined for how they treat people, as well as for what activities they offer.</w:t>
      </w:r>
    </w:p>
    <w:p w14:paraId="249FFCAA" w14:textId="77777777" w:rsidR="007E77F1" w:rsidRPr="000A2871" w:rsidRDefault="007E77F1" w:rsidP="00E02483">
      <w:pPr>
        <w:spacing w:after="120" w:line="360" w:lineRule="auto"/>
        <w:rPr>
          <w:rFonts w:ascii="Arial" w:hAnsi="Arial" w:cs="Arial"/>
        </w:rPr>
      </w:pPr>
      <w:r w:rsidRPr="000A2871">
        <w:rPr>
          <w:rFonts w:ascii="Arial" w:hAnsi="Arial" w:cs="Arial"/>
        </w:rPr>
        <w:t>Canzini and Langdon-Daly (2025) add direct policy experience. Eight UK women aged 18–25 described negative reactions to calorie information, including anxiety and reduced enjoyment of eating out. All held negative views, although opposition was not an eligibility condition. The sample helps identify possible harms and meanings of numerical information; it cannot establish how common these responses are or whether the policy reduces population obesity.</w:t>
      </w:r>
    </w:p>
    <w:p w14:paraId="28ACC260" w14:textId="77777777" w:rsidR="007E77F1" w:rsidRPr="000A2871" w:rsidRDefault="007E77F1" w:rsidP="00E02483">
      <w:pPr>
        <w:spacing w:after="120" w:line="360" w:lineRule="auto"/>
        <w:rPr>
          <w:rFonts w:ascii="Arial" w:hAnsi="Arial" w:cs="Arial"/>
        </w:rPr>
      </w:pPr>
      <w:r w:rsidRPr="000A2871">
        <w:rPr>
          <w:rFonts w:ascii="Arial" w:hAnsi="Arial" w:cs="Arial"/>
        </w:rPr>
        <w:t>This matters because providing information and supporting an informed choice are not necessarily identical. A person may understand a calorie number yet experience it through comparison, guilt or a previous difficult relationship with food. Policy appraisal should consider these experiences alongside purchasing outcomes and implementation. Hill et al. (2021) address stigma in obesity policy, while Crockett et al. (2018) review nutritional labelling outcomes. Neither type of evidence should be asked to answer the other’s question.</w:t>
      </w:r>
    </w:p>
    <w:p w14:paraId="06A9B4B2" w14:textId="77777777" w:rsidR="007E77F1" w:rsidRPr="000A2871" w:rsidRDefault="007E77F1" w:rsidP="00E02483">
      <w:pPr>
        <w:spacing w:after="120" w:line="360" w:lineRule="auto"/>
        <w:rPr>
          <w:rFonts w:ascii="Arial" w:hAnsi="Arial" w:cs="Arial"/>
        </w:rPr>
      </w:pPr>
      <w:r w:rsidRPr="000A2871">
        <w:rPr>
          <w:rFonts w:ascii="Arial" w:hAnsi="Arial" w:cs="Arial"/>
        </w:rPr>
        <w:t>England’s mandatory calorie-labelling policy for qualifying businesses forms part of a wider obesity strategy (Department of Health and Social Care, 2020; 2022). Research on business practice, worksite purchasing and label accuracy offers further perspectives (Polden et al., 2023; Luick et al., 2024; Finlay et al., 2025). The policy’s English jurisdiction should not be described as uniform UK implementation. Participants’ reported experiences remain valuable even where national rules and particular dining settings differ.</w:t>
      </w:r>
    </w:p>
    <w:p w14:paraId="3785BFA5" w14:textId="77777777" w:rsidR="007E77F1" w:rsidRPr="000A2871" w:rsidRDefault="007E77F1" w:rsidP="00E02483">
      <w:pPr>
        <w:spacing w:after="120" w:line="360" w:lineRule="auto"/>
        <w:rPr>
          <w:rFonts w:ascii="Arial" w:hAnsi="Arial" w:cs="Arial"/>
        </w:rPr>
      </w:pPr>
      <w:r w:rsidRPr="000A2871">
        <w:rPr>
          <w:rFonts w:ascii="Arial" w:hAnsi="Arial" w:cs="Arial"/>
        </w:rPr>
        <w:t xml:space="preserve">Rodrigues et al. (2025) bring mental-health treatment into this discussion. Their sample extends beyond young adulthood, but identifiable younger accounts describe concerns about weight change and discussing it with professionals. Wider healthcare evidence on </w:t>
      </w:r>
      <w:r w:rsidRPr="000A2871">
        <w:rPr>
          <w:rFonts w:ascii="Arial" w:hAnsi="Arial" w:cs="Arial"/>
        </w:rPr>
        <w:lastRenderedPageBreak/>
        <w:t>stigma and service preferences helps interpret the importance of listening without reducing a consultation to weight alone (Remmert et al., 2019; Ryan et al., 2023; Kyle et al., 2024).</w:t>
      </w:r>
    </w:p>
    <w:p w14:paraId="2115F283" w14:textId="0613F9D2" w:rsidR="007E77F1" w:rsidRPr="000A2871" w:rsidRDefault="007E77F1" w:rsidP="00E02483">
      <w:pPr>
        <w:spacing w:after="120" w:line="360" w:lineRule="auto"/>
        <w:rPr>
          <w:rFonts w:ascii="Arial" w:hAnsi="Arial" w:cs="Arial"/>
        </w:rPr>
      </w:pPr>
      <w:r w:rsidRPr="000A2871">
        <w:rPr>
          <w:rFonts w:ascii="Arial" w:hAnsi="Arial" w:cs="Arial"/>
        </w:rPr>
        <w:t>Policy experiences also raise a question about whose outcomes are given priority. Purchasing data may capture changes in energy selected, while interviews reveal anxiety, avoidance or the social meaning of eating out. Neither observation automatically cancels the other. A balanced evaluation would examine intended behavioural effects and unintended consequences, identify which groups experience them, and consider their importance over time. Canzini and Langdon-Daly (2025) contribute to that discussion through detailed accounts from a small group. Their findings establish concerns to investigate, rather than the proportion of UK young adults who experience those concerns.</w:t>
      </w:r>
      <w:r w:rsidR="007051EA">
        <w:rPr>
          <w:rFonts w:ascii="Arial" w:hAnsi="Arial" w:cs="Arial"/>
        </w:rPr>
        <w:br/>
      </w:r>
    </w:p>
    <w:p w14:paraId="62054FB3" w14:textId="31A07408" w:rsidR="007E77F1" w:rsidRPr="000A2871" w:rsidRDefault="007E77F1" w:rsidP="00E02483">
      <w:pPr>
        <w:pStyle w:val="Heading2"/>
        <w:keepNext w:val="0"/>
        <w:keepLines w:val="0"/>
        <w:spacing w:after="80" w:line="360" w:lineRule="auto"/>
        <w:jc w:val="left"/>
        <w:rPr>
          <w:rFonts w:ascii="Arial" w:hAnsi="Arial" w:cs="Arial"/>
          <w:b w:val="0"/>
          <w:bCs/>
          <w:sz w:val="34"/>
          <w:szCs w:val="34"/>
        </w:rPr>
      </w:pPr>
      <w:bookmarkStart w:id="41" w:name="_ya2lym4r9gy6" w:colFirst="0" w:colLast="0"/>
      <w:bookmarkStart w:id="42" w:name="_Toc242459527"/>
      <w:bookmarkEnd w:id="41"/>
      <w:r w:rsidRPr="000A2871">
        <w:rPr>
          <w:rFonts w:ascii="Arial" w:hAnsi="Arial" w:cs="Arial"/>
          <w:bCs/>
          <w:sz w:val="34"/>
          <w:szCs w:val="34"/>
        </w:rPr>
        <w:t>2.7 Conceptual frameworks for behaviour and intervention acceptability</w:t>
      </w:r>
      <w:bookmarkEnd w:id="42"/>
    </w:p>
    <w:p w14:paraId="00CF6424" w14:textId="7026AC63" w:rsidR="007E77F1" w:rsidRPr="000A2871" w:rsidRDefault="007E77F1" w:rsidP="00E02483">
      <w:pPr>
        <w:spacing w:after="120" w:line="360" w:lineRule="auto"/>
        <w:rPr>
          <w:rFonts w:ascii="Arial" w:hAnsi="Arial" w:cs="Arial"/>
        </w:rPr>
      </w:pPr>
      <w:r w:rsidRPr="000A2871">
        <w:rPr>
          <w:rFonts w:ascii="Arial" w:hAnsi="Arial" w:cs="Arial"/>
        </w:rPr>
        <w:t xml:space="preserve">Three complementary perspectives organise the interpretation. An ecological perspective asks where influences </w:t>
      </w:r>
      <w:r w:rsidR="0042427F" w:rsidRPr="000A2871">
        <w:rPr>
          <w:rFonts w:ascii="Arial" w:hAnsi="Arial" w:cs="Arial"/>
        </w:rPr>
        <w:t>operate</w:t>
      </w:r>
      <w:r w:rsidRPr="000A2871">
        <w:rPr>
          <w:rFonts w:ascii="Arial" w:hAnsi="Arial" w:cs="Arial"/>
        </w:rPr>
        <w:t xml:space="preserve"> within the person, relationships, institutions and wider social conditions. It helps locate a problem such as food access beyond an individual’s knowledge. Multilevel intervention scholarship supports examining these connections while avoiding the assumption that one intervention component can address every level (Sallis, 2018).</w:t>
      </w:r>
    </w:p>
    <w:p w14:paraId="2F4171F3" w14:textId="2045FBBD" w:rsidR="007E77F1" w:rsidRPr="000A2871" w:rsidRDefault="007E77F1" w:rsidP="00E02483">
      <w:pPr>
        <w:spacing w:after="120" w:line="360" w:lineRule="auto"/>
        <w:rPr>
          <w:rFonts w:ascii="Arial" w:hAnsi="Arial" w:cs="Arial"/>
        </w:rPr>
      </w:pPr>
      <w:r w:rsidRPr="000A2871">
        <w:rPr>
          <w:rFonts w:ascii="Arial" w:hAnsi="Arial" w:cs="Arial"/>
        </w:rPr>
        <w:t xml:space="preserve">COM-B asks how capability, opportunity and motivation relate to behaviour (West and Michie, 2020). Capability includes knowledge and practical skills; opportunity includes material conditions and social expectations; motivation includes intentions, emotions and habits. For example, a worker may know how to prepare lunch and want to do </w:t>
      </w:r>
      <w:r w:rsidR="00957232">
        <w:rPr>
          <w:rFonts w:ascii="Arial" w:hAnsi="Arial" w:cs="Arial"/>
        </w:rPr>
        <w:t>so but</w:t>
      </w:r>
      <w:r w:rsidRPr="000A2871">
        <w:rPr>
          <w:rFonts w:ascii="Arial" w:hAnsi="Arial" w:cs="Arial"/>
        </w:rPr>
        <w:t xml:space="preserve"> lack a predictable break. The model makes the missing opportunity visible. The Theoretical Domains Framework can provide additional detail when specifying intervention targets, as illustrated by Tang et al. (2026) and explained by Atkins et al. (2017).</w:t>
      </w:r>
    </w:p>
    <w:p w14:paraId="7CBD4BF2" w14:textId="7341A3E8" w:rsidR="007E77F1" w:rsidRPr="000A2871" w:rsidRDefault="007E77F1" w:rsidP="00E02483">
      <w:pPr>
        <w:spacing w:after="120" w:line="360" w:lineRule="auto"/>
        <w:rPr>
          <w:rFonts w:ascii="Arial" w:hAnsi="Arial" w:cs="Arial"/>
        </w:rPr>
      </w:pPr>
      <w:r w:rsidRPr="000A2871">
        <w:rPr>
          <w:rFonts w:ascii="Arial" w:hAnsi="Arial" w:cs="Arial"/>
        </w:rPr>
        <w:t>The Theoretical Framework of Acceptability adds the participant’s appraisal of support (Sekhon, Cartwright and Francis, 2017). Its seven domains cover affective attitude, burden, ethicality, intervention coherence, opportunity costs, perceived effectiveness and self-efficacy. They distinguish liking an intervention from understanding it, being able to use it and considering the effort worthwhile. Sekhon, Cartwright and Francis (2022) subsequently developed a questionnaire based on these domains, but this dissertation does not retrospectively calculate acceptability scores.</w:t>
      </w:r>
      <w:r w:rsidR="00E253E0">
        <w:rPr>
          <w:rFonts w:ascii="Arial" w:hAnsi="Arial" w:cs="Arial"/>
        </w:rPr>
        <w:br/>
      </w:r>
      <w:r w:rsidR="00E253E0" w:rsidRPr="000A2871">
        <w:rPr>
          <w:rFonts w:ascii="Arial" w:hAnsi="Arial" w:cs="Arial"/>
        </w:rPr>
        <w:t>Figure 2.1. An integrated framework for interpreting behaviour and support</w:t>
      </w:r>
    </w:p>
    <w:p w14:paraId="05177200" w14:textId="10B37FD9" w:rsidR="007E77F1" w:rsidRPr="000A2871" w:rsidRDefault="00660290" w:rsidP="00E02483">
      <w:pPr>
        <w:spacing w:before="180" w:after="100" w:line="360" w:lineRule="auto"/>
        <w:rPr>
          <w:rFonts w:ascii="Arial" w:hAnsi="Arial" w:cs="Arial"/>
        </w:rPr>
      </w:pPr>
      <w:r>
        <w:rPr>
          <w:rFonts w:ascii="Arial" w:hAnsi="Arial" w:cs="Arial"/>
          <w:noProof/>
        </w:rPr>
        <w:lastRenderedPageBreak/>
        <w:drawing>
          <wp:inline distT="0" distB="0" distL="0" distR="0" wp14:anchorId="017A7B3C" wp14:editId="4CE89698">
            <wp:extent cx="5731510" cy="2653030"/>
            <wp:effectExtent l="0" t="0" r="2540" b="0"/>
            <wp:docPr id="2130208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208941" name="Picture 213020894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653030"/>
                    </a:xfrm>
                    <a:prstGeom prst="rect">
                      <a:avLst/>
                    </a:prstGeom>
                  </pic:spPr>
                </pic:pic>
              </a:graphicData>
            </a:graphic>
          </wp:inline>
        </w:drawing>
      </w:r>
    </w:p>
    <w:p w14:paraId="6F7D153B" w14:textId="21608D67" w:rsidR="007E77F1" w:rsidRPr="000A2871" w:rsidRDefault="007E77F1" w:rsidP="00E02483">
      <w:pPr>
        <w:spacing w:after="80" w:line="360" w:lineRule="auto"/>
        <w:jc w:val="center"/>
        <w:rPr>
          <w:rFonts w:ascii="Arial" w:hAnsi="Arial" w:cs="Arial"/>
        </w:rPr>
      </w:pPr>
    </w:p>
    <w:p w14:paraId="2CA47138" w14:textId="28498BDF" w:rsidR="007E77F1" w:rsidRPr="000A2871" w:rsidRDefault="00CE1E66" w:rsidP="00E02483">
      <w:pPr>
        <w:spacing w:after="120" w:line="360" w:lineRule="auto"/>
        <w:rPr>
          <w:rFonts w:ascii="Arial" w:hAnsi="Arial" w:cs="Arial"/>
        </w:rPr>
      </w:pPr>
      <w:r w:rsidRPr="00CE1E66">
        <w:rPr>
          <w:rFonts w:ascii="Arial" w:hAnsi="Arial" w:cs="Arial"/>
        </w:rPr>
        <w:t xml:space="preserve">Developed for this dissertation, drawing on Sallis (2018), West and Michie (2020), and Sekhon, </w:t>
      </w:r>
      <w:r>
        <w:rPr>
          <w:rFonts w:ascii="Arial" w:hAnsi="Arial" w:cs="Arial"/>
        </w:rPr>
        <w:t>Cartwright,</w:t>
      </w:r>
      <w:r w:rsidRPr="00CE1E66">
        <w:rPr>
          <w:rFonts w:ascii="Arial" w:hAnsi="Arial" w:cs="Arial"/>
        </w:rPr>
        <w:t xml:space="preserve"> and Francis (2017).</w:t>
      </w:r>
    </w:p>
    <w:p w14:paraId="3B9843B1" w14:textId="77777777" w:rsidR="007E77F1" w:rsidRPr="000A2871" w:rsidRDefault="007E77F1" w:rsidP="00E02483">
      <w:pPr>
        <w:spacing w:after="120" w:line="360" w:lineRule="auto"/>
        <w:rPr>
          <w:rFonts w:ascii="Arial" w:hAnsi="Arial" w:cs="Arial"/>
        </w:rPr>
      </w:pPr>
      <w:r w:rsidRPr="000A2871">
        <w:rPr>
          <w:rFonts w:ascii="Arial" w:hAnsi="Arial" w:cs="Arial"/>
        </w:rPr>
        <w:t>The frameworks have different jobs. Ecological thinking locates the conditions; COM-B identifies what may enable or constrain an action; acceptability asks how support is experienced. They are applied after initial coding so that unexpected or contradictory findings remain visible. This is especially important where the same feature, such as tracking food or joining a group, may reassure one participant and burden another.</w:t>
      </w:r>
    </w:p>
    <w:p w14:paraId="7F78EAB5" w14:textId="77777777" w:rsidR="007E77F1" w:rsidRPr="000A2871" w:rsidRDefault="007E77F1" w:rsidP="00E02483">
      <w:pPr>
        <w:spacing w:before="180" w:after="100" w:line="360" w:lineRule="auto"/>
        <w:rPr>
          <w:rFonts w:ascii="Arial" w:hAnsi="Arial" w:cs="Arial"/>
        </w:rPr>
      </w:pPr>
      <w:r w:rsidRPr="000A2871">
        <w:rPr>
          <w:rFonts w:ascii="Arial" w:hAnsi="Arial" w:cs="Arial"/>
        </w:rPr>
        <w:t>Table 2.1. Applying the frameworks to the review</w:t>
      </w:r>
    </w:p>
    <w:tbl>
      <w:tblPr>
        <w:tblW w:w="8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45"/>
        <w:gridCol w:w="3480"/>
        <w:gridCol w:w="3570"/>
      </w:tblGrid>
      <w:tr w:rsidR="007E77F1" w:rsidRPr="000A2871" w14:paraId="2A188064" w14:textId="77777777" w:rsidTr="00842588">
        <w:trPr>
          <w:trHeight w:val="495"/>
        </w:trPr>
        <w:tc>
          <w:tcPr>
            <w:tcW w:w="1845" w:type="dxa"/>
            <w:shd w:val="clear" w:color="auto" w:fill="FFFFFF" w:themeFill="background1"/>
            <w:tcMar>
              <w:top w:w="80" w:type="dxa"/>
              <w:left w:w="80" w:type="dxa"/>
              <w:bottom w:w="80" w:type="dxa"/>
              <w:right w:w="80" w:type="dxa"/>
            </w:tcMar>
          </w:tcPr>
          <w:p w14:paraId="5CD1173D" w14:textId="77777777" w:rsidR="007E77F1" w:rsidRPr="00B15182" w:rsidRDefault="007E77F1" w:rsidP="00E02483">
            <w:pPr>
              <w:spacing w:line="360" w:lineRule="auto"/>
              <w:rPr>
                <w:rFonts w:ascii="Arial" w:hAnsi="Arial" w:cs="Arial"/>
                <w:b/>
                <w:bCs/>
                <w:sz w:val="21"/>
                <w:szCs w:val="21"/>
              </w:rPr>
            </w:pPr>
            <w:r w:rsidRPr="00B15182">
              <w:rPr>
                <w:rFonts w:ascii="Arial" w:hAnsi="Arial" w:cs="Arial"/>
                <w:b/>
                <w:bCs/>
                <w:sz w:val="21"/>
                <w:szCs w:val="21"/>
              </w:rPr>
              <w:t>Perspective</w:t>
            </w:r>
          </w:p>
        </w:tc>
        <w:tc>
          <w:tcPr>
            <w:tcW w:w="3480" w:type="dxa"/>
            <w:shd w:val="clear" w:color="auto" w:fill="FFFFFF" w:themeFill="background1"/>
            <w:tcMar>
              <w:top w:w="80" w:type="dxa"/>
              <w:left w:w="80" w:type="dxa"/>
              <w:bottom w:w="80" w:type="dxa"/>
              <w:right w:w="80" w:type="dxa"/>
            </w:tcMar>
          </w:tcPr>
          <w:p w14:paraId="5C75782B" w14:textId="77777777" w:rsidR="007E77F1" w:rsidRPr="00B15182" w:rsidRDefault="007E77F1" w:rsidP="00E02483">
            <w:pPr>
              <w:spacing w:line="360" w:lineRule="auto"/>
              <w:rPr>
                <w:rFonts w:ascii="Arial" w:hAnsi="Arial" w:cs="Arial"/>
                <w:b/>
                <w:bCs/>
                <w:sz w:val="21"/>
                <w:szCs w:val="21"/>
              </w:rPr>
            </w:pPr>
            <w:r w:rsidRPr="00B15182">
              <w:rPr>
                <w:rFonts w:ascii="Arial" w:hAnsi="Arial" w:cs="Arial"/>
                <w:b/>
                <w:bCs/>
                <w:sz w:val="21"/>
                <w:szCs w:val="21"/>
              </w:rPr>
              <w:t>Interpretive question</w:t>
            </w:r>
          </w:p>
        </w:tc>
        <w:tc>
          <w:tcPr>
            <w:tcW w:w="3570" w:type="dxa"/>
            <w:shd w:val="clear" w:color="auto" w:fill="FFFFFF" w:themeFill="background1"/>
            <w:tcMar>
              <w:top w:w="80" w:type="dxa"/>
              <w:left w:w="80" w:type="dxa"/>
              <w:bottom w:w="80" w:type="dxa"/>
              <w:right w:w="80" w:type="dxa"/>
            </w:tcMar>
          </w:tcPr>
          <w:p w14:paraId="218FF0E0" w14:textId="77777777" w:rsidR="007E77F1" w:rsidRPr="00B15182" w:rsidRDefault="007E77F1" w:rsidP="00E02483">
            <w:pPr>
              <w:spacing w:line="360" w:lineRule="auto"/>
              <w:rPr>
                <w:rFonts w:ascii="Arial" w:hAnsi="Arial" w:cs="Arial"/>
                <w:b/>
                <w:bCs/>
                <w:sz w:val="21"/>
                <w:szCs w:val="21"/>
              </w:rPr>
            </w:pPr>
            <w:r w:rsidRPr="00B15182">
              <w:rPr>
                <w:rFonts w:ascii="Arial" w:hAnsi="Arial" w:cs="Arial"/>
                <w:b/>
                <w:bCs/>
                <w:sz w:val="21"/>
                <w:szCs w:val="21"/>
              </w:rPr>
              <w:t>Example to examine</w:t>
            </w:r>
          </w:p>
        </w:tc>
      </w:tr>
      <w:tr w:rsidR="007E77F1" w:rsidRPr="000A2871" w14:paraId="4A50F980" w14:textId="77777777" w:rsidTr="00842588">
        <w:trPr>
          <w:trHeight w:val="810"/>
        </w:trPr>
        <w:tc>
          <w:tcPr>
            <w:tcW w:w="1845" w:type="dxa"/>
            <w:shd w:val="clear" w:color="auto" w:fill="FFFFFF" w:themeFill="background1"/>
            <w:tcMar>
              <w:top w:w="80" w:type="dxa"/>
              <w:left w:w="80" w:type="dxa"/>
              <w:bottom w:w="80" w:type="dxa"/>
              <w:right w:w="80" w:type="dxa"/>
            </w:tcMar>
          </w:tcPr>
          <w:p w14:paraId="09024CF4" w14:textId="77777777" w:rsidR="007E77F1" w:rsidRPr="00B15182" w:rsidRDefault="007E77F1" w:rsidP="00E02483">
            <w:pPr>
              <w:spacing w:line="360" w:lineRule="auto"/>
              <w:rPr>
                <w:rFonts w:ascii="Arial" w:hAnsi="Arial" w:cs="Arial"/>
                <w:sz w:val="21"/>
                <w:szCs w:val="21"/>
              </w:rPr>
            </w:pPr>
            <w:r w:rsidRPr="00B15182">
              <w:rPr>
                <w:rFonts w:ascii="Arial" w:hAnsi="Arial" w:cs="Arial"/>
                <w:sz w:val="21"/>
                <w:szCs w:val="21"/>
              </w:rPr>
              <w:t>Ecological</w:t>
            </w:r>
          </w:p>
        </w:tc>
        <w:tc>
          <w:tcPr>
            <w:tcW w:w="3480" w:type="dxa"/>
            <w:shd w:val="clear" w:color="auto" w:fill="FFFFFF" w:themeFill="background1"/>
            <w:tcMar>
              <w:top w:w="80" w:type="dxa"/>
              <w:left w:w="80" w:type="dxa"/>
              <w:bottom w:w="80" w:type="dxa"/>
              <w:right w:w="80" w:type="dxa"/>
            </w:tcMar>
          </w:tcPr>
          <w:p w14:paraId="384EF133" w14:textId="77777777" w:rsidR="007E77F1" w:rsidRPr="00B15182" w:rsidRDefault="007E77F1" w:rsidP="00E02483">
            <w:pPr>
              <w:spacing w:line="360" w:lineRule="auto"/>
              <w:rPr>
                <w:rFonts w:ascii="Arial" w:hAnsi="Arial" w:cs="Arial"/>
                <w:sz w:val="21"/>
                <w:szCs w:val="21"/>
              </w:rPr>
            </w:pPr>
            <w:r w:rsidRPr="00B15182">
              <w:rPr>
                <w:rFonts w:ascii="Arial" w:hAnsi="Arial" w:cs="Arial"/>
                <w:sz w:val="21"/>
                <w:szCs w:val="21"/>
              </w:rPr>
              <w:t>Where does an influence arise?</w:t>
            </w:r>
          </w:p>
        </w:tc>
        <w:tc>
          <w:tcPr>
            <w:tcW w:w="3570" w:type="dxa"/>
            <w:shd w:val="clear" w:color="auto" w:fill="FFFFFF" w:themeFill="background1"/>
            <w:tcMar>
              <w:top w:w="80" w:type="dxa"/>
              <w:left w:w="80" w:type="dxa"/>
              <w:bottom w:w="80" w:type="dxa"/>
              <w:right w:w="80" w:type="dxa"/>
            </w:tcMar>
          </w:tcPr>
          <w:p w14:paraId="47881315" w14:textId="77777777" w:rsidR="007E77F1" w:rsidRPr="00B15182" w:rsidRDefault="007E77F1" w:rsidP="00E02483">
            <w:pPr>
              <w:spacing w:line="360" w:lineRule="auto"/>
              <w:rPr>
                <w:rFonts w:ascii="Arial" w:hAnsi="Arial" w:cs="Arial"/>
                <w:sz w:val="21"/>
                <w:szCs w:val="21"/>
              </w:rPr>
            </w:pPr>
            <w:r w:rsidRPr="00B15182">
              <w:rPr>
                <w:rFonts w:ascii="Arial" w:hAnsi="Arial" w:cs="Arial"/>
                <w:sz w:val="21"/>
                <w:szCs w:val="21"/>
              </w:rPr>
              <w:t>A workplace timetable or food facility.</w:t>
            </w:r>
          </w:p>
        </w:tc>
      </w:tr>
      <w:tr w:rsidR="007E77F1" w:rsidRPr="000A2871" w14:paraId="37B06E64" w14:textId="77777777" w:rsidTr="00842588">
        <w:trPr>
          <w:trHeight w:val="810"/>
        </w:trPr>
        <w:tc>
          <w:tcPr>
            <w:tcW w:w="1845" w:type="dxa"/>
            <w:shd w:val="clear" w:color="auto" w:fill="FFFFFF" w:themeFill="background1"/>
            <w:tcMar>
              <w:top w:w="80" w:type="dxa"/>
              <w:left w:w="80" w:type="dxa"/>
              <w:bottom w:w="80" w:type="dxa"/>
              <w:right w:w="80" w:type="dxa"/>
            </w:tcMar>
          </w:tcPr>
          <w:p w14:paraId="1F807A6B" w14:textId="77777777" w:rsidR="007E77F1" w:rsidRPr="00B15182" w:rsidRDefault="007E77F1" w:rsidP="00E02483">
            <w:pPr>
              <w:spacing w:line="360" w:lineRule="auto"/>
              <w:rPr>
                <w:rFonts w:ascii="Arial" w:hAnsi="Arial" w:cs="Arial"/>
                <w:sz w:val="21"/>
                <w:szCs w:val="21"/>
              </w:rPr>
            </w:pPr>
            <w:r w:rsidRPr="00B15182">
              <w:rPr>
                <w:rFonts w:ascii="Arial" w:hAnsi="Arial" w:cs="Arial"/>
                <w:sz w:val="21"/>
                <w:szCs w:val="21"/>
              </w:rPr>
              <w:t>COM-B</w:t>
            </w:r>
          </w:p>
        </w:tc>
        <w:tc>
          <w:tcPr>
            <w:tcW w:w="3480" w:type="dxa"/>
            <w:shd w:val="clear" w:color="auto" w:fill="FFFFFF" w:themeFill="background1"/>
            <w:tcMar>
              <w:top w:w="80" w:type="dxa"/>
              <w:left w:w="80" w:type="dxa"/>
              <w:bottom w:w="80" w:type="dxa"/>
              <w:right w:w="80" w:type="dxa"/>
            </w:tcMar>
          </w:tcPr>
          <w:p w14:paraId="1EE52953" w14:textId="77777777" w:rsidR="007E77F1" w:rsidRPr="00B15182" w:rsidRDefault="007E77F1" w:rsidP="00E02483">
            <w:pPr>
              <w:spacing w:line="360" w:lineRule="auto"/>
              <w:rPr>
                <w:rFonts w:ascii="Arial" w:hAnsi="Arial" w:cs="Arial"/>
                <w:sz w:val="21"/>
                <w:szCs w:val="21"/>
              </w:rPr>
            </w:pPr>
            <w:r w:rsidRPr="00B15182">
              <w:rPr>
                <w:rFonts w:ascii="Arial" w:hAnsi="Arial" w:cs="Arial"/>
                <w:sz w:val="21"/>
                <w:szCs w:val="21"/>
              </w:rPr>
              <w:t>What helps or prevents the action?</w:t>
            </w:r>
          </w:p>
        </w:tc>
        <w:tc>
          <w:tcPr>
            <w:tcW w:w="3570" w:type="dxa"/>
            <w:shd w:val="clear" w:color="auto" w:fill="FFFFFF" w:themeFill="background1"/>
            <w:tcMar>
              <w:top w:w="80" w:type="dxa"/>
              <w:left w:w="80" w:type="dxa"/>
              <w:bottom w:w="80" w:type="dxa"/>
              <w:right w:w="80" w:type="dxa"/>
            </w:tcMar>
          </w:tcPr>
          <w:p w14:paraId="586F0F72" w14:textId="77777777" w:rsidR="007E77F1" w:rsidRPr="00B15182" w:rsidRDefault="007E77F1" w:rsidP="00E02483">
            <w:pPr>
              <w:spacing w:line="360" w:lineRule="auto"/>
              <w:rPr>
                <w:rFonts w:ascii="Arial" w:hAnsi="Arial" w:cs="Arial"/>
                <w:sz w:val="21"/>
                <w:szCs w:val="21"/>
              </w:rPr>
            </w:pPr>
            <w:r w:rsidRPr="00B15182">
              <w:rPr>
                <w:rFonts w:ascii="Arial" w:hAnsi="Arial" w:cs="Arial"/>
                <w:sz w:val="21"/>
                <w:szCs w:val="21"/>
              </w:rPr>
              <w:t>Skills, available breaks and competing priorities.</w:t>
            </w:r>
          </w:p>
        </w:tc>
      </w:tr>
      <w:tr w:rsidR="007E77F1" w:rsidRPr="000A2871" w14:paraId="4144F68B" w14:textId="77777777" w:rsidTr="00842588">
        <w:trPr>
          <w:trHeight w:val="810"/>
        </w:trPr>
        <w:tc>
          <w:tcPr>
            <w:tcW w:w="1845" w:type="dxa"/>
            <w:shd w:val="clear" w:color="auto" w:fill="FFFFFF" w:themeFill="background1"/>
            <w:tcMar>
              <w:top w:w="80" w:type="dxa"/>
              <w:left w:w="80" w:type="dxa"/>
              <w:bottom w:w="80" w:type="dxa"/>
              <w:right w:w="80" w:type="dxa"/>
            </w:tcMar>
          </w:tcPr>
          <w:p w14:paraId="0687D457" w14:textId="77777777" w:rsidR="007E77F1" w:rsidRPr="00B15182" w:rsidRDefault="007E77F1" w:rsidP="00E02483">
            <w:pPr>
              <w:spacing w:line="360" w:lineRule="auto"/>
              <w:rPr>
                <w:rFonts w:ascii="Arial" w:hAnsi="Arial" w:cs="Arial"/>
                <w:sz w:val="21"/>
                <w:szCs w:val="21"/>
              </w:rPr>
            </w:pPr>
            <w:r w:rsidRPr="00B15182">
              <w:rPr>
                <w:rFonts w:ascii="Arial" w:hAnsi="Arial" w:cs="Arial"/>
                <w:sz w:val="21"/>
                <w:szCs w:val="21"/>
              </w:rPr>
              <w:t>Acceptability</w:t>
            </w:r>
          </w:p>
        </w:tc>
        <w:tc>
          <w:tcPr>
            <w:tcW w:w="3480" w:type="dxa"/>
            <w:shd w:val="clear" w:color="auto" w:fill="FFFFFF" w:themeFill="background1"/>
            <w:tcMar>
              <w:top w:w="80" w:type="dxa"/>
              <w:left w:w="80" w:type="dxa"/>
              <w:bottom w:w="80" w:type="dxa"/>
              <w:right w:w="80" w:type="dxa"/>
            </w:tcMar>
          </w:tcPr>
          <w:p w14:paraId="23E9B133" w14:textId="77777777" w:rsidR="007E77F1" w:rsidRPr="00B15182" w:rsidRDefault="007E77F1" w:rsidP="00E02483">
            <w:pPr>
              <w:spacing w:line="360" w:lineRule="auto"/>
              <w:rPr>
                <w:rFonts w:ascii="Arial" w:hAnsi="Arial" w:cs="Arial"/>
                <w:sz w:val="21"/>
                <w:szCs w:val="21"/>
              </w:rPr>
            </w:pPr>
            <w:r w:rsidRPr="00B15182">
              <w:rPr>
                <w:rFonts w:ascii="Arial" w:hAnsi="Arial" w:cs="Arial"/>
                <w:sz w:val="21"/>
                <w:szCs w:val="21"/>
              </w:rPr>
              <w:t>How is the support experienced?</w:t>
            </w:r>
          </w:p>
        </w:tc>
        <w:tc>
          <w:tcPr>
            <w:tcW w:w="3570" w:type="dxa"/>
            <w:shd w:val="clear" w:color="auto" w:fill="FFFFFF" w:themeFill="background1"/>
            <w:tcMar>
              <w:top w:w="80" w:type="dxa"/>
              <w:left w:w="80" w:type="dxa"/>
              <w:bottom w:w="80" w:type="dxa"/>
              <w:right w:w="80" w:type="dxa"/>
            </w:tcMar>
          </w:tcPr>
          <w:p w14:paraId="573FAFB7" w14:textId="77777777" w:rsidR="007E77F1" w:rsidRPr="00B15182" w:rsidRDefault="007E77F1" w:rsidP="00E02483">
            <w:pPr>
              <w:spacing w:line="360" w:lineRule="auto"/>
              <w:rPr>
                <w:rFonts w:ascii="Arial" w:hAnsi="Arial" w:cs="Arial"/>
                <w:sz w:val="21"/>
                <w:szCs w:val="21"/>
              </w:rPr>
            </w:pPr>
            <w:r w:rsidRPr="00B15182">
              <w:rPr>
                <w:rFonts w:ascii="Arial" w:hAnsi="Arial" w:cs="Arial"/>
                <w:sz w:val="21"/>
                <w:szCs w:val="21"/>
              </w:rPr>
              <w:t>Useful information alongside tracking burden.</w:t>
            </w:r>
          </w:p>
        </w:tc>
      </w:tr>
    </w:tbl>
    <w:p w14:paraId="0DB2FE07" w14:textId="77777777" w:rsidR="007E77F1" w:rsidRPr="000A2871" w:rsidRDefault="007E77F1" w:rsidP="00E02483">
      <w:pPr>
        <w:spacing w:line="360" w:lineRule="auto"/>
        <w:rPr>
          <w:rFonts w:ascii="Arial" w:hAnsi="Arial" w:cs="Arial"/>
        </w:rPr>
      </w:pPr>
      <w:r w:rsidRPr="000A2871">
        <w:rPr>
          <w:rFonts w:ascii="Arial" w:hAnsi="Arial" w:cs="Arial"/>
        </w:rPr>
        <w:t xml:space="preserve"> </w:t>
      </w:r>
    </w:p>
    <w:p w14:paraId="26C8099E" w14:textId="618C764F" w:rsidR="007E77F1" w:rsidRPr="000A2871" w:rsidRDefault="007E77F1" w:rsidP="00E02483">
      <w:pPr>
        <w:spacing w:after="120" w:line="360" w:lineRule="auto"/>
        <w:rPr>
          <w:rFonts w:ascii="Arial" w:hAnsi="Arial" w:cs="Arial"/>
        </w:rPr>
      </w:pPr>
      <w:r w:rsidRPr="000A2871">
        <w:rPr>
          <w:rFonts w:ascii="Arial" w:hAnsi="Arial" w:cs="Arial"/>
        </w:rPr>
        <w:t xml:space="preserve">Complex-intervention guidance further supports examining context, programme theory and different stakeholder perspectives (Skivington et al., 2021). Proposed pathways can then be tested rather than treated as demonstrated effects. Pharmacological trials, for </w:t>
      </w:r>
      <w:r w:rsidR="00FA1C68">
        <w:rPr>
          <w:rFonts w:ascii="Arial" w:hAnsi="Arial" w:cs="Arial"/>
        </w:rPr>
        <w:t>example,</w:t>
      </w:r>
      <w:r w:rsidRPr="000A2871">
        <w:rPr>
          <w:rFonts w:ascii="Arial" w:hAnsi="Arial" w:cs="Arial"/>
        </w:rPr>
        <w:t xml:space="preserve"> Jastreboff et al. (2022), address treatment efficacy through a different design. They cannot </w:t>
      </w:r>
      <w:r w:rsidRPr="000A2871">
        <w:rPr>
          <w:rFonts w:ascii="Arial" w:hAnsi="Arial" w:cs="Arial"/>
        </w:rPr>
        <w:lastRenderedPageBreak/>
        <w:t>validate an interpretation of these qualitative accounts, just as perceived usefulness cannot estimate a medicine’s effect. Clinical guidance remains contextual to appropriate assessment and care (Wharton et al., 2020; NICE, 2025, updated 2026).</w:t>
      </w:r>
    </w:p>
    <w:p w14:paraId="6325B947" w14:textId="77777777" w:rsidR="007E77F1" w:rsidRPr="000A2871" w:rsidRDefault="007E77F1" w:rsidP="00E02483">
      <w:pPr>
        <w:spacing w:after="120" w:line="360" w:lineRule="auto"/>
        <w:rPr>
          <w:rFonts w:ascii="Arial" w:hAnsi="Arial" w:cs="Arial"/>
        </w:rPr>
      </w:pPr>
      <w:r w:rsidRPr="000A2871">
        <w:rPr>
          <w:rFonts w:ascii="Arial" w:hAnsi="Arial" w:cs="Arial"/>
        </w:rPr>
        <w:t>Using several frameworks also creates a risk of duplication. Limited break time could be classified as an institutional influence in an ecological account, an opportunity constraint in COM-B and an opportunity cost when judging an intervention. These labels answer different questions about the same circumstance. They should not be counted as three separate barriers. The synthesis therefore begins with the participant account and uses theory to clarify its implications. This approach keeps theoretical interpretation accountable to the source material and prevents the framework from becoming a substitute for explanation.</w:t>
      </w:r>
    </w:p>
    <w:p w14:paraId="3941D28D" w14:textId="6929E684" w:rsidR="007E77F1" w:rsidRPr="000A2871" w:rsidRDefault="007E77F1" w:rsidP="00E02483">
      <w:pPr>
        <w:spacing w:after="120" w:line="360" w:lineRule="auto"/>
        <w:rPr>
          <w:rFonts w:ascii="Arial" w:hAnsi="Arial" w:cs="Arial"/>
        </w:rPr>
      </w:pPr>
      <w:r w:rsidRPr="000A2871">
        <w:rPr>
          <w:rFonts w:ascii="Arial" w:hAnsi="Arial" w:cs="Arial"/>
        </w:rPr>
        <w:t>The frameworks also leave questions unanswered. COM-B can organise a difficulty without deciding who should take responsibility for resolving it. An ecological perspective can identify a wider condition without specifying a feasible institutional response. Acceptability can explain why an offer feels appropriate while leaving its effectiveness uncertain. These limits make the combination useful: each perspective identifies a question that another does not fully address. The resulting diagram is a guide to interpretation and intervention development, with proposed relationships requiring evaluation (Sallis, 2018; Sekhon, Cartwright and Francis, 2017; Skivington et al., 2021).</w:t>
      </w:r>
      <w:r w:rsidR="007051EA">
        <w:rPr>
          <w:rFonts w:ascii="Arial" w:hAnsi="Arial" w:cs="Arial"/>
        </w:rPr>
        <w:br/>
      </w:r>
    </w:p>
    <w:p w14:paraId="2D374B6F" w14:textId="73902308" w:rsidR="007E77F1" w:rsidRPr="000A2871" w:rsidRDefault="007E77F1" w:rsidP="00E02483">
      <w:pPr>
        <w:pStyle w:val="Heading2"/>
        <w:keepNext w:val="0"/>
        <w:keepLines w:val="0"/>
        <w:spacing w:after="80" w:line="360" w:lineRule="auto"/>
        <w:jc w:val="left"/>
        <w:rPr>
          <w:rFonts w:ascii="Arial" w:hAnsi="Arial" w:cs="Arial"/>
          <w:b w:val="0"/>
          <w:bCs/>
          <w:sz w:val="34"/>
          <w:szCs w:val="34"/>
        </w:rPr>
      </w:pPr>
      <w:bookmarkStart w:id="43" w:name="_ox8qjnro6uzb" w:colFirst="0" w:colLast="0"/>
      <w:bookmarkStart w:id="44" w:name="_Toc242459528"/>
      <w:bookmarkEnd w:id="43"/>
      <w:r w:rsidRPr="000A2871">
        <w:rPr>
          <w:rFonts w:ascii="Arial" w:hAnsi="Arial" w:cs="Arial"/>
          <w:bCs/>
          <w:sz w:val="34"/>
          <w:szCs w:val="34"/>
        </w:rPr>
        <w:t>2.8 Digital environments and intervention design</w:t>
      </w:r>
      <w:bookmarkEnd w:id="44"/>
    </w:p>
    <w:p w14:paraId="3D559D7E" w14:textId="77777777" w:rsidR="007E77F1" w:rsidRPr="000A2871" w:rsidRDefault="007E77F1" w:rsidP="00E02483">
      <w:pPr>
        <w:spacing w:after="120" w:line="360" w:lineRule="auto"/>
        <w:rPr>
          <w:rFonts w:ascii="Arial" w:hAnsi="Arial" w:cs="Arial"/>
        </w:rPr>
      </w:pPr>
      <w:r w:rsidRPr="000A2871">
        <w:rPr>
          <w:rFonts w:ascii="Arial" w:hAnsi="Arial" w:cs="Arial"/>
        </w:rPr>
        <w:t>Ordinary social media use differs from taking part in a designed intervention. A feed can combine recipes, advertising, appearance-focused content and professional advice without a shared purpose or quality standard. Tang et al. (2026) investigate these interactions among UK residents aged 18–25. Easton et al. (2018) explore fitspiration in the same age range, but the available report does not explicitly establish UK residence for every participant. Easton therefore informs contextual comparison rather than unrestricted UK synthesis.</w:t>
      </w:r>
    </w:p>
    <w:p w14:paraId="1887BF25" w14:textId="77777777" w:rsidR="007E77F1" w:rsidRPr="000A2871" w:rsidRDefault="007E77F1" w:rsidP="00E02483">
      <w:pPr>
        <w:spacing w:after="120" w:line="360" w:lineRule="auto"/>
        <w:rPr>
          <w:rFonts w:ascii="Arial" w:hAnsi="Arial" w:cs="Arial"/>
        </w:rPr>
      </w:pPr>
      <w:r w:rsidRPr="000A2871">
        <w:rPr>
          <w:rFonts w:ascii="Arial" w:hAnsi="Arial" w:cs="Arial"/>
        </w:rPr>
        <w:t>The digital literature records both opportunities and concerns. Rounsefell et al. (2020) review social media, body image and food choices; Sidani et al. (2016) and Hogue and Mills (2019) examine eating concerns and body-image responses in other populations and designs. Coates et al. (2019) study influencer marketing experimentally in children. These findings cannot be transferred directly to UK adults, but they show why the nature of exposure matters more than treating all screen use as one behaviour.</w:t>
      </w:r>
    </w:p>
    <w:p w14:paraId="2ABCB626" w14:textId="77777777" w:rsidR="007E77F1" w:rsidRPr="000A2871" w:rsidRDefault="007E77F1" w:rsidP="00E02483">
      <w:pPr>
        <w:spacing w:after="120" w:line="360" w:lineRule="auto"/>
        <w:rPr>
          <w:rFonts w:ascii="Arial" w:hAnsi="Arial" w:cs="Arial"/>
        </w:rPr>
      </w:pPr>
      <w:r w:rsidRPr="000A2871">
        <w:rPr>
          <w:rFonts w:ascii="Arial" w:hAnsi="Arial" w:cs="Arial"/>
        </w:rPr>
        <w:t xml:space="preserve">Credibility involves how people judge and use information. Professional credentials may encourage trust, yet an accurate recommendation can still feel unaffordable or irrelevant. Digital nutrition research and mixed-method work on weight-control technologies help frame </w:t>
      </w:r>
      <w:r w:rsidRPr="000A2871">
        <w:rPr>
          <w:rFonts w:ascii="Arial" w:hAnsi="Arial" w:cs="Arial"/>
        </w:rPr>
        <w:lastRenderedPageBreak/>
        <w:t>this question (Denniss et al., 2026; Nikolaou et al., 2019). Advice should be examined for clarity, practical application and how it is encountered, rather than assuming that more information resolves uncertainty.</w:t>
      </w:r>
    </w:p>
    <w:p w14:paraId="24A4A320" w14:textId="6224C68D" w:rsidR="007E77F1" w:rsidRPr="000A2871" w:rsidRDefault="007E77F1" w:rsidP="00E02483">
      <w:pPr>
        <w:spacing w:after="120" w:line="360" w:lineRule="auto"/>
        <w:rPr>
          <w:rFonts w:ascii="Arial" w:hAnsi="Arial" w:cs="Arial"/>
        </w:rPr>
      </w:pPr>
      <w:r w:rsidRPr="000A2871">
        <w:rPr>
          <w:rFonts w:ascii="Arial" w:hAnsi="Arial" w:cs="Arial"/>
        </w:rPr>
        <w:t xml:space="preserve">Hawkes et al. (2024) offer experience of an actual digital intervention for women with increased </w:t>
      </w:r>
      <w:r w:rsidR="003812C9">
        <w:rPr>
          <w:rFonts w:ascii="Arial" w:hAnsi="Arial" w:cs="Arial"/>
        </w:rPr>
        <w:t>breast cancer</w:t>
      </w:r>
      <w:r w:rsidRPr="000A2871">
        <w:rPr>
          <w:rFonts w:ascii="Arial" w:hAnsi="Arial" w:cs="Arial"/>
        </w:rPr>
        <w:t xml:space="preserve"> risk. Restricted accounts from participants aged 23–25 concern information, peer reassurance and choice over notifications or logging. Their clinical context differs from general prevention. The useful comparison is about fit and control, not a claim that every young adult would benefit from the same app.</w:t>
      </w:r>
    </w:p>
    <w:p w14:paraId="5B12DBDD" w14:textId="77777777" w:rsidR="007E77F1" w:rsidRPr="000A2871" w:rsidRDefault="007E77F1" w:rsidP="00E02483">
      <w:pPr>
        <w:spacing w:after="120" w:line="360" w:lineRule="auto"/>
        <w:rPr>
          <w:rFonts w:ascii="Arial" w:hAnsi="Arial" w:cs="Arial"/>
        </w:rPr>
      </w:pPr>
      <w:r w:rsidRPr="000A2871">
        <w:rPr>
          <w:rFonts w:ascii="Arial" w:hAnsi="Arial" w:cs="Arial"/>
        </w:rPr>
        <w:t>Digital access should not be treated as universal merely because smartphones are common. The feasibility of online support depends on data, suitable devices, confidence and the ability to use it privately. Digital provision may reduce travel while creating different demands. Offering an alternative route can help assess whether digital delivery widens access or excludes users. These questions belong in an evaluation plan, with recruitment and reporting designed to capture non-use as well as enthusiastic participation (Ghelani et al., 2020; Oosterveen et al., 2017; Schoeppe et al., 2016).</w:t>
      </w:r>
    </w:p>
    <w:p w14:paraId="7D8993EF" w14:textId="77777777" w:rsidR="007E77F1" w:rsidRPr="000A2871" w:rsidRDefault="007E77F1" w:rsidP="00E02483">
      <w:pPr>
        <w:spacing w:after="120" w:line="360" w:lineRule="auto"/>
        <w:rPr>
          <w:rFonts w:ascii="Arial" w:hAnsi="Arial" w:cs="Arial"/>
        </w:rPr>
      </w:pPr>
      <w:r w:rsidRPr="000A2871">
        <w:rPr>
          <w:rFonts w:ascii="Arial" w:hAnsi="Arial" w:cs="Arial"/>
        </w:rPr>
        <w:t>Engagement with a digital resource also needs an outcome definition. Opening a message, watching a video and using its content in meal preparation represent different activities. A high number of views cannot establish that advice is feasible or that behaviour changes. Conversely, occasional use might be helpful where a person returns for a specific practical need. An evaluation should specify the intended use and ask participants how the resource fits their routines. This would avoid interpreting frequent interaction as success without examining burden, understanding or the relationship between the digital activity and the intervention's stated purpose (Napolitano et al., 2021; Perski et al., 2017; Yardley et al., 2016).</w:t>
      </w:r>
    </w:p>
    <w:p w14:paraId="21FD322F" w14:textId="77777777" w:rsidR="007E77F1" w:rsidRPr="000A2871" w:rsidRDefault="007E77F1" w:rsidP="00E02483">
      <w:pPr>
        <w:spacing w:after="120" w:line="360" w:lineRule="auto"/>
        <w:rPr>
          <w:rFonts w:ascii="Arial" w:hAnsi="Arial" w:cs="Arial"/>
        </w:rPr>
      </w:pPr>
      <w:r w:rsidRPr="000A2871">
        <w:rPr>
          <w:rFonts w:ascii="Arial" w:hAnsi="Arial" w:cs="Arial"/>
        </w:rPr>
        <w:t>Trial evidence can test behavioural and weight outcomes, while protocols identify plans rather than completed effects (Godino et al., 2016; Mansour-Assi et al., 2022). Trial and review evidence, including Ashton et al. (2020), Laska et al. (2016) and Sharkey et al. (2020), must likewise be interpreted according to design. The qualitative question is what participants find usable and why, which can complement an outcome evaluation without replacing it.</w:t>
      </w:r>
    </w:p>
    <w:p w14:paraId="097B0061" w14:textId="7B9CD8B9" w:rsidR="007E77F1" w:rsidRPr="000A2871" w:rsidRDefault="007E77F1" w:rsidP="002F23BC">
      <w:pPr>
        <w:pStyle w:val="Heading2"/>
        <w:keepNext w:val="0"/>
        <w:keepLines w:val="0"/>
        <w:spacing w:after="80" w:line="360" w:lineRule="auto"/>
        <w:ind w:left="0" w:firstLine="0"/>
        <w:jc w:val="left"/>
        <w:rPr>
          <w:rFonts w:ascii="Arial" w:hAnsi="Arial" w:cs="Arial"/>
          <w:b w:val="0"/>
          <w:bCs/>
          <w:sz w:val="34"/>
          <w:szCs w:val="34"/>
        </w:rPr>
      </w:pPr>
      <w:bookmarkStart w:id="45" w:name="_ky9u22psmx7r" w:colFirst="0" w:colLast="0"/>
      <w:bookmarkStart w:id="46" w:name="_Toc242459529"/>
      <w:bookmarkEnd w:id="45"/>
      <w:r w:rsidRPr="000A2871">
        <w:rPr>
          <w:rFonts w:ascii="Arial" w:hAnsi="Arial" w:cs="Arial"/>
          <w:bCs/>
          <w:sz w:val="34"/>
          <w:szCs w:val="34"/>
        </w:rPr>
        <w:t>2.9 Inequalities and the limits of individual choice</w:t>
      </w:r>
      <w:bookmarkEnd w:id="46"/>
    </w:p>
    <w:p w14:paraId="4ECA51C5" w14:textId="77777777" w:rsidR="007E77F1" w:rsidRPr="000A2871" w:rsidRDefault="007E77F1" w:rsidP="00E02483">
      <w:pPr>
        <w:spacing w:after="120" w:line="360" w:lineRule="auto"/>
        <w:rPr>
          <w:rFonts w:ascii="Arial" w:hAnsi="Arial" w:cs="Arial"/>
        </w:rPr>
      </w:pPr>
      <w:r w:rsidRPr="000A2871">
        <w:rPr>
          <w:rFonts w:ascii="Arial" w:hAnsi="Arial" w:cs="Arial"/>
        </w:rPr>
        <w:t xml:space="preserve">The socioeconomic pattern in the OHID data provides a context for examining practical constraints, but an area-level gradient cannot explain any individual's behaviour. Income, housing and employment should be extracted where studies report them, rather than inferred from an address or a participant's appearance. Qualitative evidence can examine </w:t>
      </w:r>
      <w:r w:rsidRPr="000A2871">
        <w:rPr>
          <w:rFonts w:ascii="Arial" w:hAnsi="Arial" w:cs="Arial"/>
        </w:rPr>
        <w:lastRenderedPageBreak/>
        <w:t>how resources are experienced, while population data identify patterns requiring explanation. Keeping these levels distinct avoids turning an association into a personal causal judgement. The pandemic inequalities literature reinforces the need to preserve historical and structural context rather than assume stable opportunities over time (Bambra et al., 2020).</w:t>
      </w:r>
    </w:p>
    <w:p w14:paraId="42AFC5D0" w14:textId="580895AF" w:rsidR="007E77F1" w:rsidRPr="000A2871" w:rsidRDefault="007E77F1" w:rsidP="00E02483">
      <w:pPr>
        <w:spacing w:after="120" w:line="360" w:lineRule="auto"/>
        <w:rPr>
          <w:rFonts w:ascii="Arial" w:hAnsi="Arial" w:cs="Arial"/>
        </w:rPr>
      </w:pPr>
      <w:r w:rsidRPr="000A2871">
        <w:rPr>
          <w:rFonts w:ascii="Arial" w:hAnsi="Arial" w:cs="Arial"/>
        </w:rPr>
        <w:t xml:space="preserve">Resources can influence several conditions at once. A </w:t>
      </w:r>
      <w:r w:rsidR="001A2D87" w:rsidRPr="000A2871">
        <w:rPr>
          <w:rFonts w:ascii="Arial" w:hAnsi="Arial" w:cs="Arial"/>
        </w:rPr>
        <w:t xml:space="preserve">young adult working irregular </w:t>
      </w:r>
      <w:r w:rsidR="001A2D87">
        <w:rPr>
          <w:rFonts w:ascii="Arial" w:hAnsi="Arial" w:cs="Arial"/>
        </w:rPr>
        <w:t>hour</w:t>
      </w:r>
      <w:r w:rsidRPr="000A2871">
        <w:rPr>
          <w:rFonts w:ascii="Arial" w:hAnsi="Arial" w:cs="Arial"/>
        </w:rPr>
        <w:t xml:space="preserve"> may have money for food but limited predictability for shopping or cooking. Someone with time may lack funds, suitable storage or transport. An intervention that assumes one problem can therefore miss another. The review's interpretation should consider combinations of circumstances and identify where the evidence is insufficient to describe them. This encourages more precise proposals than recommending education or motivation support for every barrier.</w:t>
      </w:r>
    </w:p>
    <w:p w14:paraId="6C448ED5" w14:textId="3CB5E9A5" w:rsidR="007E77F1" w:rsidRPr="000A2871" w:rsidRDefault="007E77F1" w:rsidP="00E02483">
      <w:pPr>
        <w:spacing w:after="120" w:line="360" w:lineRule="auto"/>
        <w:rPr>
          <w:rFonts w:ascii="Arial" w:hAnsi="Arial" w:cs="Arial"/>
        </w:rPr>
      </w:pPr>
      <w:r w:rsidRPr="000A2871">
        <w:rPr>
          <w:rFonts w:ascii="Arial" w:hAnsi="Arial" w:cs="Arial"/>
        </w:rPr>
        <w:t>A focus on resources also prevents student experience from becoming a universal account of young adulthood. Socioeconomic and ethnic inequalities require attention in recruitment and intervention design (Hayba et al., 2018). Marmot et al. (2020), Bambra et al. (2020) and WHO (2023; 2025) place health within wider social and commercial conditions. These perspectives support examining affordability and working conditions while avoiding causal claims that the small qualitative evidence base cannot establish.</w:t>
      </w:r>
      <w:r w:rsidR="007051EA">
        <w:rPr>
          <w:rFonts w:ascii="Arial" w:hAnsi="Arial" w:cs="Arial"/>
        </w:rPr>
        <w:br/>
      </w:r>
    </w:p>
    <w:p w14:paraId="1D286C27" w14:textId="4B3323EC" w:rsidR="007E77F1" w:rsidRPr="000A2871" w:rsidRDefault="007E77F1" w:rsidP="002F23BC">
      <w:pPr>
        <w:pStyle w:val="Heading2"/>
        <w:keepNext w:val="0"/>
        <w:keepLines w:val="0"/>
        <w:spacing w:after="80" w:line="360" w:lineRule="auto"/>
        <w:ind w:left="0" w:firstLine="0"/>
        <w:jc w:val="left"/>
        <w:rPr>
          <w:rFonts w:ascii="Arial" w:hAnsi="Arial" w:cs="Arial"/>
          <w:b w:val="0"/>
          <w:bCs/>
          <w:sz w:val="34"/>
          <w:szCs w:val="34"/>
        </w:rPr>
      </w:pPr>
      <w:bookmarkStart w:id="47" w:name="_akq767hjj0eb" w:colFirst="0" w:colLast="0"/>
      <w:bookmarkStart w:id="48" w:name="_Toc242459530"/>
      <w:bookmarkEnd w:id="47"/>
      <w:r w:rsidRPr="000A2871">
        <w:rPr>
          <w:rFonts w:ascii="Arial" w:hAnsi="Arial" w:cs="Arial"/>
          <w:bCs/>
          <w:sz w:val="34"/>
          <w:szCs w:val="34"/>
        </w:rPr>
        <w:t>2.10 Intervention experience</w:t>
      </w:r>
      <w:bookmarkEnd w:id="48"/>
      <w:r w:rsidRPr="000A2871">
        <w:rPr>
          <w:rFonts w:ascii="Arial" w:hAnsi="Arial" w:cs="Arial"/>
          <w:bCs/>
          <w:sz w:val="34"/>
          <w:szCs w:val="34"/>
        </w:rPr>
        <w:t xml:space="preserve"> </w:t>
      </w:r>
    </w:p>
    <w:p w14:paraId="32C9E7DD" w14:textId="27304739" w:rsidR="007E77F1" w:rsidRPr="000A2871" w:rsidRDefault="007E77F1" w:rsidP="00E02483">
      <w:pPr>
        <w:spacing w:after="120" w:line="360" w:lineRule="auto"/>
        <w:rPr>
          <w:rFonts w:ascii="Arial" w:hAnsi="Arial" w:cs="Arial"/>
        </w:rPr>
      </w:pPr>
      <w:r w:rsidRPr="000A2871">
        <w:rPr>
          <w:rFonts w:ascii="Arial" w:hAnsi="Arial" w:cs="Arial"/>
        </w:rPr>
        <w:t xml:space="preserve">Intervention development, programme participation and policy exposure are different kinds of evidence. Berry and Tang mainly inform the design of communication; Canzini and Langdon-Daly examine a policy </w:t>
      </w:r>
      <w:r w:rsidR="0057360C">
        <w:rPr>
          <w:rFonts w:ascii="Arial" w:hAnsi="Arial" w:cs="Arial"/>
        </w:rPr>
        <w:t>experience;</w:t>
      </w:r>
      <w:r w:rsidR="00384CEA">
        <w:rPr>
          <w:rFonts w:ascii="Arial" w:hAnsi="Arial" w:cs="Arial"/>
        </w:rPr>
        <w:t xml:space="preserve"> and</w:t>
      </w:r>
      <w:r w:rsidRPr="000A2871">
        <w:rPr>
          <w:rFonts w:ascii="Arial" w:hAnsi="Arial" w:cs="Arial"/>
        </w:rPr>
        <w:t xml:space="preserve"> Hawkes evaluates an intervention within a specific clinical context. Rodrigues examines the fit of advice within treatment. These differences are retained in extraction rather than combined as a single verdict on effectiveness.</w:t>
      </w:r>
    </w:p>
    <w:p w14:paraId="06D0DF02" w14:textId="77777777" w:rsidR="007E77F1" w:rsidRPr="000A2871" w:rsidRDefault="007E77F1" w:rsidP="00E02483">
      <w:pPr>
        <w:spacing w:after="120" w:line="360" w:lineRule="auto"/>
        <w:rPr>
          <w:rFonts w:ascii="Arial" w:hAnsi="Arial" w:cs="Arial"/>
        </w:rPr>
      </w:pPr>
      <w:r w:rsidRPr="000A2871">
        <w:rPr>
          <w:rFonts w:ascii="Arial" w:hAnsi="Arial" w:cs="Arial"/>
        </w:rPr>
        <w:t>Wider qualitative research on programme acceptability and maintenance highlights questions about continued support and life outside structured services (Skea et al., 2019; Sides, Pringle and Newson, 2024). Reported satisfaction may reflect reassurance, convenience or rapport, each with different implications. A useful evaluation asks what was helpful, whether that help lasted and who could not participate. These questions connect qualitative explanation with measures of reach, retention, behaviour and wellbeing.</w:t>
      </w:r>
    </w:p>
    <w:p w14:paraId="1607FB6A" w14:textId="29D13FC0" w:rsidR="007E77F1" w:rsidRPr="000A2871" w:rsidRDefault="007E77F1" w:rsidP="00E02483">
      <w:pPr>
        <w:spacing w:after="120" w:line="360" w:lineRule="auto"/>
        <w:rPr>
          <w:rFonts w:ascii="Arial" w:hAnsi="Arial" w:cs="Arial"/>
        </w:rPr>
      </w:pPr>
      <w:r w:rsidRPr="000A2871">
        <w:rPr>
          <w:rFonts w:ascii="Arial" w:hAnsi="Arial" w:cs="Arial"/>
        </w:rPr>
        <w:t xml:space="preserve">Continued support should also be considered as a relationship over time. An intervention may be useful during one transition and less relevant after a change in work, housing or priorities. A participant who stops using a resource has not necessarily rejected its purpose; </w:t>
      </w:r>
      <w:r w:rsidRPr="000A2871">
        <w:rPr>
          <w:rFonts w:ascii="Arial" w:hAnsi="Arial" w:cs="Arial"/>
        </w:rPr>
        <w:lastRenderedPageBreak/>
        <w:t>the resource may no longer solve the problem for which it was sought. Conversely, apparent satisfaction at one interview cannot show that support remains useful. Studies of engagement and maintenance encourage attention to these different possibilities, including reasons for reducing use, returning later or seeking another form of help (Perski et al., 2017; Sides, Pringle and Newson, 2024).</w:t>
      </w:r>
      <w:r w:rsidR="007051EA">
        <w:rPr>
          <w:rFonts w:ascii="Arial" w:hAnsi="Arial" w:cs="Arial"/>
        </w:rPr>
        <w:br/>
      </w:r>
    </w:p>
    <w:p w14:paraId="4B44C103" w14:textId="03F5F22D" w:rsidR="007E77F1" w:rsidRPr="000A2871" w:rsidRDefault="007E77F1" w:rsidP="00E02483">
      <w:pPr>
        <w:pStyle w:val="Heading2"/>
        <w:keepNext w:val="0"/>
        <w:keepLines w:val="0"/>
        <w:spacing w:after="80" w:line="360" w:lineRule="auto"/>
        <w:jc w:val="left"/>
        <w:rPr>
          <w:rFonts w:ascii="Arial" w:hAnsi="Arial" w:cs="Arial"/>
          <w:b w:val="0"/>
          <w:bCs/>
          <w:sz w:val="34"/>
          <w:szCs w:val="34"/>
        </w:rPr>
      </w:pPr>
      <w:bookmarkStart w:id="49" w:name="_tffa43qr93gx" w:colFirst="0" w:colLast="0"/>
      <w:bookmarkStart w:id="50" w:name="_Toc242459531"/>
      <w:bookmarkEnd w:id="49"/>
      <w:r w:rsidRPr="000A2871">
        <w:rPr>
          <w:rFonts w:ascii="Arial" w:hAnsi="Arial" w:cs="Arial"/>
          <w:bCs/>
          <w:sz w:val="34"/>
          <w:szCs w:val="34"/>
        </w:rPr>
        <w:t>2.11 Evidence gaps and implications for this review</w:t>
      </w:r>
      <w:bookmarkEnd w:id="50"/>
    </w:p>
    <w:p w14:paraId="27AD7013" w14:textId="6E66EE5F" w:rsidR="007E77F1" w:rsidRPr="000A2871" w:rsidRDefault="007E77F1" w:rsidP="00E02483">
      <w:pPr>
        <w:spacing w:after="120" w:line="360" w:lineRule="auto"/>
        <w:rPr>
          <w:rFonts w:ascii="Arial" w:hAnsi="Arial" w:cs="Arial"/>
        </w:rPr>
      </w:pPr>
      <w:r w:rsidRPr="000A2871">
        <w:rPr>
          <w:rFonts w:ascii="Arial" w:hAnsi="Arial" w:cs="Arial"/>
        </w:rPr>
        <w:t xml:space="preserve">The fourteen assessed reports offer substantial detail about </w:t>
      </w:r>
      <w:r w:rsidR="005E433D" w:rsidRPr="000A2871">
        <w:rPr>
          <w:rFonts w:ascii="Arial" w:hAnsi="Arial" w:cs="Arial"/>
        </w:rPr>
        <w:t>settings</w:t>
      </w:r>
      <w:r w:rsidRPr="000A2871">
        <w:rPr>
          <w:rFonts w:ascii="Arial" w:hAnsi="Arial" w:cs="Arial"/>
        </w:rPr>
        <w:t>, but uneven coverage of the target population. Some combine age groups, and several rely on volunteers or relatively narrow social groups. There is limited directly eligible evidence from Wales or Northern Ireland, from people in insecure work or housing, and on long-term intervention use. Evidence on activity is thinner than evidence on food and health messages.</w:t>
      </w:r>
    </w:p>
    <w:p w14:paraId="43B15687" w14:textId="77777777" w:rsidR="007E77F1" w:rsidRPr="000A2871" w:rsidRDefault="007E77F1" w:rsidP="00E02483">
      <w:pPr>
        <w:spacing w:after="120" w:line="360" w:lineRule="auto"/>
        <w:rPr>
          <w:rFonts w:ascii="Arial" w:hAnsi="Arial" w:cs="Arial"/>
        </w:rPr>
      </w:pPr>
      <w:r w:rsidRPr="000A2871">
        <w:rPr>
          <w:rFonts w:ascii="Arial" w:hAnsi="Arial" w:cs="Arial"/>
        </w:rPr>
        <w:t>The synthesis therefore uses six whole samples and restricted accounts from five further reports. Tyrrell, Hafiz and Easton remain contextual for stated eligibility reasons. The review prioritises a traceable connection between findings and the intended population, while drawing on wider research to examine alternative explanations. This provides the basis for the methods described next.</w:t>
      </w:r>
    </w:p>
    <w:p w14:paraId="055159C8" w14:textId="77777777" w:rsidR="007E77F1" w:rsidRPr="000A2871" w:rsidRDefault="007E77F1" w:rsidP="00E02483">
      <w:pPr>
        <w:spacing w:after="120" w:line="360" w:lineRule="auto"/>
        <w:rPr>
          <w:rFonts w:ascii="Arial" w:hAnsi="Arial" w:cs="Arial"/>
        </w:rPr>
      </w:pPr>
      <w:r w:rsidRPr="000A2871">
        <w:rPr>
          <w:rFonts w:ascii="Arial" w:hAnsi="Arial" w:cs="Arial"/>
        </w:rPr>
        <w:t>These gaps affect the questions that the review can answer. It can compare meanings and identify plausible conditions for acceptable support. It cannot estimate how often each barrier occurs, identify a universally preferred intervention or determine whether reported preferences predict sustained behaviour. Those questions require additional designs and broader sampling.</w:t>
      </w:r>
    </w:p>
    <w:p w14:paraId="0319909F" w14:textId="47EEAFFE" w:rsidR="170DB657" w:rsidRPr="00BF6DED" w:rsidRDefault="007E77F1" w:rsidP="00BF6DED">
      <w:pPr>
        <w:spacing w:after="120" w:line="360" w:lineRule="auto"/>
      </w:pPr>
      <w:r w:rsidRPr="000A2871">
        <w:rPr>
          <w:rFonts w:ascii="Arial" w:hAnsi="Arial" w:cs="Arial"/>
        </w:rPr>
        <w:t>Comparison also requires attention to when the material was generated. Publication within the review window does not establish that interviews or focus groups reflect current circumstances. Changes in digital platforms, work arrangements and food prices may alter how an experience transfers to another setting. This does not make earlier accounts irrelevant, but it makes the underlying relationship more useful than a timeless description of one behaviour. The synthesis therefore considers reported context alongside recurring meanings, particularly when connecting older studies with recent intervention accounts.</w:t>
      </w:r>
      <w:r w:rsidR="00BF6DED">
        <w:rPr>
          <w:rFonts w:ascii="Arial" w:hAnsi="Arial" w:cs="Arial"/>
        </w:rPr>
        <w:br/>
      </w:r>
    </w:p>
    <w:p w14:paraId="31D5C635" w14:textId="77777777" w:rsidR="00530D18" w:rsidRDefault="00530D18">
      <w:pPr>
        <w:rPr>
          <w:rFonts w:ascii="Arial" w:eastAsia="Times New Roman" w:hAnsi="Arial" w:cs="Arial"/>
          <w:b/>
          <w:color w:val="000000"/>
          <w:sz w:val="34"/>
          <w:szCs w:val="34"/>
        </w:rPr>
      </w:pPr>
      <w:bookmarkStart w:id="51" w:name="_Toc242459532"/>
      <w:r>
        <w:rPr>
          <w:rFonts w:ascii="Arial" w:hAnsi="Arial" w:cs="Arial"/>
          <w:sz w:val="34"/>
          <w:szCs w:val="34"/>
        </w:rPr>
        <w:br w:type="page"/>
      </w:r>
    </w:p>
    <w:p w14:paraId="3E9370F4" w14:textId="0EF0400C" w:rsidR="7C3B992B" w:rsidRDefault="7C3B992B" w:rsidP="170DB657">
      <w:pPr>
        <w:pStyle w:val="Heading2"/>
        <w:keepNext w:val="0"/>
        <w:keepLines w:val="0"/>
        <w:spacing w:after="80" w:line="360" w:lineRule="auto"/>
        <w:jc w:val="left"/>
      </w:pPr>
      <w:r w:rsidRPr="170DB657">
        <w:rPr>
          <w:rFonts w:ascii="Arial" w:hAnsi="Arial" w:cs="Arial"/>
          <w:sz w:val="34"/>
          <w:szCs w:val="34"/>
        </w:rPr>
        <w:lastRenderedPageBreak/>
        <w:t>Summary</w:t>
      </w:r>
      <w:bookmarkEnd w:id="51"/>
    </w:p>
    <w:p w14:paraId="75A135C9" w14:textId="17C0A237" w:rsidR="00AC6C9C" w:rsidRPr="00AC6C9C" w:rsidRDefault="00AC6C9C" w:rsidP="00AC6C9C">
      <w:pPr>
        <w:spacing w:after="120" w:line="360" w:lineRule="auto"/>
        <w:rPr>
          <w:rFonts w:ascii="Arial" w:hAnsi="Arial" w:cs="Arial"/>
        </w:rPr>
      </w:pPr>
      <w:r w:rsidRPr="00AC6C9C">
        <w:rPr>
          <w:rFonts w:ascii="Arial" w:hAnsi="Arial" w:cs="Arial"/>
        </w:rPr>
        <w:t xml:space="preserve">The chapter has shown how young adults’ health </w:t>
      </w:r>
      <w:r w:rsidR="00CE1E66" w:rsidRPr="00AC6C9C">
        <w:rPr>
          <w:rFonts w:ascii="Arial" w:hAnsi="Arial" w:cs="Arial"/>
        </w:rPr>
        <w:t>behaviours</w:t>
      </w:r>
      <w:r w:rsidRPr="00AC6C9C">
        <w:rPr>
          <w:rFonts w:ascii="Arial" w:hAnsi="Arial" w:cs="Arial"/>
        </w:rPr>
        <w:t xml:space="preserve"> and their perceptions of support are shaped by resources, routines, relationships and emotional experiences. The ecological perspective, the COM-B model and Theoretical Framework of Acceptability offer complementary views on these influences. Gaps in population coverage and lack of long-term evidence of interventions inform the review methodology described in the next chapter. </w:t>
      </w:r>
    </w:p>
    <w:p w14:paraId="77A9F2DC" w14:textId="77777777" w:rsidR="00AC6C9C" w:rsidRPr="000A2871" w:rsidRDefault="00AC6C9C" w:rsidP="00E02483">
      <w:pPr>
        <w:spacing w:after="120" w:line="360" w:lineRule="auto"/>
        <w:rPr>
          <w:rFonts w:ascii="Arial" w:hAnsi="Arial" w:cs="Arial"/>
        </w:rPr>
      </w:pPr>
    </w:p>
    <w:p w14:paraId="6ECB8842" w14:textId="77777777" w:rsidR="007E77F1" w:rsidRPr="000A2871" w:rsidRDefault="007E77F1" w:rsidP="00E02483">
      <w:pPr>
        <w:pStyle w:val="Heading1"/>
        <w:keepNext w:val="0"/>
        <w:keepLines w:val="0"/>
        <w:spacing w:before="480" w:line="360" w:lineRule="auto"/>
        <w:rPr>
          <w:rFonts w:ascii="Arial" w:hAnsi="Arial" w:cs="Arial"/>
          <w:b w:val="0"/>
          <w:bCs/>
          <w:sz w:val="46"/>
          <w:szCs w:val="46"/>
        </w:rPr>
      </w:pPr>
      <w:bookmarkStart w:id="52" w:name="_17m8b8v24tgg" w:colFirst="0" w:colLast="0"/>
      <w:bookmarkEnd w:id="52"/>
      <w:r w:rsidRPr="000A2871">
        <w:rPr>
          <w:rFonts w:ascii="Arial" w:hAnsi="Arial" w:cs="Arial"/>
        </w:rPr>
        <w:br w:type="page"/>
      </w:r>
    </w:p>
    <w:p w14:paraId="11373CAC" w14:textId="176A5F60" w:rsidR="007E77F1" w:rsidRDefault="00ED7435" w:rsidP="00FA7C32">
      <w:pPr>
        <w:pStyle w:val="Heading1"/>
        <w:keepNext w:val="0"/>
        <w:keepLines w:val="0"/>
        <w:spacing w:before="480" w:line="360" w:lineRule="auto"/>
        <w:ind w:left="20"/>
        <w:jc w:val="left"/>
        <w:rPr>
          <w:rFonts w:ascii="Arial" w:hAnsi="Arial" w:cs="Arial"/>
          <w:bCs/>
          <w:sz w:val="46"/>
          <w:szCs w:val="46"/>
        </w:rPr>
      </w:pPr>
      <w:bookmarkStart w:id="53" w:name="_1wyq6bmkp0nk" w:colFirst="0" w:colLast="0"/>
      <w:bookmarkStart w:id="54" w:name="_Toc242459533"/>
      <w:bookmarkEnd w:id="53"/>
      <w:r>
        <w:rPr>
          <w:rFonts w:ascii="Arial" w:hAnsi="Arial" w:cs="Arial"/>
          <w:bCs/>
          <w:sz w:val="46"/>
          <w:szCs w:val="46"/>
        </w:rPr>
        <w:lastRenderedPageBreak/>
        <w:t>3. Research</w:t>
      </w:r>
      <w:r w:rsidR="007E77F1" w:rsidRPr="000A2871">
        <w:rPr>
          <w:rFonts w:ascii="Arial" w:hAnsi="Arial" w:cs="Arial"/>
          <w:bCs/>
          <w:sz w:val="46"/>
          <w:szCs w:val="46"/>
        </w:rPr>
        <w:t xml:space="preserve"> methodology</w:t>
      </w:r>
      <w:bookmarkEnd w:id="54"/>
    </w:p>
    <w:p w14:paraId="51F37270" w14:textId="76CF03A1" w:rsidR="0099305A" w:rsidRDefault="0099305A" w:rsidP="0099305A">
      <w:pPr>
        <w:spacing w:line="360" w:lineRule="auto"/>
        <w:rPr>
          <w:rFonts w:ascii="Arial" w:hAnsi="Arial" w:cs="Arial"/>
        </w:rPr>
      </w:pPr>
      <w:r w:rsidRPr="0099305A">
        <w:rPr>
          <w:rFonts w:ascii="Arial" w:hAnsi="Arial" w:cs="Arial"/>
        </w:rPr>
        <w:t xml:space="preserve"> This chapter describes the method used to identify, assess and synthesize qualitative evidence on the obesity-related </w:t>
      </w:r>
      <w:r w:rsidR="001A2D87" w:rsidRPr="0099305A">
        <w:rPr>
          <w:rFonts w:ascii="Arial" w:hAnsi="Arial" w:cs="Arial"/>
        </w:rPr>
        <w:t>behaviours</w:t>
      </w:r>
      <w:r w:rsidRPr="0099305A">
        <w:rPr>
          <w:rFonts w:ascii="Arial" w:hAnsi="Arial" w:cs="Arial"/>
        </w:rPr>
        <w:t xml:space="preserve"> and experiences of interventions among UK young adults. It explains the review design, the search strategy, the eligibility criteria, the CASP appraisal and the thematic synthesis process. It also outlines how the study context, ethical considerations and methodological limitations were addressed. </w:t>
      </w:r>
    </w:p>
    <w:p w14:paraId="106920FB" w14:textId="77777777" w:rsidR="00A800DF" w:rsidRPr="0099305A" w:rsidRDefault="00A800DF" w:rsidP="0099305A">
      <w:pPr>
        <w:spacing w:line="360" w:lineRule="auto"/>
        <w:rPr>
          <w:rFonts w:ascii="Arial" w:hAnsi="Arial" w:cs="Arial"/>
        </w:rPr>
      </w:pPr>
    </w:p>
    <w:p w14:paraId="0F1F4D28" w14:textId="71219B6B" w:rsidR="007E77F1" w:rsidRPr="000A2871" w:rsidRDefault="007E77F1" w:rsidP="00FA7C32">
      <w:pPr>
        <w:pStyle w:val="Heading2"/>
        <w:keepNext w:val="0"/>
        <w:keepLines w:val="0"/>
        <w:spacing w:after="80" w:line="360" w:lineRule="auto"/>
        <w:ind w:left="20"/>
        <w:jc w:val="left"/>
        <w:rPr>
          <w:rFonts w:ascii="Arial" w:hAnsi="Arial" w:cs="Arial"/>
          <w:b w:val="0"/>
          <w:bCs/>
          <w:sz w:val="34"/>
          <w:szCs w:val="34"/>
        </w:rPr>
      </w:pPr>
      <w:bookmarkStart w:id="55" w:name="_iccxmpy63o1a" w:colFirst="0" w:colLast="0"/>
      <w:bookmarkStart w:id="56" w:name="_Toc242459534"/>
      <w:bookmarkEnd w:id="55"/>
      <w:r w:rsidRPr="000A2871">
        <w:rPr>
          <w:rFonts w:ascii="Arial" w:hAnsi="Arial" w:cs="Arial"/>
          <w:bCs/>
          <w:sz w:val="34"/>
          <w:szCs w:val="34"/>
        </w:rPr>
        <w:t>3.1 Review design and methodological position</w:t>
      </w:r>
      <w:bookmarkEnd w:id="56"/>
    </w:p>
    <w:p w14:paraId="3EDFB3A0" w14:textId="77777777" w:rsidR="007E77F1" w:rsidRPr="000A2871" w:rsidRDefault="007E77F1" w:rsidP="00FA7C32">
      <w:pPr>
        <w:spacing w:after="120" w:line="360" w:lineRule="auto"/>
        <w:ind w:left="10"/>
        <w:rPr>
          <w:rFonts w:ascii="Arial" w:hAnsi="Arial" w:cs="Arial"/>
        </w:rPr>
      </w:pPr>
      <w:r w:rsidRPr="000A2871">
        <w:rPr>
          <w:rFonts w:ascii="Arial" w:hAnsi="Arial" w:cs="Arial"/>
        </w:rPr>
        <w:t>A qualitative systematic-review design was used to examine experiences of obesity-related behaviour and support. The analysis draws on published findings rather than new interviews or original interview transcripts. It treats participants’ accounts as situated explanations and recognises that study authors and the reviewer interpret them. This position supports comparison across settings while retaining differences in meaning (Flemming and Noyes, 2021; Noyes et al., 2024).</w:t>
      </w:r>
    </w:p>
    <w:p w14:paraId="26FACE87" w14:textId="77777777" w:rsidR="007E77F1" w:rsidRPr="000A2871" w:rsidRDefault="007E77F1" w:rsidP="00FA7C32">
      <w:pPr>
        <w:spacing w:after="120" w:line="360" w:lineRule="auto"/>
        <w:ind w:left="10"/>
        <w:rPr>
          <w:rFonts w:ascii="Arial" w:hAnsi="Arial" w:cs="Arial"/>
        </w:rPr>
      </w:pPr>
      <w:r w:rsidRPr="000A2871">
        <w:rPr>
          <w:rFonts w:ascii="Arial" w:hAnsi="Arial" w:cs="Arial"/>
        </w:rPr>
        <w:t>PRISMA 2020 informed reporting of identification and selection; PRISMA-S informed the search audit (Page et al., 2021; Rethlefsen et al., 2021). The available records do not support a fully reconciled historical report-stage flow. This revision reassesses the eleven nominated reports and adds three relevant PubMed-indexed reports, giving fourteen appraisals and eleven synthesis contributors. The targeted supplementary retrieval is documented separately from the original search.</w:t>
      </w:r>
    </w:p>
    <w:p w14:paraId="7ED1DCDE" w14:textId="1BBCDCFA" w:rsidR="007051EA" w:rsidRDefault="007E77F1" w:rsidP="00FA7C32">
      <w:pPr>
        <w:spacing w:after="120" w:line="360" w:lineRule="auto"/>
        <w:ind w:left="10"/>
        <w:rPr>
          <w:rFonts w:ascii="Arial" w:hAnsi="Arial" w:cs="Arial"/>
        </w:rPr>
      </w:pPr>
      <w:r w:rsidRPr="000A2871">
        <w:rPr>
          <w:rFonts w:ascii="Arial" w:hAnsi="Arial" w:cs="Arial"/>
        </w:rPr>
        <w:t>The unit of analysis is the published finding, considered alongside the methods and circumstances that produced it. The review distinguishes three interpretive levels: a participant account, the original authors’ explanation of that account, and the explanation developed through comparison across reports. These levels can inform one another, but they are not equivalent. A broad author theme drawn from a mixed-age sample cannot be assigned to younger participants solely because one young person supplied an illustrative quotation. This distinction is especially important for the five reports requiring restricted extraction (Noyes et al., 2024).</w:t>
      </w:r>
    </w:p>
    <w:p w14:paraId="7AE419C0" w14:textId="4C41853E" w:rsidR="007E77F1" w:rsidRPr="000A2871" w:rsidRDefault="007051EA" w:rsidP="007051EA">
      <w:pPr>
        <w:rPr>
          <w:rFonts w:ascii="Arial" w:hAnsi="Arial" w:cs="Arial"/>
        </w:rPr>
      </w:pPr>
      <w:r>
        <w:rPr>
          <w:rFonts w:ascii="Arial" w:hAnsi="Arial" w:cs="Arial"/>
        </w:rPr>
        <w:br w:type="page"/>
      </w:r>
    </w:p>
    <w:p w14:paraId="541329F5" w14:textId="77777777" w:rsidR="007E77F1" w:rsidRPr="000A2871" w:rsidRDefault="007E77F1" w:rsidP="00FA7C32">
      <w:pPr>
        <w:pStyle w:val="Heading2"/>
        <w:keepNext w:val="0"/>
        <w:keepLines w:val="0"/>
        <w:spacing w:after="80" w:line="360" w:lineRule="auto"/>
        <w:ind w:left="20"/>
        <w:jc w:val="left"/>
        <w:rPr>
          <w:rFonts w:ascii="Arial" w:hAnsi="Arial" w:cs="Arial"/>
          <w:b w:val="0"/>
          <w:bCs/>
          <w:sz w:val="34"/>
          <w:szCs w:val="34"/>
        </w:rPr>
      </w:pPr>
      <w:bookmarkStart w:id="57" w:name="_k9jtzm4jhmxk" w:colFirst="0" w:colLast="0"/>
      <w:bookmarkStart w:id="58" w:name="_Toc242459535"/>
      <w:bookmarkEnd w:id="57"/>
      <w:r w:rsidRPr="000A2871">
        <w:rPr>
          <w:rFonts w:ascii="Arial" w:hAnsi="Arial" w:cs="Arial"/>
          <w:bCs/>
          <w:sz w:val="34"/>
          <w:szCs w:val="34"/>
        </w:rPr>
        <w:lastRenderedPageBreak/>
        <w:t>3.2 Research question and SPIDER</w:t>
      </w:r>
      <w:bookmarkEnd w:id="58"/>
    </w:p>
    <w:p w14:paraId="7E3D78D6" w14:textId="0D72E66A" w:rsidR="007E77F1" w:rsidRPr="000A2871" w:rsidRDefault="007E77F1" w:rsidP="00FA7C32">
      <w:pPr>
        <w:spacing w:after="120" w:line="360" w:lineRule="auto"/>
        <w:ind w:left="10"/>
        <w:rPr>
          <w:rFonts w:ascii="Arial" w:hAnsi="Arial" w:cs="Arial"/>
        </w:rPr>
      </w:pPr>
      <w:r w:rsidRPr="000A2871">
        <w:rPr>
          <w:rFonts w:ascii="Arial" w:hAnsi="Arial" w:cs="Arial"/>
        </w:rPr>
        <w:t>SPIDER made the qualitative focus explicit by specifying Sample, Phenomenon of Interest, Design, Evaluation and Research type (Amir-Behghadami, 2024). It guided eligibility rather than replacing judgement about the relevance of actual findings. Search terms remained broader than the final age rule because indexing labels such as young adult</w:t>
      </w:r>
      <w:r w:rsidR="00CD0232">
        <w:rPr>
          <w:rFonts w:ascii="Arial" w:hAnsi="Arial" w:cs="Arial"/>
        </w:rPr>
        <w:t>' or 'student'</w:t>
      </w:r>
      <w:r w:rsidRPr="000A2871">
        <w:rPr>
          <w:rFonts w:ascii="Arial" w:hAnsi="Arial" w:cs="Arial"/>
        </w:rPr>
        <w:t xml:space="preserve"> do not establish a complete age range (Harris et al., 2018).</w:t>
      </w:r>
    </w:p>
    <w:p w14:paraId="1751ABF8" w14:textId="576CD36F" w:rsidR="007E77F1" w:rsidRPr="000A2871" w:rsidRDefault="007E77F1" w:rsidP="00842588">
      <w:pPr>
        <w:rPr>
          <w:rFonts w:ascii="Arial" w:hAnsi="Arial" w:cs="Arial"/>
        </w:rPr>
      </w:pPr>
      <w:r w:rsidRPr="000A2871">
        <w:rPr>
          <w:rFonts w:ascii="Arial" w:hAnsi="Arial" w:cs="Arial"/>
        </w:rPr>
        <w:t>Table 3.1. SPIDER specification</w:t>
      </w:r>
    </w:p>
    <w:tbl>
      <w:tblPr>
        <w:tblW w:w="889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00"/>
        <w:gridCol w:w="7095"/>
      </w:tblGrid>
      <w:tr w:rsidR="007E77F1" w:rsidRPr="000A2871" w14:paraId="3799E695" w14:textId="77777777" w:rsidTr="001A2D87">
        <w:trPr>
          <w:trHeight w:val="495"/>
        </w:trPr>
        <w:tc>
          <w:tcPr>
            <w:tcW w:w="1800" w:type="dxa"/>
            <w:shd w:val="clear" w:color="auto" w:fill="FFFFFF" w:themeFill="background1"/>
            <w:tcMar>
              <w:top w:w="80" w:type="dxa"/>
              <w:left w:w="80" w:type="dxa"/>
              <w:bottom w:w="80" w:type="dxa"/>
              <w:right w:w="80" w:type="dxa"/>
            </w:tcMar>
          </w:tcPr>
          <w:p w14:paraId="333F173F" w14:textId="77777777" w:rsidR="007E77F1" w:rsidRPr="00836BD8" w:rsidRDefault="007E77F1" w:rsidP="000A2871">
            <w:pPr>
              <w:spacing w:line="360" w:lineRule="auto"/>
              <w:rPr>
                <w:rFonts w:ascii="Arial" w:hAnsi="Arial" w:cs="Arial"/>
                <w:b/>
                <w:bCs/>
                <w:sz w:val="21"/>
                <w:szCs w:val="21"/>
              </w:rPr>
            </w:pPr>
            <w:r w:rsidRPr="00836BD8">
              <w:rPr>
                <w:rFonts w:ascii="Arial" w:hAnsi="Arial" w:cs="Arial"/>
                <w:b/>
                <w:bCs/>
                <w:sz w:val="21"/>
                <w:szCs w:val="21"/>
              </w:rPr>
              <w:t>Element</w:t>
            </w:r>
          </w:p>
        </w:tc>
        <w:tc>
          <w:tcPr>
            <w:tcW w:w="7095" w:type="dxa"/>
            <w:shd w:val="clear" w:color="auto" w:fill="FFFFFF" w:themeFill="background1"/>
            <w:tcMar>
              <w:top w:w="80" w:type="dxa"/>
              <w:left w:w="80" w:type="dxa"/>
              <w:bottom w:w="80" w:type="dxa"/>
              <w:right w:w="80" w:type="dxa"/>
            </w:tcMar>
          </w:tcPr>
          <w:p w14:paraId="166B90AC" w14:textId="77777777" w:rsidR="007E77F1" w:rsidRPr="00836BD8" w:rsidRDefault="007E77F1" w:rsidP="000A2871">
            <w:pPr>
              <w:spacing w:line="360" w:lineRule="auto"/>
              <w:rPr>
                <w:rFonts w:ascii="Arial" w:hAnsi="Arial" w:cs="Arial"/>
                <w:b/>
                <w:bCs/>
                <w:sz w:val="21"/>
                <w:szCs w:val="21"/>
              </w:rPr>
            </w:pPr>
            <w:r w:rsidRPr="00836BD8">
              <w:rPr>
                <w:rFonts w:ascii="Arial" w:hAnsi="Arial" w:cs="Arial"/>
                <w:b/>
                <w:bCs/>
                <w:sz w:val="21"/>
                <w:szCs w:val="21"/>
              </w:rPr>
              <w:t>Operational definition</w:t>
            </w:r>
          </w:p>
        </w:tc>
      </w:tr>
      <w:tr w:rsidR="007E77F1" w:rsidRPr="000A2871" w14:paraId="7B980ADC" w14:textId="77777777" w:rsidTr="001A2D87">
        <w:trPr>
          <w:trHeight w:val="810"/>
        </w:trPr>
        <w:tc>
          <w:tcPr>
            <w:tcW w:w="1800" w:type="dxa"/>
            <w:shd w:val="clear" w:color="auto" w:fill="FFFFFF" w:themeFill="background1"/>
            <w:tcMar>
              <w:top w:w="80" w:type="dxa"/>
              <w:left w:w="80" w:type="dxa"/>
              <w:bottom w:w="80" w:type="dxa"/>
              <w:right w:w="80" w:type="dxa"/>
            </w:tcMar>
          </w:tcPr>
          <w:p w14:paraId="262FC2A3" w14:textId="77777777" w:rsidR="007E77F1" w:rsidRPr="00836BD8" w:rsidRDefault="007E77F1" w:rsidP="000A2871">
            <w:pPr>
              <w:spacing w:line="360" w:lineRule="auto"/>
              <w:rPr>
                <w:rFonts w:ascii="Arial" w:hAnsi="Arial" w:cs="Arial"/>
                <w:sz w:val="21"/>
                <w:szCs w:val="21"/>
              </w:rPr>
            </w:pPr>
            <w:r w:rsidRPr="00836BD8">
              <w:rPr>
                <w:rFonts w:ascii="Arial" w:hAnsi="Arial" w:cs="Arial"/>
                <w:sz w:val="21"/>
                <w:szCs w:val="21"/>
              </w:rPr>
              <w:t>Sample</w:t>
            </w:r>
          </w:p>
        </w:tc>
        <w:tc>
          <w:tcPr>
            <w:tcW w:w="7095" w:type="dxa"/>
            <w:shd w:val="clear" w:color="auto" w:fill="FFFFFF" w:themeFill="background1"/>
            <w:tcMar>
              <w:top w:w="80" w:type="dxa"/>
              <w:left w:w="80" w:type="dxa"/>
              <w:bottom w:w="80" w:type="dxa"/>
              <w:right w:w="80" w:type="dxa"/>
            </w:tcMar>
          </w:tcPr>
          <w:p w14:paraId="114ABF42" w14:textId="77777777" w:rsidR="007E77F1" w:rsidRPr="00836BD8" w:rsidRDefault="007E77F1" w:rsidP="000A2871">
            <w:pPr>
              <w:spacing w:line="360" w:lineRule="auto"/>
              <w:rPr>
                <w:rFonts w:ascii="Arial" w:hAnsi="Arial" w:cs="Arial"/>
                <w:sz w:val="21"/>
                <w:szCs w:val="21"/>
              </w:rPr>
            </w:pPr>
            <w:r w:rsidRPr="00836BD8">
              <w:rPr>
                <w:rFonts w:ascii="Arial" w:hAnsi="Arial" w:cs="Arial"/>
                <w:sz w:val="21"/>
                <w:szCs w:val="21"/>
              </w:rPr>
              <w:t>UK young adults aged 18–24; studies reporting 18–25 samples accepted; separable relevant accounts from broader samples eligible.</w:t>
            </w:r>
          </w:p>
        </w:tc>
      </w:tr>
      <w:tr w:rsidR="007E77F1" w:rsidRPr="000A2871" w14:paraId="2BB73C25" w14:textId="77777777" w:rsidTr="001A2D87">
        <w:trPr>
          <w:trHeight w:val="810"/>
        </w:trPr>
        <w:tc>
          <w:tcPr>
            <w:tcW w:w="1800" w:type="dxa"/>
            <w:shd w:val="clear" w:color="auto" w:fill="FFFFFF" w:themeFill="background1"/>
            <w:tcMar>
              <w:top w:w="80" w:type="dxa"/>
              <w:left w:w="80" w:type="dxa"/>
              <w:bottom w:w="80" w:type="dxa"/>
              <w:right w:w="80" w:type="dxa"/>
            </w:tcMar>
          </w:tcPr>
          <w:p w14:paraId="12E5897E" w14:textId="77777777" w:rsidR="007E77F1" w:rsidRPr="00836BD8" w:rsidRDefault="007E77F1" w:rsidP="000A2871">
            <w:pPr>
              <w:spacing w:line="360" w:lineRule="auto"/>
              <w:rPr>
                <w:rFonts w:ascii="Arial" w:hAnsi="Arial" w:cs="Arial"/>
                <w:sz w:val="21"/>
                <w:szCs w:val="21"/>
              </w:rPr>
            </w:pPr>
            <w:r w:rsidRPr="00836BD8">
              <w:rPr>
                <w:rFonts w:ascii="Arial" w:hAnsi="Arial" w:cs="Arial"/>
                <w:sz w:val="21"/>
                <w:szCs w:val="21"/>
              </w:rPr>
              <w:t>Phenomenon</w:t>
            </w:r>
          </w:p>
        </w:tc>
        <w:tc>
          <w:tcPr>
            <w:tcW w:w="7095" w:type="dxa"/>
            <w:shd w:val="clear" w:color="auto" w:fill="FFFFFF" w:themeFill="background1"/>
            <w:tcMar>
              <w:top w:w="80" w:type="dxa"/>
              <w:left w:w="80" w:type="dxa"/>
              <w:bottom w:w="80" w:type="dxa"/>
              <w:right w:w="80" w:type="dxa"/>
            </w:tcMar>
          </w:tcPr>
          <w:p w14:paraId="0AD86C16" w14:textId="77777777" w:rsidR="007E77F1" w:rsidRPr="00836BD8" w:rsidRDefault="007E77F1" w:rsidP="000A2871">
            <w:pPr>
              <w:spacing w:line="360" w:lineRule="auto"/>
              <w:rPr>
                <w:rFonts w:ascii="Arial" w:hAnsi="Arial" w:cs="Arial"/>
                <w:sz w:val="21"/>
                <w:szCs w:val="21"/>
              </w:rPr>
            </w:pPr>
            <w:r w:rsidRPr="00836BD8">
              <w:rPr>
                <w:rFonts w:ascii="Arial" w:hAnsi="Arial" w:cs="Arial"/>
                <w:sz w:val="21"/>
                <w:szCs w:val="21"/>
              </w:rPr>
              <w:t>Obesity, weight management, related eating or activity practices, and relevant prevention or support.</w:t>
            </w:r>
          </w:p>
        </w:tc>
      </w:tr>
      <w:tr w:rsidR="007E77F1" w:rsidRPr="000A2871" w14:paraId="18CDF6C6" w14:textId="77777777" w:rsidTr="001A2D87">
        <w:trPr>
          <w:trHeight w:val="810"/>
        </w:trPr>
        <w:tc>
          <w:tcPr>
            <w:tcW w:w="1800" w:type="dxa"/>
            <w:shd w:val="clear" w:color="auto" w:fill="FFFFFF" w:themeFill="background1"/>
            <w:tcMar>
              <w:top w:w="80" w:type="dxa"/>
              <w:left w:w="80" w:type="dxa"/>
              <w:bottom w:w="80" w:type="dxa"/>
              <w:right w:w="80" w:type="dxa"/>
            </w:tcMar>
          </w:tcPr>
          <w:p w14:paraId="2F8B1B1A" w14:textId="77777777" w:rsidR="007E77F1" w:rsidRPr="00836BD8" w:rsidRDefault="007E77F1" w:rsidP="000A2871">
            <w:pPr>
              <w:spacing w:line="360" w:lineRule="auto"/>
              <w:rPr>
                <w:rFonts w:ascii="Arial" w:hAnsi="Arial" w:cs="Arial"/>
                <w:sz w:val="21"/>
                <w:szCs w:val="21"/>
              </w:rPr>
            </w:pPr>
            <w:r w:rsidRPr="00836BD8">
              <w:rPr>
                <w:rFonts w:ascii="Arial" w:hAnsi="Arial" w:cs="Arial"/>
                <w:sz w:val="21"/>
                <w:szCs w:val="21"/>
              </w:rPr>
              <w:t>Design</w:t>
            </w:r>
          </w:p>
        </w:tc>
        <w:tc>
          <w:tcPr>
            <w:tcW w:w="7095" w:type="dxa"/>
            <w:shd w:val="clear" w:color="auto" w:fill="FFFFFF" w:themeFill="background1"/>
            <w:tcMar>
              <w:top w:w="80" w:type="dxa"/>
              <w:left w:w="80" w:type="dxa"/>
              <w:bottom w:w="80" w:type="dxa"/>
              <w:right w:w="80" w:type="dxa"/>
            </w:tcMar>
          </w:tcPr>
          <w:p w14:paraId="069B8F1D" w14:textId="77777777" w:rsidR="007E77F1" w:rsidRPr="00836BD8" w:rsidRDefault="007E77F1" w:rsidP="000A2871">
            <w:pPr>
              <w:spacing w:line="360" w:lineRule="auto"/>
              <w:rPr>
                <w:rFonts w:ascii="Arial" w:hAnsi="Arial" w:cs="Arial"/>
                <w:sz w:val="21"/>
                <w:szCs w:val="21"/>
              </w:rPr>
            </w:pPr>
            <w:r w:rsidRPr="00836BD8">
              <w:rPr>
                <w:rFonts w:ascii="Arial" w:hAnsi="Arial" w:cs="Arial"/>
                <w:sz w:val="21"/>
                <w:szCs w:val="21"/>
              </w:rPr>
              <w:t>Interviews, focus groups or another qualitative design with accessible findings.</w:t>
            </w:r>
          </w:p>
        </w:tc>
      </w:tr>
      <w:tr w:rsidR="007E77F1" w:rsidRPr="000A2871" w14:paraId="2A1C185B" w14:textId="77777777" w:rsidTr="001A2D87">
        <w:trPr>
          <w:trHeight w:val="810"/>
        </w:trPr>
        <w:tc>
          <w:tcPr>
            <w:tcW w:w="1800" w:type="dxa"/>
            <w:shd w:val="clear" w:color="auto" w:fill="FFFFFF" w:themeFill="background1"/>
            <w:tcMar>
              <w:top w:w="80" w:type="dxa"/>
              <w:left w:w="80" w:type="dxa"/>
              <w:bottom w:w="80" w:type="dxa"/>
              <w:right w:w="80" w:type="dxa"/>
            </w:tcMar>
          </w:tcPr>
          <w:p w14:paraId="3080B5FD" w14:textId="77777777" w:rsidR="007E77F1" w:rsidRPr="00836BD8" w:rsidRDefault="007E77F1" w:rsidP="000A2871">
            <w:pPr>
              <w:spacing w:line="360" w:lineRule="auto"/>
              <w:rPr>
                <w:rFonts w:ascii="Arial" w:hAnsi="Arial" w:cs="Arial"/>
                <w:sz w:val="21"/>
                <w:szCs w:val="21"/>
              </w:rPr>
            </w:pPr>
            <w:r w:rsidRPr="00836BD8">
              <w:rPr>
                <w:rFonts w:ascii="Arial" w:hAnsi="Arial" w:cs="Arial"/>
                <w:sz w:val="21"/>
                <w:szCs w:val="21"/>
              </w:rPr>
              <w:t>Evaluation</w:t>
            </w:r>
          </w:p>
        </w:tc>
        <w:tc>
          <w:tcPr>
            <w:tcW w:w="7095" w:type="dxa"/>
            <w:shd w:val="clear" w:color="auto" w:fill="FFFFFF" w:themeFill="background1"/>
            <w:tcMar>
              <w:top w:w="80" w:type="dxa"/>
              <w:left w:w="80" w:type="dxa"/>
              <w:bottom w:w="80" w:type="dxa"/>
              <w:right w:w="80" w:type="dxa"/>
            </w:tcMar>
          </w:tcPr>
          <w:p w14:paraId="54D27D41" w14:textId="77777777" w:rsidR="007E77F1" w:rsidRPr="00836BD8" w:rsidRDefault="007E77F1" w:rsidP="000A2871">
            <w:pPr>
              <w:spacing w:line="360" w:lineRule="auto"/>
              <w:rPr>
                <w:rFonts w:ascii="Arial" w:hAnsi="Arial" w:cs="Arial"/>
                <w:sz w:val="21"/>
                <w:szCs w:val="21"/>
              </w:rPr>
            </w:pPr>
            <w:r w:rsidRPr="00836BD8">
              <w:rPr>
                <w:rFonts w:ascii="Arial" w:hAnsi="Arial" w:cs="Arial"/>
                <w:sz w:val="21"/>
                <w:szCs w:val="21"/>
              </w:rPr>
              <w:t>Experiences, barriers, facilitators, meanings, acceptability and perceived usefulness.</w:t>
            </w:r>
          </w:p>
        </w:tc>
      </w:tr>
      <w:tr w:rsidR="007E77F1" w:rsidRPr="000A2871" w14:paraId="74C7CE8C" w14:textId="77777777" w:rsidTr="001A2D87">
        <w:trPr>
          <w:trHeight w:val="810"/>
        </w:trPr>
        <w:tc>
          <w:tcPr>
            <w:tcW w:w="1800" w:type="dxa"/>
            <w:shd w:val="clear" w:color="auto" w:fill="FFFFFF" w:themeFill="background1"/>
            <w:tcMar>
              <w:top w:w="80" w:type="dxa"/>
              <w:left w:w="80" w:type="dxa"/>
              <w:bottom w:w="80" w:type="dxa"/>
              <w:right w:w="80" w:type="dxa"/>
            </w:tcMar>
          </w:tcPr>
          <w:p w14:paraId="12DF2A90" w14:textId="77777777" w:rsidR="007E77F1" w:rsidRPr="00836BD8" w:rsidRDefault="007E77F1" w:rsidP="000A2871">
            <w:pPr>
              <w:spacing w:line="360" w:lineRule="auto"/>
              <w:rPr>
                <w:rFonts w:ascii="Arial" w:hAnsi="Arial" w:cs="Arial"/>
                <w:sz w:val="21"/>
                <w:szCs w:val="21"/>
              </w:rPr>
            </w:pPr>
            <w:r w:rsidRPr="00836BD8">
              <w:rPr>
                <w:rFonts w:ascii="Arial" w:hAnsi="Arial" w:cs="Arial"/>
                <w:sz w:val="21"/>
                <w:szCs w:val="21"/>
              </w:rPr>
              <w:t>Research type</w:t>
            </w:r>
          </w:p>
        </w:tc>
        <w:tc>
          <w:tcPr>
            <w:tcW w:w="7095" w:type="dxa"/>
            <w:shd w:val="clear" w:color="auto" w:fill="FFFFFF" w:themeFill="background1"/>
            <w:tcMar>
              <w:top w:w="80" w:type="dxa"/>
              <w:left w:w="80" w:type="dxa"/>
              <w:bottom w:w="80" w:type="dxa"/>
              <w:right w:w="80" w:type="dxa"/>
            </w:tcMar>
          </w:tcPr>
          <w:p w14:paraId="16707F14" w14:textId="77777777" w:rsidR="007E77F1" w:rsidRPr="00836BD8" w:rsidRDefault="007E77F1" w:rsidP="000A2871">
            <w:pPr>
              <w:spacing w:line="360" w:lineRule="auto"/>
              <w:rPr>
                <w:rFonts w:ascii="Arial" w:hAnsi="Arial" w:cs="Arial"/>
                <w:sz w:val="21"/>
                <w:szCs w:val="21"/>
              </w:rPr>
            </w:pPr>
            <w:r w:rsidRPr="00836BD8">
              <w:rPr>
                <w:rFonts w:ascii="Arial" w:hAnsi="Arial" w:cs="Arial"/>
                <w:sz w:val="21"/>
                <w:szCs w:val="21"/>
              </w:rPr>
              <w:t>English-language, peer-reviewed primary qualitative research, or separable qualitative components of mixed-method studies.</w:t>
            </w:r>
          </w:p>
        </w:tc>
      </w:tr>
    </w:tbl>
    <w:p w14:paraId="304BB81D" w14:textId="77777777" w:rsidR="007E77F1" w:rsidRPr="000A2871" w:rsidRDefault="007E77F1" w:rsidP="00FA7C32">
      <w:pPr>
        <w:spacing w:line="360" w:lineRule="auto"/>
        <w:ind w:left="10"/>
        <w:rPr>
          <w:rFonts w:ascii="Arial" w:hAnsi="Arial" w:cs="Arial"/>
        </w:rPr>
      </w:pPr>
      <w:r w:rsidRPr="000A2871">
        <w:rPr>
          <w:rFonts w:ascii="Arial" w:hAnsi="Arial" w:cs="Arial"/>
        </w:rPr>
        <w:t xml:space="preserve"> </w:t>
      </w:r>
    </w:p>
    <w:p w14:paraId="63E2EFB3" w14:textId="25B6E3CD" w:rsidR="007E77F1" w:rsidRPr="000A2871" w:rsidRDefault="007E77F1" w:rsidP="00FA7C32">
      <w:pPr>
        <w:spacing w:after="120" w:line="360" w:lineRule="auto"/>
        <w:ind w:left="10"/>
        <w:rPr>
          <w:rFonts w:ascii="Arial" w:hAnsi="Arial" w:cs="Arial"/>
        </w:rPr>
      </w:pPr>
      <w:r w:rsidRPr="000A2871">
        <w:rPr>
          <w:rFonts w:ascii="Arial" w:hAnsi="Arial" w:cs="Arial"/>
        </w:rPr>
        <w:t xml:space="preserve">The phenomenon was defined to include eating, activity and weight-management practices where their connection to obesity prevention or support was meaningful. Requiring every participant to have a clinical obesity diagnosis would exclude much of the prevention literature and change the research question. Conversely, any study about young adults and food was not automatically relevant. The interpretation had to concern influences on related practices or experiences of support. Weight status was retained where </w:t>
      </w:r>
      <w:r w:rsidR="00B56851">
        <w:rPr>
          <w:rFonts w:ascii="Arial" w:hAnsi="Arial" w:cs="Arial"/>
        </w:rPr>
        <w:t>reported and</w:t>
      </w:r>
      <w:r w:rsidRPr="000A2871">
        <w:rPr>
          <w:rFonts w:ascii="Arial" w:hAnsi="Arial" w:cs="Arial"/>
        </w:rPr>
        <w:t xml:space="preserve"> was not inferred from a participant’s concern about appearance, dietary choices or interest in an intervention.</w:t>
      </w:r>
    </w:p>
    <w:p w14:paraId="33AA9345" w14:textId="77777777" w:rsidR="007051EA" w:rsidRDefault="007051EA">
      <w:pPr>
        <w:rPr>
          <w:rFonts w:ascii="Arial" w:eastAsia="Times New Roman" w:hAnsi="Arial" w:cs="Arial"/>
          <w:b/>
          <w:bCs/>
          <w:color w:val="000000"/>
          <w:sz w:val="34"/>
          <w:szCs w:val="34"/>
        </w:rPr>
      </w:pPr>
      <w:bookmarkStart w:id="59" w:name="_1qqbqc6dsjhn" w:colFirst="0" w:colLast="0"/>
      <w:bookmarkEnd w:id="59"/>
      <w:r>
        <w:rPr>
          <w:rFonts w:ascii="Arial" w:hAnsi="Arial" w:cs="Arial"/>
          <w:bCs/>
          <w:sz w:val="34"/>
          <w:szCs w:val="34"/>
        </w:rPr>
        <w:br w:type="page"/>
      </w:r>
    </w:p>
    <w:p w14:paraId="14128497" w14:textId="3154529B" w:rsidR="007E77F1" w:rsidRPr="000A2871" w:rsidRDefault="007E77F1" w:rsidP="00FA7C32">
      <w:pPr>
        <w:pStyle w:val="Heading2"/>
        <w:keepNext w:val="0"/>
        <w:keepLines w:val="0"/>
        <w:spacing w:after="80" w:line="360" w:lineRule="auto"/>
        <w:ind w:left="20"/>
        <w:jc w:val="left"/>
        <w:rPr>
          <w:rFonts w:ascii="Arial" w:hAnsi="Arial" w:cs="Arial"/>
          <w:b w:val="0"/>
          <w:bCs/>
          <w:sz w:val="34"/>
          <w:szCs w:val="34"/>
        </w:rPr>
      </w:pPr>
      <w:bookmarkStart w:id="60" w:name="_Toc242459536"/>
      <w:r w:rsidRPr="000A2871">
        <w:rPr>
          <w:rFonts w:ascii="Arial" w:hAnsi="Arial" w:cs="Arial"/>
          <w:bCs/>
          <w:sz w:val="34"/>
          <w:szCs w:val="34"/>
        </w:rPr>
        <w:lastRenderedPageBreak/>
        <w:t>3.3 Information sources and search period</w:t>
      </w:r>
      <w:bookmarkEnd w:id="60"/>
    </w:p>
    <w:p w14:paraId="2575512D" w14:textId="0F9A4B59" w:rsidR="007E77F1" w:rsidRPr="000A2871" w:rsidRDefault="007E77F1" w:rsidP="00FA7C32">
      <w:pPr>
        <w:spacing w:after="120" w:line="360" w:lineRule="auto"/>
        <w:ind w:left="10"/>
        <w:rPr>
          <w:rFonts w:ascii="Arial" w:hAnsi="Arial" w:cs="Arial"/>
        </w:rPr>
      </w:pPr>
      <w:r w:rsidRPr="000A2871">
        <w:rPr>
          <w:rFonts w:ascii="Arial" w:hAnsi="Arial" w:cs="Arial"/>
        </w:rPr>
        <w:t xml:space="preserve">The recorded searches used PubMed, ScienceDirect and ten specified BMC journals through Springer Nature Link. PubMed is a bibliographic service; the other sources are a publisher platform and a selected journal collection. Their coverage is not equivalent. The initial search log is dated </w:t>
      </w:r>
      <w:r w:rsidR="00A76190">
        <w:rPr>
          <w:rFonts w:ascii="Arial" w:hAnsi="Arial" w:cs="Arial"/>
        </w:rPr>
        <w:t>12 September</w:t>
      </w:r>
      <w:r w:rsidRPr="000A2871">
        <w:rPr>
          <w:rFonts w:ascii="Arial" w:hAnsi="Arial" w:cs="Arial"/>
        </w:rPr>
        <w:t xml:space="preserve"> 2026. A targeted PubMed known-item search on </w:t>
      </w:r>
      <w:r w:rsidR="00A76190">
        <w:rPr>
          <w:rFonts w:ascii="Arial" w:hAnsi="Arial" w:cs="Arial"/>
        </w:rPr>
        <w:t>24 September</w:t>
      </w:r>
      <w:r w:rsidRPr="000A2871">
        <w:rPr>
          <w:rFonts w:ascii="Arial" w:hAnsi="Arial" w:cs="Arial"/>
        </w:rPr>
        <w:t xml:space="preserve"> 2026 retrieved the three supplementary reports. No additional search database was introduced.</w:t>
      </w:r>
    </w:p>
    <w:p w14:paraId="4A30E7B6" w14:textId="31E0961C" w:rsidR="007E77F1" w:rsidRPr="000A2871" w:rsidRDefault="007E77F1" w:rsidP="007051EA">
      <w:pPr>
        <w:spacing w:before="180" w:after="100" w:line="360" w:lineRule="auto"/>
        <w:rPr>
          <w:rFonts w:ascii="Arial" w:hAnsi="Arial" w:cs="Arial"/>
        </w:rPr>
      </w:pPr>
      <w:r w:rsidRPr="000A2871">
        <w:rPr>
          <w:rFonts w:ascii="Arial" w:hAnsi="Arial" w:cs="Arial"/>
        </w:rPr>
        <w:t>Table 3.2. Imported records before deduplication</w:t>
      </w:r>
    </w:p>
    <w:tbl>
      <w:tblPr>
        <w:tblW w:w="889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865"/>
        <w:gridCol w:w="1170"/>
        <w:gridCol w:w="4860"/>
      </w:tblGrid>
      <w:tr w:rsidR="007E77F1" w:rsidRPr="000A2871" w14:paraId="2AC5BAC6" w14:textId="77777777" w:rsidTr="001A2D87">
        <w:trPr>
          <w:trHeight w:val="495"/>
        </w:trPr>
        <w:tc>
          <w:tcPr>
            <w:tcW w:w="2865" w:type="dxa"/>
            <w:shd w:val="clear" w:color="auto" w:fill="FFFFFF" w:themeFill="background1"/>
            <w:tcMar>
              <w:top w:w="80" w:type="dxa"/>
              <w:left w:w="80" w:type="dxa"/>
              <w:bottom w:w="80" w:type="dxa"/>
              <w:right w:w="80" w:type="dxa"/>
            </w:tcMar>
          </w:tcPr>
          <w:p w14:paraId="51360530" w14:textId="77777777" w:rsidR="007E77F1" w:rsidRPr="00836BD8" w:rsidRDefault="007E77F1" w:rsidP="000A2871">
            <w:pPr>
              <w:spacing w:line="360" w:lineRule="auto"/>
              <w:rPr>
                <w:rFonts w:ascii="Arial" w:hAnsi="Arial" w:cs="Arial"/>
                <w:b/>
                <w:bCs/>
                <w:sz w:val="21"/>
                <w:szCs w:val="21"/>
              </w:rPr>
            </w:pPr>
            <w:r w:rsidRPr="00836BD8">
              <w:rPr>
                <w:rFonts w:ascii="Arial" w:hAnsi="Arial" w:cs="Arial"/>
                <w:b/>
                <w:bCs/>
                <w:sz w:val="21"/>
                <w:szCs w:val="21"/>
              </w:rPr>
              <w:t>Source</w:t>
            </w:r>
          </w:p>
        </w:tc>
        <w:tc>
          <w:tcPr>
            <w:tcW w:w="1170" w:type="dxa"/>
            <w:shd w:val="clear" w:color="auto" w:fill="FFFFFF" w:themeFill="background1"/>
            <w:tcMar>
              <w:top w:w="80" w:type="dxa"/>
              <w:left w:w="80" w:type="dxa"/>
              <w:bottom w:w="80" w:type="dxa"/>
              <w:right w:w="80" w:type="dxa"/>
            </w:tcMar>
          </w:tcPr>
          <w:p w14:paraId="2071D4A3" w14:textId="77777777" w:rsidR="007E77F1" w:rsidRPr="00836BD8" w:rsidRDefault="007E77F1" w:rsidP="000A2871">
            <w:pPr>
              <w:spacing w:line="360" w:lineRule="auto"/>
              <w:jc w:val="center"/>
              <w:rPr>
                <w:rFonts w:ascii="Arial" w:hAnsi="Arial" w:cs="Arial"/>
                <w:b/>
                <w:bCs/>
                <w:sz w:val="21"/>
                <w:szCs w:val="21"/>
              </w:rPr>
            </w:pPr>
            <w:r w:rsidRPr="00836BD8">
              <w:rPr>
                <w:rFonts w:ascii="Arial" w:hAnsi="Arial" w:cs="Arial"/>
                <w:b/>
                <w:bCs/>
                <w:sz w:val="21"/>
                <w:szCs w:val="21"/>
              </w:rPr>
              <w:t>Records</w:t>
            </w:r>
          </w:p>
        </w:tc>
        <w:tc>
          <w:tcPr>
            <w:tcW w:w="4860" w:type="dxa"/>
            <w:shd w:val="clear" w:color="auto" w:fill="FFFFFF" w:themeFill="background1"/>
            <w:tcMar>
              <w:top w:w="80" w:type="dxa"/>
              <w:left w:w="80" w:type="dxa"/>
              <w:bottom w:w="80" w:type="dxa"/>
              <w:right w:w="80" w:type="dxa"/>
            </w:tcMar>
          </w:tcPr>
          <w:p w14:paraId="49F72EA8" w14:textId="77777777" w:rsidR="007E77F1" w:rsidRPr="00836BD8" w:rsidRDefault="007E77F1" w:rsidP="000A2871">
            <w:pPr>
              <w:spacing w:line="360" w:lineRule="auto"/>
              <w:rPr>
                <w:rFonts w:ascii="Arial" w:hAnsi="Arial" w:cs="Arial"/>
                <w:b/>
                <w:bCs/>
                <w:sz w:val="21"/>
                <w:szCs w:val="21"/>
              </w:rPr>
            </w:pPr>
            <w:r w:rsidRPr="00836BD8">
              <w:rPr>
                <w:rFonts w:ascii="Arial" w:hAnsi="Arial" w:cs="Arial"/>
                <w:b/>
                <w:bCs/>
                <w:sz w:val="21"/>
                <w:szCs w:val="21"/>
              </w:rPr>
              <w:t>Export basis</w:t>
            </w:r>
          </w:p>
        </w:tc>
      </w:tr>
      <w:tr w:rsidR="007E77F1" w:rsidRPr="000A2871" w14:paraId="548C8B4B" w14:textId="77777777" w:rsidTr="001A2D87">
        <w:trPr>
          <w:trHeight w:val="495"/>
        </w:trPr>
        <w:tc>
          <w:tcPr>
            <w:tcW w:w="2865" w:type="dxa"/>
            <w:shd w:val="clear" w:color="auto" w:fill="FFFFFF" w:themeFill="background1"/>
            <w:tcMar>
              <w:top w:w="80" w:type="dxa"/>
              <w:left w:w="80" w:type="dxa"/>
              <w:bottom w:w="80" w:type="dxa"/>
              <w:right w:w="80" w:type="dxa"/>
            </w:tcMar>
          </w:tcPr>
          <w:p w14:paraId="7E9B0C4D" w14:textId="77777777" w:rsidR="007E77F1" w:rsidRPr="00836BD8" w:rsidRDefault="007E77F1" w:rsidP="000A2871">
            <w:pPr>
              <w:spacing w:line="360" w:lineRule="auto"/>
              <w:rPr>
                <w:rFonts w:ascii="Arial" w:hAnsi="Arial" w:cs="Arial"/>
                <w:sz w:val="21"/>
                <w:szCs w:val="21"/>
              </w:rPr>
            </w:pPr>
            <w:r w:rsidRPr="00836BD8">
              <w:rPr>
                <w:rFonts w:ascii="Arial" w:hAnsi="Arial" w:cs="Arial"/>
                <w:sz w:val="21"/>
                <w:szCs w:val="21"/>
              </w:rPr>
              <w:t>PubMed</w:t>
            </w:r>
          </w:p>
        </w:tc>
        <w:tc>
          <w:tcPr>
            <w:tcW w:w="1170" w:type="dxa"/>
            <w:shd w:val="clear" w:color="auto" w:fill="FFFFFF" w:themeFill="background1"/>
            <w:tcMar>
              <w:top w:w="80" w:type="dxa"/>
              <w:left w:w="80" w:type="dxa"/>
              <w:bottom w:w="80" w:type="dxa"/>
              <w:right w:w="80" w:type="dxa"/>
            </w:tcMar>
          </w:tcPr>
          <w:p w14:paraId="1D33E607" w14:textId="77777777" w:rsidR="007E77F1" w:rsidRPr="00836BD8" w:rsidRDefault="007E77F1" w:rsidP="000A2871">
            <w:pPr>
              <w:spacing w:line="360" w:lineRule="auto"/>
              <w:jc w:val="center"/>
              <w:rPr>
                <w:rFonts w:ascii="Arial" w:hAnsi="Arial" w:cs="Arial"/>
                <w:sz w:val="21"/>
                <w:szCs w:val="21"/>
              </w:rPr>
            </w:pPr>
            <w:r w:rsidRPr="00836BD8">
              <w:rPr>
                <w:rFonts w:ascii="Arial" w:hAnsi="Arial" w:cs="Arial"/>
                <w:sz w:val="21"/>
                <w:szCs w:val="21"/>
              </w:rPr>
              <w:t>69</w:t>
            </w:r>
          </w:p>
        </w:tc>
        <w:tc>
          <w:tcPr>
            <w:tcW w:w="4860" w:type="dxa"/>
            <w:shd w:val="clear" w:color="auto" w:fill="FFFFFF" w:themeFill="background1"/>
            <w:tcMar>
              <w:top w:w="80" w:type="dxa"/>
              <w:left w:w="80" w:type="dxa"/>
              <w:bottom w:w="80" w:type="dxa"/>
              <w:right w:w="80" w:type="dxa"/>
            </w:tcMar>
          </w:tcPr>
          <w:p w14:paraId="6B0C5E5A" w14:textId="77777777" w:rsidR="007E77F1" w:rsidRPr="00836BD8" w:rsidRDefault="007E77F1" w:rsidP="000A2871">
            <w:pPr>
              <w:spacing w:line="360" w:lineRule="auto"/>
              <w:rPr>
                <w:rFonts w:ascii="Arial" w:hAnsi="Arial" w:cs="Arial"/>
                <w:sz w:val="21"/>
                <w:szCs w:val="21"/>
              </w:rPr>
            </w:pPr>
            <w:r w:rsidRPr="00836BD8">
              <w:rPr>
                <w:rFonts w:ascii="Arial" w:hAnsi="Arial" w:cs="Arial"/>
                <w:sz w:val="21"/>
                <w:szCs w:val="21"/>
              </w:rPr>
              <w:t>NBIB</w:t>
            </w:r>
          </w:p>
        </w:tc>
      </w:tr>
      <w:tr w:rsidR="007E77F1" w:rsidRPr="000A2871" w14:paraId="7486D53C" w14:textId="77777777" w:rsidTr="001A2D87">
        <w:trPr>
          <w:trHeight w:val="495"/>
        </w:trPr>
        <w:tc>
          <w:tcPr>
            <w:tcW w:w="2865" w:type="dxa"/>
            <w:shd w:val="clear" w:color="auto" w:fill="FFFFFF" w:themeFill="background1"/>
            <w:tcMar>
              <w:top w:w="80" w:type="dxa"/>
              <w:left w:w="80" w:type="dxa"/>
              <w:bottom w:w="80" w:type="dxa"/>
              <w:right w:w="80" w:type="dxa"/>
            </w:tcMar>
          </w:tcPr>
          <w:p w14:paraId="2EC8ABF7" w14:textId="77777777" w:rsidR="007E77F1" w:rsidRPr="00836BD8" w:rsidRDefault="007E77F1" w:rsidP="000A2871">
            <w:pPr>
              <w:spacing w:line="360" w:lineRule="auto"/>
              <w:rPr>
                <w:rFonts w:ascii="Arial" w:hAnsi="Arial" w:cs="Arial"/>
                <w:sz w:val="21"/>
                <w:szCs w:val="21"/>
              </w:rPr>
            </w:pPr>
            <w:r w:rsidRPr="00836BD8">
              <w:rPr>
                <w:rFonts w:ascii="Arial" w:hAnsi="Arial" w:cs="Arial"/>
                <w:sz w:val="21"/>
                <w:szCs w:val="21"/>
              </w:rPr>
              <w:t>ScienceDirect</w:t>
            </w:r>
          </w:p>
        </w:tc>
        <w:tc>
          <w:tcPr>
            <w:tcW w:w="1170" w:type="dxa"/>
            <w:shd w:val="clear" w:color="auto" w:fill="FFFFFF" w:themeFill="background1"/>
            <w:tcMar>
              <w:top w:w="80" w:type="dxa"/>
              <w:left w:w="80" w:type="dxa"/>
              <w:bottom w:w="80" w:type="dxa"/>
              <w:right w:w="80" w:type="dxa"/>
            </w:tcMar>
          </w:tcPr>
          <w:p w14:paraId="6379F5E6" w14:textId="77777777" w:rsidR="007E77F1" w:rsidRPr="00836BD8" w:rsidRDefault="007E77F1" w:rsidP="000A2871">
            <w:pPr>
              <w:spacing w:line="360" w:lineRule="auto"/>
              <w:jc w:val="center"/>
              <w:rPr>
                <w:rFonts w:ascii="Arial" w:hAnsi="Arial" w:cs="Arial"/>
                <w:sz w:val="21"/>
                <w:szCs w:val="21"/>
              </w:rPr>
            </w:pPr>
            <w:r w:rsidRPr="00836BD8">
              <w:rPr>
                <w:rFonts w:ascii="Arial" w:hAnsi="Arial" w:cs="Arial"/>
                <w:sz w:val="21"/>
                <w:szCs w:val="21"/>
              </w:rPr>
              <w:t>2,766</w:t>
            </w:r>
          </w:p>
        </w:tc>
        <w:tc>
          <w:tcPr>
            <w:tcW w:w="4860" w:type="dxa"/>
            <w:shd w:val="clear" w:color="auto" w:fill="FFFFFF" w:themeFill="background1"/>
            <w:tcMar>
              <w:top w:w="80" w:type="dxa"/>
              <w:left w:w="80" w:type="dxa"/>
              <w:bottom w:w="80" w:type="dxa"/>
              <w:right w:w="80" w:type="dxa"/>
            </w:tcMar>
          </w:tcPr>
          <w:p w14:paraId="58DB6A38" w14:textId="77777777" w:rsidR="007E77F1" w:rsidRPr="00836BD8" w:rsidRDefault="007E77F1" w:rsidP="000A2871">
            <w:pPr>
              <w:spacing w:line="360" w:lineRule="auto"/>
              <w:rPr>
                <w:rFonts w:ascii="Arial" w:hAnsi="Arial" w:cs="Arial"/>
                <w:sz w:val="21"/>
                <w:szCs w:val="21"/>
              </w:rPr>
            </w:pPr>
            <w:r w:rsidRPr="00836BD8">
              <w:rPr>
                <w:rFonts w:ascii="Arial" w:hAnsi="Arial" w:cs="Arial"/>
                <w:sz w:val="21"/>
                <w:szCs w:val="21"/>
              </w:rPr>
              <w:t>28 unique RIS batches</w:t>
            </w:r>
          </w:p>
        </w:tc>
      </w:tr>
      <w:tr w:rsidR="007E77F1" w:rsidRPr="000A2871" w14:paraId="33DFCE85" w14:textId="77777777" w:rsidTr="001A2D87">
        <w:trPr>
          <w:trHeight w:val="810"/>
        </w:trPr>
        <w:tc>
          <w:tcPr>
            <w:tcW w:w="2865" w:type="dxa"/>
            <w:shd w:val="clear" w:color="auto" w:fill="FFFFFF" w:themeFill="background1"/>
            <w:tcMar>
              <w:top w:w="80" w:type="dxa"/>
              <w:left w:w="80" w:type="dxa"/>
              <w:bottom w:w="80" w:type="dxa"/>
              <w:right w:w="80" w:type="dxa"/>
            </w:tcMar>
          </w:tcPr>
          <w:p w14:paraId="73AF5867" w14:textId="77777777" w:rsidR="007E77F1" w:rsidRPr="00836BD8" w:rsidRDefault="007E77F1" w:rsidP="000A2871">
            <w:pPr>
              <w:spacing w:line="360" w:lineRule="auto"/>
              <w:rPr>
                <w:rFonts w:ascii="Arial" w:hAnsi="Arial" w:cs="Arial"/>
                <w:sz w:val="21"/>
                <w:szCs w:val="21"/>
              </w:rPr>
            </w:pPr>
            <w:r w:rsidRPr="00836BD8">
              <w:rPr>
                <w:rFonts w:ascii="Arial" w:hAnsi="Arial" w:cs="Arial"/>
                <w:sz w:val="21"/>
                <w:szCs w:val="21"/>
              </w:rPr>
              <w:t>Specified BMC journals</w:t>
            </w:r>
          </w:p>
        </w:tc>
        <w:tc>
          <w:tcPr>
            <w:tcW w:w="1170" w:type="dxa"/>
            <w:shd w:val="clear" w:color="auto" w:fill="FFFFFF" w:themeFill="background1"/>
            <w:tcMar>
              <w:top w:w="80" w:type="dxa"/>
              <w:left w:w="80" w:type="dxa"/>
              <w:bottom w:w="80" w:type="dxa"/>
              <w:right w:w="80" w:type="dxa"/>
            </w:tcMar>
          </w:tcPr>
          <w:p w14:paraId="28DF6021" w14:textId="77777777" w:rsidR="007E77F1" w:rsidRPr="00836BD8" w:rsidRDefault="007E77F1" w:rsidP="000A2871">
            <w:pPr>
              <w:spacing w:line="360" w:lineRule="auto"/>
              <w:jc w:val="center"/>
              <w:rPr>
                <w:rFonts w:ascii="Arial" w:hAnsi="Arial" w:cs="Arial"/>
                <w:sz w:val="21"/>
                <w:szCs w:val="21"/>
              </w:rPr>
            </w:pPr>
            <w:r w:rsidRPr="00836BD8">
              <w:rPr>
                <w:rFonts w:ascii="Arial" w:hAnsi="Arial" w:cs="Arial"/>
                <w:sz w:val="21"/>
                <w:szCs w:val="21"/>
              </w:rPr>
              <w:t>142</w:t>
            </w:r>
          </w:p>
        </w:tc>
        <w:tc>
          <w:tcPr>
            <w:tcW w:w="4860" w:type="dxa"/>
            <w:shd w:val="clear" w:color="auto" w:fill="FFFFFF" w:themeFill="background1"/>
            <w:tcMar>
              <w:top w:w="80" w:type="dxa"/>
              <w:left w:w="80" w:type="dxa"/>
              <w:bottom w:w="80" w:type="dxa"/>
              <w:right w:w="80" w:type="dxa"/>
            </w:tcMar>
          </w:tcPr>
          <w:p w14:paraId="1C779D72" w14:textId="77777777" w:rsidR="007E77F1" w:rsidRPr="00836BD8" w:rsidRDefault="007E77F1" w:rsidP="000A2871">
            <w:pPr>
              <w:spacing w:line="360" w:lineRule="auto"/>
              <w:rPr>
                <w:rFonts w:ascii="Arial" w:hAnsi="Arial" w:cs="Arial"/>
                <w:sz w:val="21"/>
                <w:szCs w:val="21"/>
              </w:rPr>
            </w:pPr>
            <w:r w:rsidRPr="00836BD8">
              <w:rPr>
                <w:rFonts w:ascii="Arial" w:hAnsi="Arial" w:cs="Arial"/>
                <w:sz w:val="21"/>
                <w:szCs w:val="21"/>
              </w:rPr>
              <w:t>Nine non-empty CSV exports; ten journal searches</w:t>
            </w:r>
          </w:p>
        </w:tc>
      </w:tr>
      <w:tr w:rsidR="007E77F1" w:rsidRPr="000A2871" w14:paraId="6BBB8A4E" w14:textId="77777777" w:rsidTr="001A2D87">
        <w:trPr>
          <w:trHeight w:val="495"/>
        </w:trPr>
        <w:tc>
          <w:tcPr>
            <w:tcW w:w="2865" w:type="dxa"/>
            <w:shd w:val="clear" w:color="auto" w:fill="FFFFFF" w:themeFill="background1"/>
            <w:tcMar>
              <w:top w:w="80" w:type="dxa"/>
              <w:left w:w="80" w:type="dxa"/>
              <w:bottom w:w="80" w:type="dxa"/>
              <w:right w:w="80" w:type="dxa"/>
            </w:tcMar>
          </w:tcPr>
          <w:p w14:paraId="2C028F52" w14:textId="77777777" w:rsidR="007E77F1" w:rsidRPr="00836BD8" w:rsidRDefault="007E77F1" w:rsidP="000A2871">
            <w:pPr>
              <w:spacing w:line="360" w:lineRule="auto"/>
              <w:rPr>
                <w:rFonts w:ascii="Arial" w:hAnsi="Arial" w:cs="Arial"/>
                <w:sz w:val="21"/>
                <w:szCs w:val="21"/>
              </w:rPr>
            </w:pPr>
            <w:r w:rsidRPr="00836BD8">
              <w:rPr>
                <w:rFonts w:ascii="Arial" w:hAnsi="Arial" w:cs="Arial"/>
                <w:sz w:val="21"/>
                <w:szCs w:val="21"/>
              </w:rPr>
              <w:t>Original total</w:t>
            </w:r>
          </w:p>
        </w:tc>
        <w:tc>
          <w:tcPr>
            <w:tcW w:w="1170" w:type="dxa"/>
            <w:shd w:val="clear" w:color="auto" w:fill="FFFFFF" w:themeFill="background1"/>
            <w:tcMar>
              <w:top w:w="80" w:type="dxa"/>
              <w:left w:w="80" w:type="dxa"/>
              <w:bottom w:w="80" w:type="dxa"/>
              <w:right w:w="80" w:type="dxa"/>
            </w:tcMar>
          </w:tcPr>
          <w:p w14:paraId="79410FCE" w14:textId="77777777" w:rsidR="007E77F1" w:rsidRPr="00836BD8" w:rsidRDefault="007E77F1" w:rsidP="000A2871">
            <w:pPr>
              <w:spacing w:line="360" w:lineRule="auto"/>
              <w:jc w:val="center"/>
              <w:rPr>
                <w:rFonts w:ascii="Arial" w:hAnsi="Arial" w:cs="Arial"/>
                <w:sz w:val="21"/>
                <w:szCs w:val="21"/>
              </w:rPr>
            </w:pPr>
            <w:r w:rsidRPr="00836BD8">
              <w:rPr>
                <w:rFonts w:ascii="Arial" w:hAnsi="Arial" w:cs="Arial"/>
                <w:sz w:val="21"/>
                <w:szCs w:val="21"/>
              </w:rPr>
              <w:t>2,977</w:t>
            </w:r>
          </w:p>
        </w:tc>
        <w:tc>
          <w:tcPr>
            <w:tcW w:w="4860" w:type="dxa"/>
            <w:shd w:val="clear" w:color="auto" w:fill="FFFFFF" w:themeFill="background1"/>
            <w:tcMar>
              <w:top w:w="80" w:type="dxa"/>
              <w:left w:w="80" w:type="dxa"/>
              <w:bottom w:w="80" w:type="dxa"/>
              <w:right w:w="80" w:type="dxa"/>
            </w:tcMar>
          </w:tcPr>
          <w:p w14:paraId="50085BEE" w14:textId="77777777" w:rsidR="007E77F1" w:rsidRPr="00836BD8" w:rsidRDefault="007E77F1" w:rsidP="000A2871">
            <w:pPr>
              <w:spacing w:line="360" w:lineRule="auto"/>
              <w:rPr>
                <w:rFonts w:ascii="Arial" w:hAnsi="Arial" w:cs="Arial"/>
                <w:sz w:val="21"/>
                <w:szCs w:val="21"/>
              </w:rPr>
            </w:pPr>
            <w:r w:rsidRPr="00836BD8">
              <w:rPr>
                <w:rFonts w:ascii="Arial" w:hAnsi="Arial" w:cs="Arial"/>
                <w:sz w:val="21"/>
                <w:szCs w:val="21"/>
              </w:rPr>
              <w:t>Combined imported records</w:t>
            </w:r>
          </w:p>
        </w:tc>
      </w:tr>
      <w:tr w:rsidR="007E77F1" w:rsidRPr="000A2871" w14:paraId="16036B11" w14:textId="77777777" w:rsidTr="001A2D87">
        <w:trPr>
          <w:trHeight w:val="495"/>
        </w:trPr>
        <w:tc>
          <w:tcPr>
            <w:tcW w:w="2865" w:type="dxa"/>
            <w:shd w:val="clear" w:color="auto" w:fill="FFFFFF" w:themeFill="background1"/>
            <w:tcMar>
              <w:top w:w="80" w:type="dxa"/>
              <w:left w:w="80" w:type="dxa"/>
              <w:bottom w:w="80" w:type="dxa"/>
              <w:right w:w="80" w:type="dxa"/>
            </w:tcMar>
          </w:tcPr>
          <w:p w14:paraId="14B5D22B" w14:textId="77777777" w:rsidR="007E77F1" w:rsidRPr="00836BD8" w:rsidRDefault="007E77F1" w:rsidP="000A2871">
            <w:pPr>
              <w:spacing w:line="360" w:lineRule="auto"/>
              <w:rPr>
                <w:rFonts w:ascii="Arial" w:hAnsi="Arial" w:cs="Arial"/>
                <w:sz w:val="21"/>
                <w:szCs w:val="21"/>
              </w:rPr>
            </w:pPr>
            <w:r w:rsidRPr="00836BD8">
              <w:rPr>
                <w:rFonts w:ascii="Arial" w:hAnsi="Arial" w:cs="Arial"/>
                <w:sz w:val="21"/>
                <w:szCs w:val="21"/>
              </w:rPr>
              <w:t>Supplementary PubMed</w:t>
            </w:r>
          </w:p>
        </w:tc>
        <w:tc>
          <w:tcPr>
            <w:tcW w:w="1170" w:type="dxa"/>
            <w:shd w:val="clear" w:color="auto" w:fill="FFFFFF" w:themeFill="background1"/>
            <w:tcMar>
              <w:top w:w="80" w:type="dxa"/>
              <w:left w:w="80" w:type="dxa"/>
              <w:bottom w:w="80" w:type="dxa"/>
              <w:right w:w="80" w:type="dxa"/>
            </w:tcMar>
          </w:tcPr>
          <w:p w14:paraId="1E4C6A9B" w14:textId="77777777" w:rsidR="007E77F1" w:rsidRPr="00836BD8" w:rsidRDefault="007E77F1" w:rsidP="000A2871">
            <w:pPr>
              <w:spacing w:line="360" w:lineRule="auto"/>
              <w:jc w:val="center"/>
              <w:rPr>
                <w:rFonts w:ascii="Arial" w:hAnsi="Arial" w:cs="Arial"/>
                <w:sz w:val="21"/>
                <w:szCs w:val="21"/>
              </w:rPr>
            </w:pPr>
            <w:r w:rsidRPr="00836BD8">
              <w:rPr>
                <w:rFonts w:ascii="Arial" w:hAnsi="Arial" w:cs="Arial"/>
                <w:sz w:val="21"/>
                <w:szCs w:val="21"/>
              </w:rPr>
              <w:t>3</w:t>
            </w:r>
          </w:p>
        </w:tc>
        <w:tc>
          <w:tcPr>
            <w:tcW w:w="4860" w:type="dxa"/>
            <w:shd w:val="clear" w:color="auto" w:fill="FFFFFF" w:themeFill="background1"/>
            <w:tcMar>
              <w:top w:w="80" w:type="dxa"/>
              <w:left w:w="80" w:type="dxa"/>
              <w:bottom w:w="80" w:type="dxa"/>
              <w:right w:w="80" w:type="dxa"/>
            </w:tcMar>
          </w:tcPr>
          <w:p w14:paraId="74A26B83" w14:textId="71246BBA" w:rsidR="007E77F1" w:rsidRPr="00836BD8" w:rsidRDefault="007E77F1" w:rsidP="000A2871">
            <w:pPr>
              <w:spacing w:line="360" w:lineRule="auto"/>
              <w:rPr>
                <w:rFonts w:ascii="Arial" w:hAnsi="Arial" w:cs="Arial"/>
                <w:sz w:val="21"/>
                <w:szCs w:val="21"/>
              </w:rPr>
            </w:pPr>
            <w:r w:rsidRPr="00836BD8">
              <w:rPr>
                <w:rFonts w:ascii="Arial" w:hAnsi="Arial" w:cs="Arial"/>
                <w:sz w:val="21"/>
                <w:szCs w:val="21"/>
              </w:rPr>
              <w:t xml:space="preserve">Known-item retrieval, </w:t>
            </w:r>
            <w:r w:rsidR="00A76190" w:rsidRPr="00836BD8">
              <w:rPr>
                <w:rFonts w:ascii="Arial" w:hAnsi="Arial" w:cs="Arial"/>
                <w:sz w:val="21"/>
                <w:szCs w:val="21"/>
              </w:rPr>
              <w:t>24 September</w:t>
            </w:r>
            <w:r w:rsidRPr="00836BD8">
              <w:rPr>
                <w:rFonts w:ascii="Arial" w:hAnsi="Arial" w:cs="Arial"/>
                <w:sz w:val="21"/>
                <w:szCs w:val="21"/>
              </w:rPr>
              <w:t xml:space="preserve"> 2026</w:t>
            </w:r>
          </w:p>
        </w:tc>
      </w:tr>
      <w:tr w:rsidR="007E77F1" w:rsidRPr="000A2871" w14:paraId="09FA78A0" w14:textId="77777777" w:rsidTr="001A2D87">
        <w:trPr>
          <w:trHeight w:val="495"/>
        </w:trPr>
        <w:tc>
          <w:tcPr>
            <w:tcW w:w="2865" w:type="dxa"/>
            <w:shd w:val="clear" w:color="auto" w:fill="FFFFFF" w:themeFill="background1"/>
            <w:tcMar>
              <w:top w:w="80" w:type="dxa"/>
              <w:left w:w="80" w:type="dxa"/>
              <w:bottom w:w="80" w:type="dxa"/>
              <w:right w:w="80" w:type="dxa"/>
            </w:tcMar>
          </w:tcPr>
          <w:p w14:paraId="1C2F2300" w14:textId="77777777" w:rsidR="007E77F1" w:rsidRPr="00836BD8" w:rsidRDefault="007E77F1" w:rsidP="000A2871">
            <w:pPr>
              <w:spacing w:line="360" w:lineRule="auto"/>
              <w:rPr>
                <w:rFonts w:ascii="Arial" w:hAnsi="Arial" w:cs="Arial"/>
                <w:sz w:val="21"/>
                <w:szCs w:val="21"/>
              </w:rPr>
            </w:pPr>
            <w:r w:rsidRPr="00836BD8">
              <w:rPr>
                <w:rFonts w:ascii="Arial" w:hAnsi="Arial" w:cs="Arial"/>
                <w:sz w:val="21"/>
                <w:szCs w:val="21"/>
              </w:rPr>
              <w:t>Combined total</w:t>
            </w:r>
          </w:p>
        </w:tc>
        <w:tc>
          <w:tcPr>
            <w:tcW w:w="1170" w:type="dxa"/>
            <w:shd w:val="clear" w:color="auto" w:fill="FFFFFF" w:themeFill="background1"/>
            <w:tcMar>
              <w:top w:w="80" w:type="dxa"/>
              <w:left w:w="80" w:type="dxa"/>
              <w:bottom w:w="80" w:type="dxa"/>
              <w:right w:w="80" w:type="dxa"/>
            </w:tcMar>
          </w:tcPr>
          <w:p w14:paraId="575E76D6" w14:textId="77777777" w:rsidR="007E77F1" w:rsidRPr="00836BD8" w:rsidRDefault="007E77F1" w:rsidP="000A2871">
            <w:pPr>
              <w:spacing w:line="360" w:lineRule="auto"/>
              <w:jc w:val="center"/>
              <w:rPr>
                <w:rFonts w:ascii="Arial" w:hAnsi="Arial" w:cs="Arial"/>
                <w:sz w:val="21"/>
                <w:szCs w:val="21"/>
              </w:rPr>
            </w:pPr>
            <w:r w:rsidRPr="00836BD8">
              <w:rPr>
                <w:rFonts w:ascii="Arial" w:hAnsi="Arial" w:cs="Arial"/>
                <w:sz w:val="21"/>
                <w:szCs w:val="21"/>
              </w:rPr>
              <w:t>2,980</w:t>
            </w:r>
          </w:p>
        </w:tc>
        <w:tc>
          <w:tcPr>
            <w:tcW w:w="4860" w:type="dxa"/>
            <w:shd w:val="clear" w:color="auto" w:fill="FFFFFF" w:themeFill="background1"/>
            <w:tcMar>
              <w:top w:w="80" w:type="dxa"/>
              <w:left w:w="80" w:type="dxa"/>
              <w:bottom w:w="80" w:type="dxa"/>
              <w:right w:w="80" w:type="dxa"/>
            </w:tcMar>
          </w:tcPr>
          <w:p w14:paraId="5E01E6A7" w14:textId="77777777" w:rsidR="007E77F1" w:rsidRPr="00836BD8" w:rsidRDefault="007E77F1" w:rsidP="000A2871">
            <w:pPr>
              <w:spacing w:line="360" w:lineRule="auto"/>
              <w:rPr>
                <w:rFonts w:ascii="Arial" w:hAnsi="Arial" w:cs="Arial"/>
                <w:sz w:val="21"/>
                <w:szCs w:val="21"/>
              </w:rPr>
            </w:pPr>
            <w:r w:rsidRPr="00836BD8">
              <w:rPr>
                <w:rFonts w:ascii="Arial" w:hAnsi="Arial" w:cs="Arial"/>
                <w:sz w:val="21"/>
                <w:szCs w:val="21"/>
              </w:rPr>
              <w:t>Original exports plus supplementary retrieval</w:t>
            </w:r>
          </w:p>
        </w:tc>
      </w:tr>
    </w:tbl>
    <w:p w14:paraId="68F25170" w14:textId="77777777" w:rsidR="007E77F1" w:rsidRPr="000A2871" w:rsidRDefault="007E77F1" w:rsidP="00FA7C32">
      <w:pPr>
        <w:spacing w:line="360" w:lineRule="auto"/>
        <w:ind w:left="10"/>
        <w:rPr>
          <w:rFonts w:ascii="Arial" w:hAnsi="Arial" w:cs="Arial"/>
        </w:rPr>
      </w:pPr>
      <w:r w:rsidRPr="000A2871">
        <w:rPr>
          <w:rFonts w:ascii="Arial" w:hAnsi="Arial" w:cs="Arial"/>
        </w:rPr>
        <w:t xml:space="preserve"> </w:t>
      </w:r>
    </w:p>
    <w:p w14:paraId="332B222F" w14:textId="56D02CA7" w:rsidR="007E77F1" w:rsidRPr="000A2871" w:rsidRDefault="007E77F1" w:rsidP="00FA7C32">
      <w:pPr>
        <w:spacing w:after="120" w:line="360" w:lineRule="auto"/>
        <w:ind w:left="10"/>
        <w:rPr>
          <w:rFonts w:ascii="Arial" w:hAnsi="Arial" w:cs="Arial"/>
        </w:rPr>
      </w:pPr>
      <w:r w:rsidRPr="000A2871">
        <w:rPr>
          <w:rFonts w:ascii="Arial" w:hAnsi="Arial" w:cs="Arial"/>
        </w:rPr>
        <w:t xml:space="preserve">The publication window is 2016–2026. The original PubMed query specifies a date range ending on </w:t>
      </w:r>
      <w:r w:rsidR="00A76190">
        <w:rPr>
          <w:rFonts w:ascii="Arial" w:hAnsi="Arial" w:cs="Arial"/>
        </w:rPr>
        <w:t>12 September</w:t>
      </w:r>
      <w:r w:rsidRPr="000A2871">
        <w:rPr>
          <w:rFonts w:ascii="Arial" w:hAnsi="Arial" w:cs="Arial"/>
        </w:rPr>
        <w:t xml:space="preserve">, but an additional active filter ends on 25 September 2026. ScienceDirect and BMC records show 2016–2026 filters. The appendix preserves these details and records the supplementary query separately. It does not imply that targeted retrieval extends comprehensive search coverage through </w:t>
      </w:r>
      <w:r w:rsidR="00A76190">
        <w:rPr>
          <w:rFonts w:ascii="Arial" w:hAnsi="Arial" w:cs="Arial"/>
        </w:rPr>
        <w:t>24 September</w:t>
      </w:r>
      <w:r w:rsidRPr="000A2871">
        <w:rPr>
          <w:rFonts w:ascii="Arial" w:hAnsi="Arial" w:cs="Arial"/>
        </w:rPr>
        <w:t>.</w:t>
      </w:r>
      <w:r w:rsidR="007051EA">
        <w:rPr>
          <w:rFonts w:ascii="Arial" w:hAnsi="Arial" w:cs="Arial"/>
        </w:rPr>
        <w:br/>
      </w:r>
    </w:p>
    <w:p w14:paraId="18CB3F84" w14:textId="0AF1CC2B" w:rsidR="007E77F1" w:rsidRPr="000A2871" w:rsidRDefault="007E77F1" w:rsidP="00FA7C32">
      <w:pPr>
        <w:pStyle w:val="Heading2"/>
        <w:keepNext w:val="0"/>
        <w:keepLines w:val="0"/>
        <w:spacing w:after="80" w:line="360" w:lineRule="auto"/>
        <w:ind w:left="20"/>
        <w:jc w:val="left"/>
        <w:rPr>
          <w:rFonts w:ascii="Arial" w:hAnsi="Arial" w:cs="Arial"/>
          <w:b w:val="0"/>
          <w:bCs/>
          <w:sz w:val="34"/>
          <w:szCs w:val="34"/>
        </w:rPr>
      </w:pPr>
      <w:bookmarkStart w:id="61" w:name="_wyujz3drlnjl" w:colFirst="0" w:colLast="0"/>
      <w:bookmarkStart w:id="62" w:name="_Toc242459537"/>
      <w:bookmarkEnd w:id="61"/>
      <w:r w:rsidRPr="000A2871">
        <w:rPr>
          <w:rFonts w:ascii="Arial" w:hAnsi="Arial" w:cs="Arial"/>
          <w:bCs/>
          <w:sz w:val="34"/>
          <w:szCs w:val="34"/>
        </w:rPr>
        <w:t>3.4 Search strategy and record management</w:t>
      </w:r>
      <w:bookmarkEnd w:id="62"/>
    </w:p>
    <w:p w14:paraId="485067A5" w14:textId="7A7E760C" w:rsidR="007E77F1" w:rsidRPr="000A2871" w:rsidRDefault="007E77F1" w:rsidP="00FA7C32">
      <w:pPr>
        <w:spacing w:after="120" w:line="360" w:lineRule="auto"/>
        <w:ind w:left="10"/>
        <w:rPr>
          <w:rFonts w:ascii="Arial" w:hAnsi="Arial" w:cs="Arial"/>
        </w:rPr>
      </w:pPr>
      <w:r w:rsidRPr="000A2871">
        <w:rPr>
          <w:rFonts w:ascii="Arial" w:hAnsi="Arial" w:cs="Arial"/>
        </w:rPr>
        <w:t xml:space="preserve">The PubMed strategy combines population, obesity or weight, determinant or intervention, qualitative-method and UK terms. It uses subject headings and title/abstract fields. ScienceDirect and BMC use shorter platform-specific combinations. This approach may miss relevant papers indexed only under healthy eating, food environments or workplace health. Reference checking and examination of the eleven nominated reports support </w:t>
      </w:r>
      <w:r w:rsidR="0043160E">
        <w:rPr>
          <w:rFonts w:ascii="Arial" w:hAnsi="Arial" w:cs="Arial"/>
        </w:rPr>
        <w:lastRenderedPageBreak/>
        <w:t>verification but</w:t>
      </w:r>
      <w:r w:rsidRPr="000A2871">
        <w:rPr>
          <w:rFonts w:ascii="Arial" w:hAnsi="Arial" w:cs="Arial"/>
        </w:rPr>
        <w:t xml:space="preserve"> do not demonstrate comprehensive retrieval (Harris et al., 2018; Rethlefsen et al., 2021).</w:t>
      </w:r>
    </w:p>
    <w:p w14:paraId="4FA503BA" w14:textId="77777777" w:rsidR="007E77F1" w:rsidRPr="000A2871" w:rsidRDefault="007E77F1" w:rsidP="00FA7C32">
      <w:pPr>
        <w:spacing w:after="120" w:line="360" w:lineRule="auto"/>
        <w:ind w:left="10"/>
        <w:rPr>
          <w:rFonts w:ascii="Arial" w:hAnsi="Arial" w:cs="Arial"/>
        </w:rPr>
      </w:pPr>
      <w:r w:rsidRPr="000A2871">
        <w:rPr>
          <w:rFonts w:ascii="Arial" w:hAnsi="Arial" w:cs="Arial"/>
        </w:rPr>
        <w:t>The imported records total 2,977. Eleven exact-DOI duplicates were removed, leaving 2,966 unique records. An identical export file was not imported twice; this is separate from the eleven citation removals. Of the retained records, 829 have no abstract, making decisions from titles alone particularly uncertain. Record IDs were retained, with a crosswalk where earlier versions used different IDs for Tang and Scott.</w:t>
      </w:r>
    </w:p>
    <w:p w14:paraId="088CC7CC" w14:textId="77777777" w:rsidR="007E77F1" w:rsidRPr="000A2871" w:rsidRDefault="007E77F1" w:rsidP="00FA7C32">
      <w:pPr>
        <w:spacing w:after="120" w:line="360" w:lineRule="auto"/>
        <w:ind w:left="10"/>
        <w:rPr>
          <w:rFonts w:ascii="Arial" w:hAnsi="Arial" w:cs="Arial"/>
        </w:rPr>
      </w:pPr>
      <w:r w:rsidRPr="000A2871">
        <w:rPr>
          <w:rFonts w:ascii="Arial" w:hAnsi="Arial" w:cs="Arial"/>
        </w:rPr>
        <w:t>The supplementary PubMed query used PMID 31416148, 34068242 and 41132563 and returned three records. DOI checks confirmed that these were absent from the 2,966-record set. Combined identification therefore totals 2,980 records, with eleven duplicate removals and 2,969 unique records across the original and supplementary sets. The new dissertation IDs S0001–S0003 distinguish these additions from the original R-series IDs.</w:t>
      </w:r>
    </w:p>
    <w:p w14:paraId="1BD98CB1" w14:textId="1533E8DF" w:rsidR="007E77F1" w:rsidRPr="000A2871" w:rsidRDefault="007E77F1" w:rsidP="00FA7C32">
      <w:pPr>
        <w:spacing w:after="120" w:line="360" w:lineRule="auto"/>
        <w:ind w:left="10"/>
        <w:rPr>
          <w:rFonts w:ascii="Arial" w:hAnsi="Arial" w:cs="Arial"/>
        </w:rPr>
      </w:pPr>
      <w:r w:rsidRPr="000A2871">
        <w:rPr>
          <w:rFonts w:ascii="Arial" w:hAnsi="Arial" w:cs="Arial"/>
        </w:rPr>
        <w:t xml:space="preserve">The historical screening snapshot reports 2,588 title/abstract exclusions and 378 retained records. Its later status fields cannot reliably identify every retrieved or assessed report. The previous dissertation reports 123 assessed, 118 excluded and five included, but does not provide the corresponding article-level exclusion reasons. These are superseded historical claims, not the final totals for this revision. The 255 entries labelled “Not sought” cannot be relabelled </w:t>
      </w:r>
      <w:r w:rsidR="00BC670E">
        <w:rPr>
          <w:rFonts w:ascii="Arial" w:hAnsi="Arial" w:cs="Arial"/>
        </w:rPr>
        <w:t>"Not</w:t>
      </w:r>
      <w:r w:rsidRPr="000A2871">
        <w:rPr>
          <w:rFonts w:ascii="Arial" w:hAnsi="Arial" w:cs="Arial"/>
        </w:rPr>
        <w:t xml:space="preserve"> retrieved” without evidence of retrieval attempts.</w:t>
      </w:r>
    </w:p>
    <w:p w14:paraId="03F722E5" w14:textId="547F9D26" w:rsidR="007E77F1" w:rsidRPr="000A2871" w:rsidRDefault="007E77F1" w:rsidP="00FA7C32">
      <w:pPr>
        <w:spacing w:after="120" w:line="360" w:lineRule="auto"/>
        <w:ind w:left="10"/>
        <w:rPr>
          <w:rFonts w:ascii="Arial" w:hAnsi="Arial" w:cs="Arial"/>
        </w:rPr>
      </w:pPr>
      <w:r w:rsidRPr="000A2871">
        <w:rPr>
          <w:rFonts w:ascii="Arial" w:hAnsi="Arial" w:cs="Arial"/>
        </w:rPr>
        <w:t>Record identification and eligibility were treated as separate tasks. A title, DOI or PMID, establishes which publication is being considered; it does not establish the age or location of the people studied. DOI comparison supported duplicate identification, while titles and author details helped check article identity. The crosswalk preserves the dissertation’s existing IDs</w:t>
      </w:r>
      <w:r w:rsidR="009928ED">
        <w:rPr>
          <w:rFonts w:ascii="Arial" w:hAnsi="Arial" w:cs="Arial"/>
        </w:rPr>
        <w:t>, whereas</w:t>
      </w:r>
      <w:r w:rsidRPr="000A2871">
        <w:rPr>
          <w:rFonts w:ascii="Arial" w:hAnsi="Arial" w:cs="Arial"/>
        </w:rPr>
        <w:t xml:space="preserve"> earlier versions used another export number. This is necessary because a numerical identifier is meaningful only within its own record set. Supplementary reports therefore receive a distinct S-series identifier rather than an apparently original R-series position.</w:t>
      </w:r>
    </w:p>
    <w:p w14:paraId="3B024E55" w14:textId="0E3CF702" w:rsidR="007E77F1" w:rsidRPr="000A2871" w:rsidRDefault="007E77F1" w:rsidP="00FA7C32">
      <w:pPr>
        <w:spacing w:after="120" w:line="360" w:lineRule="auto"/>
        <w:ind w:left="10"/>
        <w:rPr>
          <w:rFonts w:ascii="Arial" w:hAnsi="Arial" w:cs="Arial"/>
        </w:rPr>
      </w:pPr>
      <w:r w:rsidRPr="000A2871">
        <w:rPr>
          <w:rFonts w:ascii="Arial" w:hAnsi="Arial" w:cs="Arial"/>
        </w:rPr>
        <w:t xml:space="preserve">The supplementary retrieval was deliberately reported as a separate route. Searching known PMIDs confirms that the selected articles are available through PubMed and records when they were retrieved. It does not demonstrate that a broad search strategy would have found </w:t>
      </w:r>
      <w:r w:rsidR="009928ED">
        <w:rPr>
          <w:rFonts w:ascii="Arial" w:hAnsi="Arial" w:cs="Arial"/>
        </w:rPr>
        <w:t>them or</w:t>
      </w:r>
      <w:r w:rsidRPr="000A2871">
        <w:rPr>
          <w:rFonts w:ascii="Arial" w:hAnsi="Arial" w:cs="Arial"/>
        </w:rPr>
        <w:t xml:space="preserve"> that all comparable articles were considered. The review consequently distinguishes improved evidence coverage from a fully updated systematic search. This reporting choice allows the reader to assess what was added without assuming that the original screening process was repeated (Rethlefsen et al., 2021).</w:t>
      </w:r>
    </w:p>
    <w:p w14:paraId="1914C0F4" w14:textId="77777777" w:rsidR="00530D18" w:rsidRDefault="00530D18">
      <w:pPr>
        <w:rPr>
          <w:rFonts w:ascii="Arial" w:eastAsia="Times New Roman" w:hAnsi="Arial" w:cs="Arial"/>
          <w:b/>
          <w:bCs/>
          <w:color w:val="000000"/>
          <w:sz w:val="34"/>
          <w:szCs w:val="34"/>
        </w:rPr>
      </w:pPr>
      <w:bookmarkStart w:id="63" w:name="_qa2zkehkwh" w:colFirst="0" w:colLast="0"/>
      <w:bookmarkStart w:id="64" w:name="_Toc242459538"/>
      <w:bookmarkEnd w:id="63"/>
      <w:r>
        <w:rPr>
          <w:rFonts w:ascii="Arial" w:hAnsi="Arial" w:cs="Arial"/>
          <w:bCs/>
          <w:sz w:val="34"/>
          <w:szCs w:val="34"/>
        </w:rPr>
        <w:br w:type="page"/>
      </w:r>
    </w:p>
    <w:p w14:paraId="6283F3FC" w14:textId="4C3B11C1" w:rsidR="007E77F1" w:rsidRPr="000A2871" w:rsidRDefault="007E77F1" w:rsidP="00FA7C32">
      <w:pPr>
        <w:pStyle w:val="Heading2"/>
        <w:keepNext w:val="0"/>
        <w:keepLines w:val="0"/>
        <w:spacing w:after="80" w:line="360" w:lineRule="auto"/>
        <w:ind w:left="20"/>
        <w:jc w:val="left"/>
        <w:rPr>
          <w:rFonts w:ascii="Arial" w:hAnsi="Arial" w:cs="Arial"/>
          <w:b w:val="0"/>
          <w:bCs/>
          <w:sz w:val="34"/>
          <w:szCs w:val="34"/>
        </w:rPr>
      </w:pPr>
      <w:r w:rsidRPr="000A2871">
        <w:rPr>
          <w:rFonts w:ascii="Arial" w:hAnsi="Arial" w:cs="Arial"/>
          <w:bCs/>
          <w:sz w:val="34"/>
          <w:szCs w:val="34"/>
        </w:rPr>
        <w:lastRenderedPageBreak/>
        <w:t>3.5 Eligibility and the young-adult age approach</w:t>
      </w:r>
      <w:bookmarkEnd w:id="64"/>
    </w:p>
    <w:p w14:paraId="7B33F3F8" w14:textId="77777777" w:rsidR="007E77F1" w:rsidRPr="000A2871" w:rsidRDefault="007E77F1" w:rsidP="00FA7C32">
      <w:pPr>
        <w:spacing w:after="120" w:line="360" w:lineRule="auto"/>
        <w:ind w:left="10"/>
        <w:rPr>
          <w:rFonts w:ascii="Arial" w:hAnsi="Arial" w:cs="Arial"/>
        </w:rPr>
      </w:pPr>
      <w:r w:rsidRPr="000A2871">
        <w:rPr>
          <w:rFonts w:ascii="Arial" w:hAnsi="Arial" w:cs="Arial"/>
        </w:rPr>
        <w:t>The dissertation retains its focus on ages 18–24. Studies reporting samples aged 18–25 are accepted within the eligibility approach, accommodating a commonly used young-adult sampling range. Their actual ages are retained in the evidence tables. This permits whole-sample use of Berry, Tang and Scott alongside Sweeting, Canzini and Langdon-Daly, and Howard Wilsher and colleagues. It does not permit unrestricted inclusion of all broader adult samples.</w:t>
      </w:r>
    </w:p>
    <w:p w14:paraId="4F42FF03" w14:textId="56263EEA" w:rsidR="007E77F1" w:rsidRPr="000A2871" w:rsidRDefault="007E77F1" w:rsidP="00DA5EDD">
      <w:pPr>
        <w:spacing w:before="180" w:after="100" w:line="360" w:lineRule="auto"/>
        <w:rPr>
          <w:rFonts w:ascii="Arial" w:hAnsi="Arial" w:cs="Arial"/>
        </w:rPr>
      </w:pPr>
      <w:r w:rsidRPr="000A2871">
        <w:rPr>
          <w:rFonts w:ascii="Arial" w:hAnsi="Arial" w:cs="Arial"/>
        </w:rPr>
        <w:t>Table 3.3. Core eligibility rules</w:t>
      </w:r>
    </w:p>
    <w:tbl>
      <w:tblPr>
        <w:tblW w:w="889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5"/>
        <w:gridCol w:w="7170"/>
      </w:tblGrid>
      <w:tr w:rsidR="007E77F1" w:rsidRPr="000A2871" w14:paraId="4018159A" w14:textId="77777777" w:rsidTr="001A2D87">
        <w:trPr>
          <w:trHeight w:val="495"/>
        </w:trPr>
        <w:tc>
          <w:tcPr>
            <w:tcW w:w="1725" w:type="dxa"/>
            <w:shd w:val="clear" w:color="auto" w:fill="FFFFFF" w:themeFill="background1"/>
            <w:tcMar>
              <w:top w:w="80" w:type="dxa"/>
              <w:left w:w="80" w:type="dxa"/>
              <w:bottom w:w="80" w:type="dxa"/>
              <w:right w:w="80" w:type="dxa"/>
            </w:tcMar>
          </w:tcPr>
          <w:p w14:paraId="583DF373" w14:textId="77777777" w:rsidR="007E77F1" w:rsidRPr="0081161C" w:rsidRDefault="007E77F1" w:rsidP="000A2871">
            <w:pPr>
              <w:spacing w:line="360" w:lineRule="auto"/>
              <w:rPr>
                <w:rFonts w:ascii="Arial" w:hAnsi="Arial" w:cs="Arial"/>
                <w:b/>
                <w:bCs/>
                <w:sz w:val="21"/>
                <w:szCs w:val="21"/>
              </w:rPr>
            </w:pPr>
            <w:r w:rsidRPr="0081161C">
              <w:rPr>
                <w:rFonts w:ascii="Arial" w:hAnsi="Arial" w:cs="Arial"/>
                <w:b/>
                <w:bCs/>
                <w:sz w:val="21"/>
                <w:szCs w:val="21"/>
              </w:rPr>
              <w:t>Criterion</w:t>
            </w:r>
          </w:p>
        </w:tc>
        <w:tc>
          <w:tcPr>
            <w:tcW w:w="7170" w:type="dxa"/>
            <w:shd w:val="clear" w:color="auto" w:fill="FFFFFF" w:themeFill="background1"/>
            <w:tcMar>
              <w:top w:w="80" w:type="dxa"/>
              <w:left w:w="80" w:type="dxa"/>
              <w:bottom w:w="80" w:type="dxa"/>
              <w:right w:w="80" w:type="dxa"/>
            </w:tcMar>
          </w:tcPr>
          <w:p w14:paraId="5BB1690E" w14:textId="77777777" w:rsidR="007E77F1" w:rsidRPr="0081161C" w:rsidRDefault="007E77F1" w:rsidP="000A2871">
            <w:pPr>
              <w:spacing w:line="360" w:lineRule="auto"/>
              <w:rPr>
                <w:rFonts w:ascii="Arial" w:hAnsi="Arial" w:cs="Arial"/>
                <w:b/>
                <w:bCs/>
                <w:sz w:val="21"/>
                <w:szCs w:val="21"/>
              </w:rPr>
            </w:pPr>
            <w:r w:rsidRPr="0081161C">
              <w:rPr>
                <w:rFonts w:ascii="Arial" w:hAnsi="Arial" w:cs="Arial"/>
                <w:b/>
                <w:bCs/>
                <w:sz w:val="21"/>
                <w:szCs w:val="21"/>
              </w:rPr>
              <w:t>Decision rule</w:t>
            </w:r>
          </w:p>
        </w:tc>
      </w:tr>
      <w:tr w:rsidR="007E77F1" w:rsidRPr="000A2871" w14:paraId="57702518" w14:textId="77777777" w:rsidTr="001A2D87">
        <w:trPr>
          <w:trHeight w:val="810"/>
        </w:trPr>
        <w:tc>
          <w:tcPr>
            <w:tcW w:w="1725" w:type="dxa"/>
            <w:shd w:val="clear" w:color="auto" w:fill="FFFFFF" w:themeFill="background1"/>
            <w:tcMar>
              <w:top w:w="80" w:type="dxa"/>
              <w:left w:w="80" w:type="dxa"/>
              <w:bottom w:w="80" w:type="dxa"/>
              <w:right w:w="80" w:type="dxa"/>
            </w:tcMar>
          </w:tcPr>
          <w:p w14:paraId="770194C7" w14:textId="77777777" w:rsidR="007E77F1" w:rsidRPr="0081161C" w:rsidRDefault="007E77F1" w:rsidP="000A2871">
            <w:pPr>
              <w:spacing w:line="360" w:lineRule="auto"/>
              <w:rPr>
                <w:rFonts w:ascii="Arial" w:hAnsi="Arial" w:cs="Arial"/>
                <w:sz w:val="21"/>
                <w:szCs w:val="21"/>
              </w:rPr>
            </w:pPr>
            <w:r w:rsidRPr="0081161C">
              <w:rPr>
                <w:rFonts w:ascii="Arial" w:hAnsi="Arial" w:cs="Arial"/>
                <w:sz w:val="21"/>
                <w:szCs w:val="21"/>
              </w:rPr>
              <w:t>Age</w:t>
            </w:r>
          </w:p>
        </w:tc>
        <w:tc>
          <w:tcPr>
            <w:tcW w:w="7170" w:type="dxa"/>
            <w:shd w:val="clear" w:color="auto" w:fill="FFFFFF" w:themeFill="background1"/>
            <w:tcMar>
              <w:top w:w="80" w:type="dxa"/>
              <w:left w:w="80" w:type="dxa"/>
              <w:bottom w:w="80" w:type="dxa"/>
              <w:right w:w="80" w:type="dxa"/>
            </w:tcMar>
          </w:tcPr>
          <w:p w14:paraId="12B57C59" w14:textId="77777777" w:rsidR="007E77F1" w:rsidRPr="0081161C" w:rsidRDefault="007E77F1" w:rsidP="000A2871">
            <w:pPr>
              <w:spacing w:line="360" w:lineRule="auto"/>
              <w:rPr>
                <w:rFonts w:ascii="Arial" w:hAnsi="Arial" w:cs="Arial"/>
                <w:sz w:val="21"/>
                <w:szCs w:val="21"/>
              </w:rPr>
            </w:pPr>
            <w:r w:rsidRPr="0081161C">
              <w:rPr>
                <w:rFonts w:ascii="Arial" w:hAnsi="Arial" w:cs="Arial"/>
                <w:sz w:val="21"/>
                <w:szCs w:val="21"/>
              </w:rPr>
              <w:t>Focus on 18–24; samples reported as 18–25 accepted. For broader ages, findings must be attributable to eligible individuals or groups.</w:t>
            </w:r>
          </w:p>
        </w:tc>
      </w:tr>
      <w:tr w:rsidR="007E77F1" w:rsidRPr="000A2871" w14:paraId="6AD44A01" w14:textId="77777777" w:rsidTr="001A2D87">
        <w:trPr>
          <w:trHeight w:val="810"/>
        </w:trPr>
        <w:tc>
          <w:tcPr>
            <w:tcW w:w="1725" w:type="dxa"/>
            <w:shd w:val="clear" w:color="auto" w:fill="FFFFFF" w:themeFill="background1"/>
            <w:tcMar>
              <w:top w:w="80" w:type="dxa"/>
              <w:left w:w="80" w:type="dxa"/>
              <w:bottom w:w="80" w:type="dxa"/>
              <w:right w:w="80" w:type="dxa"/>
            </w:tcMar>
          </w:tcPr>
          <w:p w14:paraId="044BDD7E" w14:textId="77777777" w:rsidR="007E77F1" w:rsidRPr="0081161C" w:rsidRDefault="007E77F1" w:rsidP="000A2871">
            <w:pPr>
              <w:spacing w:line="360" w:lineRule="auto"/>
              <w:rPr>
                <w:rFonts w:ascii="Arial" w:hAnsi="Arial" w:cs="Arial"/>
                <w:sz w:val="21"/>
                <w:szCs w:val="21"/>
              </w:rPr>
            </w:pPr>
            <w:r w:rsidRPr="0081161C">
              <w:rPr>
                <w:rFonts w:ascii="Arial" w:hAnsi="Arial" w:cs="Arial"/>
                <w:sz w:val="21"/>
                <w:szCs w:val="21"/>
              </w:rPr>
              <w:t>Setting</w:t>
            </w:r>
          </w:p>
        </w:tc>
        <w:tc>
          <w:tcPr>
            <w:tcW w:w="7170" w:type="dxa"/>
            <w:shd w:val="clear" w:color="auto" w:fill="FFFFFF" w:themeFill="background1"/>
            <w:tcMar>
              <w:top w:w="80" w:type="dxa"/>
              <w:left w:w="80" w:type="dxa"/>
              <w:bottom w:w="80" w:type="dxa"/>
              <w:right w:w="80" w:type="dxa"/>
            </w:tcMar>
          </w:tcPr>
          <w:p w14:paraId="6D7CE118" w14:textId="77777777" w:rsidR="007E77F1" w:rsidRPr="0081161C" w:rsidRDefault="007E77F1" w:rsidP="000A2871">
            <w:pPr>
              <w:spacing w:line="360" w:lineRule="auto"/>
              <w:rPr>
                <w:rFonts w:ascii="Arial" w:hAnsi="Arial" w:cs="Arial"/>
                <w:sz w:val="21"/>
                <w:szCs w:val="21"/>
              </w:rPr>
            </w:pPr>
            <w:r w:rsidRPr="0081161C">
              <w:rPr>
                <w:rFonts w:ascii="Arial" w:hAnsi="Arial" w:cs="Arial"/>
                <w:sz w:val="21"/>
                <w:szCs w:val="21"/>
              </w:rPr>
              <w:t>UK residence or data collection clearly established; affiliation alone is insufficient.</w:t>
            </w:r>
          </w:p>
        </w:tc>
      </w:tr>
      <w:tr w:rsidR="007E77F1" w:rsidRPr="000A2871" w14:paraId="249458EB" w14:textId="77777777" w:rsidTr="001A2D87">
        <w:trPr>
          <w:trHeight w:val="810"/>
        </w:trPr>
        <w:tc>
          <w:tcPr>
            <w:tcW w:w="1725" w:type="dxa"/>
            <w:shd w:val="clear" w:color="auto" w:fill="FFFFFF" w:themeFill="background1"/>
            <w:tcMar>
              <w:top w:w="80" w:type="dxa"/>
              <w:left w:w="80" w:type="dxa"/>
              <w:bottom w:w="80" w:type="dxa"/>
              <w:right w:w="80" w:type="dxa"/>
            </w:tcMar>
          </w:tcPr>
          <w:p w14:paraId="6D2804F7" w14:textId="77777777" w:rsidR="007E77F1" w:rsidRPr="0081161C" w:rsidRDefault="007E77F1" w:rsidP="000A2871">
            <w:pPr>
              <w:spacing w:line="360" w:lineRule="auto"/>
              <w:rPr>
                <w:rFonts w:ascii="Arial" w:hAnsi="Arial" w:cs="Arial"/>
                <w:sz w:val="21"/>
                <w:szCs w:val="21"/>
              </w:rPr>
            </w:pPr>
            <w:r w:rsidRPr="0081161C">
              <w:rPr>
                <w:rFonts w:ascii="Arial" w:hAnsi="Arial" w:cs="Arial"/>
                <w:sz w:val="21"/>
                <w:szCs w:val="21"/>
              </w:rPr>
              <w:t>Relevance</w:t>
            </w:r>
          </w:p>
        </w:tc>
        <w:tc>
          <w:tcPr>
            <w:tcW w:w="7170" w:type="dxa"/>
            <w:shd w:val="clear" w:color="auto" w:fill="FFFFFF" w:themeFill="background1"/>
            <w:tcMar>
              <w:top w:w="80" w:type="dxa"/>
              <w:left w:w="80" w:type="dxa"/>
              <w:bottom w:w="80" w:type="dxa"/>
              <w:right w:w="80" w:type="dxa"/>
            </w:tcMar>
          </w:tcPr>
          <w:p w14:paraId="33537AA2" w14:textId="77777777" w:rsidR="007E77F1" w:rsidRPr="0081161C" w:rsidRDefault="007E77F1" w:rsidP="000A2871">
            <w:pPr>
              <w:spacing w:line="360" w:lineRule="auto"/>
              <w:rPr>
                <w:rFonts w:ascii="Arial" w:hAnsi="Arial" w:cs="Arial"/>
                <w:sz w:val="21"/>
                <w:szCs w:val="21"/>
              </w:rPr>
            </w:pPr>
            <w:r w:rsidRPr="0081161C">
              <w:rPr>
                <w:rFonts w:ascii="Arial" w:hAnsi="Arial" w:cs="Arial"/>
                <w:sz w:val="21"/>
                <w:szCs w:val="21"/>
              </w:rPr>
              <w:t>A meaningful connection to obesity-related behaviour, weight management or intervention experience.</w:t>
            </w:r>
          </w:p>
        </w:tc>
      </w:tr>
      <w:tr w:rsidR="007E77F1" w:rsidRPr="000A2871" w14:paraId="6C04FB4E" w14:textId="77777777" w:rsidTr="001A2D87">
        <w:trPr>
          <w:trHeight w:val="810"/>
        </w:trPr>
        <w:tc>
          <w:tcPr>
            <w:tcW w:w="1725" w:type="dxa"/>
            <w:shd w:val="clear" w:color="auto" w:fill="FFFFFF" w:themeFill="background1"/>
            <w:tcMar>
              <w:top w:w="80" w:type="dxa"/>
              <w:left w:w="80" w:type="dxa"/>
              <w:bottom w:w="80" w:type="dxa"/>
              <w:right w:w="80" w:type="dxa"/>
            </w:tcMar>
          </w:tcPr>
          <w:p w14:paraId="6A23EE75" w14:textId="77777777" w:rsidR="007E77F1" w:rsidRPr="0081161C" w:rsidRDefault="007E77F1" w:rsidP="000A2871">
            <w:pPr>
              <w:spacing w:line="360" w:lineRule="auto"/>
              <w:rPr>
                <w:rFonts w:ascii="Arial" w:hAnsi="Arial" w:cs="Arial"/>
                <w:sz w:val="21"/>
                <w:szCs w:val="21"/>
              </w:rPr>
            </w:pPr>
            <w:r w:rsidRPr="0081161C">
              <w:rPr>
                <w:rFonts w:ascii="Arial" w:hAnsi="Arial" w:cs="Arial"/>
                <w:sz w:val="21"/>
                <w:szCs w:val="21"/>
              </w:rPr>
              <w:t>Report</w:t>
            </w:r>
          </w:p>
        </w:tc>
        <w:tc>
          <w:tcPr>
            <w:tcW w:w="7170" w:type="dxa"/>
            <w:shd w:val="clear" w:color="auto" w:fill="FFFFFF" w:themeFill="background1"/>
            <w:tcMar>
              <w:top w:w="80" w:type="dxa"/>
              <w:left w:w="80" w:type="dxa"/>
              <w:bottom w:w="80" w:type="dxa"/>
              <w:right w:w="80" w:type="dxa"/>
            </w:tcMar>
          </w:tcPr>
          <w:p w14:paraId="7F7FFC74" w14:textId="77777777" w:rsidR="007E77F1" w:rsidRPr="0081161C" w:rsidRDefault="007E77F1" w:rsidP="000A2871">
            <w:pPr>
              <w:spacing w:line="360" w:lineRule="auto"/>
              <w:rPr>
                <w:rFonts w:ascii="Arial" w:hAnsi="Arial" w:cs="Arial"/>
                <w:sz w:val="21"/>
                <w:szCs w:val="21"/>
              </w:rPr>
            </w:pPr>
            <w:r w:rsidRPr="0081161C">
              <w:rPr>
                <w:rFonts w:ascii="Arial" w:hAnsi="Arial" w:cs="Arial"/>
                <w:sz w:val="21"/>
                <w:szCs w:val="21"/>
              </w:rPr>
              <w:t>Full qualitative findings; quantitative-only studies, protocols and reviews remain outside the synthesis.</w:t>
            </w:r>
          </w:p>
        </w:tc>
      </w:tr>
      <w:tr w:rsidR="007E77F1" w:rsidRPr="000A2871" w14:paraId="1997B645" w14:textId="77777777" w:rsidTr="001A2D87">
        <w:trPr>
          <w:trHeight w:val="810"/>
        </w:trPr>
        <w:tc>
          <w:tcPr>
            <w:tcW w:w="1725" w:type="dxa"/>
            <w:shd w:val="clear" w:color="auto" w:fill="FFFFFF" w:themeFill="background1"/>
            <w:tcMar>
              <w:top w:w="80" w:type="dxa"/>
              <w:left w:w="80" w:type="dxa"/>
              <w:bottom w:w="80" w:type="dxa"/>
              <w:right w:w="80" w:type="dxa"/>
            </w:tcMar>
          </w:tcPr>
          <w:p w14:paraId="1629C145" w14:textId="77777777" w:rsidR="007E77F1" w:rsidRPr="0081161C" w:rsidRDefault="007E77F1" w:rsidP="000A2871">
            <w:pPr>
              <w:spacing w:line="360" w:lineRule="auto"/>
              <w:rPr>
                <w:rFonts w:ascii="Arial" w:hAnsi="Arial" w:cs="Arial"/>
                <w:sz w:val="21"/>
                <w:szCs w:val="21"/>
              </w:rPr>
            </w:pPr>
            <w:r w:rsidRPr="0081161C">
              <w:rPr>
                <w:rFonts w:ascii="Arial" w:hAnsi="Arial" w:cs="Arial"/>
                <w:sz w:val="21"/>
                <w:szCs w:val="21"/>
              </w:rPr>
              <w:t>Date</w:t>
            </w:r>
          </w:p>
        </w:tc>
        <w:tc>
          <w:tcPr>
            <w:tcW w:w="7170" w:type="dxa"/>
            <w:shd w:val="clear" w:color="auto" w:fill="FFFFFF" w:themeFill="background1"/>
            <w:tcMar>
              <w:top w:w="80" w:type="dxa"/>
              <w:left w:w="80" w:type="dxa"/>
              <w:bottom w:w="80" w:type="dxa"/>
              <w:right w:w="80" w:type="dxa"/>
            </w:tcMar>
          </w:tcPr>
          <w:p w14:paraId="5AE83720" w14:textId="77777777" w:rsidR="007E77F1" w:rsidRPr="0081161C" w:rsidRDefault="007E77F1" w:rsidP="000A2871">
            <w:pPr>
              <w:spacing w:line="360" w:lineRule="auto"/>
              <w:rPr>
                <w:rFonts w:ascii="Arial" w:hAnsi="Arial" w:cs="Arial"/>
                <w:sz w:val="21"/>
                <w:szCs w:val="21"/>
              </w:rPr>
            </w:pPr>
            <w:r w:rsidRPr="0081161C">
              <w:rPr>
                <w:rFonts w:ascii="Arial" w:hAnsi="Arial" w:cs="Arial"/>
                <w:sz w:val="21"/>
                <w:szCs w:val="21"/>
              </w:rPr>
              <w:t>2016–2026 publication dates. Tyrrell is dated by its 2016 issue, with its 2015 online publication recorded.</w:t>
            </w:r>
          </w:p>
        </w:tc>
      </w:tr>
    </w:tbl>
    <w:p w14:paraId="6C384144" w14:textId="77777777" w:rsidR="007E77F1" w:rsidRPr="000A2871" w:rsidRDefault="007E77F1" w:rsidP="00FA7C32">
      <w:pPr>
        <w:spacing w:line="360" w:lineRule="auto"/>
        <w:ind w:left="10"/>
        <w:rPr>
          <w:rFonts w:ascii="Arial" w:hAnsi="Arial" w:cs="Arial"/>
        </w:rPr>
      </w:pPr>
      <w:r w:rsidRPr="000A2871">
        <w:rPr>
          <w:rFonts w:ascii="Arial" w:hAnsi="Arial" w:cs="Arial"/>
        </w:rPr>
        <w:t xml:space="preserve"> </w:t>
      </w:r>
    </w:p>
    <w:p w14:paraId="452CC37E" w14:textId="77777777" w:rsidR="007E77F1" w:rsidRPr="000A2871" w:rsidRDefault="007E77F1" w:rsidP="00FA7C32">
      <w:pPr>
        <w:spacing w:after="120" w:line="360" w:lineRule="auto"/>
        <w:ind w:left="10"/>
        <w:rPr>
          <w:rFonts w:ascii="Arial" w:hAnsi="Arial" w:cs="Arial"/>
        </w:rPr>
      </w:pPr>
      <w:r w:rsidRPr="000A2871">
        <w:rPr>
          <w:rFonts w:ascii="Arial" w:hAnsi="Arial" w:cs="Arial"/>
        </w:rPr>
        <w:t>Rodrigues contributes attributable younger accounts; Orlando contributes young-employee findings, excluding employer accounts; Hawkes contributes age-labelled accounts from participants aged 23–25. Trahearn contributes A, B, C, E and F, aged 22–23. Hunter contributes published accounts labelled 18–24 from P05 and P10, with a demographic discrepancy recorded. Pooled broader-sample themes are not treated as young-adult-only findings. Tyrrell, Hafiz and Easton remain contextual for age or setting reasons.</w:t>
      </w:r>
    </w:p>
    <w:p w14:paraId="615480ED" w14:textId="14486DED" w:rsidR="007E77F1" w:rsidRPr="000A2871" w:rsidRDefault="007E77F1" w:rsidP="00FA7C32">
      <w:pPr>
        <w:spacing w:after="120" w:line="360" w:lineRule="auto"/>
        <w:ind w:left="10"/>
        <w:rPr>
          <w:rFonts w:ascii="Arial" w:hAnsi="Arial" w:cs="Arial"/>
        </w:rPr>
      </w:pPr>
      <w:r w:rsidRPr="000A2871">
        <w:rPr>
          <w:rFonts w:ascii="Arial" w:hAnsi="Arial" w:cs="Arial"/>
        </w:rPr>
        <w:t xml:space="preserve">UK eligibility concerns the participant setting rather than the nationality of an author or institution. Residence, recruitment or data collection within the UK can establish relevance when clearly reported. An institution’s location alone provides weaker evidence because researchers can recruit remotely or study populations elsewhere. This explains the </w:t>
      </w:r>
      <w:r w:rsidRPr="000A2871">
        <w:rPr>
          <w:rFonts w:ascii="Arial" w:hAnsi="Arial" w:cs="Arial"/>
        </w:rPr>
        <w:lastRenderedPageBreak/>
        <w:t>contextual treatment of Easton despite its Southampton research context. For age, a reported range permits a different judgement from a mean and standard deviation: the latter describe a distribution but do not identify which participants fall within the accepted range. Hafiz is therefore not treated as an entirely eligible sample.</w:t>
      </w:r>
      <w:r w:rsidR="00DA5EDD">
        <w:rPr>
          <w:rFonts w:ascii="Arial" w:hAnsi="Arial" w:cs="Arial"/>
        </w:rPr>
        <w:br/>
      </w:r>
    </w:p>
    <w:p w14:paraId="01E3013B" w14:textId="1124ED09" w:rsidR="007E77F1" w:rsidRPr="000A2871" w:rsidRDefault="007E77F1" w:rsidP="00FA7C32">
      <w:pPr>
        <w:pStyle w:val="Heading2"/>
        <w:keepNext w:val="0"/>
        <w:keepLines w:val="0"/>
        <w:spacing w:after="80" w:line="360" w:lineRule="auto"/>
        <w:ind w:left="20"/>
        <w:jc w:val="left"/>
        <w:rPr>
          <w:rFonts w:ascii="Arial" w:hAnsi="Arial" w:cs="Arial"/>
          <w:b w:val="0"/>
          <w:bCs/>
          <w:sz w:val="34"/>
          <w:szCs w:val="34"/>
        </w:rPr>
      </w:pPr>
      <w:bookmarkStart w:id="65" w:name="_sse6b2fjmgwt" w:colFirst="0" w:colLast="0"/>
      <w:bookmarkStart w:id="66" w:name="_Toc242459539"/>
      <w:bookmarkEnd w:id="65"/>
      <w:r w:rsidRPr="000A2871">
        <w:rPr>
          <w:rFonts w:ascii="Arial" w:hAnsi="Arial" w:cs="Arial"/>
          <w:bCs/>
          <w:sz w:val="34"/>
          <w:szCs w:val="34"/>
        </w:rPr>
        <w:t>3.6 Critical appraisal</w:t>
      </w:r>
      <w:bookmarkEnd w:id="66"/>
    </w:p>
    <w:p w14:paraId="7CB2F4F2" w14:textId="667CB721" w:rsidR="007E77F1" w:rsidRPr="000A2871" w:rsidRDefault="007E77F1" w:rsidP="00FA7C32">
      <w:pPr>
        <w:spacing w:after="120" w:line="360" w:lineRule="auto"/>
        <w:ind w:left="10"/>
        <w:rPr>
          <w:rFonts w:ascii="Arial" w:hAnsi="Arial" w:cs="Arial"/>
        </w:rPr>
      </w:pPr>
      <w:r w:rsidRPr="000A2871">
        <w:rPr>
          <w:rFonts w:ascii="Arial" w:hAnsi="Arial" w:cs="Arial"/>
        </w:rPr>
        <w:t xml:space="preserve">The CASP qualitative checklist was applied to all fourteen assessed reports, covering aims, methodology, design, recruitment, collection, reflexivity, ethics, analysis, findings and value (CASP, 2024). Judgements are reported as </w:t>
      </w:r>
      <w:r w:rsidR="00BC670E">
        <w:rPr>
          <w:rFonts w:ascii="Arial" w:hAnsi="Arial" w:cs="Arial"/>
        </w:rPr>
        <w:t>'Yes', 'No' or 'Cannot tell',</w:t>
      </w:r>
      <w:r w:rsidRPr="000A2871">
        <w:rPr>
          <w:rFonts w:ascii="Arial" w:hAnsi="Arial" w:cs="Arial"/>
        </w:rPr>
        <w:t xml:space="preserve"> with report-specific reasons. Cannot tell identifies insufficient reporting or an unresolved methodological concern; it is not proof of poor conduct. No summed score or numerical quality threshold was used (Long, French and Brooks, 2020).</w:t>
      </w:r>
    </w:p>
    <w:p w14:paraId="786BD0D0" w14:textId="4D5E2AE0" w:rsidR="007E77F1" w:rsidRPr="000A2871" w:rsidRDefault="007E77F1" w:rsidP="00FA7C32">
      <w:pPr>
        <w:spacing w:after="120" w:line="360" w:lineRule="auto"/>
        <w:ind w:left="10"/>
        <w:rPr>
          <w:rFonts w:ascii="Arial" w:hAnsi="Arial" w:cs="Arial"/>
        </w:rPr>
      </w:pPr>
      <w:r w:rsidRPr="000A2871">
        <w:rPr>
          <w:rFonts w:ascii="Arial" w:hAnsi="Arial" w:cs="Arial"/>
        </w:rPr>
        <w:t xml:space="preserve">Recruitment was judged against the study’s purpose, rather than against statistical representativeness. A purposive or convenience sample can be appropriate for qualitative enquiry while limiting transferability. Reflexivity required consideration of researchers’ influence, not merely a list of qualifications. Appraisal informed interpretation and sensitivity checks; it did not override age or setting criteria. Formal </w:t>
      </w:r>
      <w:r w:rsidR="00CE1E66">
        <w:rPr>
          <w:rFonts w:ascii="Arial" w:hAnsi="Arial" w:cs="Arial"/>
        </w:rPr>
        <w:t xml:space="preserve">GRADE-CER </w:t>
      </w:r>
      <w:r w:rsidRPr="000A2871">
        <w:rPr>
          <w:rFonts w:ascii="Arial" w:hAnsi="Arial" w:cs="Arial"/>
        </w:rPr>
        <w:t>Qual confidence ratings were not conducted (Lewin et al., 2018).</w:t>
      </w:r>
    </w:p>
    <w:p w14:paraId="5B36B7DE" w14:textId="2CA19E26" w:rsidR="007E77F1" w:rsidRPr="000A2871" w:rsidRDefault="007E77F1" w:rsidP="00FA7C32">
      <w:pPr>
        <w:spacing w:after="120" w:line="360" w:lineRule="auto"/>
        <w:ind w:left="10"/>
        <w:rPr>
          <w:rFonts w:ascii="Arial" w:hAnsi="Arial" w:cs="Arial"/>
        </w:rPr>
      </w:pPr>
      <w:r w:rsidRPr="000A2871">
        <w:rPr>
          <w:rFonts w:ascii="Arial" w:hAnsi="Arial" w:cs="Arial"/>
        </w:rPr>
        <w:t>Appraisal also distinguished an absent procedure from an absent description. For example, limited discussion of reflexivity does not prove that researchers ignored their influence, but it prevents the reader from assessing that influence adequately. Similarly, a small sample was not automatically judged unsuitable: the relevant questions concern the aim, recruitment, depth of material and specificity of the population. Judgements were therefore accompanied by reasons rather than a numerical ranking. A total score could conceal a concern that directly affects this review, such as uncertainty about the age attached to a quotation (Long, French and Brooks, 2020).</w:t>
      </w:r>
      <w:r w:rsidR="00894BC7">
        <w:rPr>
          <w:rFonts w:ascii="Arial" w:hAnsi="Arial" w:cs="Arial"/>
        </w:rPr>
        <w:br/>
      </w:r>
    </w:p>
    <w:p w14:paraId="5D38A6AC" w14:textId="77777777" w:rsidR="007E77F1" w:rsidRPr="000A2871" w:rsidRDefault="007E77F1" w:rsidP="00FA7C32">
      <w:pPr>
        <w:pStyle w:val="Heading2"/>
        <w:keepNext w:val="0"/>
        <w:keepLines w:val="0"/>
        <w:spacing w:after="80" w:line="360" w:lineRule="auto"/>
        <w:ind w:left="20"/>
        <w:jc w:val="left"/>
        <w:rPr>
          <w:rFonts w:ascii="Arial" w:hAnsi="Arial" w:cs="Arial"/>
          <w:b w:val="0"/>
          <w:bCs/>
          <w:sz w:val="34"/>
          <w:szCs w:val="34"/>
        </w:rPr>
      </w:pPr>
      <w:bookmarkStart w:id="67" w:name="_lm1mhk27tjy" w:colFirst="0" w:colLast="0"/>
      <w:bookmarkStart w:id="68" w:name="_Toc242459540"/>
      <w:bookmarkEnd w:id="67"/>
      <w:r w:rsidRPr="000A2871">
        <w:rPr>
          <w:rFonts w:ascii="Arial" w:hAnsi="Arial" w:cs="Arial"/>
          <w:bCs/>
          <w:sz w:val="34"/>
          <w:szCs w:val="34"/>
        </w:rPr>
        <w:t>3.7 Extraction and preservation of context</w:t>
      </w:r>
      <w:bookmarkEnd w:id="68"/>
    </w:p>
    <w:p w14:paraId="615F0B52" w14:textId="0D719A99" w:rsidR="007E77F1" w:rsidRPr="000A2871" w:rsidRDefault="007E77F1" w:rsidP="00FA7C32">
      <w:pPr>
        <w:spacing w:after="120" w:line="360" w:lineRule="auto"/>
        <w:ind w:left="10"/>
        <w:rPr>
          <w:rFonts w:ascii="Arial" w:hAnsi="Arial" w:cs="Arial"/>
        </w:rPr>
      </w:pPr>
      <w:r w:rsidRPr="000A2871">
        <w:rPr>
          <w:rFonts w:ascii="Arial" w:hAnsi="Arial" w:cs="Arial"/>
        </w:rPr>
        <w:t xml:space="preserve">Extraction recorded ID, citation, setting, actual ages, recruitment, design, analytic approach, relevant findings, intervention exposure and limitations. Findings were tagged as whole-sample, restricted or contextual. The evidence tables distinguish participant accounts from study-author interpretations and the present review’s analytical claims. Introductions and discussions were used to understand </w:t>
      </w:r>
      <w:r w:rsidR="00F85416">
        <w:rPr>
          <w:rFonts w:ascii="Arial" w:hAnsi="Arial" w:cs="Arial"/>
        </w:rPr>
        <w:t>context but</w:t>
      </w:r>
      <w:r w:rsidRPr="000A2871">
        <w:rPr>
          <w:rFonts w:ascii="Arial" w:hAnsi="Arial" w:cs="Arial"/>
        </w:rPr>
        <w:t xml:space="preserve"> were not counted as additional participant data.</w:t>
      </w:r>
    </w:p>
    <w:p w14:paraId="164225C7" w14:textId="77777777" w:rsidR="007E77F1" w:rsidRPr="000A2871" w:rsidRDefault="007E77F1" w:rsidP="00FA7C32">
      <w:pPr>
        <w:spacing w:after="120" w:line="360" w:lineRule="auto"/>
        <w:ind w:left="10"/>
        <w:rPr>
          <w:rFonts w:ascii="Arial" w:hAnsi="Arial" w:cs="Arial"/>
        </w:rPr>
      </w:pPr>
      <w:r w:rsidRPr="000A2871">
        <w:rPr>
          <w:rFonts w:ascii="Arial" w:hAnsi="Arial" w:cs="Arial"/>
        </w:rPr>
        <w:lastRenderedPageBreak/>
        <w:t>In Rodrigues, six participants meet the age approach, but the main text provides attributable quotations from four: P3, P7, P9 and P11. Hawkes’s eligible accounts link to Rebecca, Lucy and Sophie. Hunter’s P17 is omitted because its age label creates a conflict with the demographic total, while repeated eligible labels support cautious use of P05 and P10. These restrictions limit subgroup inference (Malterud, Siersma and Guassora, 2016; Vasileiou et al., 2018).</w:t>
      </w:r>
    </w:p>
    <w:p w14:paraId="02B006BC" w14:textId="162A5241" w:rsidR="007E77F1" w:rsidRPr="000A2871" w:rsidRDefault="007E77F1" w:rsidP="00FA7C32">
      <w:pPr>
        <w:spacing w:after="120" w:line="360" w:lineRule="auto"/>
        <w:ind w:left="10"/>
        <w:rPr>
          <w:rFonts w:ascii="Arial" w:hAnsi="Arial" w:cs="Arial"/>
        </w:rPr>
      </w:pPr>
      <w:r w:rsidRPr="000A2871">
        <w:rPr>
          <w:rFonts w:ascii="Arial" w:hAnsi="Arial" w:cs="Arial"/>
        </w:rPr>
        <w:t>Where extraction was restricted, participant identifiers and source locations were retained with the interpretation. This makes it possible to distinguish an eligible published account from the paper’s larger thematic argument. The resulting material is necessarily thinner than a complete subgroup analysis: the original researchers selected quotations for their own purpose, and the review cannot recover accounts that were not published. Restricted findings are therefore used to add detail to a theme, with their limited coverage stated, rather than to describe the full experience of a demographic subgroup (Vasileiou et al., 2018).</w:t>
      </w:r>
      <w:r w:rsidR="00894BC7">
        <w:rPr>
          <w:rFonts w:ascii="Arial" w:hAnsi="Arial" w:cs="Arial"/>
        </w:rPr>
        <w:br/>
      </w:r>
    </w:p>
    <w:p w14:paraId="35FEF9B1" w14:textId="50A63687" w:rsidR="007E77F1" w:rsidRPr="000A2871" w:rsidRDefault="007E77F1" w:rsidP="00FA7C32">
      <w:pPr>
        <w:pStyle w:val="Heading2"/>
        <w:keepNext w:val="0"/>
        <w:keepLines w:val="0"/>
        <w:spacing w:after="80" w:line="360" w:lineRule="auto"/>
        <w:ind w:left="20"/>
        <w:jc w:val="left"/>
        <w:rPr>
          <w:rFonts w:ascii="Arial" w:hAnsi="Arial" w:cs="Arial"/>
          <w:b w:val="0"/>
          <w:bCs/>
          <w:sz w:val="34"/>
          <w:szCs w:val="34"/>
        </w:rPr>
      </w:pPr>
      <w:bookmarkStart w:id="69" w:name="_uz2ja9ktvmat" w:colFirst="0" w:colLast="0"/>
      <w:bookmarkStart w:id="70" w:name="_Toc242459541"/>
      <w:bookmarkEnd w:id="69"/>
      <w:r w:rsidRPr="000A2871">
        <w:rPr>
          <w:rFonts w:ascii="Arial" w:hAnsi="Arial" w:cs="Arial"/>
          <w:bCs/>
          <w:sz w:val="34"/>
          <w:szCs w:val="34"/>
        </w:rPr>
        <w:t>3.8 What thematic analysis means in this review</w:t>
      </w:r>
      <w:bookmarkEnd w:id="70"/>
    </w:p>
    <w:p w14:paraId="11BDD944" w14:textId="78D25398" w:rsidR="007E77F1" w:rsidRPr="000A2871" w:rsidRDefault="007E77F1" w:rsidP="00FA7C32">
      <w:pPr>
        <w:spacing w:after="120" w:line="360" w:lineRule="auto"/>
        <w:ind w:left="10"/>
        <w:rPr>
          <w:rFonts w:ascii="Arial" w:hAnsi="Arial" w:cs="Arial"/>
        </w:rPr>
      </w:pPr>
      <w:r w:rsidRPr="000A2871">
        <w:rPr>
          <w:rFonts w:ascii="Arial" w:hAnsi="Arial" w:cs="Arial"/>
        </w:rPr>
        <w:t xml:space="preserve">Thematic analysis is a way of developing patterns of meaning from qualitative material. A code is a short label for something relevant in an account; a descriptive theme groups related codes; an analytical theme explains how those patterns address the review question. A theme is therefore more than a repeated word or a heading copied from one paper. Here, thematic synthesis compares findings across </w:t>
      </w:r>
      <w:r w:rsidR="00ED7435">
        <w:rPr>
          <w:rFonts w:ascii="Arial" w:hAnsi="Arial" w:cs="Arial"/>
        </w:rPr>
        <w:t>reports while</w:t>
      </w:r>
      <w:r w:rsidRPr="000A2871">
        <w:rPr>
          <w:rFonts w:ascii="Arial" w:hAnsi="Arial" w:cs="Arial"/>
        </w:rPr>
        <w:t xml:space="preserve"> preserving the setting and extraction boundary of each contribution.</w:t>
      </w:r>
    </w:p>
    <w:p w14:paraId="3B44C7A4" w14:textId="592D0A40" w:rsidR="007E77F1" w:rsidRPr="000A2871" w:rsidRDefault="007E77F1" w:rsidP="00FA7C32">
      <w:pPr>
        <w:spacing w:after="120" w:line="360" w:lineRule="auto"/>
        <w:ind w:left="10"/>
        <w:rPr>
          <w:rFonts w:ascii="Arial" w:hAnsi="Arial" w:cs="Arial"/>
        </w:rPr>
      </w:pPr>
      <w:r w:rsidRPr="000A2871">
        <w:rPr>
          <w:rFonts w:ascii="Arial" w:hAnsi="Arial" w:cs="Arial"/>
        </w:rPr>
        <w:t xml:space="preserve">The six-phase approach discussed by Maguire and Delahunt (2017) provides a practical structure for developing and explaining themes. Table 3.4 adapts those phases to published research. Braun and Clarke (2019; 2021) inform the recognition that interpretation is an active process. The review does not claim to reproduce a primary reflexive thematic analysis of raw </w:t>
      </w:r>
      <w:r w:rsidR="00ED7435">
        <w:rPr>
          <w:rFonts w:ascii="Arial" w:hAnsi="Arial" w:cs="Arial"/>
        </w:rPr>
        <w:t>transcripts nor</w:t>
      </w:r>
      <w:r w:rsidRPr="000A2871">
        <w:rPr>
          <w:rFonts w:ascii="Arial" w:hAnsi="Arial" w:cs="Arial"/>
        </w:rPr>
        <w:t xml:space="preserve"> to have independently recorded all participant data.</w:t>
      </w:r>
    </w:p>
    <w:p w14:paraId="487000B2" w14:textId="77777777" w:rsidR="00894BC7" w:rsidRDefault="00894BC7">
      <w:pPr>
        <w:rPr>
          <w:rFonts w:ascii="Arial" w:hAnsi="Arial" w:cs="Arial"/>
        </w:rPr>
      </w:pPr>
      <w:r>
        <w:rPr>
          <w:rFonts w:ascii="Arial" w:hAnsi="Arial" w:cs="Arial"/>
        </w:rPr>
        <w:br w:type="page"/>
      </w:r>
    </w:p>
    <w:p w14:paraId="58ABB26C" w14:textId="1F1A20FB" w:rsidR="007E77F1" w:rsidRPr="000A2871" w:rsidRDefault="007E77F1" w:rsidP="00FA7C32">
      <w:pPr>
        <w:spacing w:before="180" w:after="100" w:line="360" w:lineRule="auto"/>
        <w:ind w:left="10"/>
        <w:rPr>
          <w:rFonts w:ascii="Arial" w:hAnsi="Arial" w:cs="Arial"/>
        </w:rPr>
      </w:pPr>
      <w:r w:rsidRPr="000A2871">
        <w:rPr>
          <w:rFonts w:ascii="Arial" w:hAnsi="Arial" w:cs="Arial"/>
        </w:rPr>
        <w:lastRenderedPageBreak/>
        <w:t>Table 3.4. Six phases applied to published findings</w:t>
      </w:r>
    </w:p>
    <w:tbl>
      <w:tblPr>
        <w:tblW w:w="889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340"/>
        <w:gridCol w:w="6555"/>
      </w:tblGrid>
      <w:tr w:rsidR="007E77F1" w:rsidRPr="000A2871" w14:paraId="35F35D78" w14:textId="77777777" w:rsidTr="001A2D87">
        <w:trPr>
          <w:trHeight w:val="495"/>
        </w:trPr>
        <w:tc>
          <w:tcPr>
            <w:tcW w:w="2340" w:type="dxa"/>
            <w:shd w:val="clear" w:color="auto" w:fill="FFFFFF" w:themeFill="background1"/>
            <w:tcMar>
              <w:top w:w="80" w:type="dxa"/>
              <w:left w:w="80" w:type="dxa"/>
              <w:bottom w:w="80" w:type="dxa"/>
              <w:right w:w="80" w:type="dxa"/>
            </w:tcMar>
          </w:tcPr>
          <w:p w14:paraId="4DE8BCE3" w14:textId="77777777" w:rsidR="007E77F1" w:rsidRPr="00D776F6" w:rsidRDefault="007E77F1" w:rsidP="000A2871">
            <w:pPr>
              <w:spacing w:line="360" w:lineRule="auto"/>
              <w:rPr>
                <w:rFonts w:ascii="Arial" w:hAnsi="Arial" w:cs="Arial"/>
                <w:b/>
                <w:bCs/>
                <w:sz w:val="21"/>
                <w:szCs w:val="21"/>
              </w:rPr>
            </w:pPr>
            <w:r w:rsidRPr="00D776F6">
              <w:rPr>
                <w:rFonts w:ascii="Arial" w:hAnsi="Arial" w:cs="Arial"/>
                <w:b/>
                <w:bCs/>
                <w:sz w:val="21"/>
                <w:szCs w:val="21"/>
              </w:rPr>
              <w:t>Phase</w:t>
            </w:r>
          </w:p>
        </w:tc>
        <w:tc>
          <w:tcPr>
            <w:tcW w:w="6555" w:type="dxa"/>
            <w:shd w:val="clear" w:color="auto" w:fill="FFFFFF" w:themeFill="background1"/>
            <w:tcMar>
              <w:top w:w="80" w:type="dxa"/>
              <w:left w:w="80" w:type="dxa"/>
              <w:bottom w:w="80" w:type="dxa"/>
              <w:right w:w="80" w:type="dxa"/>
            </w:tcMar>
          </w:tcPr>
          <w:p w14:paraId="74A340A1" w14:textId="77777777" w:rsidR="007E77F1" w:rsidRPr="00D776F6" w:rsidRDefault="007E77F1" w:rsidP="000A2871">
            <w:pPr>
              <w:spacing w:line="360" w:lineRule="auto"/>
              <w:rPr>
                <w:rFonts w:ascii="Arial" w:hAnsi="Arial" w:cs="Arial"/>
                <w:b/>
                <w:bCs/>
                <w:sz w:val="21"/>
                <w:szCs w:val="21"/>
              </w:rPr>
            </w:pPr>
            <w:r w:rsidRPr="00D776F6">
              <w:rPr>
                <w:rFonts w:ascii="Arial" w:hAnsi="Arial" w:cs="Arial"/>
                <w:b/>
                <w:bCs/>
                <w:sz w:val="21"/>
                <w:szCs w:val="21"/>
              </w:rPr>
              <w:t>Application in this review</w:t>
            </w:r>
          </w:p>
        </w:tc>
      </w:tr>
      <w:tr w:rsidR="007E77F1" w:rsidRPr="000A2871" w14:paraId="7789EE56" w14:textId="77777777" w:rsidTr="001A2D87">
        <w:trPr>
          <w:trHeight w:val="810"/>
        </w:trPr>
        <w:tc>
          <w:tcPr>
            <w:tcW w:w="2340" w:type="dxa"/>
            <w:shd w:val="clear" w:color="auto" w:fill="FFFFFF" w:themeFill="background1"/>
            <w:tcMar>
              <w:top w:w="80" w:type="dxa"/>
              <w:left w:w="80" w:type="dxa"/>
              <w:bottom w:w="80" w:type="dxa"/>
              <w:right w:w="80" w:type="dxa"/>
            </w:tcMar>
          </w:tcPr>
          <w:p w14:paraId="54559D88" w14:textId="77777777" w:rsidR="007E77F1" w:rsidRPr="00D776F6" w:rsidRDefault="007E77F1" w:rsidP="000A2871">
            <w:pPr>
              <w:spacing w:line="360" w:lineRule="auto"/>
              <w:rPr>
                <w:rFonts w:ascii="Arial" w:hAnsi="Arial" w:cs="Arial"/>
                <w:sz w:val="21"/>
                <w:szCs w:val="21"/>
              </w:rPr>
            </w:pPr>
            <w:r w:rsidRPr="00D776F6">
              <w:rPr>
                <w:rFonts w:ascii="Arial" w:hAnsi="Arial" w:cs="Arial"/>
                <w:sz w:val="21"/>
                <w:szCs w:val="21"/>
              </w:rPr>
              <w:t>1. Familiarisation</w:t>
            </w:r>
          </w:p>
        </w:tc>
        <w:tc>
          <w:tcPr>
            <w:tcW w:w="6555" w:type="dxa"/>
            <w:shd w:val="clear" w:color="auto" w:fill="FFFFFF" w:themeFill="background1"/>
            <w:tcMar>
              <w:top w:w="80" w:type="dxa"/>
              <w:left w:w="80" w:type="dxa"/>
              <w:bottom w:w="80" w:type="dxa"/>
              <w:right w:w="80" w:type="dxa"/>
            </w:tcMar>
          </w:tcPr>
          <w:p w14:paraId="73895B8C" w14:textId="77777777" w:rsidR="007E77F1" w:rsidRPr="00D776F6" w:rsidRDefault="007E77F1" w:rsidP="000A2871">
            <w:pPr>
              <w:spacing w:line="360" w:lineRule="auto"/>
              <w:rPr>
                <w:rFonts w:ascii="Arial" w:hAnsi="Arial" w:cs="Arial"/>
                <w:sz w:val="21"/>
                <w:szCs w:val="21"/>
              </w:rPr>
            </w:pPr>
            <w:r w:rsidRPr="00D776F6">
              <w:rPr>
                <w:rFonts w:ascii="Arial" w:hAnsi="Arial" w:cs="Arial"/>
                <w:sz w:val="21"/>
                <w:szCs w:val="21"/>
              </w:rPr>
              <w:t>Read methods and findings; record setting, ages, intervention type and restrictions.</w:t>
            </w:r>
          </w:p>
        </w:tc>
      </w:tr>
      <w:tr w:rsidR="007E77F1" w:rsidRPr="000A2871" w14:paraId="38E94CA7" w14:textId="77777777" w:rsidTr="001A2D87">
        <w:trPr>
          <w:trHeight w:val="810"/>
        </w:trPr>
        <w:tc>
          <w:tcPr>
            <w:tcW w:w="2340" w:type="dxa"/>
            <w:shd w:val="clear" w:color="auto" w:fill="FFFFFF" w:themeFill="background1"/>
            <w:tcMar>
              <w:top w:w="80" w:type="dxa"/>
              <w:left w:w="80" w:type="dxa"/>
              <w:bottom w:w="80" w:type="dxa"/>
              <w:right w:w="80" w:type="dxa"/>
            </w:tcMar>
          </w:tcPr>
          <w:p w14:paraId="0189496A" w14:textId="77777777" w:rsidR="007E77F1" w:rsidRPr="00D776F6" w:rsidRDefault="007E77F1" w:rsidP="000A2871">
            <w:pPr>
              <w:spacing w:line="360" w:lineRule="auto"/>
              <w:rPr>
                <w:rFonts w:ascii="Arial" w:hAnsi="Arial" w:cs="Arial"/>
                <w:sz w:val="21"/>
                <w:szCs w:val="21"/>
              </w:rPr>
            </w:pPr>
            <w:r w:rsidRPr="00D776F6">
              <w:rPr>
                <w:rFonts w:ascii="Arial" w:hAnsi="Arial" w:cs="Arial"/>
                <w:sz w:val="21"/>
                <w:szCs w:val="21"/>
              </w:rPr>
              <w:t>2. Initial coding</w:t>
            </w:r>
          </w:p>
        </w:tc>
        <w:tc>
          <w:tcPr>
            <w:tcW w:w="6555" w:type="dxa"/>
            <w:shd w:val="clear" w:color="auto" w:fill="FFFFFF" w:themeFill="background1"/>
            <w:tcMar>
              <w:top w:w="80" w:type="dxa"/>
              <w:left w:w="80" w:type="dxa"/>
              <w:bottom w:w="80" w:type="dxa"/>
              <w:right w:w="80" w:type="dxa"/>
            </w:tcMar>
          </w:tcPr>
          <w:p w14:paraId="0AD217D7" w14:textId="77777777" w:rsidR="007E77F1" w:rsidRPr="00D776F6" w:rsidRDefault="007E77F1" w:rsidP="000A2871">
            <w:pPr>
              <w:spacing w:line="360" w:lineRule="auto"/>
              <w:rPr>
                <w:rFonts w:ascii="Arial" w:hAnsi="Arial" w:cs="Arial"/>
                <w:sz w:val="21"/>
                <w:szCs w:val="21"/>
              </w:rPr>
            </w:pPr>
            <w:r w:rsidRPr="00D776F6">
              <w:rPr>
                <w:rFonts w:ascii="Arial" w:hAnsi="Arial" w:cs="Arial"/>
                <w:sz w:val="21"/>
                <w:szCs w:val="21"/>
              </w:rPr>
              <w:t>Label relevant published accounts, for example limited break time or concern about judgement.</w:t>
            </w:r>
          </w:p>
        </w:tc>
      </w:tr>
      <w:tr w:rsidR="007E77F1" w:rsidRPr="000A2871" w14:paraId="050E5317" w14:textId="77777777" w:rsidTr="001A2D87">
        <w:trPr>
          <w:trHeight w:val="810"/>
        </w:trPr>
        <w:tc>
          <w:tcPr>
            <w:tcW w:w="2340" w:type="dxa"/>
            <w:shd w:val="clear" w:color="auto" w:fill="FFFFFF" w:themeFill="background1"/>
            <w:tcMar>
              <w:top w:w="80" w:type="dxa"/>
              <w:left w:w="80" w:type="dxa"/>
              <w:bottom w:w="80" w:type="dxa"/>
              <w:right w:w="80" w:type="dxa"/>
            </w:tcMar>
          </w:tcPr>
          <w:p w14:paraId="692E74D3" w14:textId="77777777" w:rsidR="007E77F1" w:rsidRPr="00D776F6" w:rsidRDefault="007E77F1" w:rsidP="000A2871">
            <w:pPr>
              <w:spacing w:line="360" w:lineRule="auto"/>
              <w:rPr>
                <w:rFonts w:ascii="Arial" w:hAnsi="Arial" w:cs="Arial"/>
                <w:sz w:val="21"/>
                <w:szCs w:val="21"/>
              </w:rPr>
            </w:pPr>
            <w:r w:rsidRPr="00D776F6">
              <w:rPr>
                <w:rFonts w:ascii="Arial" w:hAnsi="Arial" w:cs="Arial"/>
                <w:sz w:val="21"/>
                <w:szCs w:val="21"/>
              </w:rPr>
              <w:t>3. Develop themes</w:t>
            </w:r>
          </w:p>
        </w:tc>
        <w:tc>
          <w:tcPr>
            <w:tcW w:w="6555" w:type="dxa"/>
            <w:shd w:val="clear" w:color="auto" w:fill="FFFFFF" w:themeFill="background1"/>
            <w:tcMar>
              <w:top w:w="80" w:type="dxa"/>
              <w:left w:w="80" w:type="dxa"/>
              <w:bottom w:w="80" w:type="dxa"/>
              <w:right w:w="80" w:type="dxa"/>
            </w:tcMar>
          </w:tcPr>
          <w:p w14:paraId="3644B631" w14:textId="77777777" w:rsidR="007E77F1" w:rsidRPr="00D776F6" w:rsidRDefault="007E77F1" w:rsidP="000A2871">
            <w:pPr>
              <w:spacing w:line="360" w:lineRule="auto"/>
              <w:rPr>
                <w:rFonts w:ascii="Arial" w:hAnsi="Arial" w:cs="Arial"/>
                <w:sz w:val="21"/>
                <w:szCs w:val="21"/>
              </w:rPr>
            </w:pPr>
            <w:r w:rsidRPr="00D776F6">
              <w:rPr>
                <w:rFonts w:ascii="Arial" w:hAnsi="Arial" w:cs="Arial"/>
                <w:sz w:val="21"/>
                <w:szCs w:val="21"/>
              </w:rPr>
              <w:t>Group codes into descriptive patterns such as practical constraints or emotional responses.</w:t>
            </w:r>
          </w:p>
        </w:tc>
      </w:tr>
      <w:tr w:rsidR="007E77F1" w:rsidRPr="000A2871" w14:paraId="098F5322" w14:textId="77777777" w:rsidTr="001A2D87">
        <w:trPr>
          <w:trHeight w:val="810"/>
        </w:trPr>
        <w:tc>
          <w:tcPr>
            <w:tcW w:w="2340" w:type="dxa"/>
            <w:shd w:val="clear" w:color="auto" w:fill="FFFFFF" w:themeFill="background1"/>
            <w:tcMar>
              <w:top w:w="80" w:type="dxa"/>
              <w:left w:w="80" w:type="dxa"/>
              <w:bottom w:w="80" w:type="dxa"/>
              <w:right w:w="80" w:type="dxa"/>
            </w:tcMar>
          </w:tcPr>
          <w:p w14:paraId="1196524E" w14:textId="77777777" w:rsidR="007E77F1" w:rsidRPr="00D776F6" w:rsidRDefault="007E77F1" w:rsidP="000A2871">
            <w:pPr>
              <w:spacing w:line="360" w:lineRule="auto"/>
              <w:rPr>
                <w:rFonts w:ascii="Arial" w:hAnsi="Arial" w:cs="Arial"/>
                <w:sz w:val="21"/>
                <w:szCs w:val="21"/>
              </w:rPr>
            </w:pPr>
            <w:r w:rsidRPr="00D776F6">
              <w:rPr>
                <w:rFonts w:ascii="Arial" w:hAnsi="Arial" w:cs="Arial"/>
                <w:sz w:val="21"/>
                <w:szCs w:val="21"/>
              </w:rPr>
              <w:t>4. Review themes</w:t>
            </w:r>
          </w:p>
        </w:tc>
        <w:tc>
          <w:tcPr>
            <w:tcW w:w="6555" w:type="dxa"/>
            <w:shd w:val="clear" w:color="auto" w:fill="FFFFFF" w:themeFill="background1"/>
            <w:tcMar>
              <w:top w:w="80" w:type="dxa"/>
              <w:left w:w="80" w:type="dxa"/>
              <w:bottom w:w="80" w:type="dxa"/>
              <w:right w:w="80" w:type="dxa"/>
            </w:tcMar>
          </w:tcPr>
          <w:p w14:paraId="4EE02F9C" w14:textId="77777777" w:rsidR="007E77F1" w:rsidRPr="00D776F6" w:rsidRDefault="007E77F1" w:rsidP="000A2871">
            <w:pPr>
              <w:spacing w:line="360" w:lineRule="auto"/>
              <w:rPr>
                <w:rFonts w:ascii="Arial" w:hAnsi="Arial" w:cs="Arial"/>
                <w:sz w:val="21"/>
                <w:szCs w:val="21"/>
              </w:rPr>
            </w:pPr>
            <w:r w:rsidRPr="00D776F6">
              <w:rPr>
                <w:rFonts w:ascii="Arial" w:hAnsi="Arial" w:cs="Arial"/>
                <w:sz w:val="21"/>
                <w:szCs w:val="21"/>
              </w:rPr>
              <w:t>Compare across studies; check boundaries, contrasting accounts and restricted contributors.</w:t>
            </w:r>
          </w:p>
        </w:tc>
      </w:tr>
      <w:tr w:rsidR="007E77F1" w:rsidRPr="000A2871" w14:paraId="78DC965D" w14:textId="77777777" w:rsidTr="001A2D87">
        <w:trPr>
          <w:trHeight w:val="495"/>
        </w:trPr>
        <w:tc>
          <w:tcPr>
            <w:tcW w:w="2340" w:type="dxa"/>
            <w:shd w:val="clear" w:color="auto" w:fill="FFFFFF" w:themeFill="background1"/>
            <w:tcMar>
              <w:top w:w="80" w:type="dxa"/>
              <w:left w:w="80" w:type="dxa"/>
              <w:bottom w:w="80" w:type="dxa"/>
              <w:right w:w="80" w:type="dxa"/>
            </w:tcMar>
          </w:tcPr>
          <w:p w14:paraId="5A750290" w14:textId="77777777" w:rsidR="007E77F1" w:rsidRPr="00D776F6" w:rsidRDefault="007E77F1" w:rsidP="000A2871">
            <w:pPr>
              <w:spacing w:line="360" w:lineRule="auto"/>
              <w:rPr>
                <w:rFonts w:ascii="Arial" w:hAnsi="Arial" w:cs="Arial"/>
                <w:sz w:val="21"/>
                <w:szCs w:val="21"/>
              </w:rPr>
            </w:pPr>
            <w:r w:rsidRPr="00D776F6">
              <w:rPr>
                <w:rFonts w:ascii="Arial" w:hAnsi="Arial" w:cs="Arial"/>
                <w:sz w:val="21"/>
                <w:szCs w:val="21"/>
              </w:rPr>
              <w:t>5. Define themes</w:t>
            </w:r>
          </w:p>
        </w:tc>
        <w:tc>
          <w:tcPr>
            <w:tcW w:w="6555" w:type="dxa"/>
            <w:shd w:val="clear" w:color="auto" w:fill="FFFFFF" w:themeFill="background1"/>
            <w:tcMar>
              <w:top w:w="80" w:type="dxa"/>
              <w:left w:w="80" w:type="dxa"/>
              <w:bottom w:w="80" w:type="dxa"/>
              <w:right w:w="80" w:type="dxa"/>
            </w:tcMar>
          </w:tcPr>
          <w:p w14:paraId="55F02587" w14:textId="77777777" w:rsidR="007E77F1" w:rsidRPr="00D776F6" w:rsidRDefault="007E77F1" w:rsidP="000A2871">
            <w:pPr>
              <w:spacing w:line="360" w:lineRule="auto"/>
              <w:rPr>
                <w:rFonts w:ascii="Arial" w:hAnsi="Arial" w:cs="Arial"/>
                <w:sz w:val="21"/>
                <w:szCs w:val="21"/>
              </w:rPr>
            </w:pPr>
            <w:r w:rsidRPr="00D776F6">
              <w:rPr>
                <w:rFonts w:ascii="Arial" w:hAnsi="Arial" w:cs="Arial"/>
                <w:sz w:val="21"/>
                <w:szCs w:val="21"/>
              </w:rPr>
              <w:t>Name the underlying meaning and distinguish overlapping themes.</w:t>
            </w:r>
          </w:p>
        </w:tc>
      </w:tr>
      <w:tr w:rsidR="007E77F1" w:rsidRPr="000A2871" w14:paraId="41F5155D" w14:textId="77777777" w:rsidTr="001A2D87">
        <w:trPr>
          <w:trHeight w:val="810"/>
        </w:trPr>
        <w:tc>
          <w:tcPr>
            <w:tcW w:w="2340" w:type="dxa"/>
            <w:shd w:val="clear" w:color="auto" w:fill="FFFFFF" w:themeFill="background1"/>
            <w:tcMar>
              <w:top w:w="80" w:type="dxa"/>
              <w:left w:w="80" w:type="dxa"/>
              <w:bottom w:w="80" w:type="dxa"/>
              <w:right w:w="80" w:type="dxa"/>
            </w:tcMar>
          </w:tcPr>
          <w:p w14:paraId="41816452" w14:textId="77777777" w:rsidR="007E77F1" w:rsidRPr="00D776F6" w:rsidRDefault="007E77F1" w:rsidP="000A2871">
            <w:pPr>
              <w:spacing w:line="360" w:lineRule="auto"/>
              <w:rPr>
                <w:rFonts w:ascii="Arial" w:hAnsi="Arial" w:cs="Arial"/>
                <w:sz w:val="21"/>
                <w:szCs w:val="21"/>
              </w:rPr>
            </w:pPr>
            <w:r w:rsidRPr="00D776F6">
              <w:rPr>
                <w:rFonts w:ascii="Arial" w:hAnsi="Arial" w:cs="Arial"/>
                <w:sz w:val="21"/>
                <w:szCs w:val="21"/>
              </w:rPr>
              <w:t>6. Write the synthesis</w:t>
            </w:r>
          </w:p>
        </w:tc>
        <w:tc>
          <w:tcPr>
            <w:tcW w:w="6555" w:type="dxa"/>
            <w:shd w:val="clear" w:color="auto" w:fill="FFFFFF" w:themeFill="background1"/>
            <w:tcMar>
              <w:top w:w="80" w:type="dxa"/>
              <w:left w:w="80" w:type="dxa"/>
              <w:bottom w:w="80" w:type="dxa"/>
              <w:right w:w="80" w:type="dxa"/>
            </w:tcMar>
          </w:tcPr>
          <w:p w14:paraId="1BF2856B" w14:textId="77777777" w:rsidR="007E77F1" w:rsidRPr="00D776F6" w:rsidRDefault="007E77F1" w:rsidP="000A2871">
            <w:pPr>
              <w:spacing w:line="360" w:lineRule="auto"/>
              <w:rPr>
                <w:rFonts w:ascii="Arial" w:hAnsi="Arial" w:cs="Arial"/>
                <w:sz w:val="21"/>
                <w:szCs w:val="21"/>
              </w:rPr>
            </w:pPr>
            <w:r w:rsidRPr="00D776F6">
              <w:rPr>
                <w:rFonts w:ascii="Arial" w:hAnsi="Arial" w:cs="Arial"/>
                <w:sz w:val="21"/>
                <w:szCs w:val="21"/>
              </w:rPr>
              <w:t>Explain five analytical themes with source links, contextual limits and implications.</w:t>
            </w:r>
          </w:p>
        </w:tc>
      </w:tr>
    </w:tbl>
    <w:p w14:paraId="7241732A" w14:textId="77777777" w:rsidR="007E77F1" w:rsidRPr="000A2871" w:rsidRDefault="007E77F1" w:rsidP="00FA7C32">
      <w:pPr>
        <w:spacing w:line="360" w:lineRule="auto"/>
        <w:ind w:left="10"/>
        <w:rPr>
          <w:rFonts w:ascii="Arial" w:hAnsi="Arial" w:cs="Arial"/>
        </w:rPr>
      </w:pPr>
      <w:r w:rsidRPr="000A2871">
        <w:rPr>
          <w:rFonts w:ascii="Arial" w:hAnsi="Arial" w:cs="Arial"/>
        </w:rPr>
        <w:t xml:space="preserve"> </w:t>
      </w:r>
    </w:p>
    <w:p w14:paraId="53EBFF0E" w14:textId="283659CC" w:rsidR="007E77F1" w:rsidRPr="000A2871" w:rsidRDefault="007E77F1" w:rsidP="00FA7C32">
      <w:pPr>
        <w:spacing w:after="120" w:line="360" w:lineRule="auto"/>
        <w:ind w:left="10"/>
        <w:rPr>
          <w:rFonts w:ascii="Arial" w:hAnsi="Arial" w:cs="Arial"/>
        </w:rPr>
      </w:pPr>
      <w:r w:rsidRPr="000A2871">
        <w:rPr>
          <w:rFonts w:ascii="Arial" w:hAnsi="Arial" w:cs="Arial"/>
        </w:rPr>
        <w:t xml:space="preserve">The worked examples in Appendix C show the route from source paraphrase to code, descriptive pattern and analytical theme. They constitute </w:t>
      </w:r>
      <w:r w:rsidR="00391F6C" w:rsidRPr="000A2871">
        <w:rPr>
          <w:rFonts w:ascii="Arial" w:hAnsi="Arial" w:cs="Arial"/>
        </w:rPr>
        <w:t>evidence</w:t>
      </w:r>
      <w:r w:rsidR="25E4BEB8" w:rsidRPr="56AD9AAB">
        <w:rPr>
          <w:rFonts w:ascii="Arial" w:hAnsi="Arial" w:cs="Arial"/>
        </w:rPr>
        <w:t xml:space="preserve"> </w:t>
      </w:r>
      <w:r w:rsidRPr="000A2871">
        <w:rPr>
          <w:rFonts w:ascii="Arial" w:hAnsi="Arial" w:cs="Arial"/>
        </w:rPr>
        <w:t>linked revision trail, not a complete archive of every line coded during the original dissertation. Interpretation was checked against the six whole-sample studies alone, then against the five restricted contributors. Contextual comparisons were kept separate. Hunter was also considered separately because its age-reporting inconsistency could affect attribution.</w:t>
      </w:r>
    </w:p>
    <w:p w14:paraId="1FA48C09" w14:textId="1351BD8E" w:rsidR="007E77F1" w:rsidRPr="000A2871" w:rsidRDefault="007E77F1" w:rsidP="00FA7C32">
      <w:pPr>
        <w:spacing w:after="120" w:line="360" w:lineRule="auto"/>
        <w:ind w:left="10"/>
        <w:rPr>
          <w:rFonts w:ascii="Arial" w:hAnsi="Arial" w:cs="Arial"/>
        </w:rPr>
      </w:pPr>
      <w:r w:rsidRPr="000A2871">
        <w:rPr>
          <w:rFonts w:ascii="Arial" w:hAnsi="Arial" w:cs="Arial"/>
        </w:rPr>
        <w:t xml:space="preserve">Coding in a synthesis requires comparison as well as labelling. A code such as </w:t>
      </w:r>
      <w:r w:rsidR="00F85416">
        <w:rPr>
          <w:rFonts w:ascii="Arial" w:hAnsi="Arial" w:cs="Arial"/>
        </w:rPr>
        <w:t>'practical difficulty'</w:t>
      </w:r>
      <w:r w:rsidRPr="000A2871">
        <w:rPr>
          <w:rFonts w:ascii="Arial" w:hAnsi="Arial" w:cs="Arial"/>
        </w:rPr>
        <w:t xml:space="preserve"> is too broad unless the account explains what is difficult and in which setting. The worked examples therefore retain more concrete meanings, including limited workplace opportunity, competing health needs and unwanted tracking. Related codes can then be compared without assuming that every account describes the same mechanism. Descriptive patterns stay close to these meanings; the analytical themes address their implications for the review question. The process is recursive, with later comparisons prompting reconsideration of earlier interpretations (Maguire and Delahunt, 2017).</w:t>
      </w:r>
    </w:p>
    <w:p w14:paraId="6458CB2A" w14:textId="77777777" w:rsidR="00894BC7" w:rsidRDefault="00894BC7">
      <w:pPr>
        <w:rPr>
          <w:rFonts w:ascii="Arial" w:eastAsia="Times New Roman" w:hAnsi="Arial" w:cs="Arial"/>
          <w:b/>
          <w:bCs/>
          <w:color w:val="000000"/>
          <w:sz w:val="34"/>
          <w:szCs w:val="34"/>
        </w:rPr>
      </w:pPr>
      <w:bookmarkStart w:id="71" w:name="_tqut69treyfr" w:colFirst="0" w:colLast="0"/>
      <w:bookmarkEnd w:id="71"/>
      <w:r>
        <w:rPr>
          <w:rFonts w:ascii="Arial" w:hAnsi="Arial" w:cs="Arial"/>
          <w:bCs/>
          <w:sz w:val="34"/>
          <w:szCs w:val="34"/>
        </w:rPr>
        <w:br w:type="page"/>
      </w:r>
    </w:p>
    <w:p w14:paraId="069D07D8" w14:textId="0BD77965" w:rsidR="007E77F1" w:rsidRPr="000A2871" w:rsidRDefault="007E77F1" w:rsidP="00391F6C">
      <w:pPr>
        <w:pStyle w:val="Heading2"/>
        <w:keepNext w:val="0"/>
        <w:keepLines w:val="0"/>
        <w:spacing w:after="80" w:line="360" w:lineRule="auto"/>
        <w:ind w:left="20"/>
        <w:jc w:val="left"/>
        <w:rPr>
          <w:rFonts w:ascii="Arial" w:hAnsi="Arial" w:cs="Arial"/>
          <w:b w:val="0"/>
          <w:bCs/>
          <w:sz w:val="34"/>
          <w:szCs w:val="34"/>
        </w:rPr>
      </w:pPr>
      <w:bookmarkStart w:id="72" w:name="_Toc242459542"/>
      <w:r w:rsidRPr="000A2871">
        <w:rPr>
          <w:rFonts w:ascii="Arial" w:hAnsi="Arial" w:cs="Arial"/>
          <w:bCs/>
          <w:sz w:val="34"/>
          <w:szCs w:val="34"/>
        </w:rPr>
        <w:lastRenderedPageBreak/>
        <w:t>3.9 Interpretation, reflexivity and trustworthiness</w:t>
      </w:r>
      <w:bookmarkEnd w:id="72"/>
    </w:p>
    <w:p w14:paraId="5142A363" w14:textId="77777777" w:rsidR="007E77F1" w:rsidRPr="000A2871" w:rsidRDefault="007E77F1" w:rsidP="00FA7C32">
      <w:pPr>
        <w:spacing w:after="120" w:line="360" w:lineRule="auto"/>
        <w:ind w:left="10"/>
        <w:rPr>
          <w:rFonts w:ascii="Arial" w:hAnsi="Arial" w:cs="Arial"/>
        </w:rPr>
      </w:pPr>
      <w:r w:rsidRPr="000A2871">
        <w:rPr>
          <w:rFonts w:ascii="Arial" w:hAnsi="Arial" w:cs="Arial"/>
        </w:rPr>
        <w:t>The ecological, COM-B and acceptability frameworks were applied after initial coding. This reduces the risk of forcing every account into a predefined category, although interpretation remains influenced by the review question. The analysis attends to alternative explanations: apparent lack of motivation may involve limited opportunity, while emphasis on structural barriers should not erase personal preferences or agency.</w:t>
      </w:r>
    </w:p>
    <w:p w14:paraId="0482F678" w14:textId="77777777" w:rsidR="007E77F1" w:rsidRPr="000A2871" w:rsidRDefault="007E77F1" w:rsidP="00FA7C32">
      <w:pPr>
        <w:spacing w:after="120" w:line="360" w:lineRule="auto"/>
        <w:ind w:left="10"/>
        <w:rPr>
          <w:rFonts w:ascii="Arial" w:hAnsi="Arial" w:cs="Arial"/>
        </w:rPr>
      </w:pPr>
      <w:r w:rsidRPr="000A2871">
        <w:rPr>
          <w:rFonts w:ascii="Arial" w:hAnsi="Arial" w:cs="Arial"/>
        </w:rPr>
        <w:t>Study-linked examples and appraisal notes support scrutiny of the interpretation. Contrasting accounts are retained, including different preferences for digital information, tracking and peer contact. Repetition is not treated as prevalence or sufficient evidence of analytic depth (Hennink, Kaiser and Marconi, 2017; Hennink and Kaiser, 2022). Single-reviewer judgement and the absence of an independently checked complete coding archive remain limitations; no duplicate screening or inter-rater reliability statistic is claimed for this review (Dossett, Kaji and Cochran, 2021).</w:t>
      </w:r>
    </w:p>
    <w:p w14:paraId="2F36037B" w14:textId="0B3FAA61" w:rsidR="007E77F1" w:rsidRPr="000A2871" w:rsidRDefault="007E77F1" w:rsidP="00FA7C32">
      <w:pPr>
        <w:spacing w:after="120" w:line="360" w:lineRule="auto"/>
        <w:ind w:left="10"/>
        <w:rPr>
          <w:rFonts w:ascii="Arial" w:hAnsi="Arial" w:cs="Arial"/>
        </w:rPr>
      </w:pPr>
      <w:r w:rsidRPr="000A2871">
        <w:rPr>
          <w:rFonts w:ascii="Arial" w:hAnsi="Arial" w:cs="Arial"/>
        </w:rPr>
        <w:t xml:space="preserve">Sensitivity checks were interpretive rather than statistical. The question was whether removing a restricted contributor changed the explanation or mainly reduced contextual detail. The whole-sample comparison provides a basis for considering broad themes, while the Hunter check isolates the contribution affected by demographic inconsistency. These checks cannot resolve missing data or prove that a theme is correct. They make dependence on </w:t>
      </w:r>
      <w:r w:rsidR="00F85416" w:rsidRPr="000A2871">
        <w:rPr>
          <w:rFonts w:ascii="Arial" w:hAnsi="Arial" w:cs="Arial"/>
        </w:rPr>
        <w:t>reports</w:t>
      </w:r>
      <w:r w:rsidRPr="000A2871">
        <w:rPr>
          <w:rFonts w:ascii="Arial" w:hAnsi="Arial" w:cs="Arial"/>
        </w:rPr>
        <w:t xml:space="preserve"> more visible and help identify where conclusions should remain cautious. The study-to-theme map supports this assessment without turning the number of contributing reports into a confidence score (Lewin et al., 2018).</w:t>
      </w:r>
    </w:p>
    <w:p w14:paraId="46304DC4" w14:textId="6838F610" w:rsidR="007E77F1" w:rsidRPr="000A2871" w:rsidRDefault="007E77F1" w:rsidP="00FA7C32">
      <w:pPr>
        <w:spacing w:after="120" w:line="360" w:lineRule="auto"/>
        <w:ind w:left="10"/>
        <w:rPr>
          <w:rFonts w:ascii="Arial" w:hAnsi="Arial" w:cs="Arial"/>
        </w:rPr>
      </w:pPr>
      <w:r w:rsidRPr="000A2871">
        <w:rPr>
          <w:rFonts w:ascii="Arial" w:hAnsi="Arial" w:cs="Arial"/>
        </w:rPr>
        <w:t xml:space="preserve">The audit trail serves a different purpose from independent verification. Linking a claim to an article, participant identifier and source location allows another reader to inspect the </w:t>
      </w:r>
      <w:r w:rsidR="00ED7435">
        <w:rPr>
          <w:rFonts w:ascii="Arial" w:hAnsi="Arial" w:cs="Arial"/>
        </w:rPr>
        <w:t>reasoning but</w:t>
      </w:r>
      <w:r w:rsidRPr="000A2871">
        <w:rPr>
          <w:rFonts w:ascii="Arial" w:hAnsi="Arial" w:cs="Arial"/>
        </w:rPr>
        <w:t xml:space="preserve"> does not mean that another reviewer has already agreed with it. Similarly, a clear extraction table does not establish that every relevant finding has been captured. The dissertation therefore uses traceability as a reporting strength that supports careful critical reading while retaining the limits of single-reviewer interpretation. Where a source does not support a more specific conclusion, the wording remains at the level the evidence permits. This is particularly important when combining a detailed individual account with a broader pattern developed across several studies.</w:t>
      </w:r>
      <w:r w:rsidR="00CE1E66">
        <w:rPr>
          <w:rFonts w:ascii="Arial" w:hAnsi="Arial" w:cs="Arial"/>
        </w:rPr>
        <w:br/>
      </w:r>
    </w:p>
    <w:p w14:paraId="0DA13F71" w14:textId="77777777" w:rsidR="00CE1E66" w:rsidRDefault="00CE1E66">
      <w:pPr>
        <w:rPr>
          <w:rFonts w:ascii="Arial" w:eastAsia="Times New Roman" w:hAnsi="Arial" w:cs="Arial"/>
          <w:b/>
          <w:bCs/>
          <w:color w:val="000000"/>
          <w:sz w:val="34"/>
          <w:szCs w:val="34"/>
        </w:rPr>
      </w:pPr>
      <w:bookmarkStart w:id="73" w:name="_4osw4opfju7k" w:colFirst="0" w:colLast="0"/>
      <w:bookmarkStart w:id="74" w:name="_Toc242459543"/>
      <w:bookmarkEnd w:id="73"/>
      <w:r>
        <w:rPr>
          <w:rFonts w:ascii="Arial" w:hAnsi="Arial" w:cs="Arial"/>
          <w:bCs/>
          <w:sz w:val="34"/>
          <w:szCs w:val="34"/>
        </w:rPr>
        <w:br w:type="page"/>
      </w:r>
    </w:p>
    <w:p w14:paraId="46242800" w14:textId="1386C518" w:rsidR="007E77F1" w:rsidRPr="000A2871" w:rsidRDefault="007E77F1" w:rsidP="00C5615D">
      <w:pPr>
        <w:pStyle w:val="Heading2"/>
        <w:keepNext w:val="0"/>
        <w:keepLines w:val="0"/>
        <w:spacing w:after="80" w:line="360" w:lineRule="auto"/>
        <w:ind w:left="20"/>
        <w:jc w:val="left"/>
        <w:rPr>
          <w:rFonts w:ascii="Arial" w:hAnsi="Arial" w:cs="Arial"/>
          <w:b w:val="0"/>
          <w:bCs/>
          <w:sz w:val="34"/>
          <w:szCs w:val="34"/>
        </w:rPr>
      </w:pPr>
      <w:r w:rsidRPr="000A2871">
        <w:rPr>
          <w:rFonts w:ascii="Arial" w:hAnsi="Arial" w:cs="Arial"/>
          <w:bCs/>
          <w:sz w:val="34"/>
          <w:szCs w:val="34"/>
        </w:rPr>
        <w:lastRenderedPageBreak/>
        <w:t>3.10 Ethics and methodological limitations</w:t>
      </w:r>
      <w:bookmarkEnd w:id="74"/>
    </w:p>
    <w:p w14:paraId="741F72FF" w14:textId="77777777" w:rsidR="007E77F1" w:rsidRPr="000A2871" w:rsidRDefault="007E77F1" w:rsidP="00FA7C32">
      <w:pPr>
        <w:spacing w:after="120" w:line="360" w:lineRule="auto"/>
        <w:ind w:left="10"/>
        <w:rPr>
          <w:rFonts w:ascii="Arial" w:hAnsi="Arial" w:cs="Arial"/>
        </w:rPr>
      </w:pPr>
      <w:r w:rsidRPr="000A2871">
        <w:rPr>
          <w:rFonts w:ascii="Arial" w:hAnsi="Arial" w:cs="Arial"/>
        </w:rPr>
        <w:t>The review uses published research and collects no new identifiable participant data. Sources are attributed, participant identities remain those anonymised by the original authors, and sensitive accounts are paraphrased carefully. No institutional approval or exemption number is available in the supplied material, so none is asserted. Published study approvals are assessed under CASP and are separate from the university’s requirements for this dissertation.</w:t>
      </w:r>
    </w:p>
    <w:p w14:paraId="758B8929" w14:textId="4304FD20" w:rsidR="007E77F1" w:rsidRPr="000A2871" w:rsidRDefault="007E77F1" w:rsidP="00FA7C32">
      <w:pPr>
        <w:spacing w:after="120" w:line="360" w:lineRule="auto"/>
        <w:ind w:left="10"/>
        <w:rPr>
          <w:rFonts w:ascii="Arial" w:hAnsi="Arial" w:cs="Arial"/>
        </w:rPr>
      </w:pPr>
      <w:r w:rsidRPr="000A2871">
        <w:rPr>
          <w:rFonts w:ascii="Arial" w:hAnsi="Arial" w:cs="Arial"/>
        </w:rPr>
        <w:t xml:space="preserve">The main limitations are restricted search coverage, an English-language criterion, a pragmatically defined age approach, incomplete report-stage documentation and reliance on published extracts. The eleven-article synthesis is complete for the documented </w:t>
      </w:r>
      <w:r w:rsidR="00607CDE">
        <w:rPr>
          <w:rFonts w:ascii="Arial" w:hAnsi="Arial" w:cs="Arial"/>
        </w:rPr>
        <w:t>reassessment but</w:t>
      </w:r>
      <w:r w:rsidRPr="000A2871">
        <w:rPr>
          <w:rFonts w:ascii="Arial" w:hAnsi="Arial" w:cs="Arial"/>
        </w:rPr>
        <w:t xml:space="preserve"> cannot establish whether other eligible studies were missed. The PRISMA-informed flow separates original record counts, supplementary PubMed retrieval, historical screening information and current decisions.</w:t>
      </w:r>
    </w:p>
    <w:p w14:paraId="0519D2B9" w14:textId="7E0B81B4" w:rsidR="007E77F1" w:rsidRPr="000A2871" w:rsidRDefault="007E77F1" w:rsidP="00FA7C32">
      <w:pPr>
        <w:spacing w:after="120" w:line="360" w:lineRule="auto"/>
        <w:ind w:left="10"/>
      </w:pPr>
      <w:r w:rsidRPr="000A2871">
        <w:rPr>
          <w:rFonts w:ascii="Arial" w:hAnsi="Arial" w:cs="Arial"/>
        </w:rPr>
        <w:t>Ethical reporting also concerns how uncertainty is communicated. Participants’ words should not acquire a stronger claim through repeated citation or be detached from a sensitive treatment context. The synthesis avoids presenting inferred motives as facts and separates service-development proposals from demonstrated effects. These practices support respectful use of published accounts while recognising that a secondary review cannot revisit consent discussions or ask participants whether a new interpretation reflects their intended meaning.</w:t>
      </w:r>
      <w:r w:rsidR="00CE1E66">
        <w:rPr>
          <w:rFonts w:ascii="Arial" w:hAnsi="Arial" w:cs="Arial"/>
        </w:rPr>
        <w:br/>
      </w:r>
    </w:p>
    <w:p w14:paraId="55F9DBF4" w14:textId="3443DA59" w:rsidR="2218D9CB" w:rsidRDefault="2218D9CB" w:rsidP="66EF0137">
      <w:pPr>
        <w:pStyle w:val="Heading2"/>
        <w:keepNext w:val="0"/>
        <w:keepLines w:val="0"/>
        <w:spacing w:after="80" w:line="360" w:lineRule="auto"/>
        <w:jc w:val="left"/>
      </w:pPr>
      <w:bookmarkStart w:id="75" w:name="_2luk3s839xom" w:colFirst="0" w:colLast="0"/>
      <w:bookmarkStart w:id="76" w:name="_Toc242459544"/>
      <w:bookmarkEnd w:id="75"/>
      <w:r w:rsidRPr="66EF0137">
        <w:rPr>
          <w:rFonts w:ascii="Arial" w:hAnsi="Arial" w:cs="Arial"/>
          <w:sz w:val="34"/>
          <w:szCs w:val="34"/>
        </w:rPr>
        <w:t>Summary</w:t>
      </w:r>
      <w:bookmarkEnd w:id="76"/>
    </w:p>
    <w:p w14:paraId="1519FCA3" w14:textId="199FD0A3" w:rsidR="2218D9CB" w:rsidRDefault="2218D9CB" w:rsidP="66EF0137">
      <w:pPr>
        <w:spacing w:line="360" w:lineRule="auto"/>
        <w:rPr>
          <w:rFonts w:ascii="Arial" w:eastAsia="Arial" w:hAnsi="Arial" w:cs="Arial"/>
          <w:color w:val="2B2D38"/>
        </w:rPr>
      </w:pPr>
      <w:r w:rsidRPr="66EF0137">
        <w:rPr>
          <w:rFonts w:ascii="Arial" w:eastAsia="Arial" w:hAnsi="Arial" w:cs="Arial"/>
        </w:rPr>
        <w:t xml:space="preserve">This chapter has explained how evidence was chosen looked at carefully and understood </w:t>
      </w:r>
      <w:r w:rsidR="00894BC7" w:rsidRPr="66EF0137">
        <w:rPr>
          <w:rFonts w:ascii="Arial" w:eastAsia="Arial" w:hAnsi="Arial" w:cs="Arial"/>
        </w:rPr>
        <w:t>to</w:t>
      </w:r>
      <w:r w:rsidRPr="66EF0137">
        <w:rPr>
          <w:rFonts w:ascii="Arial" w:eastAsia="Arial" w:hAnsi="Arial" w:cs="Arial"/>
        </w:rPr>
        <w:t xml:space="preserve"> answer the research question. It has talked about how information was taken out how themes were created and how checks were done to make sure there was a connection between the studies and the conclusions. It also mentioned the limits, in how much was searched and how much was written down. The next chapter shows the details of the study what was found during the review and the main ideas that came from putting everything.</w:t>
      </w:r>
    </w:p>
    <w:p w14:paraId="4CCEE71D" w14:textId="0097BB02" w:rsidR="66EF0137" w:rsidRDefault="66EF0137"/>
    <w:p w14:paraId="7ED3D327" w14:textId="4603E1C7" w:rsidR="66EF0137" w:rsidRDefault="66EF0137" w:rsidP="66EF0137">
      <w:pPr>
        <w:spacing w:after="120" w:line="360" w:lineRule="auto"/>
        <w:ind w:left="10"/>
        <w:rPr>
          <w:rFonts w:ascii="Arial" w:hAnsi="Arial" w:cs="Arial"/>
        </w:rPr>
      </w:pPr>
    </w:p>
    <w:p w14:paraId="4AB5BB2E" w14:textId="77777777" w:rsidR="007E77F1" w:rsidRPr="000A2871" w:rsidRDefault="007E77F1" w:rsidP="000A2871">
      <w:pPr>
        <w:pStyle w:val="Heading1"/>
        <w:keepNext w:val="0"/>
        <w:keepLines w:val="0"/>
        <w:spacing w:before="480" w:line="360" w:lineRule="auto"/>
        <w:rPr>
          <w:rFonts w:ascii="Arial" w:hAnsi="Arial" w:cs="Arial"/>
          <w:b w:val="0"/>
          <w:bCs/>
          <w:sz w:val="46"/>
          <w:szCs w:val="46"/>
        </w:rPr>
      </w:pPr>
      <w:r w:rsidRPr="000A2871">
        <w:rPr>
          <w:rFonts w:ascii="Arial" w:hAnsi="Arial" w:cs="Arial"/>
        </w:rPr>
        <w:br w:type="page"/>
      </w:r>
    </w:p>
    <w:p w14:paraId="38DAA17D" w14:textId="2433C929" w:rsidR="007E77F1" w:rsidRPr="000A2871" w:rsidRDefault="007E77F1" w:rsidP="66EF0137">
      <w:pPr>
        <w:pStyle w:val="Heading1"/>
        <w:keepNext w:val="0"/>
        <w:keepLines w:val="0"/>
        <w:spacing w:before="480" w:line="360" w:lineRule="auto"/>
        <w:jc w:val="left"/>
      </w:pPr>
      <w:bookmarkStart w:id="77" w:name="_1znt6955xy51" w:colFirst="0" w:colLast="0"/>
      <w:bookmarkStart w:id="78" w:name="_Toc242459545"/>
      <w:bookmarkEnd w:id="77"/>
      <w:r w:rsidRPr="000A2871">
        <w:rPr>
          <w:rFonts w:ascii="Arial" w:hAnsi="Arial" w:cs="Arial"/>
          <w:bCs/>
          <w:sz w:val="46"/>
          <w:szCs w:val="46"/>
        </w:rPr>
        <w:lastRenderedPageBreak/>
        <w:t>4</w:t>
      </w:r>
      <w:r w:rsidR="6979A13E" w:rsidRPr="66EF0137">
        <w:rPr>
          <w:rFonts w:ascii="Arial" w:hAnsi="Arial" w:cs="Arial"/>
          <w:sz w:val="46"/>
          <w:szCs w:val="46"/>
        </w:rPr>
        <w:t>.</w:t>
      </w:r>
      <w:r w:rsidRPr="000A2871">
        <w:rPr>
          <w:rFonts w:ascii="Arial" w:hAnsi="Arial" w:cs="Arial"/>
          <w:bCs/>
          <w:sz w:val="46"/>
          <w:szCs w:val="46"/>
        </w:rPr>
        <w:t xml:space="preserve"> Results</w:t>
      </w:r>
      <w:bookmarkEnd w:id="78"/>
    </w:p>
    <w:p w14:paraId="722385A1" w14:textId="51759ECB" w:rsidR="6D0FE3D8" w:rsidRDefault="6D0FE3D8" w:rsidP="66EF0137">
      <w:pPr>
        <w:spacing w:before="225" w:after="225" w:line="360" w:lineRule="auto"/>
        <w:rPr>
          <w:rFonts w:ascii="Arial" w:eastAsia="Arial" w:hAnsi="Arial" w:cs="Arial"/>
          <w:color w:val="2B2D38"/>
        </w:rPr>
      </w:pPr>
      <w:bookmarkStart w:id="79" w:name="_gcehkn65jw2g" w:colFirst="0" w:colLast="0"/>
      <w:bookmarkEnd w:id="79"/>
      <w:r w:rsidRPr="66EF0137">
        <w:rPr>
          <w:rFonts w:ascii="Arial" w:eastAsia="Arial" w:hAnsi="Arial" w:cs="Arial"/>
          <w:color w:val="2B2D38"/>
        </w:rPr>
        <w:t xml:space="preserve">This chapter explores the results from eleven articles that were part of the synthesis. It describes how the studies were </w:t>
      </w:r>
      <w:r w:rsidR="00CE1E66">
        <w:rPr>
          <w:rFonts w:ascii="Arial" w:eastAsia="Arial" w:hAnsi="Arial" w:cs="Arial"/>
          <w:color w:val="2B2D38"/>
        </w:rPr>
        <w:t>chosen,</w:t>
      </w:r>
      <w:r w:rsidRPr="66EF0137">
        <w:rPr>
          <w:rFonts w:ascii="Arial" w:eastAsia="Arial" w:hAnsi="Arial" w:cs="Arial"/>
          <w:color w:val="2B2D38"/>
        </w:rPr>
        <w:t xml:space="preserve"> the characteristics of the people involved and the CASP appraisal outcomes. Five key themes are presented to show how daily life influences obesity-related behaviours and how young </w:t>
      </w:r>
      <w:r w:rsidR="00CE1E66">
        <w:rPr>
          <w:rFonts w:ascii="Arial" w:eastAsia="Arial" w:hAnsi="Arial" w:cs="Arial"/>
          <w:color w:val="2B2D38"/>
        </w:rPr>
        <w:t>adults in</w:t>
      </w:r>
      <w:r w:rsidRPr="66EF0137">
        <w:rPr>
          <w:rFonts w:ascii="Arial" w:eastAsia="Arial" w:hAnsi="Arial" w:cs="Arial"/>
          <w:color w:val="2B2D38"/>
        </w:rPr>
        <w:t xml:space="preserve"> the UK view support.</w:t>
      </w:r>
    </w:p>
    <w:p w14:paraId="367200B8" w14:textId="77777777" w:rsidR="007E77F1" w:rsidRPr="000A2871" w:rsidRDefault="007E77F1" w:rsidP="66EF0137">
      <w:pPr>
        <w:pStyle w:val="Heading2"/>
        <w:keepNext w:val="0"/>
        <w:keepLines w:val="0"/>
        <w:spacing w:after="80" w:line="360" w:lineRule="auto"/>
        <w:jc w:val="left"/>
        <w:rPr>
          <w:rFonts w:ascii="Arial" w:hAnsi="Arial" w:cs="Arial"/>
          <w:b w:val="0"/>
          <w:bCs/>
          <w:sz w:val="34"/>
          <w:szCs w:val="34"/>
        </w:rPr>
      </w:pPr>
      <w:bookmarkStart w:id="80" w:name="_Toc242459546"/>
      <w:r w:rsidRPr="000A2871">
        <w:rPr>
          <w:rFonts w:ascii="Arial" w:hAnsi="Arial" w:cs="Arial"/>
          <w:bCs/>
          <w:sz w:val="34"/>
          <w:szCs w:val="34"/>
        </w:rPr>
        <w:t>4.1 Selection and evidence base</w:t>
      </w:r>
      <w:bookmarkEnd w:id="80"/>
    </w:p>
    <w:p w14:paraId="4E92512F" w14:textId="77777777" w:rsidR="007E77F1" w:rsidRPr="000A2871" w:rsidRDefault="007E77F1" w:rsidP="000A2871">
      <w:pPr>
        <w:spacing w:after="120" w:line="360" w:lineRule="auto"/>
        <w:rPr>
          <w:rFonts w:ascii="Arial" w:hAnsi="Arial" w:cs="Arial"/>
        </w:rPr>
      </w:pPr>
      <w:r w:rsidRPr="000A2871">
        <w:rPr>
          <w:rFonts w:ascii="Arial" w:hAnsi="Arial" w:cs="Arial"/>
        </w:rPr>
        <w:t>Fourteen reports were assessed, comprising the original eleven nominees and three supplementary PubMed reports. Eleven contribute to the thematic synthesis: six whole samples and five restricted sets of younger accounts. Three remain contextual. No overlapping sample was identified among the eleven contributors. All fourteen received CASP appraisal, so the appraisal and synthesis totals differ for explicit reasons.</w:t>
      </w:r>
    </w:p>
    <w:p w14:paraId="0BA84768" w14:textId="37B09989" w:rsidR="007E77F1" w:rsidRPr="000A2871" w:rsidRDefault="007E77F1" w:rsidP="66EF0137">
      <w:pPr>
        <w:spacing w:before="180" w:after="100" w:line="360" w:lineRule="auto"/>
        <w:rPr>
          <w:rFonts w:ascii="Arial" w:hAnsi="Arial" w:cs="Arial"/>
        </w:rPr>
      </w:pPr>
      <w:r w:rsidRPr="000A2871">
        <w:rPr>
          <w:rFonts w:ascii="Arial" w:hAnsi="Arial" w:cs="Arial"/>
        </w:rPr>
        <w:lastRenderedPageBreak/>
        <w:t>Figure 4.1. PRISMA 2020-informed selection flow and current reassessment</w:t>
      </w:r>
      <w:r>
        <w:rPr>
          <w:noProof/>
        </w:rPr>
        <w:drawing>
          <wp:inline distT="0" distB="0" distL="0" distR="0" wp14:anchorId="5FA4D4D3" wp14:editId="01C432FA">
            <wp:extent cx="5467350" cy="6934200"/>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1" name="image2.jpg"/>
                    <pic:cNvPicPr preferRelativeResize="0"/>
                  </pic:nvPicPr>
                  <pic:blipFill>
                    <a:blip r:embed="rId13">
                      <a:extLst>
                        <a:ext uri="{28A0092B-C50C-407E-A947-70E740481C1C}">
                          <a14:useLocalDpi xmlns:a14="http://schemas.microsoft.com/office/drawing/2010/main" val="0"/>
                        </a:ext>
                      </a:extLst>
                    </a:blip>
                    <a:stretch>
                      <a:fillRect/>
                    </a:stretch>
                  </pic:blipFill>
                  <pic:spPr>
                    <a:xfrm>
                      <a:off x="0" y="0"/>
                      <a:ext cx="5467682" cy="6934622"/>
                    </a:xfrm>
                    <a:prstGeom prst="rect">
                      <a:avLst/>
                    </a:prstGeom>
                    <a:ln/>
                  </pic:spPr>
                </pic:pic>
              </a:graphicData>
            </a:graphic>
          </wp:inline>
        </w:drawing>
      </w:r>
    </w:p>
    <w:p w14:paraId="51C8189A" w14:textId="0512D732" w:rsidR="007E77F1" w:rsidRPr="000A2871" w:rsidRDefault="007E77F1" w:rsidP="000A2871">
      <w:pPr>
        <w:spacing w:after="120" w:line="360" w:lineRule="auto"/>
        <w:rPr>
          <w:rFonts w:ascii="Arial" w:hAnsi="Arial" w:cs="Arial"/>
        </w:rPr>
      </w:pPr>
      <w:r w:rsidRPr="000A2871">
        <w:rPr>
          <w:rFonts w:ascii="Arial" w:hAnsi="Arial" w:cs="Arial"/>
        </w:rPr>
        <w:t xml:space="preserve">PRISMA 2020-informed adaptation (Page et al., 2021). Original screening and current reassessment are distinguished. Supplementary known-item retrieval occurred on </w:t>
      </w:r>
      <w:r w:rsidR="00A76190">
        <w:rPr>
          <w:rFonts w:ascii="Arial" w:hAnsi="Arial" w:cs="Arial"/>
        </w:rPr>
        <w:t>24 September</w:t>
      </w:r>
      <w:r w:rsidRPr="000A2871">
        <w:rPr>
          <w:rFonts w:ascii="Arial" w:hAnsi="Arial" w:cs="Arial"/>
        </w:rPr>
        <w:t xml:space="preserve"> 2026; the earlier 123 / 118 / 5 report totals are superseded and not reused. See Appendix F.</w:t>
      </w:r>
    </w:p>
    <w:p w14:paraId="0464B227" w14:textId="2313CB71" w:rsidR="007E77F1" w:rsidRPr="000A2871" w:rsidRDefault="007E77F1" w:rsidP="000A2871">
      <w:pPr>
        <w:spacing w:after="120" w:line="360" w:lineRule="auto"/>
        <w:rPr>
          <w:rFonts w:ascii="Arial" w:hAnsi="Arial" w:cs="Arial"/>
        </w:rPr>
      </w:pPr>
      <w:r w:rsidRPr="000A2871">
        <w:rPr>
          <w:rFonts w:ascii="Arial" w:hAnsi="Arial" w:cs="Arial"/>
        </w:rPr>
        <w:t xml:space="preserve">Figure 4.1 preserves the original identification totals and historical screening snapshot, then shows three supplementary PubMed records. The eleven nominated reports were already represented in the original exports. Their reassessment, together with the three additions, is </w:t>
      </w:r>
      <w:r w:rsidRPr="000A2871">
        <w:rPr>
          <w:rFonts w:ascii="Arial" w:hAnsi="Arial" w:cs="Arial"/>
        </w:rPr>
        <w:lastRenderedPageBreak/>
        <w:t>shown separately from the unreconciled historical report-stage flow. The new combined unique-record total is 2,969; this is not a claim that every record received a new screening assessment.</w:t>
      </w:r>
      <w:r w:rsidR="00894BC7">
        <w:rPr>
          <w:rFonts w:ascii="Arial" w:hAnsi="Arial" w:cs="Arial"/>
        </w:rPr>
        <w:br/>
      </w:r>
    </w:p>
    <w:p w14:paraId="26132C5B" w14:textId="2A1C5DC0" w:rsidR="007E77F1" w:rsidRPr="000A2871" w:rsidRDefault="007E77F1" w:rsidP="3A4A1292">
      <w:pPr>
        <w:pStyle w:val="Heading2"/>
        <w:keepNext w:val="0"/>
        <w:keepLines w:val="0"/>
        <w:spacing w:after="80" w:line="360" w:lineRule="auto"/>
        <w:jc w:val="left"/>
        <w:rPr>
          <w:rFonts w:ascii="Arial" w:hAnsi="Arial" w:cs="Arial"/>
          <w:b w:val="0"/>
          <w:bCs/>
          <w:sz w:val="34"/>
          <w:szCs w:val="34"/>
        </w:rPr>
      </w:pPr>
      <w:bookmarkStart w:id="81" w:name="_pbkk7aq37kz7" w:colFirst="0" w:colLast="0"/>
      <w:bookmarkStart w:id="82" w:name="_Toc242459547"/>
      <w:bookmarkEnd w:id="81"/>
      <w:r w:rsidRPr="000A2871">
        <w:rPr>
          <w:rFonts w:ascii="Arial" w:hAnsi="Arial" w:cs="Arial"/>
          <w:bCs/>
          <w:sz w:val="34"/>
          <w:szCs w:val="34"/>
        </w:rPr>
        <w:t>4.2 Study characteristics and extraction boundaries</w:t>
      </w:r>
      <w:bookmarkEnd w:id="82"/>
    </w:p>
    <w:p w14:paraId="48995CA6" w14:textId="77777777" w:rsidR="007E77F1" w:rsidRPr="000A2871" w:rsidRDefault="007E77F1" w:rsidP="000A2871">
      <w:pPr>
        <w:spacing w:before="180" w:after="100" w:line="360" w:lineRule="auto"/>
        <w:rPr>
          <w:rFonts w:ascii="Arial" w:hAnsi="Arial" w:cs="Arial"/>
        </w:rPr>
      </w:pPr>
      <w:r w:rsidRPr="000A2871">
        <w:rPr>
          <w:rFonts w:ascii="Arial" w:hAnsi="Arial" w:cs="Arial"/>
        </w:rPr>
        <w:t>Table 4.1. Eleven synthesis articles and three contextual reports</w:t>
      </w:r>
    </w:p>
    <w:tbl>
      <w:tblPr>
        <w:tblW w:w="8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430"/>
        <w:gridCol w:w="3675"/>
        <w:gridCol w:w="2775"/>
      </w:tblGrid>
      <w:tr w:rsidR="007E77F1" w:rsidRPr="000A2871" w14:paraId="02276270" w14:textId="77777777" w:rsidTr="00842588">
        <w:trPr>
          <w:trHeight w:val="495"/>
        </w:trPr>
        <w:tc>
          <w:tcPr>
            <w:tcW w:w="2430" w:type="dxa"/>
            <w:shd w:val="clear" w:color="auto" w:fill="FFFFFF" w:themeFill="background1"/>
            <w:tcMar>
              <w:top w:w="80" w:type="dxa"/>
              <w:left w:w="80" w:type="dxa"/>
              <w:bottom w:w="80" w:type="dxa"/>
              <w:right w:w="80" w:type="dxa"/>
            </w:tcMar>
          </w:tcPr>
          <w:p w14:paraId="3E8431FC" w14:textId="77777777" w:rsidR="007E77F1" w:rsidRPr="00F6232B" w:rsidRDefault="007E77F1" w:rsidP="000A2871">
            <w:pPr>
              <w:spacing w:line="360" w:lineRule="auto"/>
              <w:rPr>
                <w:rFonts w:ascii="Arial" w:hAnsi="Arial" w:cs="Arial"/>
                <w:b/>
                <w:bCs/>
                <w:sz w:val="21"/>
                <w:szCs w:val="21"/>
              </w:rPr>
            </w:pPr>
            <w:r w:rsidRPr="00F6232B">
              <w:rPr>
                <w:rFonts w:ascii="Arial" w:hAnsi="Arial" w:cs="Arial"/>
                <w:b/>
                <w:bCs/>
                <w:sz w:val="21"/>
                <w:szCs w:val="21"/>
              </w:rPr>
              <w:t>ID / article</w:t>
            </w:r>
          </w:p>
        </w:tc>
        <w:tc>
          <w:tcPr>
            <w:tcW w:w="3675" w:type="dxa"/>
            <w:shd w:val="clear" w:color="auto" w:fill="FFFFFF" w:themeFill="background1"/>
            <w:tcMar>
              <w:top w:w="80" w:type="dxa"/>
              <w:left w:w="80" w:type="dxa"/>
              <w:bottom w:w="80" w:type="dxa"/>
              <w:right w:w="80" w:type="dxa"/>
            </w:tcMar>
          </w:tcPr>
          <w:p w14:paraId="707E56AD" w14:textId="77777777" w:rsidR="007E77F1" w:rsidRPr="00F6232B" w:rsidRDefault="007E77F1" w:rsidP="000A2871">
            <w:pPr>
              <w:spacing w:line="360" w:lineRule="auto"/>
              <w:rPr>
                <w:rFonts w:ascii="Arial" w:hAnsi="Arial" w:cs="Arial"/>
                <w:b/>
                <w:bCs/>
                <w:sz w:val="21"/>
                <w:szCs w:val="21"/>
              </w:rPr>
            </w:pPr>
            <w:r w:rsidRPr="00F6232B">
              <w:rPr>
                <w:rFonts w:ascii="Arial" w:hAnsi="Arial" w:cs="Arial"/>
                <w:b/>
                <w:bCs/>
                <w:sz w:val="21"/>
                <w:szCs w:val="21"/>
              </w:rPr>
              <w:t>Setting and sample</w:t>
            </w:r>
          </w:p>
        </w:tc>
        <w:tc>
          <w:tcPr>
            <w:tcW w:w="2775" w:type="dxa"/>
            <w:shd w:val="clear" w:color="auto" w:fill="FFFFFF" w:themeFill="background1"/>
            <w:tcMar>
              <w:top w:w="80" w:type="dxa"/>
              <w:left w:w="80" w:type="dxa"/>
              <w:bottom w:w="80" w:type="dxa"/>
              <w:right w:w="80" w:type="dxa"/>
            </w:tcMar>
          </w:tcPr>
          <w:p w14:paraId="39D02BA6" w14:textId="77777777" w:rsidR="007E77F1" w:rsidRPr="00F6232B" w:rsidRDefault="007E77F1" w:rsidP="000A2871">
            <w:pPr>
              <w:spacing w:line="360" w:lineRule="auto"/>
              <w:rPr>
                <w:rFonts w:ascii="Arial" w:hAnsi="Arial" w:cs="Arial"/>
                <w:b/>
                <w:bCs/>
                <w:sz w:val="21"/>
                <w:szCs w:val="21"/>
              </w:rPr>
            </w:pPr>
            <w:r w:rsidRPr="00F6232B">
              <w:rPr>
                <w:rFonts w:ascii="Arial" w:hAnsi="Arial" w:cs="Arial"/>
                <w:b/>
                <w:bCs/>
                <w:sz w:val="21"/>
                <w:szCs w:val="21"/>
              </w:rPr>
              <w:t>Use in this review</w:t>
            </w:r>
          </w:p>
        </w:tc>
      </w:tr>
      <w:tr w:rsidR="007E77F1" w:rsidRPr="000A2871" w14:paraId="1FCCC2F6" w14:textId="77777777" w:rsidTr="00842588">
        <w:trPr>
          <w:trHeight w:val="810"/>
        </w:trPr>
        <w:tc>
          <w:tcPr>
            <w:tcW w:w="2430" w:type="dxa"/>
            <w:shd w:val="clear" w:color="auto" w:fill="FFFFFF" w:themeFill="background1"/>
            <w:tcMar>
              <w:top w:w="80" w:type="dxa"/>
              <w:left w:w="80" w:type="dxa"/>
              <w:bottom w:w="80" w:type="dxa"/>
              <w:right w:w="80" w:type="dxa"/>
            </w:tcMar>
          </w:tcPr>
          <w:p w14:paraId="3BF82214"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R0024 Berry (2018)</w:t>
            </w:r>
          </w:p>
        </w:tc>
        <w:tc>
          <w:tcPr>
            <w:tcW w:w="3675" w:type="dxa"/>
            <w:shd w:val="clear" w:color="auto" w:fill="FFFFFF" w:themeFill="background1"/>
            <w:tcMar>
              <w:top w:w="80" w:type="dxa"/>
              <w:left w:w="80" w:type="dxa"/>
              <w:bottom w:w="80" w:type="dxa"/>
              <w:right w:w="80" w:type="dxa"/>
            </w:tcMar>
          </w:tcPr>
          <w:p w14:paraId="3940265F"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Aberdeen; 19 aged 18–25; five focus groups and two interviews.</w:t>
            </w:r>
          </w:p>
        </w:tc>
        <w:tc>
          <w:tcPr>
            <w:tcW w:w="2775" w:type="dxa"/>
            <w:shd w:val="clear" w:color="auto" w:fill="FFFFFF" w:themeFill="background1"/>
            <w:tcMar>
              <w:top w:w="80" w:type="dxa"/>
              <w:left w:w="80" w:type="dxa"/>
              <w:bottom w:w="80" w:type="dxa"/>
              <w:right w:w="80" w:type="dxa"/>
            </w:tcMar>
          </w:tcPr>
          <w:p w14:paraId="6D0CD177"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Whole sample; health messages.</w:t>
            </w:r>
          </w:p>
        </w:tc>
      </w:tr>
      <w:tr w:rsidR="007E77F1" w:rsidRPr="000A2871" w14:paraId="1B18384F" w14:textId="77777777" w:rsidTr="00842588">
        <w:trPr>
          <w:trHeight w:val="810"/>
        </w:trPr>
        <w:tc>
          <w:tcPr>
            <w:tcW w:w="2430" w:type="dxa"/>
            <w:shd w:val="clear" w:color="auto" w:fill="FFFFFF" w:themeFill="background1"/>
            <w:tcMar>
              <w:top w:w="80" w:type="dxa"/>
              <w:left w:w="80" w:type="dxa"/>
              <w:bottom w:w="80" w:type="dxa"/>
              <w:right w:w="80" w:type="dxa"/>
            </w:tcMar>
          </w:tcPr>
          <w:p w14:paraId="0D600D3E"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R0046 Sweeting (2016)</w:t>
            </w:r>
          </w:p>
        </w:tc>
        <w:tc>
          <w:tcPr>
            <w:tcW w:w="3675" w:type="dxa"/>
            <w:shd w:val="clear" w:color="auto" w:fill="FFFFFF" w:themeFill="background1"/>
            <w:tcMar>
              <w:top w:w="80" w:type="dxa"/>
              <w:left w:w="80" w:type="dxa"/>
              <w:bottom w:w="80" w:type="dxa"/>
              <w:right w:w="80" w:type="dxa"/>
            </w:tcMar>
          </w:tcPr>
          <w:p w14:paraId="38E8CE01"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West of Scotland; 35 aged 24; life-history interviews.</w:t>
            </w:r>
          </w:p>
        </w:tc>
        <w:tc>
          <w:tcPr>
            <w:tcW w:w="2775" w:type="dxa"/>
            <w:shd w:val="clear" w:color="auto" w:fill="FFFFFF" w:themeFill="background1"/>
            <w:tcMar>
              <w:top w:w="80" w:type="dxa"/>
              <w:left w:w="80" w:type="dxa"/>
              <w:bottom w:w="80" w:type="dxa"/>
              <w:right w:w="80" w:type="dxa"/>
            </w:tcMar>
          </w:tcPr>
          <w:p w14:paraId="5633C4F8"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Whole sample; weight trajectories.</w:t>
            </w:r>
          </w:p>
        </w:tc>
      </w:tr>
      <w:tr w:rsidR="007E77F1" w:rsidRPr="000A2871" w14:paraId="7C1F56A9" w14:textId="77777777" w:rsidTr="00842588">
        <w:trPr>
          <w:trHeight w:val="810"/>
        </w:trPr>
        <w:tc>
          <w:tcPr>
            <w:tcW w:w="2430" w:type="dxa"/>
            <w:shd w:val="clear" w:color="auto" w:fill="FFFFFF" w:themeFill="background1"/>
            <w:tcMar>
              <w:top w:w="80" w:type="dxa"/>
              <w:left w:w="80" w:type="dxa"/>
              <w:bottom w:w="80" w:type="dxa"/>
              <w:right w:w="80" w:type="dxa"/>
            </w:tcMar>
          </w:tcPr>
          <w:p w14:paraId="0B34FCDA"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R0132 Tang (2026)</w:t>
            </w:r>
          </w:p>
        </w:tc>
        <w:tc>
          <w:tcPr>
            <w:tcW w:w="3675" w:type="dxa"/>
            <w:shd w:val="clear" w:color="auto" w:fill="FFFFFF" w:themeFill="background1"/>
            <w:tcMar>
              <w:top w:w="80" w:type="dxa"/>
              <w:left w:w="80" w:type="dxa"/>
              <w:bottom w:w="80" w:type="dxa"/>
              <w:right w:w="80" w:type="dxa"/>
            </w:tcMar>
          </w:tcPr>
          <w:p w14:paraId="0AD4FBFC"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UK residents; 25 aged 18–25; interviews.</w:t>
            </w:r>
          </w:p>
        </w:tc>
        <w:tc>
          <w:tcPr>
            <w:tcW w:w="2775" w:type="dxa"/>
            <w:shd w:val="clear" w:color="auto" w:fill="FFFFFF" w:themeFill="background1"/>
            <w:tcMar>
              <w:top w:w="80" w:type="dxa"/>
              <w:left w:w="80" w:type="dxa"/>
              <w:bottom w:w="80" w:type="dxa"/>
              <w:right w:w="80" w:type="dxa"/>
            </w:tcMar>
          </w:tcPr>
          <w:p w14:paraId="27D39C49"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Whole sample; digital food content.</w:t>
            </w:r>
          </w:p>
        </w:tc>
      </w:tr>
      <w:tr w:rsidR="007E77F1" w:rsidRPr="000A2871" w14:paraId="32A5809D" w14:textId="77777777" w:rsidTr="00842588">
        <w:trPr>
          <w:trHeight w:val="810"/>
        </w:trPr>
        <w:tc>
          <w:tcPr>
            <w:tcW w:w="2430" w:type="dxa"/>
            <w:shd w:val="clear" w:color="auto" w:fill="FFFFFF" w:themeFill="background1"/>
            <w:tcMar>
              <w:top w:w="80" w:type="dxa"/>
              <w:left w:w="80" w:type="dxa"/>
              <w:bottom w:w="80" w:type="dxa"/>
              <w:right w:w="80" w:type="dxa"/>
            </w:tcMar>
          </w:tcPr>
          <w:p w14:paraId="594C8FCC"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R0096 Scott (2020)</w:t>
            </w:r>
          </w:p>
        </w:tc>
        <w:tc>
          <w:tcPr>
            <w:tcW w:w="3675" w:type="dxa"/>
            <w:shd w:val="clear" w:color="auto" w:fill="FFFFFF" w:themeFill="background1"/>
            <w:tcMar>
              <w:top w:w="80" w:type="dxa"/>
              <w:left w:w="80" w:type="dxa"/>
              <w:bottom w:w="80" w:type="dxa"/>
              <w:right w:w="80" w:type="dxa"/>
            </w:tcMar>
          </w:tcPr>
          <w:p w14:paraId="69356F6E"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North-East England; 45 aged 18–25; interviews.</w:t>
            </w:r>
          </w:p>
        </w:tc>
        <w:tc>
          <w:tcPr>
            <w:tcW w:w="2775" w:type="dxa"/>
            <w:shd w:val="clear" w:color="auto" w:fill="FFFFFF" w:themeFill="background1"/>
            <w:tcMar>
              <w:top w:w="80" w:type="dxa"/>
              <w:left w:w="80" w:type="dxa"/>
              <w:bottom w:w="80" w:type="dxa"/>
              <w:right w:w="80" w:type="dxa"/>
            </w:tcMar>
          </w:tcPr>
          <w:p w14:paraId="4200C57F"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Whole sample; food/alcohol practices.</w:t>
            </w:r>
          </w:p>
        </w:tc>
      </w:tr>
      <w:tr w:rsidR="007E77F1" w:rsidRPr="000A2871" w14:paraId="0D42DFF6" w14:textId="77777777" w:rsidTr="00842588">
        <w:trPr>
          <w:trHeight w:val="810"/>
        </w:trPr>
        <w:tc>
          <w:tcPr>
            <w:tcW w:w="2430" w:type="dxa"/>
            <w:shd w:val="clear" w:color="auto" w:fill="FFFFFF" w:themeFill="background1"/>
            <w:tcMar>
              <w:top w:w="80" w:type="dxa"/>
              <w:left w:w="80" w:type="dxa"/>
              <w:bottom w:w="80" w:type="dxa"/>
              <w:right w:w="80" w:type="dxa"/>
            </w:tcMar>
          </w:tcPr>
          <w:p w14:paraId="1243DAF5"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R0058 Canzini and Langdon-Daly (2025)</w:t>
            </w:r>
          </w:p>
        </w:tc>
        <w:tc>
          <w:tcPr>
            <w:tcW w:w="3675" w:type="dxa"/>
            <w:shd w:val="clear" w:color="auto" w:fill="FFFFFF" w:themeFill="background1"/>
            <w:tcMar>
              <w:top w:w="80" w:type="dxa"/>
              <w:left w:w="80" w:type="dxa"/>
              <w:bottom w:w="80" w:type="dxa"/>
              <w:right w:w="80" w:type="dxa"/>
            </w:tcMar>
          </w:tcPr>
          <w:p w14:paraId="5033AD43"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UK; eight women aged 18–25; interviews.</w:t>
            </w:r>
          </w:p>
        </w:tc>
        <w:tc>
          <w:tcPr>
            <w:tcW w:w="2775" w:type="dxa"/>
            <w:shd w:val="clear" w:color="auto" w:fill="FFFFFF" w:themeFill="background1"/>
            <w:tcMar>
              <w:top w:w="80" w:type="dxa"/>
              <w:left w:w="80" w:type="dxa"/>
              <w:bottom w:w="80" w:type="dxa"/>
              <w:right w:w="80" w:type="dxa"/>
            </w:tcMar>
          </w:tcPr>
          <w:p w14:paraId="698ACF62"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Whole sample; negative menu-label experiences.</w:t>
            </w:r>
          </w:p>
        </w:tc>
      </w:tr>
      <w:tr w:rsidR="007E77F1" w:rsidRPr="000A2871" w14:paraId="721062DB" w14:textId="77777777" w:rsidTr="00842588">
        <w:trPr>
          <w:trHeight w:val="1125"/>
        </w:trPr>
        <w:tc>
          <w:tcPr>
            <w:tcW w:w="2430" w:type="dxa"/>
            <w:shd w:val="clear" w:color="auto" w:fill="FFFFFF" w:themeFill="background1"/>
            <w:tcMar>
              <w:top w:w="80" w:type="dxa"/>
              <w:left w:w="80" w:type="dxa"/>
              <w:bottom w:w="80" w:type="dxa"/>
              <w:right w:w="80" w:type="dxa"/>
            </w:tcMar>
          </w:tcPr>
          <w:p w14:paraId="59968F6C"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R0040 Rodrigues (2025)</w:t>
            </w:r>
          </w:p>
        </w:tc>
        <w:tc>
          <w:tcPr>
            <w:tcW w:w="3675" w:type="dxa"/>
            <w:shd w:val="clear" w:color="auto" w:fill="FFFFFF" w:themeFill="background1"/>
            <w:tcMar>
              <w:top w:w="80" w:type="dxa"/>
              <w:left w:w="80" w:type="dxa"/>
              <w:bottom w:w="80" w:type="dxa"/>
              <w:right w:w="80" w:type="dxa"/>
            </w:tcMar>
          </w:tcPr>
          <w:p w14:paraId="0008FEC6"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UK antidepressant users; 13, reported ages 19–62 plus two unreported.</w:t>
            </w:r>
          </w:p>
        </w:tc>
        <w:tc>
          <w:tcPr>
            <w:tcW w:w="2775" w:type="dxa"/>
            <w:shd w:val="clear" w:color="auto" w:fill="FFFFFF" w:themeFill="background1"/>
            <w:tcMar>
              <w:top w:w="80" w:type="dxa"/>
              <w:left w:w="80" w:type="dxa"/>
              <w:bottom w:w="80" w:type="dxa"/>
              <w:right w:w="80" w:type="dxa"/>
            </w:tcMar>
          </w:tcPr>
          <w:p w14:paraId="7422B1EA"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Restricted: P3, P7, P9 and P11 published accounts.</w:t>
            </w:r>
          </w:p>
        </w:tc>
      </w:tr>
      <w:tr w:rsidR="007E77F1" w:rsidRPr="000A2871" w14:paraId="2C23BA88" w14:textId="77777777" w:rsidTr="00842588">
        <w:trPr>
          <w:trHeight w:val="810"/>
        </w:trPr>
        <w:tc>
          <w:tcPr>
            <w:tcW w:w="2430" w:type="dxa"/>
            <w:shd w:val="clear" w:color="auto" w:fill="FFFFFF" w:themeFill="background1"/>
            <w:tcMar>
              <w:top w:w="80" w:type="dxa"/>
              <w:left w:w="80" w:type="dxa"/>
              <w:bottom w:w="80" w:type="dxa"/>
              <w:right w:w="80" w:type="dxa"/>
            </w:tcMar>
          </w:tcPr>
          <w:p w14:paraId="79AD54FB"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R0097 Orlando (2025)</w:t>
            </w:r>
          </w:p>
        </w:tc>
        <w:tc>
          <w:tcPr>
            <w:tcW w:w="3675" w:type="dxa"/>
            <w:shd w:val="clear" w:color="auto" w:fill="FFFFFF" w:themeFill="background1"/>
            <w:tcMar>
              <w:top w:w="80" w:type="dxa"/>
              <w:left w:w="80" w:type="dxa"/>
              <w:bottom w:w="80" w:type="dxa"/>
              <w:right w:w="80" w:type="dxa"/>
            </w:tcMar>
          </w:tcPr>
          <w:p w14:paraId="09A210E8"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UK; 23 young employees and 28 employers; focus groups.</w:t>
            </w:r>
          </w:p>
        </w:tc>
        <w:tc>
          <w:tcPr>
            <w:tcW w:w="2775" w:type="dxa"/>
            <w:shd w:val="clear" w:color="auto" w:fill="FFFFFF" w:themeFill="background1"/>
            <w:tcMar>
              <w:top w:w="80" w:type="dxa"/>
              <w:left w:w="80" w:type="dxa"/>
              <w:bottom w:w="80" w:type="dxa"/>
              <w:right w:w="80" w:type="dxa"/>
            </w:tcMar>
          </w:tcPr>
          <w:p w14:paraId="296F412A"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Restricted: employees, age bands 19–21 and 22–25.</w:t>
            </w:r>
          </w:p>
        </w:tc>
      </w:tr>
      <w:tr w:rsidR="007E77F1" w:rsidRPr="000A2871" w14:paraId="16C8DBD8" w14:textId="77777777" w:rsidTr="00842588">
        <w:trPr>
          <w:trHeight w:val="1125"/>
        </w:trPr>
        <w:tc>
          <w:tcPr>
            <w:tcW w:w="2430" w:type="dxa"/>
            <w:shd w:val="clear" w:color="auto" w:fill="FFFFFF" w:themeFill="background1"/>
            <w:tcMar>
              <w:top w:w="80" w:type="dxa"/>
              <w:left w:w="80" w:type="dxa"/>
              <w:bottom w:w="80" w:type="dxa"/>
              <w:right w:w="80" w:type="dxa"/>
            </w:tcMar>
          </w:tcPr>
          <w:p w14:paraId="71B7B7D0"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R0312 Hawkes (2024)</w:t>
            </w:r>
          </w:p>
        </w:tc>
        <w:tc>
          <w:tcPr>
            <w:tcW w:w="3675" w:type="dxa"/>
            <w:shd w:val="clear" w:color="auto" w:fill="FFFFFF" w:themeFill="background1"/>
            <w:tcMar>
              <w:top w:w="80" w:type="dxa"/>
              <w:left w:w="80" w:type="dxa"/>
              <w:bottom w:w="80" w:type="dxa"/>
              <w:right w:w="80" w:type="dxa"/>
            </w:tcMar>
          </w:tcPr>
          <w:p w14:paraId="3013A08C"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UK; 20 women, interview accounts aged 23–35; digital-intervention interviews.</w:t>
            </w:r>
          </w:p>
        </w:tc>
        <w:tc>
          <w:tcPr>
            <w:tcW w:w="2775" w:type="dxa"/>
            <w:shd w:val="clear" w:color="auto" w:fill="FFFFFF" w:themeFill="background1"/>
            <w:tcMar>
              <w:top w:w="80" w:type="dxa"/>
              <w:left w:w="80" w:type="dxa"/>
              <w:bottom w:w="80" w:type="dxa"/>
              <w:right w:w="80" w:type="dxa"/>
            </w:tcMar>
          </w:tcPr>
          <w:p w14:paraId="7C02E99B"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Restricted: Rebecca 23, Lucy 24 and Sophie 25.</w:t>
            </w:r>
          </w:p>
        </w:tc>
      </w:tr>
      <w:tr w:rsidR="007E77F1" w:rsidRPr="000A2871" w14:paraId="47EFE4F9" w14:textId="77777777" w:rsidTr="00842588">
        <w:trPr>
          <w:trHeight w:val="810"/>
        </w:trPr>
        <w:tc>
          <w:tcPr>
            <w:tcW w:w="2430" w:type="dxa"/>
            <w:shd w:val="clear" w:color="auto" w:fill="FFFFFF" w:themeFill="background1"/>
            <w:tcMar>
              <w:top w:w="80" w:type="dxa"/>
              <w:left w:w="80" w:type="dxa"/>
              <w:bottom w:w="80" w:type="dxa"/>
              <w:right w:w="80" w:type="dxa"/>
            </w:tcMar>
          </w:tcPr>
          <w:p w14:paraId="32A69CC0"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S0001 Howard Wilsher (2019)</w:t>
            </w:r>
          </w:p>
        </w:tc>
        <w:tc>
          <w:tcPr>
            <w:tcW w:w="3675" w:type="dxa"/>
            <w:shd w:val="clear" w:color="auto" w:fill="FFFFFF" w:themeFill="background1"/>
            <w:tcMar>
              <w:top w:w="80" w:type="dxa"/>
              <w:left w:w="80" w:type="dxa"/>
              <w:bottom w:w="80" w:type="dxa"/>
              <w:right w:w="80" w:type="dxa"/>
            </w:tcMar>
          </w:tcPr>
          <w:p w14:paraId="3CD83CD4"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London and Norfolk; 34 men aged 18–24; eight focus groups.</w:t>
            </w:r>
          </w:p>
        </w:tc>
        <w:tc>
          <w:tcPr>
            <w:tcW w:w="2775" w:type="dxa"/>
            <w:shd w:val="clear" w:color="auto" w:fill="FFFFFF" w:themeFill="background1"/>
            <w:tcMar>
              <w:top w:w="80" w:type="dxa"/>
              <w:left w:w="80" w:type="dxa"/>
              <w:bottom w:w="80" w:type="dxa"/>
              <w:right w:w="80" w:type="dxa"/>
            </w:tcMar>
          </w:tcPr>
          <w:p w14:paraId="4EA26B01"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Whole sample; food practices and identity.</w:t>
            </w:r>
          </w:p>
        </w:tc>
      </w:tr>
      <w:tr w:rsidR="007E77F1" w:rsidRPr="000A2871" w14:paraId="3CD83B90" w14:textId="77777777" w:rsidTr="00842588">
        <w:trPr>
          <w:trHeight w:val="810"/>
        </w:trPr>
        <w:tc>
          <w:tcPr>
            <w:tcW w:w="2430" w:type="dxa"/>
            <w:shd w:val="clear" w:color="auto" w:fill="FFFFFF" w:themeFill="background1"/>
            <w:tcMar>
              <w:top w:w="80" w:type="dxa"/>
              <w:left w:w="80" w:type="dxa"/>
              <w:bottom w:w="80" w:type="dxa"/>
              <w:right w:w="80" w:type="dxa"/>
            </w:tcMar>
          </w:tcPr>
          <w:p w14:paraId="592FF59A"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lastRenderedPageBreak/>
              <w:t>S0002 Trahearn (2021)</w:t>
            </w:r>
          </w:p>
        </w:tc>
        <w:tc>
          <w:tcPr>
            <w:tcW w:w="3675" w:type="dxa"/>
            <w:shd w:val="clear" w:color="auto" w:fill="FFFFFF" w:themeFill="background1"/>
            <w:tcMar>
              <w:top w:w="80" w:type="dxa"/>
              <w:left w:w="80" w:type="dxa"/>
              <w:bottom w:w="80" w:type="dxa"/>
              <w:right w:w="80" w:type="dxa"/>
            </w:tcMar>
          </w:tcPr>
          <w:p w14:paraId="1FEE0A49"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UK university; six students aged 22–34; interviews.</w:t>
            </w:r>
          </w:p>
        </w:tc>
        <w:tc>
          <w:tcPr>
            <w:tcW w:w="2775" w:type="dxa"/>
            <w:shd w:val="clear" w:color="auto" w:fill="FFFFFF" w:themeFill="background1"/>
            <w:tcMar>
              <w:top w:w="80" w:type="dxa"/>
              <w:left w:w="80" w:type="dxa"/>
              <w:bottom w:w="80" w:type="dxa"/>
              <w:right w:w="80" w:type="dxa"/>
            </w:tcMar>
          </w:tcPr>
          <w:p w14:paraId="0A0D573B"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Restricted: A, B, C, E and F, aged 22–23.</w:t>
            </w:r>
          </w:p>
        </w:tc>
      </w:tr>
      <w:tr w:rsidR="007E77F1" w:rsidRPr="000A2871" w14:paraId="493F2290" w14:textId="77777777" w:rsidTr="00842588">
        <w:trPr>
          <w:trHeight w:val="1125"/>
        </w:trPr>
        <w:tc>
          <w:tcPr>
            <w:tcW w:w="2430" w:type="dxa"/>
            <w:shd w:val="clear" w:color="auto" w:fill="FFFFFF" w:themeFill="background1"/>
            <w:tcMar>
              <w:top w:w="80" w:type="dxa"/>
              <w:left w:w="80" w:type="dxa"/>
              <w:bottom w:w="80" w:type="dxa"/>
              <w:right w:w="80" w:type="dxa"/>
            </w:tcMar>
          </w:tcPr>
          <w:p w14:paraId="4E71E7F1"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S0003 Hunter (2025)</w:t>
            </w:r>
          </w:p>
        </w:tc>
        <w:tc>
          <w:tcPr>
            <w:tcW w:w="3675" w:type="dxa"/>
            <w:shd w:val="clear" w:color="auto" w:fill="FFFFFF" w:themeFill="background1"/>
            <w:tcMar>
              <w:top w:w="80" w:type="dxa"/>
              <w:left w:w="80" w:type="dxa"/>
              <w:bottom w:w="80" w:type="dxa"/>
              <w:right w:w="80" w:type="dxa"/>
            </w:tcMar>
          </w:tcPr>
          <w:p w14:paraId="02DBE039"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England and Scotland; 32 adults, age bands 18–24 to 65+; interviews and focus groups.</w:t>
            </w:r>
          </w:p>
        </w:tc>
        <w:tc>
          <w:tcPr>
            <w:tcW w:w="2775" w:type="dxa"/>
            <w:shd w:val="clear" w:color="auto" w:fill="FFFFFF" w:themeFill="background1"/>
            <w:tcMar>
              <w:top w:w="80" w:type="dxa"/>
              <w:left w:w="80" w:type="dxa"/>
              <w:bottom w:w="80" w:type="dxa"/>
              <w:right w:w="80" w:type="dxa"/>
            </w:tcMar>
          </w:tcPr>
          <w:p w14:paraId="48358BC0"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Restricted: P05 and P10 age-labelled 18–24; reporting caveat.</w:t>
            </w:r>
          </w:p>
        </w:tc>
      </w:tr>
      <w:tr w:rsidR="007E77F1" w:rsidRPr="000A2871" w14:paraId="6C5BCDC7" w14:textId="77777777" w:rsidTr="00842588">
        <w:trPr>
          <w:trHeight w:val="810"/>
        </w:trPr>
        <w:tc>
          <w:tcPr>
            <w:tcW w:w="2430" w:type="dxa"/>
            <w:shd w:val="clear" w:color="auto" w:fill="FFFFFF" w:themeFill="background1"/>
            <w:tcMar>
              <w:top w:w="80" w:type="dxa"/>
              <w:left w:w="80" w:type="dxa"/>
              <w:bottom w:w="80" w:type="dxa"/>
              <w:right w:w="80" w:type="dxa"/>
            </w:tcMar>
          </w:tcPr>
          <w:p w14:paraId="161DC8AE"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R0465 Easton (2018)</w:t>
            </w:r>
          </w:p>
        </w:tc>
        <w:tc>
          <w:tcPr>
            <w:tcW w:w="3675" w:type="dxa"/>
            <w:shd w:val="clear" w:color="auto" w:fill="FFFFFF" w:themeFill="background1"/>
            <w:tcMar>
              <w:top w:w="80" w:type="dxa"/>
              <w:left w:w="80" w:type="dxa"/>
              <w:bottom w:w="80" w:type="dxa"/>
              <w:right w:w="80" w:type="dxa"/>
            </w:tcMar>
          </w:tcPr>
          <w:p w14:paraId="0FA870F0"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20 aged 18–25; four focus groups and six interviews.</w:t>
            </w:r>
          </w:p>
        </w:tc>
        <w:tc>
          <w:tcPr>
            <w:tcW w:w="2775" w:type="dxa"/>
            <w:shd w:val="clear" w:color="auto" w:fill="FFFFFF" w:themeFill="background1"/>
            <w:tcMar>
              <w:top w:w="80" w:type="dxa"/>
              <w:left w:w="80" w:type="dxa"/>
              <w:bottom w:w="80" w:type="dxa"/>
              <w:right w:w="80" w:type="dxa"/>
            </w:tcMar>
          </w:tcPr>
          <w:p w14:paraId="4C0163BB"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Context: UK participant location not explicit.</w:t>
            </w:r>
          </w:p>
        </w:tc>
      </w:tr>
      <w:tr w:rsidR="007E77F1" w:rsidRPr="000A2871" w14:paraId="17A02FDA" w14:textId="77777777" w:rsidTr="00842588">
        <w:trPr>
          <w:trHeight w:val="810"/>
        </w:trPr>
        <w:tc>
          <w:tcPr>
            <w:tcW w:w="2430" w:type="dxa"/>
            <w:shd w:val="clear" w:color="auto" w:fill="FFFFFF" w:themeFill="background1"/>
            <w:tcMar>
              <w:top w:w="80" w:type="dxa"/>
              <w:left w:w="80" w:type="dxa"/>
              <w:bottom w:w="80" w:type="dxa"/>
              <w:right w:w="80" w:type="dxa"/>
            </w:tcMar>
          </w:tcPr>
          <w:p w14:paraId="18F24B20"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R0045 Tyrrell (2016)</w:t>
            </w:r>
          </w:p>
        </w:tc>
        <w:tc>
          <w:tcPr>
            <w:tcW w:w="3675" w:type="dxa"/>
            <w:shd w:val="clear" w:color="auto" w:fill="FFFFFF" w:themeFill="background1"/>
            <w:tcMar>
              <w:top w:w="80" w:type="dxa"/>
              <w:left w:w="80" w:type="dxa"/>
              <w:bottom w:w="80" w:type="dxa"/>
              <w:right w:w="80" w:type="dxa"/>
            </w:tcMar>
          </w:tcPr>
          <w:p w14:paraId="2238B99B"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North-East England; 40 aged 16–20; four focus groups.</w:t>
            </w:r>
          </w:p>
        </w:tc>
        <w:tc>
          <w:tcPr>
            <w:tcW w:w="2775" w:type="dxa"/>
            <w:shd w:val="clear" w:color="auto" w:fill="FFFFFF" w:themeFill="background1"/>
            <w:tcMar>
              <w:top w:w="80" w:type="dxa"/>
              <w:left w:w="80" w:type="dxa"/>
              <w:bottom w:w="80" w:type="dxa"/>
              <w:right w:w="80" w:type="dxa"/>
            </w:tcMar>
          </w:tcPr>
          <w:p w14:paraId="753544E0"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Context: under-18 accounts inseparable.</w:t>
            </w:r>
          </w:p>
        </w:tc>
      </w:tr>
      <w:tr w:rsidR="007E77F1" w:rsidRPr="000A2871" w14:paraId="43C3FFB8" w14:textId="77777777" w:rsidTr="00842588">
        <w:trPr>
          <w:trHeight w:val="810"/>
        </w:trPr>
        <w:tc>
          <w:tcPr>
            <w:tcW w:w="2430" w:type="dxa"/>
            <w:shd w:val="clear" w:color="auto" w:fill="FFFFFF" w:themeFill="background1"/>
            <w:tcMar>
              <w:top w:w="80" w:type="dxa"/>
              <w:left w:w="80" w:type="dxa"/>
              <w:bottom w:w="80" w:type="dxa"/>
              <w:right w:w="80" w:type="dxa"/>
            </w:tcMar>
          </w:tcPr>
          <w:p w14:paraId="77587604"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R0974 Hafiz (2023)</w:t>
            </w:r>
          </w:p>
        </w:tc>
        <w:tc>
          <w:tcPr>
            <w:tcW w:w="3675" w:type="dxa"/>
            <w:shd w:val="clear" w:color="auto" w:fill="FFFFFF" w:themeFill="background1"/>
            <w:tcMar>
              <w:top w:w="80" w:type="dxa"/>
              <w:left w:w="80" w:type="dxa"/>
              <w:bottom w:w="80" w:type="dxa"/>
              <w:right w:w="80" w:type="dxa"/>
            </w:tcMar>
          </w:tcPr>
          <w:p w14:paraId="17B45DA8"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Ulster University; 42 students; mean 23, SD 5.3; eight focus groups.</w:t>
            </w:r>
          </w:p>
        </w:tc>
        <w:tc>
          <w:tcPr>
            <w:tcW w:w="2775" w:type="dxa"/>
            <w:shd w:val="clear" w:color="auto" w:fill="FFFFFF" w:themeFill="background1"/>
            <w:tcMar>
              <w:top w:w="80" w:type="dxa"/>
              <w:left w:w="80" w:type="dxa"/>
              <w:bottom w:w="80" w:type="dxa"/>
              <w:right w:w="80" w:type="dxa"/>
            </w:tcMar>
          </w:tcPr>
          <w:p w14:paraId="7D79C693" w14:textId="77777777" w:rsidR="007E77F1" w:rsidRPr="00F6232B" w:rsidRDefault="007E77F1" w:rsidP="000A2871">
            <w:pPr>
              <w:spacing w:line="360" w:lineRule="auto"/>
              <w:rPr>
                <w:rFonts w:ascii="Arial" w:hAnsi="Arial" w:cs="Arial"/>
                <w:sz w:val="21"/>
                <w:szCs w:val="21"/>
              </w:rPr>
            </w:pPr>
            <w:r w:rsidRPr="00F6232B">
              <w:rPr>
                <w:rFonts w:ascii="Arial" w:hAnsi="Arial" w:cs="Arial"/>
                <w:sz w:val="21"/>
                <w:szCs w:val="21"/>
              </w:rPr>
              <w:t>Context: complete age range unconfirmed.</w:t>
            </w:r>
          </w:p>
        </w:tc>
      </w:tr>
    </w:tbl>
    <w:p w14:paraId="51361BAC"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23D0698E" w14:textId="0A664C79" w:rsidR="007E77F1" w:rsidRPr="000A2871" w:rsidRDefault="007E77F1" w:rsidP="000A2871">
      <w:pPr>
        <w:spacing w:after="120" w:line="360" w:lineRule="auto"/>
        <w:rPr>
          <w:rFonts w:ascii="Arial" w:hAnsi="Arial" w:cs="Arial"/>
        </w:rPr>
      </w:pPr>
      <w:r w:rsidRPr="000A2871">
        <w:rPr>
          <w:rFonts w:ascii="Arial" w:hAnsi="Arial" w:cs="Arial"/>
        </w:rPr>
        <w:t xml:space="preserve">The evidence concerns varied phenomena rather than eleven evaluations of obesity treatment. Sweeting follows earlier overweight into adulthood; Canzini and Langdon-Daly examine policy experience; Hawkes concerns a clinical digital intervention. Howard Wilsher explores food practices, Trahearn dietetic training and Hunter food insecurity. Most samples were not recruited </w:t>
      </w:r>
      <w:r w:rsidR="00363F9F" w:rsidRPr="000A2871">
        <w:rPr>
          <w:rFonts w:ascii="Arial" w:hAnsi="Arial" w:cs="Arial"/>
        </w:rPr>
        <w:t>based on</w:t>
      </w:r>
      <w:r w:rsidRPr="000A2871">
        <w:rPr>
          <w:rFonts w:ascii="Arial" w:hAnsi="Arial" w:cs="Arial"/>
        </w:rPr>
        <w:t xml:space="preserve"> current obesity. The synthesis therefore addresses relevant behaviours and perceived usefulness, not a uniformly clinically defined group.</w:t>
      </w:r>
    </w:p>
    <w:p w14:paraId="0D6E3EC9" w14:textId="6E88F1A9" w:rsidR="007E77F1" w:rsidRPr="000A2871" w:rsidRDefault="007E77F1" w:rsidP="000A2871">
      <w:pPr>
        <w:spacing w:after="120" w:line="360" w:lineRule="auto"/>
        <w:rPr>
          <w:rFonts w:ascii="Arial" w:hAnsi="Arial" w:cs="Arial"/>
        </w:rPr>
      </w:pPr>
      <w:r w:rsidRPr="000A2871">
        <w:rPr>
          <w:rFonts w:ascii="Arial" w:hAnsi="Arial" w:cs="Arial"/>
        </w:rPr>
        <w:t>Appendix B records exact extraction rules and source locations. For Orlando, the reported employee age bands support inclusion despite the wider recruitment statement; employer findings are excluded from the young-adult synthesis. For Hawkes and Rodrigues, only identifiable younger accounts are used. Published total sample sizes</w:t>
      </w:r>
      <w:r w:rsidR="00363F9F">
        <w:rPr>
          <w:rFonts w:ascii="Arial" w:hAnsi="Arial" w:cs="Arial"/>
        </w:rPr>
        <w:t>, therefore,</w:t>
      </w:r>
      <w:r w:rsidRPr="000A2871">
        <w:rPr>
          <w:rFonts w:ascii="Arial" w:hAnsi="Arial" w:cs="Arial"/>
        </w:rPr>
        <w:t xml:space="preserve"> should not be summed as though every participant contributed to the age-specific analysis.</w:t>
      </w:r>
    </w:p>
    <w:p w14:paraId="596B6276" w14:textId="77777777" w:rsidR="007E77F1" w:rsidRPr="000A2871" w:rsidRDefault="007E77F1" w:rsidP="000A2871">
      <w:pPr>
        <w:spacing w:after="120" w:line="360" w:lineRule="auto"/>
        <w:rPr>
          <w:rFonts w:ascii="Arial" w:hAnsi="Arial" w:cs="Arial"/>
        </w:rPr>
      </w:pPr>
      <w:r w:rsidRPr="000A2871">
        <w:rPr>
          <w:rFonts w:ascii="Arial" w:hAnsi="Arial" w:cs="Arial"/>
        </w:rPr>
        <w:t>The samples also differ in how participants encountered an intervention. Berry concerns reception of health-promotion messages, whereas Tang considers food and nutrition content within ordinary social media use. These studies provide design-relevant experiences without representing participation in a single standardised programme. Hawkes, by contrast, follows use of a defined digital intervention. Canzini and Langdon-Daly examine responses to a policy encountered in eating environments. Rodrigues concerns advice within treatment. Preserving these distinctions prevents a preference about possible support from being presented as an evaluation of support already received.</w:t>
      </w:r>
    </w:p>
    <w:p w14:paraId="07AD209D" w14:textId="28783638" w:rsidR="007E77F1" w:rsidRPr="000A2871" w:rsidRDefault="007E77F1" w:rsidP="000A2871">
      <w:pPr>
        <w:spacing w:after="120" w:line="360" w:lineRule="auto"/>
        <w:rPr>
          <w:rFonts w:ascii="Arial" w:hAnsi="Arial" w:cs="Arial"/>
        </w:rPr>
      </w:pPr>
      <w:r w:rsidRPr="000A2871">
        <w:rPr>
          <w:rFonts w:ascii="Arial" w:hAnsi="Arial" w:cs="Arial"/>
        </w:rPr>
        <w:lastRenderedPageBreak/>
        <w:t xml:space="preserve">The direct relevance to body weight likewise varies. Sweeting connects accounts to weight trajectories following adolescent overweight. Hunter explicitly recruits people living with obesity and food insecurity, although only restricted younger accounts are used here. Howard Wilsher and Trahearn primarily examine food practices in specific young-adult groups. Their contribution concerns </w:t>
      </w:r>
      <w:r w:rsidR="00363F9F" w:rsidRPr="000A2871">
        <w:rPr>
          <w:rFonts w:ascii="Arial" w:hAnsi="Arial" w:cs="Arial"/>
        </w:rPr>
        <w:t>influence</w:t>
      </w:r>
      <w:r w:rsidRPr="000A2871">
        <w:rPr>
          <w:rFonts w:ascii="Arial" w:hAnsi="Arial" w:cs="Arial"/>
        </w:rPr>
        <w:t xml:space="preserve"> on behaviour rather than an observed explanation of obesity onset. The synthesis links these phenomena conceptually while retaining what each study </w:t>
      </w:r>
      <w:r w:rsidR="00363F9F" w:rsidRPr="000A2871">
        <w:rPr>
          <w:rFonts w:ascii="Arial" w:hAnsi="Arial" w:cs="Arial"/>
        </w:rPr>
        <w:t>investigated</w:t>
      </w:r>
      <w:r w:rsidRPr="000A2871">
        <w:rPr>
          <w:rFonts w:ascii="Arial" w:hAnsi="Arial" w:cs="Arial"/>
        </w:rPr>
        <w:t>.</w:t>
      </w:r>
      <w:r w:rsidR="00894BC7">
        <w:rPr>
          <w:rFonts w:ascii="Arial" w:hAnsi="Arial" w:cs="Arial"/>
        </w:rPr>
        <w:br/>
      </w:r>
    </w:p>
    <w:p w14:paraId="17C8CF0D" w14:textId="1D456B4A" w:rsidR="007E77F1" w:rsidRPr="000A2871" w:rsidRDefault="007E77F1" w:rsidP="095715F2">
      <w:pPr>
        <w:pStyle w:val="Heading2"/>
        <w:keepNext w:val="0"/>
        <w:keepLines w:val="0"/>
        <w:spacing w:after="80" w:line="360" w:lineRule="auto"/>
        <w:jc w:val="left"/>
        <w:rPr>
          <w:rFonts w:ascii="Arial" w:hAnsi="Arial" w:cs="Arial"/>
          <w:b w:val="0"/>
          <w:bCs/>
          <w:sz w:val="34"/>
          <w:szCs w:val="34"/>
        </w:rPr>
      </w:pPr>
      <w:bookmarkStart w:id="83" w:name="_kmulbl3575er" w:colFirst="0" w:colLast="0"/>
      <w:bookmarkStart w:id="84" w:name="_Toc242459548"/>
      <w:bookmarkEnd w:id="83"/>
      <w:r w:rsidRPr="000A2871">
        <w:rPr>
          <w:rFonts w:ascii="Arial" w:hAnsi="Arial" w:cs="Arial"/>
          <w:bCs/>
          <w:sz w:val="34"/>
          <w:szCs w:val="34"/>
        </w:rPr>
        <w:t>4.3 CASP appraisal</w:t>
      </w:r>
      <w:bookmarkEnd w:id="84"/>
    </w:p>
    <w:p w14:paraId="0DBBD90D" w14:textId="77777777" w:rsidR="007E77F1" w:rsidRPr="000A2871" w:rsidRDefault="007E77F1" w:rsidP="000A2871">
      <w:pPr>
        <w:spacing w:after="120" w:line="360" w:lineRule="auto"/>
        <w:rPr>
          <w:rFonts w:ascii="Arial" w:hAnsi="Arial" w:cs="Arial"/>
        </w:rPr>
      </w:pPr>
      <w:r w:rsidRPr="000A2871">
        <w:rPr>
          <w:rFonts w:ascii="Arial" w:hAnsi="Arial" w:cs="Arial"/>
        </w:rPr>
        <w:t>All fourteen reports state relevant aims and use qualitative methods suited to experiences or perceptions. Most describe recruitment, data collection, ethical approval and analysis. Reporting of researcher influence is less complete in Berry, Sweeting, Scott, Tyrrell, Hafiz, Howard Wilsher and Hunter. Their reflexivity judgements are marked Cannot tell rather than assuming that team coding establishes reflexivity.</w:t>
      </w:r>
    </w:p>
    <w:p w14:paraId="7A828B74" w14:textId="11D55659" w:rsidR="007E77F1" w:rsidRPr="000A2871" w:rsidRDefault="007E77F1" w:rsidP="000A2871">
      <w:pPr>
        <w:spacing w:after="120" w:line="360" w:lineRule="auto"/>
        <w:rPr>
          <w:rFonts w:ascii="Arial" w:hAnsi="Arial" w:cs="Arial"/>
        </w:rPr>
      </w:pPr>
      <w:r w:rsidRPr="000A2871">
        <w:rPr>
          <w:rFonts w:ascii="Arial" w:hAnsi="Arial" w:cs="Arial"/>
        </w:rPr>
        <w:t xml:space="preserve">Tang, Rodrigues, Canzini and Langdon-Daly, Easton, Orlando, Hawkes and Trahearn discuss researchers’ positions or interpretive influence. Hafiz’s analysis is marked Cannot tell because its minimum-frequency rule may suppress minority accounts and the agreement calculation is unclear. Hunter’s findings judgement </w:t>
      </w:r>
      <w:r w:rsidR="00297311" w:rsidRPr="000A2871">
        <w:rPr>
          <w:rFonts w:ascii="Arial" w:hAnsi="Arial" w:cs="Arial"/>
        </w:rPr>
        <w:t>cannot tell</w:t>
      </w:r>
      <w:r w:rsidRPr="000A2871">
        <w:rPr>
          <w:rFonts w:ascii="Arial" w:hAnsi="Arial" w:cs="Arial"/>
        </w:rPr>
        <w:t xml:space="preserve"> for the age-specific purpose: the demographic table lists two participants aged 18–24, whereas three quoted IDs carry that label. Restricted extraction and sensitivity analysis retain this uncertainty.</w:t>
      </w:r>
    </w:p>
    <w:p w14:paraId="7D2CE922" w14:textId="77777777" w:rsidR="007E77F1" w:rsidRPr="000A2871" w:rsidRDefault="007E77F1" w:rsidP="000A2871">
      <w:pPr>
        <w:spacing w:before="180" w:after="100" w:line="360" w:lineRule="auto"/>
        <w:rPr>
          <w:rFonts w:ascii="Arial" w:hAnsi="Arial" w:cs="Arial"/>
        </w:rPr>
      </w:pPr>
      <w:r w:rsidRPr="000A2871">
        <w:rPr>
          <w:rFonts w:ascii="Arial" w:hAnsi="Arial" w:cs="Arial"/>
        </w:rPr>
        <w:t>Table 4.2. CASP qualitative appraisal summary</w:t>
      </w:r>
    </w:p>
    <w:tbl>
      <w:tblPr>
        <w:tblW w:w="8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305"/>
        <w:gridCol w:w="750"/>
        <w:gridCol w:w="750"/>
        <w:gridCol w:w="750"/>
        <w:gridCol w:w="750"/>
        <w:gridCol w:w="750"/>
        <w:gridCol w:w="750"/>
        <w:gridCol w:w="750"/>
        <w:gridCol w:w="750"/>
        <w:gridCol w:w="750"/>
        <w:gridCol w:w="795"/>
      </w:tblGrid>
      <w:tr w:rsidR="007E77F1" w:rsidRPr="000A2871" w14:paraId="5F4D7140" w14:textId="77777777" w:rsidTr="0032180C">
        <w:trPr>
          <w:trHeight w:val="465"/>
        </w:trPr>
        <w:tc>
          <w:tcPr>
            <w:tcW w:w="1305" w:type="dxa"/>
            <w:shd w:val="clear" w:color="auto" w:fill="FFFFFF" w:themeFill="background1"/>
            <w:tcMar>
              <w:top w:w="80" w:type="dxa"/>
              <w:left w:w="80" w:type="dxa"/>
              <w:bottom w:w="80" w:type="dxa"/>
              <w:right w:w="80" w:type="dxa"/>
            </w:tcMar>
          </w:tcPr>
          <w:p w14:paraId="3EF8B144" w14:textId="77777777" w:rsidR="007E77F1" w:rsidRPr="00080667" w:rsidRDefault="007E77F1" w:rsidP="000A2871">
            <w:pPr>
              <w:spacing w:line="360" w:lineRule="auto"/>
              <w:rPr>
                <w:rFonts w:ascii="Arial" w:hAnsi="Arial" w:cs="Arial"/>
                <w:b/>
                <w:bCs/>
                <w:sz w:val="19"/>
                <w:szCs w:val="19"/>
              </w:rPr>
            </w:pPr>
            <w:r w:rsidRPr="00080667">
              <w:rPr>
                <w:rFonts w:ascii="Arial" w:hAnsi="Arial" w:cs="Arial"/>
                <w:b/>
                <w:bCs/>
                <w:sz w:val="19"/>
                <w:szCs w:val="19"/>
              </w:rPr>
              <w:t>Article ID</w:t>
            </w:r>
          </w:p>
        </w:tc>
        <w:tc>
          <w:tcPr>
            <w:tcW w:w="750" w:type="dxa"/>
            <w:shd w:val="clear" w:color="auto" w:fill="FFFFFF" w:themeFill="background1"/>
            <w:tcMar>
              <w:top w:w="80" w:type="dxa"/>
              <w:left w:w="80" w:type="dxa"/>
              <w:bottom w:w="80" w:type="dxa"/>
              <w:right w:w="80" w:type="dxa"/>
            </w:tcMar>
          </w:tcPr>
          <w:p w14:paraId="65B5578A" w14:textId="77777777" w:rsidR="007E77F1" w:rsidRPr="00080667" w:rsidRDefault="007E77F1" w:rsidP="000A2871">
            <w:pPr>
              <w:spacing w:line="360" w:lineRule="auto"/>
              <w:jc w:val="center"/>
              <w:rPr>
                <w:rFonts w:ascii="Arial" w:hAnsi="Arial" w:cs="Arial"/>
                <w:b/>
                <w:bCs/>
                <w:sz w:val="19"/>
                <w:szCs w:val="19"/>
              </w:rPr>
            </w:pPr>
            <w:r w:rsidRPr="00080667">
              <w:rPr>
                <w:rFonts w:ascii="Arial" w:hAnsi="Arial" w:cs="Arial"/>
                <w:b/>
                <w:bCs/>
                <w:sz w:val="19"/>
                <w:szCs w:val="19"/>
              </w:rPr>
              <w:t>Q1</w:t>
            </w:r>
          </w:p>
        </w:tc>
        <w:tc>
          <w:tcPr>
            <w:tcW w:w="750" w:type="dxa"/>
            <w:shd w:val="clear" w:color="auto" w:fill="FFFFFF" w:themeFill="background1"/>
            <w:tcMar>
              <w:top w:w="80" w:type="dxa"/>
              <w:left w:w="80" w:type="dxa"/>
              <w:bottom w:w="80" w:type="dxa"/>
              <w:right w:w="80" w:type="dxa"/>
            </w:tcMar>
          </w:tcPr>
          <w:p w14:paraId="78EC412A" w14:textId="77777777" w:rsidR="007E77F1" w:rsidRPr="00080667" w:rsidRDefault="007E77F1" w:rsidP="000A2871">
            <w:pPr>
              <w:spacing w:line="360" w:lineRule="auto"/>
              <w:jc w:val="center"/>
              <w:rPr>
                <w:rFonts w:ascii="Arial" w:hAnsi="Arial" w:cs="Arial"/>
                <w:b/>
                <w:bCs/>
                <w:sz w:val="19"/>
                <w:szCs w:val="19"/>
              </w:rPr>
            </w:pPr>
            <w:r w:rsidRPr="00080667">
              <w:rPr>
                <w:rFonts w:ascii="Arial" w:hAnsi="Arial" w:cs="Arial"/>
                <w:b/>
                <w:bCs/>
                <w:sz w:val="19"/>
                <w:szCs w:val="19"/>
              </w:rPr>
              <w:t>Q2</w:t>
            </w:r>
          </w:p>
        </w:tc>
        <w:tc>
          <w:tcPr>
            <w:tcW w:w="750" w:type="dxa"/>
            <w:shd w:val="clear" w:color="auto" w:fill="FFFFFF" w:themeFill="background1"/>
            <w:tcMar>
              <w:top w:w="80" w:type="dxa"/>
              <w:left w:w="80" w:type="dxa"/>
              <w:bottom w:w="80" w:type="dxa"/>
              <w:right w:w="80" w:type="dxa"/>
            </w:tcMar>
          </w:tcPr>
          <w:p w14:paraId="1A8CE803" w14:textId="77777777" w:rsidR="007E77F1" w:rsidRPr="00080667" w:rsidRDefault="007E77F1" w:rsidP="000A2871">
            <w:pPr>
              <w:spacing w:line="360" w:lineRule="auto"/>
              <w:jc w:val="center"/>
              <w:rPr>
                <w:rFonts w:ascii="Arial" w:hAnsi="Arial" w:cs="Arial"/>
                <w:b/>
                <w:bCs/>
                <w:sz w:val="19"/>
                <w:szCs w:val="19"/>
              </w:rPr>
            </w:pPr>
            <w:r w:rsidRPr="00080667">
              <w:rPr>
                <w:rFonts w:ascii="Arial" w:hAnsi="Arial" w:cs="Arial"/>
                <w:b/>
                <w:bCs/>
                <w:sz w:val="19"/>
                <w:szCs w:val="19"/>
              </w:rPr>
              <w:t>Q3</w:t>
            </w:r>
          </w:p>
        </w:tc>
        <w:tc>
          <w:tcPr>
            <w:tcW w:w="750" w:type="dxa"/>
            <w:shd w:val="clear" w:color="auto" w:fill="FFFFFF" w:themeFill="background1"/>
            <w:tcMar>
              <w:top w:w="80" w:type="dxa"/>
              <w:left w:w="80" w:type="dxa"/>
              <w:bottom w:w="80" w:type="dxa"/>
              <w:right w:w="80" w:type="dxa"/>
            </w:tcMar>
          </w:tcPr>
          <w:p w14:paraId="2AAD8964" w14:textId="77777777" w:rsidR="007E77F1" w:rsidRPr="00080667" w:rsidRDefault="007E77F1" w:rsidP="000A2871">
            <w:pPr>
              <w:spacing w:line="360" w:lineRule="auto"/>
              <w:jc w:val="center"/>
              <w:rPr>
                <w:rFonts w:ascii="Arial" w:hAnsi="Arial" w:cs="Arial"/>
                <w:b/>
                <w:bCs/>
                <w:sz w:val="19"/>
                <w:szCs w:val="19"/>
              </w:rPr>
            </w:pPr>
            <w:r w:rsidRPr="00080667">
              <w:rPr>
                <w:rFonts w:ascii="Arial" w:hAnsi="Arial" w:cs="Arial"/>
                <w:b/>
                <w:bCs/>
                <w:sz w:val="19"/>
                <w:szCs w:val="19"/>
              </w:rPr>
              <w:t>Q4</w:t>
            </w:r>
          </w:p>
        </w:tc>
        <w:tc>
          <w:tcPr>
            <w:tcW w:w="750" w:type="dxa"/>
            <w:shd w:val="clear" w:color="auto" w:fill="FFFFFF" w:themeFill="background1"/>
            <w:tcMar>
              <w:top w:w="80" w:type="dxa"/>
              <w:left w:w="80" w:type="dxa"/>
              <w:bottom w:w="80" w:type="dxa"/>
              <w:right w:w="80" w:type="dxa"/>
            </w:tcMar>
          </w:tcPr>
          <w:p w14:paraId="5E7C940C" w14:textId="77777777" w:rsidR="007E77F1" w:rsidRPr="00080667" w:rsidRDefault="007E77F1" w:rsidP="000A2871">
            <w:pPr>
              <w:spacing w:line="360" w:lineRule="auto"/>
              <w:jc w:val="center"/>
              <w:rPr>
                <w:rFonts w:ascii="Arial" w:hAnsi="Arial" w:cs="Arial"/>
                <w:b/>
                <w:bCs/>
                <w:sz w:val="19"/>
                <w:szCs w:val="19"/>
              </w:rPr>
            </w:pPr>
            <w:r w:rsidRPr="00080667">
              <w:rPr>
                <w:rFonts w:ascii="Arial" w:hAnsi="Arial" w:cs="Arial"/>
                <w:b/>
                <w:bCs/>
                <w:sz w:val="19"/>
                <w:szCs w:val="19"/>
              </w:rPr>
              <w:t>Q5</w:t>
            </w:r>
          </w:p>
        </w:tc>
        <w:tc>
          <w:tcPr>
            <w:tcW w:w="750" w:type="dxa"/>
            <w:shd w:val="clear" w:color="auto" w:fill="FFFFFF" w:themeFill="background1"/>
            <w:tcMar>
              <w:top w:w="80" w:type="dxa"/>
              <w:left w:w="80" w:type="dxa"/>
              <w:bottom w:w="80" w:type="dxa"/>
              <w:right w:w="80" w:type="dxa"/>
            </w:tcMar>
          </w:tcPr>
          <w:p w14:paraId="6C487E94" w14:textId="77777777" w:rsidR="007E77F1" w:rsidRPr="00080667" w:rsidRDefault="007E77F1" w:rsidP="000A2871">
            <w:pPr>
              <w:spacing w:line="360" w:lineRule="auto"/>
              <w:jc w:val="center"/>
              <w:rPr>
                <w:rFonts w:ascii="Arial" w:hAnsi="Arial" w:cs="Arial"/>
                <w:b/>
                <w:bCs/>
                <w:sz w:val="19"/>
                <w:szCs w:val="19"/>
              </w:rPr>
            </w:pPr>
            <w:r w:rsidRPr="00080667">
              <w:rPr>
                <w:rFonts w:ascii="Arial" w:hAnsi="Arial" w:cs="Arial"/>
                <w:b/>
                <w:bCs/>
                <w:sz w:val="19"/>
                <w:szCs w:val="19"/>
              </w:rPr>
              <w:t>Q6</w:t>
            </w:r>
          </w:p>
        </w:tc>
        <w:tc>
          <w:tcPr>
            <w:tcW w:w="750" w:type="dxa"/>
            <w:shd w:val="clear" w:color="auto" w:fill="FFFFFF" w:themeFill="background1"/>
            <w:tcMar>
              <w:top w:w="80" w:type="dxa"/>
              <w:left w:w="80" w:type="dxa"/>
              <w:bottom w:w="80" w:type="dxa"/>
              <w:right w:w="80" w:type="dxa"/>
            </w:tcMar>
          </w:tcPr>
          <w:p w14:paraId="342CD506" w14:textId="77777777" w:rsidR="007E77F1" w:rsidRPr="00080667" w:rsidRDefault="007E77F1" w:rsidP="000A2871">
            <w:pPr>
              <w:spacing w:line="360" w:lineRule="auto"/>
              <w:jc w:val="center"/>
              <w:rPr>
                <w:rFonts w:ascii="Arial" w:hAnsi="Arial" w:cs="Arial"/>
                <w:b/>
                <w:bCs/>
                <w:sz w:val="19"/>
                <w:szCs w:val="19"/>
              </w:rPr>
            </w:pPr>
            <w:r w:rsidRPr="00080667">
              <w:rPr>
                <w:rFonts w:ascii="Arial" w:hAnsi="Arial" w:cs="Arial"/>
                <w:b/>
                <w:bCs/>
                <w:sz w:val="19"/>
                <w:szCs w:val="19"/>
              </w:rPr>
              <w:t>Q7</w:t>
            </w:r>
          </w:p>
        </w:tc>
        <w:tc>
          <w:tcPr>
            <w:tcW w:w="750" w:type="dxa"/>
            <w:shd w:val="clear" w:color="auto" w:fill="FFFFFF" w:themeFill="background1"/>
            <w:tcMar>
              <w:top w:w="80" w:type="dxa"/>
              <w:left w:w="80" w:type="dxa"/>
              <w:bottom w:w="80" w:type="dxa"/>
              <w:right w:w="80" w:type="dxa"/>
            </w:tcMar>
          </w:tcPr>
          <w:p w14:paraId="36F51854" w14:textId="77777777" w:rsidR="007E77F1" w:rsidRPr="00080667" w:rsidRDefault="007E77F1" w:rsidP="000A2871">
            <w:pPr>
              <w:spacing w:line="360" w:lineRule="auto"/>
              <w:jc w:val="center"/>
              <w:rPr>
                <w:rFonts w:ascii="Arial" w:hAnsi="Arial" w:cs="Arial"/>
                <w:b/>
                <w:bCs/>
                <w:sz w:val="19"/>
                <w:szCs w:val="19"/>
              </w:rPr>
            </w:pPr>
            <w:r w:rsidRPr="00080667">
              <w:rPr>
                <w:rFonts w:ascii="Arial" w:hAnsi="Arial" w:cs="Arial"/>
                <w:b/>
                <w:bCs/>
                <w:sz w:val="19"/>
                <w:szCs w:val="19"/>
              </w:rPr>
              <w:t>Q8</w:t>
            </w:r>
          </w:p>
        </w:tc>
        <w:tc>
          <w:tcPr>
            <w:tcW w:w="750" w:type="dxa"/>
            <w:shd w:val="clear" w:color="auto" w:fill="FFFFFF" w:themeFill="background1"/>
            <w:tcMar>
              <w:top w:w="80" w:type="dxa"/>
              <w:left w:w="80" w:type="dxa"/>
              <w:bottom w:w="80" w:type="dxa"/>
              <w:right w:w="80" w:type="dxa"/>
            </w:tcMar>
          </w:tcPr>
          <w:p w14:paraId="73B31D7D" w14:textId="77777777" w:rsidR="007E77F1" w:rsidRPr="00080667" w:rsidRDefault="007E77F1" w:rsidP="000A2871">
            <w:pPr>
              <w:spacing w:line="360" w:lineRule="auto"/>
              <w:jc w:val="center"/>
              <w:rPr>
                <w:rFonts w:ascii="Arial" w:hAnsi="Arial" w:cs="Arial"/>
                <w:b/>
                <w:bCs/>
                <w:sz w:val="19"/>
                <w:szCs w:val="19"/>
              </w:rPr>
            </w:pPr>
            <w:r w:rsidRPr="00080667">
              <w:rPr>
                <w:rFonts w:ascii="Arial" w:hAnsi="Arial" w:cs="Arial"/>
                <w:b/>
                <w:bCs/>
                <w:sz w:val="19"/>
                <w:szCs w:val="19"/>
              </w:rPr>
              <w:t>Q9</w:t>
            </w:r>
          </w:p>
        </w:tc>
        <w:tc>
          <w:tcPr>
            <w:tcW w:w="795" w:type="dxa"/>
            <w:shd w:val="clear" w:color="auto" w:fill="FFFFFF" w:themeFill="background1"/>
            <w:tcMar>
              <w:top w:w="80" w:type="dxa"/>
              <w:left w:w="80" w:type="dxa"/>
              <w:bottom w:w="80" w:type="dxa"/>
              <w:right w:w="80" w:type="dxa"/>
            </w:tcMar>
          </w:tcPr>
          <w:p w14:paraId="397F2F7C" w14:textId="77777777" w:rsidR="007E77F1" w:rsidRPr="00080667" w:rsidRDefault="007E77F1" w:rsidP="000A2871">
            <w:pPr>
              <w:spacing w:line="360" w:lineRule="auto"/>
              <w:jc w:val="center"/>
              <w:rPr>
                <w:rFonts w:ascii="Arial" w:hAnsi="Arial" w:cs="Arial"/>
                <w:b/>
                <w:bCs/>
                <w:sz w:val="19"/>
                <w:szCs w:val="19"/>
              </w:rPr>
            </w:pPr>
            <w:r w:rsidRPr="00080667">
              <w:rPr>
                <w:rFonts w:ascii="Arial" w:hAnsi="Arial" w:cs="Arial"/>
                <w:b/>
                <w:bCs/>
                <w:sz w:val="19"/>
                <w:szCs w:val="19"/>
              </w:rPr>
              <w:t>Q10</w:t>
            </w:r>
          </w:p>
        </w:tc>
      </w:tr>
      <w:tr w:rsidR="007E77F1" w:rsidRPr="000A2871" w14:paraId="06DADA05" w14:textId="77777777" w:rsidTr="0032180C">
        <w:trPr>
          <w:trHeight w:val="465"/>
        </w:trPr>
        <w:tc>
          <w:tcPr>
            <w:tcW w:w="1305" w:type="dxa"/>
            <w:shd w:val="clear" w:color="auto" w:fill="FFFFFF" w:themeFill="background1"/>
            <w:tcMar>
              <w:top w:w="80" w:type="dxa"/>
              <w:left w:w="80" w:type="dxa"/>
              <w:bottom w:w="80" w:type="dxa"/>
              <w:right w:w="80" w:type="dxa"/>
            </w:tcMar>
          </w:tcPr>
          <w:p w14:paraId="38FE8FD9" w14:textId="77777777" w:rsidR="007E77F1" w:rsidRPr="00080667" w:rsidRDefault="007E77F1" w:rsidP="000A2871">
            <w:pPr>
              <w:spacing w:line="360" w:lineRule="auto"/>
              <w:rPr>
                <w:rFonts w:ascii="Arial" w:hAnsi="Arial" w:cs="Arial"/>
                <w:sz w:val="19"/>
                <w:szCs w:val="19"/>
              </w:rPr>
            </w:pPr>
            <w:r w:rsidRPr="00080667">
              <w:rPr>
                <w:rFonts w:ascii="Arial" w:hAnsi="Arial" w:cs="Arial"/>
                <w:sz w:val="19"/>
                <w:szCs w:val="19"/>
              </w:rPr>
              <w:t>R0024</w:t>
            </w:r>
          </w:p>
        </w:tc>
        <w:tc>
          <w:tcPr>
            <w:tcW w:w="750" w:type="dxa"/>
            <w:shd w:val="clear" w:color="auto" w:fill="FFFFFF" w:themeFill="background1"/>
            <w:tcMar>
              <w:top w:w="80" w:type="dxa"/>
              <w:left w:w="80" w:type="dxa"/>
              <w:bottom w:w="80" w:type="dxa"/>
              <w:right w:w="80" w:type="dxa"/>
            </w:tcMar>
          </w:tcPr>
          <w:p w14:paraId="18E14B61"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16159006"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5442EA1B"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261BE2EE"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16DD8520"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4B48ED19"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CT</w:t>
            </w:r>
          </w:p>
        </w:tc>
        <w:tc>
          <w:tcPr>
            <w:tcW w:w="750" w:type="dxa"/>
            <w:shd w:val="clear" w:color="auto" w:fill="FFFFFF" w:themeFill="background1"/>
            <w:tcMar>
              <w:top w:w="80" w:type="dxa"/>
              <w:left w:w="80" w:type="dxa"/>
              <w:bottom w:w="80" w:type="dxa"/>
              <w:right w:w="80" w:type="dxa"/>
            </w:tcMar>
          </w:tcPr>
          <w:p w14:paraId="47BCB511"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2D7B36FA"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6AF8DA94"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95" w:type="dxa"/>
            <w:shd w:val="clear" w:color="auto" w:fill="FFFFFF" w:themeFill="background1"/>
            <w:tcMar>
              <w:top w:w="80" w:type="dxa"/>
              <w:left w:w="80" w:type="dxa"/>
              <w:bottom w:w="80" w:type="dxa"/>
              <w:right w:w="80" w:type="dxa"/>
            </w:tcMar>
          </w:tcPr>
          <w:p w14:paraId="67E63DB9"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r>
      <w:tr w:rsidR="007E77F1" w:rsidRPr="000A2871" w14:paraId="6DF27335" w14:textId="77777777" w:rsidTr="0032180C">
        <w:trPr>
          <w:trHeight w:val="465"/>
        </w:trPr>
        <w:tc>
          <w:tcPr>
            <w:tcW w:w="1305" w:type="dxa"/>
            <w:shd w:val="clear" w:color="auto" w:fill="FFFFFF" w:themeFill="background1"/>
            <w:tcMar>
              <w:top w:w="80" w:type="dxa"/>
              <w:left w:w="80" w:type="dxa"/>
              <w:bottom w:w="80" w:type="dxa"/>
              <w:right w:w="80" w:type="dxa"/>
            </w:tcMar>
          </w:tcPr>
          <w:p w14:paraId="14EAB64E" w14:textId="77777777" w:rsidR="007E77F1" w:rsidRPr="00080667" w:rsidRDefault="007E77F1" w:rsidP="000A2871">
            <w:pPr>
              <w:spacing w:line="360" w:lineRule="auto"/>
              <w:rPr>
                <w:rFonts w:ascii="Arial" w:hAnsi="Arial" w:cs="Arial"/>
                <w:sz w:val="19"/>
                <w:szCs w:val="19"/>
              </w:rPr>
            </w:pPr>
            <w:r w:rsidRPr="00080667">
              <w:rPr>
                <w:rFonts w:ascii="Arial" w:hAnsi="Arial" w:cs="Arial"/>
                <w:sz w:val="19"/>
                <w:szCs w:val="19"/>
              </w:rPr>
              <w:t>R0046</w:t>
            </w:r>
          </w:p>
        </w:tc>
        <w:tc>
          <w:tcPr>
            <w:tcW w:w="750" w:type="dxa"/>
            <w:shd w:val="clear" w:color="auto" w:fill="FFFFFF" w:themeFill="background1"/>
            <w:tcMar>
              <w:top w:w="80" w:type="dxa"/>
              <w:left w:w="80" w:type="dxa"/>
              <w:bottom w:w="80" w:type="dxa"/>
              <w:right w:w="80" w:type="dxa"/>
            </w:tcMar>
          </w:tcPr>
          <w:p w14:paraId="0B608291"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107D98F2"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3D612C18"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53E566B0"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22A16334"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24677FA2"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CT</w:t>
            </w:r>
          </w:p>
        </w:tc>
        <w:tc>
          <w:tcPr>
            <w:tcW w:w="750" w:type="dxa"/>
            <w:shd w:val="clear" w:color="auto" w:fill="FFFFFF" w:themeFill="background1"/>
            <w:tcMar>
              <w:top w:w="80" w:type="dxa"/>
              <w:left w:w="80" w:type="dxa"/>
              <w:bottom w:w="80" w:type="dxa"/>
              <w:right w:w="80" w:type="dxa"/>
            </w:tcMar>
          </w:tcPr>
          <w:p w14:paraId="3198371B"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3786C4B3"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4834E237"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95" w:type="dxa"/>
            <w:shd w:val="clear" w:color="auto" w:fill="FFFFFF" w:themeFill="background1"/>
            <w:tcMar>
              <w:top w:w="80" w:type="dxa"/>
              <w:left w:w="80" w:type="dxa"/>
              <w:bottom w:w="80" w:type="dxa"/>
              <w:right w:w="80" w:type="dxa"/>
            </w:tcMar>
          </w:tcPr>
          <w:p w14:paraId="2FD733FE"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r>
      <w:tr w:rsidR="007E77F1" w:rsidRPr="000A2871" w14:paraId="1EA28799" w14:textId="77777777" w:rsidTr="0032180C">
        <w:trPr>
          <w:trHeight w:val="465"/>
        </w:trPr>
        <w:tc>
          <w:tcPr>
            <w:tcW w:w="1305" w:type="dxa"/>
            <w:shd w:val="clear" w:color="auto" w:fill="FFFFFF" w:themeFill="background1"/>
            <w:tcMar>
              <w:top w:w="80" w:type="dxa"/>
              <w:left w:w="80" w:type="dxa"/>
              <w:bottom w:w="80" w:type="dxa"/>
              <w:right w:w="80" w:type="dxa"/>
            </w:tcMar>
          </w:tcPr>
          <w:p w14:paraId="093AB397" w14:textId="77777777" w:rsidR="007E77F1" w:rsidRPr="00080667" w:rsidRDefault="007E77F1" w:rsidP="000A2871">
            <w:pPr>
              <w:spacing w:line="360" w:lineRule="auto"/>
              <w:rPr>
                <w:rFonts w:ascii="Arial" w:hAnsi="Arial" w:cs="Arial"/>
                <w:sz w:val="19"/>
                <w:szCs w:val="19"/>
              </w:rPr>
            </w:pPr>
            <w:r w:rsidRPr="00080667">
              <w:rPr>
                <w:rFonts w:ascii="Arial" w:hAnsi="Arial" w:cs="Arial"/>
                <w:sz w:val="19"/>
                <w:szCs w:val="19"/>
              </w:rPr>
              <w:t>R0132</w:t>
            </w:r>
          </w:p>
        </w:tc>
        <w:tc>
          <w:tcPr>
            <w:tcW w:w="750" w:type="dxa"/>
            <w:shd w:val="clear" w:color="auto" w:fill="FFFFFF" w:themeFill="background1"/>
            <w:tcMar>
              <w:top w:w="80" w:type="dxa"/>
              <w:left w:w="80" w:type="dxa"/>
              <w:bottom w:w="80" w:type="dxa"/>
              <w:right w:w="80" w:type="dxa"/>
            </w:tcMar>
          </w:tcPr>
          <w:p w14:paraId="2C085ABC"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578D9E96"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6F09B47C"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625DEAA3"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47FF5724"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29BED772"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195C0250"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79D17EFE"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7501BE7F"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95" w:type="dxa"/>
            <w:shd w:val="clear" w:color="auto" w:fill="FFFFFF" w:themeFill="background1"/>
            <w:tcMar>
              <w:top w:w="80" w:type="dxa"/>
              <w:left w:w="80" w:type="dxa"/>
              <w:bottom w:w="80" w:type="dxa"/>
              <w:right w:w="80" w:type="dxa"/>
            </w:tcMar>
          </w:tcPr>
          <w:p w14:paraId="5EF60173"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r>
      <w:tr w:rsidR="007E77F1" w:rsidRPr="000A2871" w14:paraId="2C98C28A" w14:textId="77777777" w:rsidTr="0032180C">
        <w:trPr>
          <w:trHeight w:val="465"/>
        </w:trPr>
        <w:tc>
          <w:tcPr>
            <w:tcW w:w="1305" w:type="dxa"/>
            <w:shd w:val="clear" w:color="auto" w:fill="FFFFFF" w:themeFill="background1"/>
            <w:tcMar>
              <w:top w:w="80" w:type="dxa"/>
              <w:left w:w="80" w:type="dxa"/>
              <w:bottom w:w="80" w:type="dxa"/>
              <w:right w:w="80" w:type="dxa"/>
            </w:tcMar>
          </w:tcPr>
          <w:p w14:paraId="5C38C4DC" w14:textId="77777777" w:rsidR="007E77F1" w:rsidRPr="00080667" w:rsidRDefault="007E77F1" w:rsidP="000A2871">
            <w:pPr>
              <w:spacing w:line="360" w:lineRule="auto"/>
              <w:rPr>
                <w:rFonts w:ascii="Arial" w:hAnsi="Arial" w:cs="Arial"/>
                <w:sz w:val="19"/>
                <w:szCs w:val="19"/>
              </w:rPr>
            </w:pPr>
            <w:r w:rsidRPr="00080667">
              <w:rPr>
                <w:rFonts w:ascii="Arial" w:hAnsi="Arial" w:cs="Arial"/>
                <w:sz w:val="19"/>
                <w:szCs w:val="19"/>
              </w:rPr>
              <w:t>R0096</w:t>
            </w:r>
          </w:p>
        </w:tc>
        <w:tc>
          <w:tcPr>
            <w:tcW w:w="750" w:type="dxa"/>
            <w:shd w:val="clear" w:color="auto" w:fill="FFFFFF" w:themeFill="background1"/>
            <w:tcMar>
              <w:top w:w="80" w:type="dxa"/>
              <w:left w:w="80" w:type="dxa"/>
              <w:bottom w:w="80" w:type="dxa"/>
              <w:right w:w="80" w:type="dxa"/>
            </w:tcMar>
          </w:tcPr>
          <w:p w14:paraId="08E50251"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5496A176"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31BD0303"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3B294715"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3998C4ED"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34C778D6"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CT</w:t>
            </w:r>
          </w:p>
        </w:tc>
        <w:tc>
          <w:tcPr>
            <w:tcW w:w="750" w:type="dxa"/>
            <w:shd w:val="clear" w:color="auto" w:fill="FFFFFF" w:themeFill="background1"/>
            <w:tcMar>
              <w:top w:w="80" w:type="dxa"/>
              <w:left w:w="80" w:type="dxa"/>
              <w:bottom w:w="80" w:type="dxa"/>
              <w:right w:w="80" w:type="dxa"/>
            </w:tcMar>
          </w:tcPr>
          <w:p w14:paraId="6373812F"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612FC0F0"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0009A15D"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95" w:type="dxa"/>
            <w:shd w:val="clear" w:color="auto" w:fill="FFFFFF" w:themeFill="background1"/>
            <w:tcMar>
              <w:top w:w="80" w:type="dxa"/>
              <w:left w:w="80" w:type="dxa"/>
              <w:bottom w:w="80" w:type="dxa"/>
              <w:right w:w="80" w:type="dxa"/>
            </w:tcMar>
          </w:tcPr>
          <w:p w14:paraId="0C802F06"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r>
      <w:tr w:rsidR="007E77F1" w:rsidRPr="000A2871" w14:paraId="4928E927" w14:textId="77777777" w:rsidTr="0032180C">
        <w:trPr>
          <w:trHeight w:val="465"/>
        </w:trPr>
        <w:tc>
          <w:tcPr>
            <w:tcW w:w="1305" w:type="dxa"/>
            <w:shd w:val="clear" w:color="auto" w:fill="FFFFFF" w:themeFill="background1"/>
            <w:tcMar>
              <w:top w:w="80" w:type="dxa"/>
              <w:left w:w="80" w:type="dxa"/>
              <w:bottom w:w="80" w:type="dxa"/>
              <w:right w:w="80" w:type="dxa"/>
            </w:tcMar>
          </w:tcPr>
          <w:p w14:paraId="7B6BE298" w14:textId="77777777" w:rsidR="007E77F1" w:rsidRPr="00080667" w:rsidRDefault="007E77F1" w:rsidP="000A2871">
            <w:pPr>
              <w:spacing w:line="360" w:lineRule="auto"/>
              <w:rPr>
                <w:rFonts w:ascii="Arial" w:hAnsi="Arial" w:cs="Arial"/>
                <w:sz w:val="19"/>
                <w:szCs w:val="19"/>
              </w:rPr>
            </w:pPr>
            <w:r w:rsidRPr="00080667">
              <w:rPr>
                <w:rFonts w:ascii="Arial" w:hAnsi="Arial" w:cs="Arial"/>
                <w:sz w:val="19"/>
                <w:szCs w:val="19"/>
              </w:rPr>
              <w:t>R0058</w:t>
            </w:r>
          </w:p>
        </w:tc>
        <w:tc>
          <w:tcPr>
            <w:tcW w:w="750" w:type="dxa"/>
            <w:shd w:val="clear" w:color="auto" w:fill="FFFFFF" w:themeFill="background1"/>
            <w:tcMar>
              <w:top w:w="80" w:type="dxa"/>
              <w:left w:w="80" w:type="dxa"/>
              <w:bottom w:w="80" w:type="dxa"/>
              <w:right w:w="80" w:type="dxa"/>
            </w:tcMar>
          </w:tcPr>
          <w:p w14:paraId="74E0CD43"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6F2F80D8"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0C6EC1E7"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10116FE5"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07FE67C8"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45E010FD"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3FF88FA1"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3DAAE589"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60348EA3"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95" w:type="dxa"/>
            <w:shd w:val="clear" w:color="auto" w:fill="FFFFFF" w:themeFill="background1"/>
            <w:tcMar>
              <w:top w:w="80" w:type="dxa"/>
              <w:left w:w="80" w:type="dxa"/>
              <w:bottom w:w="80" w:type="dxa"/>
              <w:right w:w="80" w:type="dxa"/>
            </w:tcMar>
          </w:tcPr>
          <w:p w14:paraId="5B50E332"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r>
      <w:tr w:rsidR="007E77F1" w:rsidRPr="000A2871" w14:paraId="32C9A5D4" w14:textId="77777777" w:rsidTr="0032180C">
        <w:trPr>
          <w:trHeight w:val="465"/>
        </w:trPr>
        <w:tc>
          <w:tcPr>
            <w:tcW w:w="1305" w:type="dxa"/>
            <w:shd w:val="clear" w:color="auto" w:fill="FFFFFF" w:themeFill="background1"/>
            <w:tcMar>
              <w:top w:w="80" w:type="dxa"/>
              <w:left w:w="80" w:type="dxa"/>
              <w:bottom w:w="80" w:type="dxa"/>
              <w:right w:w="80" w:type="dxa"/>
            </w:tcMar>
          </w:tcPr>
          <w:p w14:paraId="41855DE7" w14:textId="77777777" w:rsidR="007E77F1" w:rsidRPr="00080667" w:rsidRDefault="007E77F1" w:rsidP="000A2871">
            <w:pPr>
              <w:spacing w:line="360" w:lineRule="auto"/>
              <w:rPr>
                <w:rFonts w:ascii="Arial" w:hAnsi="Arial" w:cs="Arial"/>
                <w:sz w:val="19"/>
                <w:szCs w:val="19"/>
              </w:rPr>
            </w:pPr>
            <w:r w:rsidRPr="00080667">
              <w:rPr>
                <w:rFonts w:ascii="Arial" w:hAnsi="Arial" w:cs="Arial"/>
                <w:sz w:val="19"/>
                <w:szCs w:val="19"/>
              </w:rPr>
              <w:t>R0040</w:t>
            </w:r>
          </w:p>
        </w:tc>
        <w:tc>
          <w:tcPr>
            <w:tcW w:w="750" w:type="dxa"/>
            <w:shd w:val="clear" w:color="auto" w:fill="FFFFFF" w:themeFill="background1"/>
            <w:tcMar>
              <w:top w:w="80" w:type="dxa"/>
              <w:left w:w="80" w:type="dxa"/>
              <w:bottom w:w="80" w:type="dxa"/>
              <w:right w:w="80" w:type="dxa"/>
            </w:tcMar>
          </w:tcPr>
          <w:p w14:paraId="34702D80"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4E8E6562"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47D4514B"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373F8B47"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1BCF0540"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700935A6"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2C5C137F"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6364C215"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2B767C64"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95" w:type="dxa"/>
            <w:shd w:val="clear" w:color="auto" w:fill="FFFFFF" w:themeFill="background1"/>
            <w:tcMar>
              <w:top w:w="80" w:type="dxa"/>
              <w:left w:w="80" w:type="dxa"/>
              <w:bottom w:w="80" w:type="dxa"/>
              <w:right w:w="80" w:type="dxa"/>
            </w:tcMar>
          </w:tcPr>
          <w:p w14:paraId="7B8EDD38"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r>
      <w:tr w:rsidR="007E77F1" w:rsidRPr="000A2871" w14:paraId="7B2F6270" w14:textId="77777777" w:rsidTr="0032180C">
        <w:trPr>
          <w:trHeight w:val="465"/>
        </w:trPr>
        <w:tc>
          <w:tcPr>
            <w:tcW w:w="1305" w:type="dxa"/>
            <w:shd w:val="clear" w:color="auto" w:fill="FFFFFF" w:themeFill="background1"/>
            <w:tcMar>
              <w:top w:w="80" w:type="dxa"/>
              <w:left w:w="80" w:type="dxa"/>
              <w:bottom w:w="80" w:type="dxa"/>
              <w:right w:w="80" w:type="dxa"/>
            </w:tcMar>
          </w:tcPr>
          <w:p w14:paraId="7CEB92D9" w14:textId="77777777" w:rsidR="007E77F1" w:rsidRPr="00080667" w:rsidRDefault="007E77F1" w:rsidP="000A2871">
            <w:pPr>
              <w:spacing w:line="360" w:lineRule="auto"/>
              <w:rPr>
                <w:rFonts w:ascii="Arial" w:hAnsi="Arial" w:cs="Arial"/>
                <w:sz w:val="19"/>
                <w:szCs w:val="19"/>
              </w:rPr>
            </w:pPr>
            <w:r w:rsidRPr="00080667">
              <w:rPr>
                <w:rFonts w:ascii="Arial" w:hAnsi="Arial" w:cs="Arial"/>
                <w:sz w:val="19"/>
                <w:szCs w:val="19"/>
              </w:rPr>
              <w:t>R0097</w:t>
            </w:r>
          </w:p>
        </w:tc>
        <w:tc>
          <w:tcPr>
            <w:tcW w:w="750" w:type="dxa"/>
            <w:shd w:val="clear" w:color="auto" w:fill="FFFFFF" w:themeFill="background1"/>
            <w:tcMar>
              <w:top w:w="80" w:type="dxa"/>
              <w:left w:w="80" w:type="dxa"/>
              <w:bottom w:w="80" w:type="dxa"/>
              <w:right w:w="80" w:type="dxa"/>
            </w:tcMar>
          </w:tcPr>
          <w:p w14:paraId="746D910E"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2A62BA9A"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289D6ACE"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3A1737E7"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27C8754E"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504909C0"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1D07F17B"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54C7B048"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0BC2A7A1"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95" w:type="dxa"/>
            <w:shd w:val="clear" w:color="auto" w:fill="FFFFFF" w:themeFill="background1"/>
            <w:tcMar>
              <w:top w:w="80" w:type="dxa"/>
              <w:left w:w="80" w:type="dxa"/>
              <w:bottom w:w="80" w:type="dxa"/>
              <w:right w:w="80" w:type="dxa"/>
            </w:tcMar>
          </w:tcPr>
          <w:p w14:paraId="45A58D6D"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r>
      <w:tr w:rsidR="007E77F1" w:rsidRPr="000A2871" w14:paraId="7E61D8E0" w14:textId="77777777" w:rsidTr="0032180C">
        <w:trPr>
          <w:trHeight w:val="465"/>
        </w:trPr>
        <w:tc>
          <w:tcPr>
            <w:tcW w:w="1305" w:type="dxa"/>
            <w:shd w:val="clear" w:color="auto" w:fill="FFFFFF" w:themeFill="background1"/>
            <w:tcMar>
              <w:top w:w="80" w:type="dxa"/>
              <w:left w:w="80" w:type="dxa"/>
              <w:bottom w:w="80" w:type="dxa"/>
              <w:right w:w="80" w:type="dxa"/>
            </w:tcMar>
          </w:tcPr>
          <w:p w14:paraId="63E06CB4" w14:textId="77777777" w:rsidR="007E77F1" w:rsidRPr="00080667" w:rsidRDefault="007E77F1" w:rsidP="000A2871">
            <w:pPr>
              <w:spacing w:line="360" w:lineRule="auto"/>
              <w:rPr>
                <w:rFonts w:ascii="Arial" w:hAnsi="Arial" w:cs="Arial"/>
                <w:sz w:val="19"/>
                <w:szCs w:val="19"/>
              </w:rPr>
            </w:pPr>
            <w:r w:rsidRPr="00080667">
              <w:rPr>
                <w:rFonts w:ascii="Arial" w:hAnsi="Arial" w:cs="Arial"/>
                <w:sz w:val="19"/>
                <w:szCs w:val="19"/>
              </w:rPr>
              <w:lastRenderedPageBreak/>
              <w:t>R0312</w:t>
            </w:r>
          </w:p>
        </w:tc>
        <w:tc>
          <w:tcPr>
            <w:tcW w:w="750" w:type="dxa"/>
            <w:shd w:val="clear" w:color="auto" w:fill="FFFFFF" w:themeFill="background1"/>
            <w:tcMar>
              <w:top w:w="80" w:type="dxa"/>
              <w:left w:w="80" w:type="dxa"/>
              <w:bottom w:w="80" w:type="dxa"/>
              <w:right w:w="80" w:type="dxa"/>
            </w:tcMar>
          </w:tcPr>
          <w:p w14:paraId="33B725B6"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142E7550"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55572865"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0BB59C96"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5144DD90"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59F4CA8F"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1F0BA359"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1C86472E"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66656BE0"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95" w:type="dxa"/>
            <w:shd w:val="clear" w:color="auto" w:fill="FFFFFF" w:themeFill="background1"/>
            <w:tcMar>
              <w:top w:w="80" w:type="dxa"/>
              <w:left w:w="80" w:type="dxa"/>
              <w:bottom w:w="80" w:type="dxa"/>
              <w:right w:w="80" w:type="dxa"/>
            </w:tcMar>
          </w:tcPr>
          <w:p w14:paraId="5BE86B1B"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r>
      <w:tr w:rsidR="007E77F1" w:rsidRPr="000A2871" w14:paraId="7C66B263" w14:textId="77777777" w:rsidTr="0032180C">
        <w:trPr>
          <w:trHeight w:val="465"/>
        </w:trPr>
        <w:tc>
          <w:tcPr>
            <w:tcW w:w="1305" w:type="dxa"/>
            <w:shd w:val="clear" w:color="auto" w:fill="FFFFFF" w:themeFill="background1"/>
            <w:tcMar>
              <w:top w:w="80" w:type="dxa"/>
              <w:left w:w="80" w:type="dxa"/>
              <w:bottom w:w="80" w:type="dxa"/>
              <w:right w:w="80" w:type="dxa"/>
            </w:tcMar>
          </w:tcPr>
          <w:p w14:paraId="0ACA0310" w14:textId="77777777" w:rsidR="007E77F1" w:rsidRPr="00080667" w:rsidRDefault="007E77F1" w:rsidP="000A2871">
            <w:pPr>
              <w:spacing w:line="360" w:lineRule="auto"/>
              <w:rPr>
                <w:rFonts w:ascii="Arial" w:hAnsi="Arial" w:cs="Arial"/>
                <w:sz w:val="19"/>
                <w:szCs w:val="19"/>
              </w:rPr>
            </w:pPr>
            <w:r w:rsidRPr="00080667">
              <w:rPr>
                <w:rFonts w:ascii="Arial" w:hAnsi="Arial" w:cs="Arial"/>
                <w:sz w:val="19"/>
                <w:szCs w:val="19"/>
              </w:rPr>
              <w:t>R0465</w:t>
            </w:r>
          </w:p>
        </w:tc>
        <w:tc>
          <w:tcPr>
            <w:tcW w:w="750" w:type="dxa"/>
            <w:shd w:val="clear" w:color="auto" w:fill="FFFFFF" w:themeFill="background1"/>
            <w:tcMar>
              <w:top w:w="80" w:type="dxa"/>
              <w:left w:w="80" w:type="dxa"/>
              <w:bottom w:w="80" w:type="dxa"/>
              <w:right w:w="80" w:type="dxa"/>
            </w:tcMar>
          </w:tcPr>
          <w:p w14:paraId="02E42FB1"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07065998"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19A7C9DB"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54F7926A"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38B8E27C"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27D5757B"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4308BFA2"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41AC7C6C"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112E1B85"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95" w:type="dxa"/>
            <w:shd w:val="clear" w:color="auto" w:fill="FFFFFF" w:themeFill="background1"/>
            <w:tcMar>
              <w:top w:w="80" w:type="dxa"/>
              <w:left w:w="80" w:type="dxa"/>
              <w:bottom w:w="80" w:type="dxa"/>
              <w:right w:w="80" w:type="dxa"/>
            </w:tcMar>
          </w:tcPr>
          <w:p w14:paraId="30E28074"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r>
      <w:tr w:rsidR="007E77F1" w:rsidRPr="000A2871" w14:paraId="39B70354" w14:textId="77777777" w:rsidTr="0032180C">
        <w:trPr>
          <w:trHeight w:val="465"/>
        </w:trPr>
        <w:tc>
          <w:tcPr>
            <w:tcW w:w="1305" w:type="dxa"/>
            <w:shd w:val="clear" w:color="auto" w:fill="FFFFFF" w:themeFill="background1"/>
            <w:tcMar>
              <w:top w:w="80" w:type="dxa"/>
              <w:left w:w="80" w:type="dxa"/>
              <w:bottom w:w="80" w:type="dxa"/>
              <w:right w:w="80" w:type="dxa"/>
            </w:tcMar>
          </w:tcPr>
          <w:p w14:paraId="0AD66E6A" w14:textId="77777777" w:rsidR="007E77F1" w:rsidRPr="00080667" w:rsidRDefault="007E77F1" w:rsidP="000A2871">
            <w:pPr>
              <w:spacing w:line="360" w:lineRule="auto"/>
              <w:rPr>
                <w:rFonts w:ascii="Arial" w:hAnsi="Arial" w:cs="Arial"/>
                <w:sz w:val="19"/>
                <w:szCs w:val="19"/>
              </w:rPr>
            </w:pPr>
            <w:r w:rsidRPr="00080667">
              <w:rPr>
                <w:rFonts w:ascii="Arial" w:hAnsi="Arial" w:cs="Arial"/>
                <w:sz w:val="19"/>
                <w:szCs w:val="19"/>
              </w:rPr>
              <w:t>R0045</w:t>
            </w:r>
          </w:p>
        </w:tc>
        <w:tc>
          <w:tcPr>
            <w:tcW w:w="750" w:type="dxa"/>
            <w:shd w:val="clear" w:color="auto" w:fill="FFFFFF" w:themeFill="background1"/>
            <w:tcMar>
              <w:top w:w="80" w:type="dxa"/>
              <w:left w:w="80" w:type="dxa"/>
              <w:bottom w:w="80" w:type="dxa"/>
              <w:right w:w="80" w:type="dxa"/>
            </w:tcMar>
          </w:tcPr>
          <w:p w14:paraId="5F568217"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14C9A54B"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16D6E82B"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4D957CC2"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7ADFEEB9"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7BD61DA6"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CT</w:t>
            </w:r>
          </w:p>
        </w:tc>
        <w:tc>
          <w:tcPr>
            <w:tcW w:w="750" w:type="dxa"/>
            <w:shd w:val="clear" w:color="auto" w:fill="FFFFFF" w:themeFill="background1"/>
            <w:tcMar>
              <w:top w:w="80" w:type="dxa"/>
              <w:left w:w="80" w:type="dxa"/>
              <w:bottom w:w="80" w:type="dxa"/>
              <w:right w:w="80" w:type="dxa"/>
            </w:tcMar>
          </w:tcPr>
          <w:p w14:paraId="603C5F9D"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072D030C"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64DAA43F"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95" w:type="dxa"/>
            <w:shd w:val="clear" w:color="auto" w:fill="FFFFFF" w:themeFill="background1"/>
            <w:tcMar>
              <w:top w:w="80" w:type="dxa"/>
              <w:left w:w="80" w:type="dxa"/>
              <w:bottom w:w="80" w:type="dxa"/>
              <w:right w:w="80" w:type="dxa"/>
            </w:tcMar>
          </w:tcPr>
          <w:p w14:paraId="32DBEA44"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r>
      <w:tr w:rsidR="007E77F1" w:rsidRPr="000A2871" w14:paraId="41A03E66" w14:textId="77777777" w:rsidTr="0032180C">
        <w:trPr>
          <w:trHeight w:val="465"/>
        </w:trPr>
        <w:tc>
          <w:tcPr>
            <w:tcW w:w="1305" w:type="dxa"/>
            <w:shd w:val="clear" w:color="auto" w:fill="FFFFFF" w:themeFill="background1"/>
            <w:tcMar>
              <w:top w:w="80" w:type="dxa"/>
              <w:left w:w="80" w:type="dxa"/>
              <w:bottom w:w="80" w:type="dxa"/>
              <w:right w:w="80" w:type="dxa"/>
            </w:tcMar>
          </w:tcPr>
          <w:p w14:paraId="3D077213" w14:textId="77777777" w:rsidR="007E77F1" w:rsidRPr="00080667" w:rsidRDefault="007E77F1" w:rsidP="000A2871">
            <w:pPr>
              <w:spacing w:line="360" w:lineRule="auto"/>
              <w:rPr>
                <w:rFonts w:ascii="Arial" w:hAnsi="Arial" w:cs="Arial"/>
                <w:sz w:val="19"/>
                <w:szCs w:val="19"/>
              </w:rPr>
            </w:pPr>
            <w:r w:rsidRPr="00080667">
              <w:rPr>
                <w:rFonts w:ascii="Arial" w:hAnsi="Arial" w:cs="Arial"/>
                <w:sz w:val="19"/>
                <w:szCs w:val="19"/>
              </w:rPr>
              <w:t>R0974</w:t>
            </w:r>
          </w:p>
        </w:tc>
        <w:tc>
          <w:tcPr>
            <w:tcW w:w="750" w:type="dxa"/>
            <w:shd w:val="clear" w:color="auto" w:fill="FFFFFF" w:themeFill="background1"/>
            <w:tcMar>
              <w:top w:w="80" w:type="dxa"/>
              <w:left w:w="80" w:type="dxa"/>
              <w:bottom w:w="80" w:type="dxa"/>
              <w:right w:w="80" w:type="dxa"/>
            </w:tcMar>
          </w:tcPr>
          <w:p w14:paraId="61B02475"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3D738960"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1469FECB"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41608032"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2E22DED3"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0ACB0445"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CT</w:t>
            </w:r>
          </w:p>
        </w:tc>
        <w:tc>
          <w:tcPr>
            <w:tcW w:w="750" w:type="dxa"/>
            <w:shd w:val="clear" w:color="auto" w:fill="FFFFFF" w:themeFill="background1"/>
            <w:tcMar>
              <w:top w:w="80" w:type="dxa"/>
              <w:left w:w="80" w:type="dxa"/>
              <w:bottom w:w="80" w:type="dxa"/>
              <w:right w:w="80" w:type="dxa"/>
            </w:tcMar>
          </w:tcPr>
          <w:p w14:paraId="296F86B6"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368FBE13"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CT</w:t>
            </w:r>
          </w:p>
        </w:tc>
        <w:tc>
          <w:tcPr>
            <w:tcW w:w="750" w:type="dxa"/>
            <w:shd w:val="clear" w:color="auto" w:fill="FFFFFF" w:themeFill="background1"/>
            <w:tcMar>
              <w:top w:w="80" w:type="dxa"/>
              <w:left w:w="80" w:type="dxa"/>
              <w:bottom w:w="80" w:type="dxa"/>
              <w:right w:w="80" w:type="dxa"/>
            </w:tcMar>
          </w:tcPr>
          <w:p w14:paraId="437B9D18"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95" w:type="dxa"/>
            <w:shd w:val="clear" w:color="auto" w:fill="FFFFFF" w:themeFill="background1"/>
            <w:tcMar>
              <w:top w:w="80" w:type="dxa"/>
              <w:left w:w="80" w:type="dxa"/>
              <w:bottom w:w="80" w:type="dxa"/>
              <w:right w:w="80" w:type="dxa"/>
            </w:tcMar>
          </w:tcPr>
          <w:p w14:paraId="7846726A"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r>
      <w:tr w:rsidR="007E77F1" w:rsidRPr="000A2871" w14:paraId="32F7A2F5" w14:textId="77777777" w:rsidTr="0032180C">
        <w:trPr>
          <w:trHeight w:val="465"/>
        </w:trPr>
        <w:tc>
          <w:tcPr>
            <w:tcW w:w="1305" w:type="dxa"/>
            <w:shd w:val="clear" w:color="auto" w:fill="FFFFFF" w:themeFill="background1"/>
            <w:tcMar>
              <w:top w:w="80" w:type="dxa"/>
              <w:left w:w="80" w:type="dxa"/>
              <w:bottom w:w="80" w:type="dxa"/>
              <w:right w:w="80" w:type="dxa"/>
            </w:tcMar>
          </w:tcPr>
          <w:p w14:paraId="3B86AC7E" w14:textId="77777777" w:rsidR="007E77F1" w:rsidRPr="00080667" w:rsidRDefault="007E77F1" w:rsidP="000A2871">
            <w:pPr>
              <w:spacing w:line="360" w:lineRule="auto"/>
              <w:rPr>
                <w:rFonts w:ascii="Arial" w:hAnsi="Arial" w:cs="Arial"/>
                <w:sz w:val="19"/>
                <w:szCs w:val="19"/>
              </w:rPr>
            </w:pPr>
            <w:r w:rsidRPr="00080667">
              <w:rPr>
                <w:rFonts w:ascii="Arial" w:hAnsi="Arial" w:cs="Arial"/>
                <w:sz w:val="19"/>
                <w:szCs w:val="19"/>
              </w:rPr>
              <w:t>S0001</w:t>
            </w:r>
          </w:p>
        </w:tc>
        <w:tc>
          <w:tcPr>
            <w:tcW w:w="750" w:type="dxa"/>
            <w:shd w:val="clear" w:color="auto" w:fill="FFFFFF" w:themeFill="background1"/>
            <w:tcMar>
              <w:top w:w="80" w:type="dxa"/>
              <w:left w:w="80" w:type="dxa"/>
              <w:bottom w:w="80" w:type="dxa"/>
              <w:right w:w="80" w:type="dxa"/>
            </w:tcMar>
          </w:tcPr>
          <w:p w14:paraId="389424A8"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264F146E"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42CF79CE"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2C80B65E"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60E10884"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34109E06"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CT</w:t>
            </w:r>
          </w:p>
        </w:tc>
        <w:tc>
          <w:tcPr>
            <w:tcW w:w="750" w:type="dxa"/>
            <w:shd w:val="clear" w:color="auto" w:fill="FFFFFF" w:themeFill="background1"/>
            <w:tcMar>
              <w:top w:w="80" w:type="dxa"/>
              <w:left w:w="80" w:type="dxa"/>
              <w:bottom w:w="80" w:type="dxa"/>
              <w:right w:w="80" w:type="dxa"/>
            </w:tcMar>
          </w:tcPr>
          <w:p w14:paraId="7C8B1F7F"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00444ABE"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56F41B63"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95" w:type="dxa"/>
            <w:shd w:val="clear" w:color="auto" w:fill="FFFFFF" w:themeFill="background1"/>
            <w:tcMar>
              <w:top w:w="80" w:type="dxa"/>
              <w:left w:w="80" w:type="dxa"/>
              <w:bottom w:w="80" w:type="dxa"/>
              <w:right w:w="80" w:type="dxa"/>
            </w:tcMar>
          </w:tcPr>
          <w:p w14:paraId="6DCB7FED"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r>
      <w:tr w:rsidR="007E77F1" w:rsidRPr="000A2871" w14:paraId="03E00EF7" w14:textId="77777777" w:rsidTr="0032180C">
        <w:trPr>
          <w:trHeight w:val="465"/>
        </w:trPr>
        <w:tc>
          <w:tcPr>
            <w:tcW w:w="1305" w:type="dxa"/>
            <w:shd w:val="clear" w:color="auto" w:fill="FFFFFF" w:themeFill="background1"/>
            <w:tcMar>
              <w:top w:w="80" w:type="dxa"/>
              <w:left w:w="80" w:type="dxa"/>
              <w:bottom w:w="80" w:type="dxa"/>
              <w:right w:w="80" w:type="dxa"/>
            </w:tcMar>
          </w:tcPr>
          <w:p w14:paraId="61334E38" w14:textId="77777777" w:rsidR="007E77F1" w:rsidRPr="00080667" w:rsidRDefault="007E77F1" w:rsidP="000A2871">
            <w:pPr>
              <w:spacing w:line="360" w:lineRule="auto"/>
              <w:rPr>
                <w:rFonts w:ascii="Arial" w:hAnsi="Arial" w:cs="Arial"/>
                <w:sz w:val="19"/>
                <w:szCs w:val="19"/>
              </w:rPr>
            </w:pPr>
            <w:r w:rsidRPr="00080667">
              <w:rPr>
                <w:rFonts w:ascii="Arial" w:hAnsi="Arial" w:cs="Arial"/>
                <w:sz w:val="19"/>
                <w:szCs w:val="19"/>
              </w:rPr>
              <w:t>S0002</w:t>
            </w:r>
          </w:p>
        </w:tc>
        <w:tc>
          <w:tcPr>
            <w:tcW w:w="750" w:type="dxa"/>
            <w:shd w:val="clear" w:color="auto" w:fill="FFFFFF" w:themeFill="background1"/>
            <w:tcMar>
              <w:top w:w="80" w:type="dxa"/>
              <w:left w:w="80" w:type="dxa"/>
              <w:bottom w:w="80" w:type="dxa"/>
              <w:right w:w="80" w:type="dxa"/>
            </w:tcMar>
          </w:tcPr>
          <w:p w14:paraId="084CA38C"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7F2AE63B"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2BCF645D"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4E4A123C"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0AAA6875"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4676101E"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3A5530E8"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7141FE3C"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0BC3285B"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95" w:type="dxa"/>
            <w:shd w:val="clear" w:color="auto" w:fill="FFFFFF" w:themeFill="background1"/>
            <w:tcMar>
              <w:top w:w="80" w:type="dxa"/>
              <w:left w:w="80" w:type="dxa"/>
              <w:bottom w:w="80" w:type="dxa"/>
              <w:right w:w="80" w:type="dxa"/>
            </w:tcMar>
          </w:tcPr>
          <w:p w14:paraId="58EFD58B"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r>
      <w:tr w:rsidR="007E77F1" w:rsidRPr="000A2871" w14:paraId="5BD7A97E" w14:textId="77777777" w:rsidTr="0032180C">
        <w:trPr>
          <w:trHeight w:val="465"/>
        </w:trPr>
        <w:tc>
          <w:tcPr>
            <w:tcW w:w="1305" w:type="dxa"/>
            <w:shd w:val="clear" w:color="auto" w:fill="FFFFFF" w:themeFill="background1"/>
            <w:tcMar>
              <w:top w:w="80" w:type="dxa"/>
              <w:left w:w="80" w:type="dxa"/>
              <w:bottom w:w="80" w:type="dxa"/>
              <w:right w:w="80" w:type="dxa"/>
            </w:tcMar>
          </w:tcPr>
          <w:p w14:paraId="45AAC890" w14:textId="77777777" w:rsidR="007E77F1" w:rsidRPr="00080667" w:rsidRDefault="007E77F1" w:rsidP="000A2871">
            <w:pPr>
              <w:spacing w:line="360" w:lineRule="auto"/>
              <w:rPr>
                <w:rFonts w:ascii="Arial" w:hAnsi="Arial" w:cs="Arial"/>
                <w:sz w:val="19"/>
                <w:szCs w:val="19"/>
              </w:rPr>
            </w:pPr>
            <w:r w:rsidRPr="00080667">
              <w:rPr>
                <w:rFonts w:ascii="Arial" w:hAnsi="Arial" w:cs="Arial"/>
                <w:sz w:val="19"/>
                <w:szCs w:val="19"/>
              </w:rPr>
              <w:t>S0003</w:t>
            </w:r>
          </w:p>
        </w:tc>
        <w:tc>
          <w:tcPr>
            <w:tcW w:w="750" w:type="dxa"/>
            <w:shd w:val="clear" w:color="auto" w:fill="FFFFFF" w:themeFill="background1"/>
            <w:tcMar>
              <w:top w:w="80" w:type="dxa"/>
              <w:left w:w="80" w:type="dxa"/>
              <w:bottom w:w="80" w:type="dxa"/>
              <w:right w:w="80" w:type="dxa"/>
            </w:tcMar>
          </w:tcPr>
          <w:p w14:paraId="43DD03F2"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10ED2745"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75083910"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57820117"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3170A6F3"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49C178B7"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CT</w:t>
            </w:r>
          </w:p>
        </w:tc>
        <w:tc>
          <w:tcPr>
            <w:tcW w:w="750" w:type="dxa"/>
            <w:shd w:val="clear" w:color="auto" w:fill="FFFFFF" w:themeFill="background1"/>
            <w:tcMar>
              <w:top w:w="80" w:type="dxa"/>
              <w:left w:w="80" w:type="dxa"/>
              <w:bottom w:w="80" w:type="dxa"/>
              <w:right w:w="80" w:type="dxa"/>
            </w:tcMar>
          </w:tcPr>
          <w:p w14:paraId="1E40E66A"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3AD4337F"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c>
          <w:tcPr>
            <w:tcW w:w="750" w:type="dxa"/>
            <w:shd w:val="clear" w:color="auto" w:fill="FFFFFF" w:themeFill="background1"/>
            <w:tcMar>
              <w:top w:w="80" w:type="dxa"/>
              <w:left w:w="80" w:type="dxa"/>
              <w:bottom w:w="80" w:type="dxa"/>
              <w:right w:w="80" w:type="dxa"/>
            </w:tcMar>
          </w:tcPr>
          <w:p w14:paraId="79C85172"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CT</w:t>
            </w:r>
          </w:p>
        </w:tc>
        <w:tc>
          <w:tcPr>
            <w:tcW w:w="795" w:type="dxa"/>
            <w:shd w:val="clear" w:color="auto" w:fill="FFFFFF" w:themeFill="background1"/>
            <w:tcMar>
              <w:top w:w="80" w:type="dxa"/>
              <w:left w:w="80" w:type="dxa"/>
              <w:bottom w:w="80" w:type="dxa"/>
              <w:right w:w="80" w:type="dxa"/>
            </w:tcMar>
          </w:tcPr>
          <w:p w14:paraId="14E9791A" w14:textId="77777777" w:rsidR="007E77F1" w:rsidRPr="00080667" w:rsidRDefault="007E77F1" w:rsidP="000A2871">
            <w:pPr>
              <w:spacing w:line="360" w:lineRule="auto"/>
              <w:jc w:val="center"/>
              <w:rPr>
                <w:rFonts w:ascii="Arial" w:hAnsi="Arial" w:cs="Arial"/>
                <w:sz w:val="19"/>
                <w:szCs w:val="19"/>
              </w:rPr>
            </w:pPr>
            <w:r w:rsidRPr="00080667">
              <w:rPr>
                <w:rFonts w:ascii="Arial" w:hAnsi="Arial" w:cs="Arial"/>
                <w:sz w:val="19"/>
                <w:szCs w:val="19"/>
              </w:rPr>
              <w:t>Y</w:t>
            </w:r>
          </w:p>
        </w:tc>
      </w:tr>
    </w:tbl>
    <w:p w14:paraId="7B8E38D0"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1A266EF0" w14:textId="77777777" w:rsidR="007E77F1" w:rsidRPr="000A2871" w:rsidRDefault="007E77F1" w:rsidP="000A2871">
      <w:pPr>
        <w:spacing w:after="120" w:line="360" w:lineRule="auto"/>
        <w:rPr>
          <w:rFonts w:ascii="Arial" w:hAnsi="Arial" w:cs="Arial"/>
        </w:rPr>
      </w:pPr>
      <w:r w:rsidRPr="000A2871">
        <w:rPr>
          <w:rFonts w:ascii="Arial" w:hAnsi="Arial" w:cs="Arial"/>
        </w:rPr>
        <w:t>Y = Yes; CT = Cannot tell. Q1 aims; Q2 qualitative approach; Q3 design; Q4 recruitment; Q5 collection; Q6 reflexivity; Q7 ethics; Q8 analysis; Q9 findings; Q10 value. These judgements are not scores. A Yes indicates sufficient support for that domain, not absence of limitations. Appendix D provides the reasons and study-specific qualifications (CASP, 2024).</w:t>
      </w:r>
    </w:p>
    <w:p w14:paraId="4F7AABE7" w14:textId="679C1BA0" w:rsidR="007E77F1" w:rsidRPr="000A2871" w:rsidRDefault="007E77F1" w:rsidP="000A2871">
      <w:pPr>
        <w:spacing w:after="120" w:line="360" w:lineRule="auto"/>
        <w:rPr>
          <w:rFonts w:ascii="Arial" w:hAnsi="Arial" w:cs="Arial"/>
        </w:rPr>
      </w:pPr>
      <w:r w:rsidRPr="000A2871">
        <w:rPr>
          <w:rFonts w:ascii="Arial" w:hAnsi="Arial" w:cs="Arial"/>
        </w:rPr>
        <w:t>The appraisal therefore contributes different kinds of caution. Narrow recruitment affects how far an interpretation might transfer to other circumstances. Limited reflexive reporting affects assessment of how researchers shaped the material. Uncertain participant attribution affects whether a particular account can answer this review’s question at all. These concerns are not interchangeable. A clearly analysed study may remain contextual because relevant ages cannot be separated, while a report with a reflexivity limitation may still provide useful, clearly attributed accounts. The table and detailed rationales preserve these differences instead of reducing all limitations to one quality label.</w:t>
      </w:r>
      <w:r w:rsidR="00894BC7">
        <w:rPr>
          <w:rFonts w:ascii="Arial" w:hAnsi="Arial" w:cs="Arial"/>
        </w:rPr>
        <w:br/>
      </w:r>
    </w:p>
    <w:p w14:paraId="5B0B5D37" w14:textId="77777777" w:rsidR="00894BC7" w:rsidRDefault="00894BC7">
      <w:pPr>
        <w:rPr>
          <w:rFonts w:ascii="Arial" w:eastAsia="Times New Roman" w:hAnsi="Arial" w:cs="Arial"/>
          <w:b/>
          <w:bCs/>
          <w:color w:val="000000"/>
          <w:sz w:val="34"/>
          <w:szCs w:val="34"/>
        </w:rPr>
      </w:pPr>
      <w:bookmarkStart w:id="85" w:name="_4uy2si909x0b" w:colFirst="0" w:colLast="0"/>
      <w:bookmarkEnd w:id="85"/>
      <w:r>
        <w:rPr>
          <w:rFonts w:ascii="Arial" w:hAnsi="Arial" w:cs="Arial"/>
          <w:bCs/>
          <w:sz w:val="34"/>
          <w:szCs w:val="34"/>
        </w:rPr>
        <w:br w:type="page"/>
      </w:r>
    </w:p>
    <w:p w14:paraId="30219808" w14:textId="328C473B" w:rsidR="007E77F1" w:rsidRPr="000A2871" w:rsidRDefault="007E77F1" w:rsidP="095715F2">
      <w:pPr>
        <w:pStyle w:val="Heading2"/>
        <w:keepNext w:val="0"/>
        <w:keepLines w:val="0"/>
        <w:spacing w:after="80" w:line="360" w:lineRule="auto"/>
        <w:jc w:val="left"/>
        <w:rPr>
          <w:rFonts w:ascii="Arial" w:hAnsi="Arial" w:cs="Arial"/>
          <w:b w:val="0"/>
          <w:bCs/>
          <w:sz w:val="34"/>
          <w:szCs w:val="34"/>
        </w:rPr>
      </w:pPr>
      <w:bookmarkStart w:id="86" w:name="_Toc242459549"/>
      <w:r w:rsidRPr="000A2871">
        <w:rPr>
          <w:rFonts w:ascii="Arial" w:hAnsi="Arial" w:cs="Arial"/>
          <w:bCs/>
          <w:sz w:val="34"/>
          <w:szCs w:val="34"/>
        </w:rPr>
        <w:lastRenderedPageBreak/>
        <w:t>4.4 Theme 1: Changing priorities within adult transitions</w:t>
      </w:r>
      <w:bookmarkEnd w:id="86"/>
    </w:p>
    <w:p w14:paraId="13D23FF4" w14:textId="77777777" w:rsidR="007E77F1" w:rsidRPr="000A2871" w:rsidRDefault="007E77F1" w:rsidP="000A2871">
      <w:pPr>
        <w:spacing w:after="120" w:line="360" w:lineRule="auto"/>
        <w:rPr>
          <w:rFonts w:ascii="Arial" w:hAnsi="Arial" w:cs="Arial"/>
        </w:rPr>
      </w:pPr>
      <w:r w:rsidRPr="000A2871">
        <w:rPr>
          <w:rFonts w:ascii="Arial" w:hAnsi="Arial" w:cs="Arial"/>
        </w:rPr>
        <w:t>Sweeting et al. (2016) show that greater concern about weight can develop alongside changing work, relationships and living arrangements, but concern alone does not distinguish weight trajectories. Berry et al. (2018) similarly place advice within different routines and goals. The shared interpretation is that transitions alter both the importance of an action and the conditions needed to sustain it.</w:t>
      </w:r>
    </w:p>
    <w:p w14:paraId="03EC2D57" w14:textId="77777777" w:rsidR="007E77F1" w:rsidRPr="000A2871" w:rsidRDefault="007E77F1" w:rsidP="000A2871">
      <w:pPr>
        <w:spacing w:after="120" w:line="360" w:lineRule="auto"/>
        <w:rPr>
          <w:rFonts w:ascii="Arial" w:hAnsi="Arial" w:cs="Arial"/>
        </w:rPr>
      </w:pPr>
      <w:r w:rsidRPr="000A2871">
        <w:rPr>
          <w:rFonts w:ascii="Arial" w:hAnsi="Arial" w:cs="Arial"/>
        </w:rPr>
        <w:t>Restricted evidence adds a further dimension. Rodrigues’s P11 prioritised relief from psychological distress, making weight one concern among competing needs. Orlando’s employee accounts connect working life with opportunities for meals, activity and rest. These accounts extend the theme from individual readiness to the organisation of everyday life. They do not imply that every transition has the same consequence or that delayed weight-management action reflects indifference.</w:t>
      </w:r>
    </w:p>
    <w:p w14:paraId="169410D7" w14:textId="77777777" w:rsidR="007E77F1" w:rsidRPr="000A2871" w:rsidRDefault="007E77F1" w:rsidP="000A2871">
      <w:pPr>
        <w:spacing w:after="120" w:line="360" w:lineRule="auto"/>
        <w:rPr>
          <w:rFonts w:ascii="Arial" w:hAnsi="Arial" w:cs="Arial"/>
        </w:rPr>
      </w:pPr>
      <w:r w:rsidRPr="000A2871">
        <w:rPr>
          <w:rFonts w:ascii="Arial" w:hAnsi="Arial" w:cs="Arial"/>
        </w:rPr>
        <w:t>Across these accounts, readiness is better understood as a relationship between priorities and circumstances than as a stable personal characteristic. Sweeting’s participants could become more concerned about weight without following the same trajectory. Rodrigues’s younger accounts show why another health concern could take precedence. Orlando locates daily opportunity within employment arrangements. Read together, these contributions suggest that a change in intention does not necessarily produce a change in what is possible. This is the review’s interpretation of their relationship, rather than a shared causal claim made by every original study.</w:t>
      </w:r>
    </w:p>
    <w:p w14:paraId="4956BE5A" w14:textId="5E03DB6C" w:rsidR="007E77F1" w:rsidRPr="000A2871" w:rsidRDefault="007E77F1" w:rsidP="000A2871">
      <w:pPr>
        <w:spacing w:after="120" w:line="360" w:lineRule="auto"/>
        <w:rPr>
          <w:rFonts w:ascii="Arial" w:hAnsi="Arial" w:cs="Arial"/>
        </w:rPr>
      </w:pPr>
      <w:r w:rsidRPr="000A2871">
        <w:rPr>
          <w:rFonts w:ascii="Arial" w:hAnsi="Arial" w:cs="Arial"/>
        </w:rPr>
        <w:t xml:space="preserve">The contrasting settings also change the meaning of timing. Advice may be received when a person has little capacity to act on </w:t>
      </w:r>
      <w:r w:rsidR="00085B66">
        <w:rPr>
          <w:rFonts w:ascii="Arial" w:hAnsi="Arial" w:cs="Arial"/>
        </w:rPr>
        <w:t>it or</w:t>
      </w:r>
      <w:r w:rsidRPr="000A2871">
        <w:rPr>
          <w:rFonts w:ascii="Arial" w:hAnsi="Arial" w:cs="Arial"/>
        </w:rPr>
        <w:t xml:space="preserve"> become more relevant when routines change. The evidence supports asking how support relates to the participant’s immediate situation. It does not identify a single transition at which all young adults are most receptive, </w:t>
      </w:r>
      <w:r w:rsidR="00085B66">
        <w:rPr>
          <w:rFonts w:ascii="Arial" w:hAnsi="Arial" w:cs="Arial"/>
        </w:rPr>
        <w:t>nor does it</w:t>
      </w:r>
      <w:r w:rsidRPr="000A2871">
        <w:rPr>
          <w:rFonts w:ascii="Arial" w:hAnsi="Arial" w:cs="Arial"/>
        </w:rPr>
        <w:t xml:space="preserve"> show that offering an intervention at a particular age would produce greater benefit.</w:t>
      </w:r>
      <w:r w:rsidR="00894BC7">
        <w:rPr>
          <w:rFonts w:ascii="Arial" w:hAnsi="Arial" w:cs="Arial"/>
        </w:rPr>
        <w:br/>
      </w:r>
    </w:p>
    <w:p w14:paraId="1FD17005" w14:textId="4A956917" w:rsidR="007E77F1" w:rsidRPr="000A2871" w:rsidRDefault="007E77F1" w:rsidP="095715F2">
      <w:pPr>
        <w:pStyle w:val="Heading2"/>
        <w:keepNext w:val="0"/>
        <w:keepLines w:val="0"/>
        <w:spacing w:after="80" w:line="360" w:lineRule="auto"/>
        <w:jc w:val="left"/>
        <w:rPr>
          <w:rFonts w:ascii="Arial" w:hAnsi="Arial" w:cs="Arial"/>
          <w:b w:val="0"/>
          <w:bCs/>
          <w:sz w:val="34"/>
          <w:szCs w:val="34"/>
        </w:rPr>
      </w:pPr>
      <w:bookmarkStart w:id="87" w:name="_exat63kyhues" w:colFirst="0" w:colLast="0"/>
      <w:bookmarkStart w:id="88" w:name="_Toc242459550"/>
      <w:bookmarkEnd w:id="87"/>
      <w:r w:rsidRPr="000A2871">
        <w:rPr>
          <w:rFonts w:ascii="Arial" w:hAnsi="Arial" w:cs="Arial"/>
          <w:bCs/>
          <w:sz w:val="34"/>
          <w:szCs w:val="34"/>
        </w:rPr>
        <w:t>4.5 Theme 2: Practical feasibility and linked routines</w:t>
      </w:r>
      <w:bookmarkEnd w:id="88"/>
    </w:p>
    <w:p w14:paraId="40C323D1" w14:textId="77777777" w:rsidR="007E77F1" w:rsidRPr="000A2871" w:rsidRDefault="007E77F1" w:rsidP="000A2871">
      <w:pPr>
        <w:spacing w:after="120" w:line="360" w:lineRule="auto"/>
        <w:rPr>
          <w:rFonts w:ascii="Arial" w:hAnsi="Arial" w:cs="Arial"/>
        </w:rPr>
      </w:pPr>
      <w:r w:rsidRPr="000A2871">
        <w:rPr>
          <w:rFonts w:ascii="Arial" w:hAnsi="Arial" w:cs="Arial"/>
        </w:rPr>
        <w:t>Across Berry, Sweeting and Scott, intended behaviour must fit available time, resources and established routines. Scott et al. (2020) make the sequence of eating and drinking particularly visible: decisions belong to a social occasion and its aftermath, rather than occurring independently. The analytical theme concerns whether an action can be carried out within the way a day or week is organised.</w:t>
      </w:r>
    </w:p>
    <w:p w14:paraId="1941E504" w14:textId="77777777" w:rsidR="007E77F1" w:rsidRPr="000A2871" w:rsidRDefault="007E77F1" w:rsidP="000A2871">
      <w:pPr>
        <w:spacing w:after="120" w:line="360" w:lineRule="auto"/>
        <w:rPr>
          <w:rFonts w:ascii="Arial" w:hAnsi="Arial" w:cs="Arial"/>
        </w:rPr>
      </w:pPr>
      <w:r w:rsidRPr="000A2871">
        <w:rPr>
          <w:rFonts w:ascii="Arial" w:hAnsi="Arial" w:cs="Arial"/>
        </w:rPr>
        <w:lastRenderedPageBreak/>
        <w:t>Orlando’s young employees add institutional detail through accounts of breaks, schedules and food facilities. Tang et al. (2026) show that digital content can assist practical action, for example by supplying food ideas, while also creating confusion. Together, these findings support a distinction between knowing a recommendation and having a workable route to follow it. They do not establish which environmental change would produce the greatest health benefit.</w:t>
      </w:r>
    </w:p>
    <w:p w14:paraId="0FFB8700" w14:textId="77777777" w:rsidR="007E77F1" w:rsidRPr="000A2871" w:rsidRDefault="007E77F1" w:rsidP="000A2871">
      <w:pPr>
        <w:spacing w:after="120" w:line="360" w:lineRule="auto"/>
        <w:rPr>
          <w:rFonts w:ascii="Arial" w:hAnsi="Arial" w:cs="Arial"/>
        </w:rPr>
      </w:pPr>
      <w:r w:rsidRPr="000A2871">
        <w:rPr>
          <w:rFonts w:ascii="Arial" w:hAnsi="Arial" w:cs="Arial"/>
        </w:rPr>
        <w:t>Hunter’s age-labelled P05 account adds that discounts can make unfamiliar or otherwise costly foods worth trying, while attention can still favour familiar foods. This is a tentative contribution because of the report’s demographic inconsistency. Howard Wilsher’s whole sample also connects food choices with perceived control and convenience (Howard Wilsher, Fearne and Panagiotaki, 2019; Hunter et al., 2025).</w:t>
      </w:r>
    </w:p>
    <w:p w14:paraId="3F76B57C" w14:textId="77777777" w:rsidR="007E77F1" w:rsidRPr="000A2871" w:rsidRDefault="007E77F1" w:rsidP="000A2871">
      <w:pPr>
        <w:spacing w:after="120" w:line="360" w:lineRule="auto"/>
        <w:rPr>
          <w:rFonts w:ascii="Arial" w:hAnsi="Arial" w:cs="Arial"/>
        </w:rPr>
      </w:pPr>
      <w:r w:rsidRPr="000A2871">
        <w:rPr>
          <w:rFonts w:ascii="Arial" w:hAnsi="Arial" w:cs="Arial"/>
        </w:rPr>
        <w:t>The practical theme includes both constraints and usable opportunities. Howard Wilsher’s comparison of young men’s accounts makes perceived control visible, while Berry addresses whether health messages can be applied. Tang adds the possibility that everyday digital content can supply ideas. Hunter’s restricted P05 account describes discounts as an opportunity to try foods, alongside the influence of familiar preferences. These examples show why convenience and affordability cannot be interpreted only as obstacles: under some circumstances they can also support a desired action.</w:t>
      </w:r>
    </w:p>
    <w:p w14:paraId="481D2F83" w14:textId="77777777" w:rsidR="007E77F1" w:rsidRPr="000A2871" w:rsidRDefault="007E77F1" w:rsidP="000A2871">
      <w:pPr>
        <w:spacing w:after="120" w:line="360" w:lineRule="auto"/>
        <w:rPr>
          <w:rFonts w:ascii="Arial" w:hAnsi="Arial" w:cs="Arial"/>
        </w:rPr>
      </w:pPr>
      <w:r w:rsidRPr="000A2871">
        <w:rPr>
          <w:rFonts w:ascii="Arial" w:hAnsi="Arial" w:cs="Arial"/>
        </w:rPr>
        <w:t>The shared analytical point is that a recommendation requires a workable route. In a workplace that route may involve a break or facility; during a social occasion it may involve the sequence of eating and drinking; in a food purchase it may involve price and confidence that the food will be used. The material does not establish one universal practical barrier. It shows how the meaning of feasibility depends on the setting in which the proposed behaviour must occur.</w:t>
      </w:r>
    </w:p>
    <w:p w14:paraId="22B489C9" w14:textId="77777777" w:rsidR="007E77F1" w:rsidRPr="000A2871" w:rsidRDefault="007E77F1" w:rsidP="51F61A32">
      <w:pPr>
        <w:pStyle w:val="Heading2"/>
        <w:keepNext w:val="0"/>
        <w:keepLines w:val="0"/>
        <w:spacing w:after="80" w:line="360" w:lineRule="auto"/>
        <w:jc w:val="left"/>
        <w:rPr>
          <w:rFonts w:ascii="Arial" w:hAnsi="Arial" w:cs="Arial"/>
          <w:b w:val="0"/>
          <w:bCs/>
          <w:sz w:val="34"/>
          <w:szCs w:val="34"/>
        </w:rPr>
      </w:pPr>
      <w:bookmarkStart w:id="89" w:name="_d4cbyn2ru0bk" w:colFirst="0" w:colLast="0"/>
      <w:bookmarkStart w:id="90" w:name="_Toc242459551"/>
      <w:bookmarkEnd w:id="89"/>
      <w:r w:rsidRPr="000A2871">
        <w:rPr>
          <w:rFonts w:ascii="Arial" w:hAnsi="Arial" w:cs="Arial"/>
          <w:bCs/>
          <w:sz w:val="34"/>
          <w:szCs w:val="34"/>
        </w:rPr>
        <w:t>4.6 Theme 3: Social belonging and credible information</w:t>
      </w:r>
      <w:bookmarkEnd w:id="90"/>
    </w:p>
    <w:p w14:paraId="0316ABA8" w14:textId="77777777" w:rsidR="007E77F1" w:rsidRPr="000A2871" w:rsidRDefault="007E77F1" w:rsidP="000A2871">
      <w:pPr>
        <w:spacing w:after="120" w:line="360" w:lineRule="auto"/>
        <w:rPr>
          <w:rFonts w:ascii="Arial" w:hAnsi="Arial" w:cs="Arial"/>
        </w:rPr>
      </w:pPr>
      <w:r w:rsidRPr="000A2871">
        <w:rPr>
          <w:rFonts w:ascii="Arial" w:hAnsi="Arial" w:cs="Arial"/>
        </w:rPr>
        <w:t>Scott’s accounts connect food and drinking with participation and shared expectations. Berry and Tang also show that advice is judged within social and information environments. Credibility involves the source, the message and whether it appears relevant to daily life. The interpretation is that support competes with other valued relationships and messages; its usefulness cannot be judged solely from the accuracy of its content.</w:t>
      </w:r>
    </w:p>
    <w:p w14:paraId="17C3F206" w14:textId="77777777" w:rsidR="007E77F1" w:rsidRPr="000A2871" w:rsidRDefault="007E77F1" w:rsidP="000A2871">
      <w:pPr>
        <w:spacing w:after="120" w:line="360" w:lineRule="auto"/>
        <w:rPr>
          <w:rFonts w:ascii="Arial" w:hAnsi="Arial" w:cs="Arial"/>
        </w:rPr>
      </w:pPr>
      <w:r w:rsidRPr="000A2871">
        <w:rPr>
          <w:rFonts w:ascii="Arial" w:hAnsi="Arial" w:cs="Arial"/>
        </w:rPr>
        <w:t>Howard Wilsher and colleagues distinguish higher and lower fruit and vegetable consumers’ accounts of control, social influences and health-conscious identity. Trahearn’s eligible students describe peers, training and placements as influences on eating. These findings add educational and identity-related detail without implying that one identity predicts a fixed weight outcome.</w:t>
      </w:r>
    </w:p>
    <w:p w14:paraId="5328872E" w14:textId="3D5E7035" w:rsidR="007E77F1" w:rsidRPr="000A2871" w:rsidRDefault="007E77F1" w:rsidP="000A2871">
      <w:pPr>
        <w:spacing w:after="120" w:line="360" w:lineRule="auto"/>
        <w:rPr>
          <w:rFonts w:ascii="Arial" w:hAnsi="Arial" w:cs="Arial"/>
        </w:rPr>
      </w:pPr>
      <w:r w:rsidRPr="000A2871">
        <w:rPr>
          <w:rFonts w:ascii="Arial" w:hAnsi="Arial" w:cs="Arial"/>
        </w:rPr>
        <w:lastRenderedPageBreak/>
        <w:t xml:space="preserve">Hawkes’s age-24 participant, Lucy, valued contact with women in a similar risk situation. This adds a specific example of reassurance through shared experience. It does not justify assuming that groups are helpful for everyone. The theme therefore includes both the potential support available through relationships and the need to understand which form of participation a person </w:t>
      </w:r>
      <w:r w:rsidR="007B66E1" w:rsidRPr="000A2871">
        <w:rPr>
          <w:rFonts w:ascii="Arial" w:hAnsi="Arial" w:cs="Arial"/>
        </w:rPr>
        <w:t>wants</w:t>
      </w:r>
      <w:r w:rsidRPr="000A2871">
        <w:rPr>
          <w:rFonts w:ascii="Arial" w:hAnsi="Arial" w:cs="Arial"/>
        </w:rPr>
        <w:t>.</w:t>
      </w:r>
    </w:p>
    <w:p w14:paraId="54D6C6A0" w14:textId="77777777" w:rsidR="007E77F1" w:rsidRPr="000A2871" w:rsidRDefault="007E77F1" w:rsidP="000A2871">
      <w:pPr>
        <w:spacing w:after="120" w:line="360" w:lineRule="auto"/>
        <w:rPr>
          <w:rFonts w:ascii="Arial" w:hAnsi="Arial" w:cs="Arial"/>
        </w:rPr>
      </w:pPr>
      <w:r w:rsidRPr="000A2871">
        <w:rPr>
          <w:rFonts w:ascii="Arial" w:hAnsi="Arial" w:cs="Arial"/>
        </w:rPr>
        <w:t>The social theme also includes negotiation rather than simple conformity. Scott places eating within valued social occasions, while Howard Wilsher links food practices with identity and perceived control. Trahearn’s eligible accounts situate food within peers and professional training. The relationship across these reports concerns how an action fits a social role or a sense of belonging. This does not mean that participants lack agency. It means that their choices are interpreted within relationships that can provide support, expectations or pressure.</w:t>
      </w:r>
    </w:p>
    <w:p w14:paraId="4E8EDCF0" w14:textId="50594750" w:rsidR="007E77F1" w:rsidRPr="000A2871" w:rsidRDefault="007E77F1" w:rsidP="000A2871">
      <w:pPr>
        <w:spacing w:after="120" w:line="360" w:lineRule="auto"/>
        <w:rPr>
          <w:rFonts w:ascii="Arial" w:hAnsi="Arial" w:cs="Arial"/>
        </w:rPr>
      </w:pPr>
      <w:r w:rsidRPr="000A2871">
        <w:rPr>
          <w:rFonts w:ascii="Arial" w:hAnsi="Arial" w:cs="Arial"/>
        </w:rPr>
        <w:t xml:space="preserve">Credibility and belonging intersect where advice </w:t>
      </w:r>
      <w:r w:rsidR="00085B66" w:rsidRPr="000A2871">
        <w:rPr>
          <w:rFonts w:ascii="Arial" w:hAnsi="Arial" w:cs="Arial"/>
        </w:rPr>
        <w:t>come</w:t>
      </w:r>
      <w:r w:rsidRPr="000A2871">
        <w:rPr>
          <w:rFonts w:ascii="Arial" w:hAnsi="Arial" w:cs="Arial"/>
        </w:rPr>
        <w:t xml:space="preserve"> from a person or group with whom the recipient identifies. Nevertheless, shared experience and accurate information are different forms of reassurance. Lucy’s account in Hawkes concerns women with a similar clinical risk, a context that should remain visible when discussing peer support. The finding adds an example of valued connection without establishing that any group of similarly aged people would provide the same benefit.</w:t>
      </w:r>
      <w:r w:rsidR="00894BC7">
        <w:rPr>
          <w:rFonts w:ascii="Arial" w:hAnsi="Arial" w:cs="Arial"/>
        </w:rPr>
        <w:br/>
      </w:r>
    </w:p>
    <w:p w14:paraId="59BEC3D8" w14:textId="60ED7C35" w:rsidR="007E77F1" w:rsidRPr="000A2871" w:rsidRDefault="007E77F1" w:rsidP="51F61A32">
      <w:pPr>
        <w:pStyle w:val="Heading2"/>
        <w:keepNext w:val="0"/>
        <w:keepLines w:val="0"/>
        <w:spacing w:after="80" w:line="360" w:lineRule="auto"/>
        <w:jc w:val="left"/>
        <w:rPr>
          <w:rFonts w:ascii="Arial" w:hAnsi="Arial" w:cs="Arial"/>
          <w:b w:val="0"/>
          <w:bCs/>
          <w:sz w:val="34"/>
          <w:szCs w:val="34"/>
        </w:rPr>
      </w:pPr>
      <w:bookmarkStart w:id="91" w:name="_g0ihln5ru01m" w:colFirst="0" w:colLast="0"/>
      <w:bookmarkStart w:id="92" w:name="_Toc242459552"/>
      <w:bookmarkEnd w:id="91"/>
      <w:r w:rsidRPr="000A2871">
        <w:rPr>
          <w:rFonts w:ascii="Arial" w:hAnsi="Arial" w:cs="Arial"/>
          <w:bCs/>
          <w:sz w:val="34"/>
          <w:szCs w:val="34"/>
        </w:rPr>
        <w:t>4.7 Theme 4: Emotional safety and the meaning of weight messages</w:t>
      </w:r>
      <w:bookmarkEnd w:id="92"/>
    </w:p>
    <w:p w14:paraId="066C1B73" w14:textId="77777777" w:rsidR="007E77F1" w:rsidRPr="000A2871" w:rsidRDefault="007E77F1" w:rsidP="000A2871">
      <w:pPr>
        <w:spacing w:after="120" w:line="360" w:lineRule="auto"/>
        <w:rPr>
          <w:rFonts w:ascii="Arial" w:hAnsi="Arial" w:cs="Arial"/>
        </w:rPr>
      </w:pPr>
      <w:r w:rsidRPr="000A2871">
        <w:rPr>
          <w:rFonts w:ascii="Arial" w:hAnsi="Arial" w:cs="Arial"/>
        </w:rPr>
        <w:t>Canzini and Langdon-Daly (2025) provide the clearest policy-related contribution: participants described calorie information through anxiety, comparison and a difficult relationship with food. Tang’s accounts likewise include tension between inspiration and appearance-related pressure. These findings suggest that the emotional meaning of a message can differ from its stated health purpose.</w:t>
      </w:r>
    </w:p>
    <w:p w14:paraId="7C65C66B" w14:textId="77777777" w:rsidR="007E77F1" w:rsidRPr="000A2871" w:rsidRDefault="007E77F1" w:rsidP="000A2871">
      <w:pPr>
        <w:spacing w:after="120" w:line="360" w:lineRule="auto"/>
        <w:rPr>
          <w:rFonts w:ascii="Arial" w:hAnsi="Arial" w:cs="Arial"/>
        </w:rPr>
      </w:pPr>
      <w:r w:rsidRPr="000A2871">
        <w:rPr>
          <w:rFonts w:ascii="Arial" w:hAnsi="Arial" w:cs="Arial"/>
        </w:rPr>
        <w:t>Rodrigues’s younger accounts sharpen this point. P3 described distress concerning weight change and P7 anticipated judgement when raising concerns. Sweeting’s participants also varied in body acceptance and weight priorities. The theme is not that all weight discussion is harmful, but that support may be experienced through previous concerns, expectations and relationships. The evidence cannot estimate the frequency of these responses or establish policy-level harm.</w:t>
      </w:r>
    </w:p>
    <w:p w14:paraId="6779E730" w14:textId="77777777" w:rsidR="007E77F1" w:rsidRPr="000A2871" w:rsidRDefault="007E77F1" w:rsidP="000A2871">
      <w:pPr>
        <w:spacing w:after="120" w:line="360" w:lineRule="auto"/>
        <w:rPr>
          <w:rFonts w:ascii="Arial" w:hAnsi="Arial" w:cs="Arial"/>
        </w:rPr>
      </w:pPr>
      <w:r w:rsidRPr="000A2871">
        <w:rPr>
          <w:rFonts w:ascii="Arial" w:hAnsi="Arial" w:cs="Arial"/>
        </w:rPr>
        <w:t xml:space="preserve">Trahearn’s younger students described pressure to match a professional body ideal, showing that nutritional knowledge can coexist with self-criticism (Trahearn et al., 2021). This </w:t>
      </w:r>
      <w:r w:rsidRPr="000A2871">
        <w:rPr>
          <w:rFonts w:ascii="Arial" w:hAnsi="Arial" w:cs="Arial"/>
        </w:rPr>
        <w:lastRenderedPageBreak/>
        <w:t>strengthens the distinction between education, emotional wellbeing and the meaning attached to body size.</w:t>
      </w:r>
    </w:p>
    <w:p w14:paraId="4AA70111" w14:textId="77777777" w:rsidR="007E77F1" w:rsidRPr="000A2871" w:rsidRDefault="007E77F1" w:rsidP="000A2871">
      <w:pPr>
        <w:spacing w:after="120" w:line="360" w:lineRule="auto"/>
        <w:rPr>
          <w:rFonts w:ascii="Arial" w:hAnsi="Arial" w:cs="Arial"/>
        </w:rPr>
      </w:pPr>
      <w:r w:rsidRPr="000A2871">
        <w:rPr>
          <w:rFonts w:ascii="Arial" w:hAnsi="Arial" w:cs="Arial"/>
        </w:rPr>
        <w:t>Emotional safety is not equivalent to avoiding every uncomfortable topic. The accounts instead direct attention to how a message is understood and what concerns accompany it. Rodrigues’s P7 anticipated judgement; Canzini and Langdon-Daly’s participants described responses to numbers within eating environments; Trahearn’s younger students connected body expectations with their professional role. These experiences arise through different relationships and exposures. Their synthesis concerns the possibility that the manner and meaning of support affect whether it can be used comfortably.</w:t>
      </w:r>
    </w:p>
    <w:p w14:paraId="03E0C0D9" w14:textId="1D293953" w:rsidR="007E77F1" w:rsidRPr="000A2871" w:rsidRDefault="007E77F1" w:rsidP="000A2871">
      <w:pPr>
        <w:spacing w:after="120" w:line="360" w:lineRule="auto"/>
        <w:rPr>
          <w:rFonts w:ascii="Arial" w:hAnsi="Arial" w:cs="Arial"/>
        </w:rPr>
      </w:pPr>
      <w:r w:rsidRPr="000A2871">
        <w:rPr>
          <w:rFonts w:ascii="Arial" w:hAnsi="Arial" w:cs="Arial"/>
        </w:rPr>
        <w:t>There are also limits to this pattern. The review does not have a balanced population comparison of people who welcome and dislike calorie information. Nor can it establish whether distress preceded, followed or was intensified by a particular message. These uncertainties prevent the emotional theme from becoming a general verdict against weight-related information. Its contribution is to make the experience of receiving that information part of the explanation.</w:t>
      </w:r>
      <w:r w:rsidR="00894BC7">
        <w:rPr>
          <w:rFonts w:ascii="Arial" w:hAnsi="Arial" w:cs="Arial"/>
        </w:rPr>
        <w:br/>
      </w:r>
    </w:p>
    <w:p w14:paraId="6052E5E0" w14:textId="11C2E9D4" w:rsidR="007E77F1" w:rsidRPr="000A2871" w:rsidRDefault="007E77F1" w:rsidP="36A6C9BA">
      <w:pPr>
        <w:pStyle w:val="Heading2"/>
        <w:keepNext w:val="0"/>
        <w:keepLines w:val="0"/>
        <w:spacing w:after="80" w:line="360" w:lineRule="auto"/>
        <w:jc w:val="left"/>
        <w:rPr>
          <w:rFonts w:ascii="Arial" w:hAnsi="Arial" w:cs="Arial"/>
          <w:b w:val="0"/>
          <w:bCs/>
          <w:sz w:val="34"/>
          <w:szCs w:val="34"/>
        </w:rPr>
      </w:pPr>
      <w:bookmarkStart w:id="93" w:name="_7v8e13d2p9gz" w:colFirst="0" w:colLast="0"/>
      <w:bookmarkStart w:id="94" w:name="_Toc242459553"/>
      <w:bookmarkEnd w:id="93"/>
      <w:r w:rsidRPr="000A2871">
        <w:rPr>
          <w:rFonts w:ascii="Arial" w:hAnsi="Arial" w:cs="Arial"/>
          <w:bCs/>
          <w:sz w:val="34"/>
          <w:szCs w:val="34"/>
        </w:rPr>
        <w:t>4.8 Theme 5: Support that fits the person and the moment</w:t>
      </w:r>
      <w:bookmarkEnd w:id="94"/>
    </w:p>
    <w:p w14:paraId="6749A02F" w14:textId="77777777" w:rsidR="007E77F1" w:rsidRPr="000A2871" w:rsidRDefault="007E77F1" w:rsidP="000A2871">
      <w:pPr>
        <w:spacing w:after="120" w:line="360" w:lineRule="auto"/>
        <w:rPr>
          <w:rFonts w:ascii="Arial" w:hAnsi="Arial" w:cs="Arial"/>
        </w:rPr>
      </w:pPr>
      <w:r w:rsidRPr="000A2871">
        <w:rPr>
          <w:rFonts w:ascii="Arial" w:hAnsi="Arial" w:cs="Arial"/>
        </w:rPr>
        <w:t>Berry and Tang identify a preference for relevant, usable communication. Rodrigues’s P9 wanted side effects considered within medication reviews, indicating a possible place for support within existing care. The analytical theme is that usefulness depends on fit: what is offered, when it is offered and what the participant is trying to manage.</w:t>
      </w:r>
    </w:p>
    <w:p w14:paraId="0E9314CD" w14:textId="77777777" w:rsidR="007E77F1" w:rsidRPr="000A2871" w:rsidRDefault="007E77F1" w:rsidP="000A2871">
      <w:pPr>
        <w:spacing w:after="120" w:line="360" w:lineRule="auto"/>
        <w:rPr>
          <w:rFonts w:ascii="Arial" w:hAnsi="Arial" w:cs="Arial"/>
        </w:rPr>
      </w:pPr>
      <w:r w:rsidRPr="000A2871">
        <w:rPr>
          <w:rFonts w:ascii="Arial" w:hAnsi="Arial" w:cs="Arial"/>
        </w:rPr>
        <w:t>Restricted accounts in Hawkes illustrate variation within the same intervention. Rebecca, aged 23, valued information but did not want to log behaviours at that point; Sophie, aged 25, favoured control over notifications. Lucy’s reassurance from peer contact adds another priority. These accounts caution against treating tracking, reminders or group features as universally desirable. They describe perceived value and burden, not measured intervention effectiveness.</w:t>
      </w:r>
    </w:p>
    <w:p w14:paraId="1DABEB57" w14:textId="3D62ECA3" w:rsidR="007E77F1" w:rsidRDefault="007E77F1" w:rsidP="000A2871">
      <w:pPr>
        <w:spacing w:after="120" w:line="360" w:lineRule="auto"/>
      </w:pPr>
      <w:r w:rsidRPr="000A2871">
        <w:rPr>
          <w:rFonts w:ascii="Arial" w:hAnsi="Arial" w:cs="Arial"/>
        </w:rPr>
        <w:t xml:space="preserve">The theme of fit brings the other themes together. A resource may be credible but difficult to use, practically convenient but emotionally uncomfortable, or reassuring without being relevant to the current priority. The published accounts provide examples of these different judgements rather than a single hierarchy of preferred features. Berry and Tang contribute communication preferences; Rodrigues adds integration with an existing treatment review; </w:t>
      </w:r>
      <w:r w:rsidRPr="000A2871">
        <w:rPr>
          <w:rFonts w:ascii="Arial" w:hAnsi="Arial" w:cs="Arial"/>
        </w:rPr>
        <w:lastRenderedPageBreak/>
        <w:t>Hawkes adds choices within an actual intervention. Together, they suggest that usefulness is assessed in relation to a particular need and encounter.</w:t>
      </w:r>
    </w:p>
    <w:p w14:paraId="21277712" w14:textId="682D711D" w:rsidR="4C453AC9" w:rsidRDefault="4C453AC9" w:rsidP="4C453AC9">
      <w:pPr>
        <w:spacing w:after="120" w:line="360" w:lineRule="auto"/>
        <w:rPr>
          <w:rFonts w:ascii="Arial" w:hAnsi="Arial" w:cs="Arial"/>
        </w:rPr>
      </w:pPr>
      <w:bookmarkStart w:id="95" w:name="_bgyxc9az68f1" w:colFirst="0" w:colLast="0"/>
      <w:bookmarkEnd w:id="95"/>
    </w:p>
    <w:p w14:paraId="6F233CCD" w14:textId="77777777" w:rsidR="00085B66" w:rsidRDefault="00085B66">
      <w:pPr>
        <w:rPr>
          <w:rFonts w:ascii="Arial" w:eastAsia="Times New Roman" w:hAnsi="Arial" w:cs="Arial"/>
          <w:b/>
          <w:bCs/>
          <w:color w:val="000000"/>
          <w:sz w:val="34"/>
          <w:szCs w:val="34"/>
        </w:rPr>
      </w:pPr>
      <w:r>
        <w:rPr>
          <w:rFonts w:ascii="Arial" w:hAnsi="Arial" w:cs="Arial"/>
          <w:bCs/>
          <w:sz w:val="34"/>
          <w:szCs w:val="34"/>
        </w:rPr>
        <w:br w:type="page"/>
      </w:r>
    </w:p>
    <w:p w14:paraId="60C9DB6B" w14:textId="09D18B54" w:rsidR="007E77F1" w:rsidRPr="000A2871" w:rsidRDefault="007E77F1" w:rsidP="36A6C9BA">
      <w:pPr>
        <w:pStyle w:val="Heading2"/>
        <w:keepNext w:val="0"/>
        <w:keepLines w:val="0"/>
        <w:spacing w:after="80" w:line="360" w:lineRule="auto"/>
        <w:jc w:val="left"/>
        <w:rPr>
          <w:rFonts w:ascii="Arial" w:hAnsi="Arial" w:cs="Arial"/>
          <w:b w:val="0"/>
          <w:bCs/>
          <w:sz w:val="34"/>
          <w:szCs w:val="34"/>
        </w:rPr>
      </w:pPr>
      <w:bookmarkStart w:id="96" w:name="_Toc242459554"/>
      <w:r w:rsidRPr="000A2871">
        <w:rPr>
          <w:rFonts w:ascii="Arial" w:hAnsi="Arial" w:cs="Arial"/>
          <w:bCs/>
          <w:sz w:val="34"/>
          <w:szCs w:val="34"/>
        </w:rPr>
        <w:lastRenderedPageBreak/>
        <w:t>4.9 Relationships between themes and sensitivity checks</w:t>
      </w:r>
      <w:bookmarkEnd w:id="96"/>
      <w:r w:rsidR="00894BC7">
        <w:rPr>
          <w:rFonts w:ascii="Arial" w:hAnsi="Arial" w:cs="Arial"/>
          <w:bCs/>
          <w:sz w:val="34"/>
          <w:szCs w:val="34"/>
        </w:rPr>
        <w:br/>
      </w:r>
    </w:p>
    <w:p w14:paraId="3AF38F28" w14:textId="77777777" w:rsidR="007E77F1" w:rsidRPr="000A2871" w:rsidRDefault="007E77F1" w:rsidP="000A2871">
      <w:pPr>
        <w:spacing w:before="180" w:after="100" w:line="360" w:lineRule="auto"/>
        <w:rPr>
          <w:rFonts w:ascii="Arial" w:hAnsi="Arial" w:cs="Arial"/>
        </w:rPr>
      </w:pPr>
      <w:r w:rsidRPr="000A2871">
        <w:rPr>
          <w:rFonts w:ascii="Arial" w:hAnsi="Arial" w:cs="Arial"/>
        </w:rPr>
        <w:t>Figure 4.2. Relationships between the five analytical themes</w:t>
      </w:r>
    </w:p>
    <w:p w14:paraId="2CC7D1F7" w14:textId="77777777" w:rsidR="007E77F1" w:rsidRPr="000A2871" w:rsidRDefault="007E77F1" w:rsidP="000A2871">
      <w:pPr>
        <w:spacing w:after="80" w:line="360" w:lineRule="auto"/>
        <w:jc w:val="center"/>
        <w:rPr>
          <w:rFonts w:ascii="Arial" w:hAnsi="Arial" w:cs="Arial"/>
        </w:rPr>
      </w:pPr>
      <w:r w:rsidRPr="000A2871">
        <w:rPr>
          <w:rFonts w:ascii="Arial" w:hAnsi="Arial" w:cs="Arial"/>
          <w:noProof/>
        </w:rPr>
        <w:drawing>
          <wp:inline distT="114300" distB="114300" distL="114300" distR="114300" wp14:anchorId="0DF0C6CE" wp14:editId="2C28B3B3">
            <wp:extent cx="5765800" cy="3932901"/>
            <wp:effectExtent l="0" t="0" r="6350" b="0"/>
            <wp:docPr id="2" name="image4.jpg"/>
            <wp:cNvGraphicFramePr/>
            <a:graphic xmlns:a="http://schemas.openxmlformats.org/drawingml/2006/main">
              <a:graphicData uri="http://schemas.openxmlformats.org/drawingml/2006/picture">
                <pic:pic xmlns:pic="http://schemas.openxmlformats.org/drawingml/2006/picture">
                  <pic:nvPicPr>
                    <pic:cNvPr id="2" name="image4.jpg"/>
                    <pic:cNvPicPr preferRelativeResize="0"/>
                  </pic:nvPicPr>
                  <pic:blipFill>
                    <a:blip r:embed="rId14" cstate="print">
                      <a:extLst>
                        <a:ext uri="{28A0092B-C50C-407E-A947-70E740481C1C}">
                          <a14:useLocalDpi xmlns:a14="http://schemas.microsoft.com/office/drawing/2010/main" val="0"/>
                        </a:ext>
                      </a:extLst>
                    </a:blip>
                    <a:stretch>
                      <a:fillRect/>
                    </a:stretch>
                  </pic:blipFill>
                  <pic:spPr>
                    <a:xfrm>
                      <a:off x="0" y="0"/>
                      <a:ext cx="5765800" cy="3932901"/>
                    </a:xfrm>
                    <a:prstGeom prst="rect">
                      <a:avLst/>
                    </a:prstGeom>
                    <a:ln/>
                  </pic:spPr>
                </pic:pic>
              </a:graphicData>
            </a:graphic>
          </wp:inline>
        </w:drawing>
      </w:r>
    </w:p>
    <w:p w14:paraId="08CEC1CE" w14:textId="31EBB9F4" w:rsidR="007E77F1" w:rsidRPr="000A2871" w:rsidRDefault="00CE1E66" w:rsidP="000A2871">
      <w:pPr>
        <w:spacing w:after="120" w:line="360" w:lineRule="auto"/>
        <w:rPr>
          <w:rFonts w:ascii="Arial" w:hAnsi="Arial" w:cs="Arial"/>
        </w:rPr>
      </w:pPr>
      <w:r w:rsidRPr="00CE1E66">
        <w:rPr>
          <w:rFonts w:ascii="Arial" w:hAnsi="Arial" w:cs="Arial"/>
        </w:rPr>
        <w:t>Developed for this dissertation from the thematic synthesis of the eleven included articles. Arrows represent interpreted relationships between themes, rather than established causal pathways.</w:t>
      </w:r>
    </w:p>
    <w:p w14:paraId="7EEDC3D7" w14:textId="77777777" w:rsidR="007E77F1" w:rsidRPr="000A2871" w:rsidRDefault="007E77F1" w:rsidP="000A2871">
      <w:pPr>
        <w:spacing w:after="120" w:line="360" w:lineRule="auto"/>
        <w:rPr>
          <w:rFonts w:ascii="Arial" w:hAnsi="Arial" w:cs="Arial"/>
        </w:rPr>
      </w:pPr>
      <w:r w:rsidRPr="000A2871">
        <w:rPr>
          <w:rFonts w:ascii="Arial" w:hAnsi="Arial" w:cs="Arial"/>
        </w:rPr>
        <w:t>The themes overlap. A change in work can alter routines and priorities; social expectations can affect both feasibility and emotional responses; support is then judged against those conditions. The synthesis therefore explains connected experiences rather than five independent causes of obesity. No ranking by the number of quotations or reports is offered.</w:t>
      </w:r>
    </w:p>
    <w:p w14:paraId="027EFE4E" w14:textId="77777777" w:rsidR="007E77F1" w:rsidRPr="000A2871" w:rsidRDefault="007E77F1" w:rsidP="000A2871">
      <w:pPr>
        <w:spacing w:after="120" w:line="360" w:lineRule="auto"/>
        <w:rPr>
          <w:rFonts w:ascii="Arial" w:hAnsi="Arial" w:cs="Arial"/>
        </w:rPr>
      </w:pPr>
      <w:r w:rsidRPr="000A2871">
        <w:rPr>
          <w:rFonts w:ascii="Arial" w:hAnsi="Arial" w:cs="Arial"/>
        </w:rPr>
        <w:t>Restricting interpretation to the six whole-sample studies retains the main patterns of transitions, practical constraints, social influence, emotional responses and useful communication. The five restricted contributors add workplace, medication, clinical-app, dietetic-training and food-insecurity detail. Removing Hunter leaves the broad feasibility theme intact but reduces the directly age-labelled purchasing evidence from people living with obesity and food insecurity. Tyrrell, Hafiz and Easton add contextual comparison only.</w:t>
      </w:r>
    </w:p>
    <w:p w14:paraId="5CEE98BA" w14:textId="20AB63CA" w:rsidR="007E77F1" w:rsidRPr="000A2871" w:rsidRDefault="007E77F1" w:rsidP="000A2871">
      <w:pPr>
        <w:spacing w:after="120" w:line="360" w:lineRule="auto"/>
        <w:rPr>
          <w:rFonts w:ascii="Arial" w:hAnsi="Arial" w:cs="Arial"/>
        </w:rPr>
      </w:pPr>
      <w:r w:rsidRPr="000A2871">
        <w:rPr>
          <w:rFonts w:ascii="Arial" w:hAnsi="Arial" w:cs="Arial"/>
        </w:rPr>
        <w:lastRenderedPageBreak/>
        <w:t xml:space="preserve">The relationships between themes help explain why a single feature can have more than one meaning. A reminder belongs to communication design, but its perceived usefulness also depends on the current priority and the effort of responding. Peer contact belongs to social </w:t>
      </w:r>
      <w:r w:rsidR="007B66E1" w:rsidRPr="000A2871">
        <w:rPr>
          <w:rFonts w:ascii="Arial" w:hAnsi="Arial" w:cs="Arial"/>
        </w:rPr>
        <w:t>support but</w:t>
      </w:r>
      <w:r w:rsidRPr="000A2871">
        <w:rPr>
          <w:rFonts w:ascii="Arial" w:hAnsi="Arial" w:cs="Arial"/>
        </w:rPr>
        <w:t xml:space="preserve"> may be valued because it offers reassurance rather than practical instruction. Work schedules belong to an institutional setting, yet they also shape when personal intentions can be acted upon. These connections emerge through comparison of the reports; they should not be interpreted as separate measured pathways.</w:t>
      </w:r>
    </w:p>
    <w:p w14:paraId="4865FFB9" w14:textId="521B6CEB" w:rsidR="007E77F1" w:rsidRPr="000A2871" w:rsidRDefault="007E77F1" w:rsidP="000A2871">
      <w:pPr>
        <w:spacing w:after="120" w:line="360" w:lineRule="auto"/>
      </w:pPr>
      <w:r w:rsidRPr="000A2871">
        <w:rPr>
          <w:rFonts w:ascii="Arial" w:hAnsi="Arial" w:cs="Arial"/>
        </w:rPr>
        <w:t>The distinction between a recurring pattern and a uniform experience remains central. Emotional concerns are especially visible in Canzini and Langdon-Daly, while workplace opportunity is more directly described in Orlando. Their contributions are not made equivalent by placing them on the same thematic map. The map organises how different accounts address the question, with the source-specific interpretation retained in the text and extraction register. This allows the synthesis to identify relationships without suggesting that every theme was expressed by every participant or investigated in every report. These distinctions guide the discussion chapter.</w:t>
      </w:r>
      <w:r w:rsidR="00894BC7">
        <w:rPr>
          <w:rFonts w:ascii="Arial" w:hAnsi="Arial" w:cs="Arial"/>
        </w:rPr>
        <w:br/>
      </w:r>
    </w:p>
    <w:p w14:paraId="0E291766" w14:textId="7D91250E" w:rsidR="040C67CD" w:rsidRDefault="040C67CD" w:rsidP="7ABD8AA0">
      <w:pPr>
        <w:pStyle w:val="Heading2"/>
        <w:keepNext w:val="0"/>
        <w:keepLines w:val="0"/>
        <w:spacing w:after="80" w:line="360" w:lineRule="auto"/>
        <w:jc w:val="left"/>
      </w:pPr>
      <w:bookmarkStart w:id="97" w:name="_ydsufth2jwis" w:colFirst="0" w:colLast="0"/>
      <w:bookmarkStart w:id="98" w:name="_Toc242459555"/>
      <w:bookmarkEnd w:id="97"/>
      <w:r w:rsidRPr="7ABD8AA0">
        <w:rPr>
          <w:rFonts w:ascii="Arial" w:hAnsi="Arial" w:cs="Arial"/>
          <w:sz w:val="34"/>
          <w:szCs w:val="34"/>
        </w:rPr>
        <w:t>Summary</w:t>
      </w:r>
      <w:bookmarkEnd w:id="98"/>
    </w:p>
    <w:p w14:paraId="286D1E62" w14:textId="7365E53D" w:rsidR="040C67CD" w:rsidRDefault="040C67CD" w:rsidP="7ABD8AA0">
      <w:pPr>
        <w:spacing w:line="360" w:lineRule="auto"/>
        <w:rPr>
          <w:rFonts w:ascii="Arial" w:eastAsia="Arial" w:hAnsi="Arial" w:cs="Arial"/>
        </w:rPr>
      </w:pPr>
      <w:r w:rsidRPr="7ABD8AA0">
        <w:rPr>
          <w:rFonts w:ascii="Arial" w:eastAsia="Arial" w:hAnsi="Arial" w:cs="Arial"/>
        </w:rPr>
        <w:t>This chapter has found five topics: changing priorities, practical feasibility, social belonging and credibility emotional safety and support that fits. These five related topics show how perceived usefulness depends on needs, relationships and everyday circumstances. Sensitivity checks and appraisal findings help explain the ideas that come next in the chapter.</w:t>
      </w:r>
    </w:p>
    <w:p w14:paraId="36F89A05" w14:textId="6053E335" w:rsidR="7ABD8AA0" w:rsidRDefault="7ABD8AA0" w:rsidP="7ABD8AA0"/>
    <w:p w14:paraId="086530AC" w14:textId="613A3642" w:rsidR="7ABD8AA0" w:rsidRDefault="7ABD8AA0" w:rsidP="7ABD8AA0"/>
    <w:p w14:paraId="293FD74B" w14:textId="4723C562" w:rsidR="7ABD8AA0" w:rsidRDefault="7ABD8AA0" w:rsidP="7ABD8AA0"/>
    <w:p w14:paraId="08C8928B" w14:textId="26E6D842" w:rsidR="7ABD8AA0" w:rsidRDefault="7ABD8AA0" w:rsidP="7ABD8AA0"/>
    <w:p w14:paraId="5A87558F" w14:textId="02C7AE45" w:rsidR="7ABD8AA0" w:rsidRDefault="7ABD8AA0" w:rsidP="7ABD8AA0"/>
    <w:p w14:paraId="0436975C" w14:textId="4E9EFA91" w:rsidR="7ABD8AA0" w:rsidRDefault="7ABD8AA0" w:rsidP="7ABD8AA0"/>
    <w:p w14:paraId="5C5B019C" w14:textId="56EF603E" w:rsidR="7ABD8AA0" w:rsidRDefault="7ABD8AA0" w:rsidP="7ABD8AA0"/>
    <w:p w14:paraId="5537DB74" w14:textId="2C9AB34B" w:rsidR="7ABD8AA0" w:rsidRDefault="7ABD8AA0" w:rsidP="7ABD8AA0"/>
    <w:p w14:paraId="377C3DFE" w14:textId="5AE5BF3B" w:rsidR="7ABD8AA0" w:rsidRDefault="7ABD8AA0" w:rsidP="7ABD8AA0"/>
    <w:p w14:paraId="24D5B746" w14:textId="25B5404E" w:rsidR="7ABD8AA0" w:rsidRDefault="7ABD8AA0" w:rsidP="7ABD8AA0">
      <w:pPr>
        <w:spacing w:after="120" w:line="360" w:lineRule="auto"/>
        <w:rPr>
          <w:rFonts w:ascii="Arial" w:hAnsi="Arial" w:cs="Arial"/>
        </w:rPr>
      </w:pPr>
    </w:p>
    <w:p w14:paraId="0C10391F" w14:textId="3B49A27A" w:rsidR="007E77F1" w:rsidRPr="00CE1E66" w:rsidRDefault="007B66E1" w:rsidP="00CE1E66">
      <w:pPr>
        <w:pStyle w:val="Heading1"/>
        <w:jc w:val="left"/>
        <w:rPr>
          <w:rFonts w:ascii="Arial" w:hAnsi="Arial" w:cs="Arial"/>
          <w:sz w:val="46"/>
          <w:szCs w:val="46"/>
        </w:rPr>
      </w:pPr>
      <w:r w:rsidRPr="00CE1E66">
        <w:rPr>
          <w:rFonts w:ascii="Arial" w:hAnsi="Arial" w:cs="Arial"/>
          <w:sz w:val="46"/>
          <w:szCs w:val="46"/>
        </w:rPr>
        <w:br w:type="page"/>
      </w:r>
      <w:bookmarkStart w:id="99" w:name="_Toc242459556"/>
      <w:r w:rsidR="007E77F1" w:rsidRPr="00CE1E66">
        <w:rPr>
          <w:rFonts w:ascii="Arial" w:hAnsi="Arial" w:cs="Arial"/>
          <w:sz w:val="46"/>
          <w:szCs w:val="46"/>
        </w:rPr>
        <w:lastRenderedPageBreak/>
        <w:t>5</w:t>
      </w:r>
      <w:r w:rsidR="062575F0" w:rsidRPr="00CE1E66">
        <w:rPr>
          <w:rFonts w:ascii="Arial" w:hAnsi="Arial" w:cs="Arial"/>
          <w:sz w:val="46"/>
          <w:szCs w:val="46"/>
        </w:rPr>
        <w:t>.</w:t>
      </w:r>
      <w:r w:rsidR="007E77F1" w:rsidRPr="00CE1E66">
        <w:rPr>
          <w:rFonts w:ascii="Arial" w:hAnsi="Arial" w:cs="Arial"/>
          <w:sz w:val="46"/>
          <w:szCs w:val="46"/>
        </w:rPr>
        <w:t xml:space="preserve"> Discussion</w:t>
      </w:r>
      <w:bookmarkEnd w:id="99"/>
    </w:p>
    <w:p w14:paraId="19D48E77" w14:textId="012E5ED3" w:rsidR="3BEF74A1" w:rsidRDefault="3BEF74A1" w:rsidP="7ABD8AA0">
      <w:pPr>
        <w:spacing w:before="225" w:after="225" w:line="360" w:lineRule="auto"/>
        <w:rPr>
          <w:rFonts w:ascii="Arial" w:eastAsia="Arial" w:hAnsi="Arial" w:cs="Arial"/>
          <w:color w:val="2B2D38"/>
        </w:rPr>
      </w:pPr>
      <w:bookmarkStart w:id="100" w:name="_elmujrr991ms" w:colFirst="0" w:colLast="0"/>
      <w:bookmarkEnd w:id="100"/>
      <w:r w:rsidRPr="7ABD8AA0">
        <w:rPr>
          <w:rFonts w:ascii="Arial" w:eastAsia="Arial" w:hAnsi="Arial" w:cs="Arial"/>
          <w:color w:val="2B2D38"/>
        </w:rPr>
        <w:t>This chapter looks at what the synthesis findings mean when compared to studies and the ideas used to guide the research. It talks about how daily life affects habits linked to obesity and how UK young adults see the support they get. It also shares what this means for real world practice points out the study’s limits and suggests what should be explored next.</w:t>
      </w:r>
      <w:r w:rsidR="00894BC7">
        <w:rPr>
          <w:rFonts w:ascii="Arial" w:eastAsia="Arial" w:hAnsi="Arial" w:cs="Arial"/>
          <w:color w:val="2B2D38"/>
        </w:rPr>
        <w:br/>
      </w:r>
    </w:p>
    <w:p w14:paraId="656C16BA" w14:textId="44478F62" w:rsidR="007E77F1" w:rsidRPr="000A2871" w:rsidRDefault="007E77F1" w:rsidP="7ABD8AA0">
      <w:pPr>
        <w:pStyle w:val="Heading2"/>
        <w:keepNext w:val="0"/>
        <w:keepLines w:val="0"/>
        <w:spacing w:after="80" w:line="360" w:lineRule="auto"/>
        <w:jc w:val="left"/>
        <w:rPr>
          <w:rFonts w:ascii="Arial" w:hAnsi="Arial" w:cs="Arial"/>
          <w:b w:val="0"/>
          <w:bCs/>
          <w:sz w:val="34"/>
          <w:szCs w:val="34"/>
        </w:rPr>
      </w:pPr>
      <w:bookmarkStart w:id="101" w:name="_Toc242459557"/>
      <w:r w:rsidRPr="000A2871">
        <w:rPr>
          <w:rFonts w:ascii="Arial" w:hAnsi="Arial" w:cs="Arial"/>
          <w:bCs/>
          <w:sz w:val="34"/>
          <w:szCs w:val="34"/>
        </w:rPr>
        <w:t>5.1 Understanding the eleven-article synthesis</w:t>
      </w:r>
      <w:bookmarkEnd w:id="101"/>
    </w:p>
    <w:p w14:paraId="7EB0CDCF" w14:textId="77777777" w:rsidR="007E77F1" w:rsidRPr="000A2871" w:rsidRDefault="007E77F1" w:rsidP="000A2871">
      <w:pPr>
        <w:spacing w:after="120" w:line="360" w:lineRule="auto"/>
        <w:rPr>
          <w:rFonts w:ascii="Arial" w:hAnsi="Arial" w:cs="Arial"/>
        </w:rPr>
      </w:pPr>
      <w:r w:rsidRPr="000A2871">
        <w:rPr>
          <w:rFonts w:ascii="Arial" w:hAnsi="Arial" w:cs="Arial"/>
        </w:rPr>
        <w:t>The synthesis suggests that obesity-related behaviour is best understood within the ordinary demands of young adulthood. Participants could value health while struggling to put advice into practice. Their accounts connect changing priorities with resources, relationships and the emotional meaning of support. This explanation gives a more useful starting point for intervention design than assuming that awareness, motivation and opportunity are interchangeable.</w:t>
      </w:r>
    </w:p>
    <w:p w14:paraId="5FD48225" w14:textId="77777777" w:rsidR="007E77F1" w:rsidRPr="000A2871" w:rsidRDefault="007E77F1" w:rsidP="000A2871">
      <w:pPr>
        <w:spacing w:after="120" w:line="360" w:lineRule="auto"/>
        <w:rPr>
          <w:rFonts w:ascii="Arial" w:hAnsi="Arial" w:cs="Arial"/>
        </w:rPr>
      </w:pPr>
      <w:r w:rsidRPr="000A2871">
        <w:rPr>
          <w:rFonts w:ascii="Arial" w:hAnsi="Arial" w:cs="Arial"/>
        </w:rPr>
        <w:t>The different settings represented in the evidence base broaden the interpretation. Howard Wilsher, Fearne and Panagiotaki (2019) add a comparison of young men’s food practices, while Trahearn et al. (2021) bring identifiable accounts from dietetic students. Restricted findings in Hunter et al. (2025) add food purchasing under financial pressure. Together with the original contributors, these sources make it possible to examine how similar concerns take different forms across education, work, healthcare and social life.</w:t>
      </w:r>
    </w:p>
    <w:p w14:paraId="7691C0B2" w14:textId="561D3E94" w:rsidR="007E77F1" w:rsidRPr="000A2871" w:rsidRDefault="007E77F1" w:rsidP="000A2871">
      <w:pPr>
        <w:spacing w:after="120" w:line="360" w:lineRule="auto"/>
        <w:rPr>
          <w:rFonts w:ascii="Arial" w:hAnsi="Arial" w:cs="Arial"/>
        </w:rPr>
      </w:pPr>
      <w:r w:rsidRPr="000A2871">
        <w:rPr>
          <w:rFonts w:ascii="Arial" w:hAnsi="Arial" w:cs="Arial"/>
        </w:rPr>
        <w:t>The frameworks in section 2.7 help organise this interpretation. Ecological thinking locates the influence; COM-B asks what enables the action; the acceptability framework asks how support is experienced (Sallis, 2018; West and Michie, 2020; Sekhon, Cartwright and Francis, 2017). These are explanatory tools. Their use does not establish a causal model or turn all participant accounts into the same mechanism.</w:t>
      </w:r>
      <w:r w:rsidR="00894BC7">
        <w:rPr>
          <w:rFonts w:ascii="Arial" w:hAnsi="Arial" w:cs="Arial"/>
        </w:rPr>
        <w:br/>
      </w:r>
    </w:p>
    <w:p w14:paraId="509A6526" w14:textId="085481D7" w:rsidR="007E77F1" w:rsidRPr="000A2871" w:rsidRDefault="007E77F1" w:rsidP="41829CD4">
      <w:pPr>
        <w:pStyle w:val="Heading2"/>
        <w:keepNext w:val="0"/>
        <w:keepLines w:val="0"/>
        <w:spacing w:after="80" w:line="360" w:lineRule="auto"/>
        <w:jc w:val="left"/>
        <w:rPr>
          <w:rFonts w:ascii="Arial" w:hAnsi="Arial" w:cs="Arial"/>
          <w:b w:val="0"/>
          <w:bCs/>
          <w:sz w:val="34"/>
          <w:szCs w:val="34"/>
        </w:rPr>
      </w:pPr>
      <w:bookmarkStart w:id="102" w:name="_bbaoqjdhcsuo" w:colFirst="0" w:colLast="0"/>
      <w:bookmarkStart w:id="103" w:name="_Toc242459558"/>
      <w:bookmarkEnd w:id="102"/>
      <w:r w:rsidRPr="000A2871">
        <w:rPr>
          <w:rFonts w:ascii="Arial" w:hAnsi="Arial" w:cs="Arial"/>
          <w:bCs/>
          <w:sz w:val="34"/>
          <w:szCs w:val="34"/>
        </w:rPr>
        <w:t>5.2 Transitions and competing priorities</w:t>
      </w:r>
      <w:bookmarkEnd w:id="103"/>
    </w:p>
    <w:p w14:paraId="4E273FA4" w14:textId="77777777" w:rsidR="007E77F1" w:rsidRPr="000A2871" w:rsidRDefault="007E77F1" w:rsidP="000A2871">
      <w:pPr>
        <w:spacing w:after="120" w:line="360" w:lineRule="auto"/>
        <w:rPr>
          <w:rFonts w:ascii="Arial" w:hAnsi="Arial" w:cs="Arial"/>
        </w:rPr>
      </w:pPr>
      <w:r w:rsidRPr="000A2871">
        <w:rPr>
          <w:rFonts w:ascii="Arial" w:hAnsi="Arial" w:cs="Arial"/>
        </w:rPr>
        <w:t>Sweeting et al. (2016) challenge a simple account in which increasing maturity automatically improves weight management. Participants across different weight trajectories described greater concern as they moved into adulthood. Work, education and independent living could help or hinder activity and eating routines. A transition can therefore create an opportunity for support while simultaneously increasing the effort needed to maintain a routine. Offering advice at such moments is plausible, but its effectiveness has not been demonstrated by these interviews.</w:t>
      </w:r>
    </w:p>
    <w:p w14:paraId="52C15270" w14:textId="77777777" w:rsidR="007E77F1" w:rsidRPr="000A2871" w:rsidRDefault="007E77F1" w:rsidP="000A2871">
      <w:pPr>
        <w:spacing w:after="120" w:line="360" w:lineRule="auto"/>
        <w:rPr>
          <w:rFonts w:ascii="Arial" w:hAnsi="Arial" w:cs="Arial"/>
        </w:rPr>
      </w:pPr>
      <w:r w:rsidRPr="000A2871">
        <w:rPr>
          <w:rFonts w:ascii="Arial" w:hAnsi="Arial" w:cs="Arial"/>
        </w:rPr>
        <w:lastRenderedPageBreak/>
        <w:t>Transitions should therefore be seen as occasions to ask what has changed. Moving home may improve cooking facilities but reduce social support. Starting work may bring income while making breaks unpredictable. Berry and Orlando illustrate the importance of the relationship between circumstances and intended behaviour. These findings support reviewing practical needs at relevant changes in routine, rather than assuming a uniform intervention need at a particular age.</w:t>
      </w:r>
    </w:p>
    <w:p w14:paraId="5D84870D" w14:textId="77777777" w:rsidR="007E77F1" w:rsidRPr="000A2871" w:rsidRDefault="007E77F1" w:rsidP="000A2871">
      <w:pPr>
        <w:spacing w:after="120" w:line="360" w:lineRule="auto"/>
        <w:rPr>
          <w:rFonts w:ascii="Arial" w:hAnsi="Arial" w:cs="Arial"/>
        </w:rPr>
      </w:pPr>
      <w:r w:rsidRPr="000A2871">
        <w:rPr>
          <w:rFonts w:ascii="Arial" w:hAnsi="Arial" w:cs="Arial"/>
        </w:rPr>
        <w:t>Rodrigues’s younger accounts add the importance of competing health priorities. Relief from psychological distress can be more urgent than addressing weight concerns. A respectful consultation would allow both to be discussed and revisit preferences over time. This is an implication for communication and continuity of care, not a recommendation to change medication or evidence about the comparative effects of antidepressants (Rodrigues et al., 2025).</w:t>
      </w:r>
    </w:p>
    <w:p w14:paraId="403DDAEF" w14:textId="512676B9" w:rsidR="007E77F1" w:rsidRPr="000A2871" w:rsidRDefault="007E77F1" w:rsidP="000A2871">
      <w:pPr>
        <w:spacing w:after="120" w:line="360" w:lineRule="auto"/>
        <w:rPr>
          <w:rFonts w:ascii="Arial" w:hAnsi="Arial" w:cs="Arial"/>
        </w:rPr>
      </w:pPr>
      <w:r w:rsidRPr="000A2871">
        <w:rPr>
          <w:rFonts w:ascii="Arial" w:hAnsi="Arial" w:cs="Arial"/>
        </w:rPr>
        <w:t xml:space="preserve">The broader literature supports examining variation in young </w:t>
      </w:r>
      <w:r w:rsidR="00995E30" w:rsidRPr="000A2871">
        <w:rPr>
          <w:rFonts w:ascii="Arial" w:hAnsi="Arial" w:cs="Arial"/>
        </w:rPr>
        <w:t>adulthood but</w:t>
      </w:r>
      <w:r w:rsidRPr="000A2871">
        <w:rPr>
          <w:rFonts w:ascii="Arial" w:hAnsi="Arial" w:cs="Arial"/>
        </w:rPr>
        <w:t xml:space="preserve"> also exposes gaps. College-based weight research cannot represent every employment or housing transition (Fazzino et al., 2019). Recruitment reviews identify practical challenges in reaching and retaining participants (Lam et al., 2016; Whatnall et al., 2021). Services should therefore ask who can use an offer, including people whose routines prevent attendance, rather than defining engagement only through those who arrive.</w:t>
      </w:r>
    </w:p>
    <w:p w14:paraId="2004DB2B" w14:textId="21527195" w:rsidR="007E77F1" w:rsidRPr="000A2871" w:rsidRDefault="007E77F1" w:rsidP="000A2871">
      <w:pPr>
        <w:spacing w:after="120" w:line="360" w:lineRule="auto"/>
        <w:rPr>
          <w:rFonts w:ascii="Arial" w:hAnsi="Arial" w:cs="Arial"/>
        </w:rPr>
      </w:pPr>
      <w:r w:rsidRPr="000A2871">
        <w:rPr>
          <w:rFonts w:ascii="Arial" w:hAnsi="Arial" w:cs="Arial"/>
        </w:rPr>
        <w:t>There is also a service-level implication. Support organised around one stable routine may be least usable when routines are changing. Flexible timing, opportunities to return and a brief review of current circumstances could be tested as ways to maintain relevance. These proposals should not be interpreted as evidence that flexibility necessarily improves weight outcomes. Their rationale is that the reviewed experiences make timing and changing demands plausible influences on participation, which an evaluation can examine explicitly.</w:t>
      </w:r>
      <w:r w:rsidR="00894BC7">
        <w:rPr>
          <w:rFonts w:ascii="Arial" w:hAnsi="Arial" w:cs="Arial"/>
        </w:rPr>
        <w:br/>
      </w:r>
    </w:p>
    <w:p w14:paraId="7558BA03" w14:textId="4BA58068" w:rsidR="007E77F1" w:rsidRPr="000A2871" w:rsidRDefault="007E77F1" w:rsidP="41829CD4">
      <w:pPr>
        <w:pStyle w:val="Heading2"/>
        <w:keepNext w:val="0"/>
        <w:keepLines w:val="0"/>
        <w:spacing w:after="80" w:line="360" w:lineRule="auto"/>
        <w:jc w:val="left"/>
        <w:rPr>
          <w:rFonts w:ascii="Arial" w:hAnsi="Arial" w:cs="Arial"/>
          <w:b w:val="0"/>
          <w:bCs/>
          <w:sz w:val="34"/>
          <w:szCs w:val="34"/>
        </w:rPr>
      </w:pPr>
      <w:bookmarkStart w:id="104" w:name="_pu5zkx6o8vzo" w:colFirst="0" w:colLast="0"/>
      <w:bookmarkStart w:id="105" w:name="_Toc242459559"/>
      <w:bookmarkEnd w:id="104"/>
      <w:r w:rsidRPr="000A2871">
        <w:rPr>
          <w:rFonts w:ascii="Arial" w:hAnsi="Arial" w:cs="Arial"/>
          <w:bCs/>
          <w:sz w:val="34"/>
          <w:szCs w:val="34"/>
        </w:rPr>
        <w:t>5.3 Feasibility and the limits of education</w:t>
      </w:r>
      <w:bookmarkEnd w:id="105"/>
    </w:p>
    <w:p w14:paraId="67E50A89" w14:textId="77777777" w:rsidR="007E77F1" w:rsidRPr="000A2871" w:rsidRDefault="007E77F1" w:rsidP="000A2871">
      <w:pPr>
        <w:spacing w:after="120" w:line="360" w:lineRule="auto"/>
        <w:rPr>
          <w:rFonts w:ascii="Arial" w:hAnsi="Arial" w:cs="Arial"/>
        </w:rPr>
      </w:pPr>
      <w:r w:rsidRPr="000A2871">
        <w:rPr>
          <w:rFonts w:ascii="Arial" w:hAnsi="Arial" w:cs="Arial"/>
        </w:rPr>
        <w:t>Across the synthesis, knowing what is recommended does not always provide a feasible route to action. Trahearn’s younger students are particularly informative because nutritional training coexists with pressure around placements, daily routines and professional body expectations. Their accounts challenge the assumption that further information is necessarily the missing ingredient. Education may be valuable, but it needs to match the barrier being described.</w:t>
      </w:r>
    </w:p>
    <w:p w14:paraId="58D216F0" w14:textId="77777777" w:rsidR="007E77F1" w:rsidRPr="000A2871" w:rsidRDefault="007E77F1" w:rsidP="000A2871">
      <w:pPr>
        <w:spacing w:after="120" w:line="360" w:lineRule="auto"/>
        <w:rPr>
          <w:rFonts w:ascii="Arial" w:hAnsi="Arial" w:cs="Arial"/>
        </w:rPr>
      </w:pPr>
      <w:r w:rsidRPr="000A2871">
        <w:rPr>
          <w:rFonts w:ascii="Arial" w:hAnsi="Arial" w:cs="Arial"/>
        </w:rPr>
        <w:t xml:space="preserve">The restricted Hunter accounts add nuance to affordability. P05 described opportunities created by discounts while recognising that familiar tastes could draw attention towards particular offers. P10 described a partner’s influence on purchasing. Financial conditions and </w:t>
      </w:r>
      <w:r w:rsidRPr="000A2871">
        <w:rPr>
          <w:rFonts w:ascii="Arial" w:hAnsi="Arial" w:cs="Arial"/>
        </w:rPr>
        <w:lastRenderedPageBreak/>
        <w:t>personal preferences therefore interact; the findings do not support a simple choice between an economic explanation and an individual one. The age-reporting inconsistency in that paper makes these contributions tentative, as discussed in the appraisal.</w:t>
      </w:r>
    </w:p>
    <w:p w14:paraId="0EC6E7FB" w14:textId="77777777" w:rsidR="007E77F1" w:rsidRPr="000A2871" w:rsidRDefault="007E77F1" w:rsidP="000A2871">
      <w:pPr>
        <w:spacing w:after="120" w:line="360" w:lineRule="auto"/>
        <w:rPr>
          <w:rFonts w:ascii="Arial" w:hAnsi="Arial" w:cs="Arial"/>
        </w:rPr>
      </w:pPr>
      <w:r w:rsidRPr="000A2871">
        <w:rPr>
          <w:rFonts w:ascii="Arial" w:hAnsi="Arial" w:cs="Arial"/>
        </w:rPr>
        <w:t>COM-B helps distinguish skills from opportunity. A cooking session might improve confidence, while predictable breaks or suitable food provision could make that confidence usable. Environmental reviews and qualitative syntheses support considering availability and food insecurity alongside personal resources (Atanasova et al., 2022; Eskandari et al., 2022; Briggs et al., 2024). The present review cannot determine the most effective combination, but it identifies why testing education alone may leave important barriers untouched.</w:t>
      </w:r>
    </w:p>
    <w:p w14:paraId="7FBE4625" w14:textId="77777777" w:rsidR="007E77F1" w:rsidRPr="000A2871" w:rsidRDefault="007E77F1" w:rsidP="000A2871">
      <w:pPr>
        <w:spacing w:after="120" w:line="360" w:lineRule="auto"/>
        <w:rPr>
          <w:rFonts w:ascii="Arial" w:hAnsi="Arial" w:cs="Arial"/>
        </w:rPr>
      </w:pPr>
      <w:r w:rsidRPr="000A2871">
        <w:rPr>
          <w:rFonts w:ascii="Arial" w:hAnsi="Arial" w:cs="Arial"/>
        </w:rPr>
        <w:t>An appropriate practical response would begin with a concrete question: what makes the proposed action difficult this week? The answer may concern cost, fatigue, equipment, enjoyment or another priority. Support can then be adapted and reviewed. This approach recognises agency without treating constraints as excuses or assuming that one affordable recipe solves the wider problem of food access.</w:t>
      </w:r>
    </w:p>
    <w:p w14:paraId="419601F6" w14:textId="0517160C" w:rsidR="007E77F1" w:rsidRPr="000A2871" w:rsidRDefault="007E77F1" w:rsidP="000A2871">
      <w:pPr>
        <w:spacing w:after="120" w:line="360" w:lineRule="auto"/>
        <w:rPr>
          <w:rFonts w:ascii="Arial" w:hAnsi="Arial" w:cs="Arial"/>
        </w:rPr>
      </w:pPr>
      <w:r w:rsidRPr="000A2871">
        <w:rPr>
          <w:rFonts w:ascii="Arial" w:hAnsi="Arial" w:cs="Arial"/>
        </w:rPr>
        <w:t>Responsibility for practical change should also be specified. Asking an individual to plan meals cannot create a reliable workplace break, while changing a cafeteria menu may not address the needs of someone working elsewhere. The ecological framework helps identify the organisation or relationship able to influence a condition. COM-B then helps clarify the proposed action. This sequence can prevent broad recommendations from becoming a list of desirable changes with no clear actor, setting or mechanism. Feasibility should be assessed with those expected to deliver and use the support (Skivington et al., 2021).</w:t>
      </w:r>
      <w:r w:rsidR="00894BC7">
        <w:rPr>
          <w:rFonts w:ascii="Arial" w:hAnsi="Arial" w:cs="Arial"/>
        </w:rPr>
        <w:br/>
      </w:r>
    </w:p>
    <w:p w14:paraId="32D61269" w14:textId="273BF085" w:rsidR="007E77F1" w:rsidRPr="000A2871" w:rsidRDefault="007E77F1" w:rsidP="64761B7A">
      <w:pPr>
        <w:pStyle w:val="Heading2"/>
        <w:keepNext w:val="0"/>
        <w:keepLines w:val="0"/>
        <w:spacing w:after="80" w:line="360" w:lineRule="auto"/>
        <w:jc w:val="left"/>
        <w:rPr>
          <w:rFonts w:ascii="Arial" w:hAnsi="Arial" w:cs="Arial"/>
          <w:b w:val="0"/>
          <w:bCs/>
          <w:sz w:val="34"/>
          <w:szCs w:val="34"/>
        </w:rPr>
      </w:pPr>
      <w:bookmarkStart w:id="106" w:name="_vuzgy6e47icu" w:colFirst="0" w:colLast="0"/>
      <w:bookmarkStart w:id="107" w:name="_Toc242459560"/>
      <w:bookmarkEnd w:id="106"/>
      <w:r w:rsidRPr="000A2871">
        <w:rPr>
          <w:rFonts w:ascii="Arial" w:hAnsi="Arial" w:cs="Arial"/>
          <w:bCs/>
          <w:sz w:val="34"/>
          <w:szCs w:val="34"/>
        </w:rPr>
        <w:t>5.4 Social participation, identity and credibility</w:t>
      </w:r>
      <w:bookmarkEnd w:id="107"/>
    </w:p>
    <w:p w14:paraId="598D0A07" w14:textId="77777777" w:rsidR="007E77F1" w:rsidRPr="000A2871" w:rsidRDefault="007E77F1" w:rsidP="000A2871">
      <w:pPr>
        <w:spacing w:after="120" w:line="360" w:lineRule="auto"/>
        <w:rPr>
          <w:rFonts w:ascii="Arial" w:hAnsi="Arial" w:cs="Arial"/>
        </w:rPr>
      </w:pPr>
      <w:r w:rsidRPr="000A2871">
        <w:rPr>
          <w:rFonts w:ascii="Arial" w:hAnsi="Arial" w:cs="Arial"/>
        </w:rPr>
        <w:t>Scott et al. (2020) show why diet and alcohol cannot always be treated as separate behavioural targets. Food and drinking occasions were connected through timing, social expectations and identity. Restricting a behaviour may therefore affect participation in a valued occasion. The complete sample contributes under the review’s accepted young-adult sampling approach. Its findings support examining linked practices, because an isolated nutritional message may not address the whole situation.</w:t>
      </w:r>
    </w:p>
    <w:p w14:paraId="12C69E1D" w14:textId="05234D86" w:rsidR="007E77F1" w:rsidRPr="000A2871" w:rsidRDefault="007E77F1" w:rsidP="000A2871">
      <w:pPr>
        <w:spacing w:after="120" w:line="360" w:lineRule="auto"/>
        <w:rPr>
          <w:rFonts w:ascii="Arial" w:hAnsi="Arial" w:cs="Arial"/>
        </w:rPr>
      </w:pPr>
      <w:r w:rsidRPr="000A2871">
        <w:rPr>
          <w:rFonts w:ascii="Arial" w:hAnsi="Arial" w:cs="Arial"/>
        </w:rPr>
        <w:t xml:space="preserve">Howard Wilsher and colleagues identify differences in perceived control and health-conscious identity among higher and lower fruit and vegetable consumers. These are interpretations within a small male sample, not fixed types of </w:t>
      </w:r>
      <w:r w:rsidR="001A2D87" w:rsidRPr="000A2871">
        <w:rPr>
          <w:rFonts w:ascii="Arial" w:hAnsi="Arial" w:cs="Arial"/>
        </w:rPr>
        <w:t>people</w:t>
      </w:r>
      <w:r w:rsidRPr="000A2871">
        <w:rPr>
          <w:rFonts w:ascii="Arial" w:hAnsi="Arial" w:cs="Arial"/>
        </w:rPr>
        <w:t>. They nevertheless suggest that health messages are received through existing beliefs about food, appearance and responsibility. The same advice may therefore have different meanings for different groups.</w:t>
      </w:r>
    </w:p>
    <w:p w14:paraId="68AC83C4" w14:textId="09E5D536" w:rsidR="007E77F1" w:rsidRPr="000A2871" w:rsidRDefault="007E77F1" w:rsidP="000A2871">
      <w:pPr>
        <w:spacing w:after="120" w:line="360" w:lineRule="auto"/>
        <w:rPr>
          <w:rFonts w:ascii="Arial" w:hAnsi="Arial" w:cs="Arial"/>
        </w:rPr>
      </w:pPr>
      <w:r w:rsidRPr="000A2871">
        <w:rPr>
          <w:rFonts w:ascii="Arial" w:hAnsi="Arial" w:cs="Arial"/>
        </w:rPr>
        <w:lastRenderedPageBreak/>
        <w:t>Support could work with existing social practices instead of relying solely on individual targets. Shared food preparation or trusted peer contact may be useful where participants want them. Group-intervention evidence provides wider context, but the social process and the measured outcome remain distinct (Borek et al., 2018; Tarrant et al., 2017). Hawkes’s eligible accounts similarly show that reassurance from others can matter without making peer contact a requirement for everyone.</w:t>
      </w:r>
      <w:r w:rsidR="00894BC7">
        <w:rPr>
          <w:rFonts w:ascii="Arial" w:hAnsi="Arial" w:cs="Arial"/>
        </w:rPr>
        <w:br/>
      </w:r>
    </w:p>
    <w:p w14:paraId="3D47F01D" w14:textId="4186F6E2" w:rsidR="007E77F1" w:rsidRPr="000A2871" w:rsidRDefault="007E77F1" w:rsidP="64761B7A">
      <w:pPr>
        <w:pStyle w:val="Heading2"/>
        <w:keepNext w:val="0"/>
        <w:keepLines w:val="0"/>
        <w:spacing w:after="80" w:line="360" w:lineRule="auto"/>
        <w:jc w:val="left"/>
        <w:rPr>
          <w:rFonts w:ascii="Arial" w:hAnsi="Arial" w:cs="Arial"/>
          <w:b w:val="0"/>
          <w:bCs/>
          <w:sz w:val="34"/>
          <w:szCs w:val="34"/>
        </w:rPr>
      </w:pPr>
      <w:bookmarkStart w:id="108" w:name="_3cslwlmv4k" w:colFirst="0" w:colLast="0"/>
      <w:bookmarkStart w:id="109" w:name="_Toc242459561"/>
      <w:bookmarkEnd w:id="108"/>
      <w:r w:rsidRPr="000A2871">
        <w:rPr>
          <w:rFonts w:ascii="Arial" w:hAnsi="Arial" w:cs="Arial"/>
          <w:bCs/>
          <w:sz w:val="34"/>
          <w:szCs w:val="34"/>
        </w:rPr>
        <w:t>5.5 Body image and respectful communication</w:t>
      </w:r>
      <w:bookmarkEnd w:id="109"/>
    </w:p>
    <w:p w14:paraId="0BD35052" w14:textId="77777777" w:rsidR="007E77F1" w:rsidRPr="000A2871" w:rsidRDefault="007E77F1" w:rsidP="000A2871">
      <w:pPr>
        <w:spacing w:after="120" w:line="360" w:lineRule="auto"/>
        <w:rPr>
          <w:rFonts w:ascii="Arial" w:hAnsi="Arial" w:cs="Arial"/>
        </w:rPr>
      </w:pPr>
      <w:r w:rsidRPr="000A2871">
        <w:rPr>
          <w:rFonts w:ascii="Arial" w:hAnsi="Arial" w:cs="Arial"/>
        </w:rPr>
        <w:t>The emotional consequences of support are part of its acceptability. Canzini and Langdon-Daly’s participants describe how numerical information can become entangled with comparison and guilt. Tang and the eligible Trahearn accounts add concerns about appearance and restrictive practices. These findings suggest that a programme can be understandable yet emotionally difficult to use. An acceptability assessment should therefore ask about distress and burden as well as satisfaction.</w:t>
      </w:r>
    </w:p>
    <w:p w14:paraId="44BD0DB7" w14:textId="77777777" w:rsidR="007E77F1" w:rsidRPr="000A2871" w:rsidRDefault="007E77F1" w:rsidP="000A2871">
      <w:pPr>
        <w:spacing w:after="120" w:line="360" w:lineRule="auto"/>
        <w:rPr>
          <w:rFonts w:ascii="Arial" w:hAnsi="Arial" w:cs="Arial"/>
        </w:rPr>
      </w:pPr>
      <w:r w:rsidRPr="000A2871">
        <w:rPr>
          <w:rFonts w:ascii="Arial" w:hAnsi="Arial" w:cs="Arial"/>
        </w:rPr>
        <w:t>The wider stigma literature strengthens the case for taking such experiences seriously while keeping its different populations and designs visible (Rubino et al., 2020; Ryan et al., 2023; Warnick et al., 2022). Anticipated judgement in Rodrigues does not prove that a particular clinician acted prejudicially. It does indicate a possible barrier to discussion that services should be prepared to recognise.</w:t>
      </w:r>
    </w:p>
    <w:p w14:paraId="23C3FA9A" w14:textId="77777777" w:rsidR="007E77F1" w:rsidRPr="000A2871" w:rsidRDefault="007E77F1" w:rsidP="000A2871">
      <w:pPr>
        <w:spacing w:after="120" w:line="360" w:lineRule="auto"/>
        <w:rPr>
          <w:rFonts w:ascii="Arial" w:hAnsi="Arial" w:cs="Arial"/>
        </w:rPr>
      </w:pPr>
      <w:r w:rsidRPr="000A2871">
        <w:rPr>
          <w:rFonts w:ascii="Arial" w:hAnsi="Arial" w:cs="Arial"/>
        </w:rPr>
        <w:t>Respectful communication can acknowledge health risks and invite the person’s priorities without assuming that weight loss is the goal of every encounter. It can also avoid moral descriptions of food or body size. These proposals follow from the experiences reviewed; whether they improve attendance, wellbeing or longer-term outcomes requires evaluation. The findings do not establish that calorie labelling is ineffective for all users or that weight-related conversations should be avoided.</w:t>
      </w:r>
    </w:p>
    <w:p w14:paraId="3071A69C" w14:textId="682492FD" w:rsidR="007E77F1" w:rsidRPr="000A2871" w:rsidRDefault="007E77F1" w:rsidP="000A2871">
      <w:pPr>
        <w:spacing w:after="120" w:line="360" w:lineRule="auto"/>
        <w:rPr>
          <w:rFonts w:ascii="Arial" w:hAnsi="Arial" w:cs="Arial"/>
        </w:rPr>
      </w:pPr>
      <w:r w:rsidRPr="000A2871">
        <w:rPr>
          <w:rFonts w:ascii="Arial" w:hAnsi="Arial" w:cs="Arial"/>
        </w:rPr>
        <w:t>The policy implications require particular care because detailed negative experiences can be compelling without being representative. Canzini and Langdon-Daly provide reasons to examine potential burden, while wider labelling research addresses different questions about purchasing and implementation. A proportionate response is to evaluate these outcomes together and preserve subgroup differences. It would be equally unjustified to dismiss participants’ concerns because they are qualitative or to treat eight accounts as a population estimate. The synthesis supports closer examination of policy experience alongside intended public health outcomes (Crockett et al., 2018; Luick et al., 2024).</w:t>
      </w:r>
      <w:r w:rsidR="00894BC7">
        <w:rPr>
          <w:rFonts w:ascii="Arial" w:hAnsi="Arial" w:cs="Arial"/>
        </w:rPr>
        <w:br/>
      </w:r>
    </w:p>
    <w:p w14:paraId="409600EF" w14:textId="77777777" w:rsidR="00995E30" w:rsidRDefault="00995E30">
      <w:pPr>
        <w:rPr>
          <w:rFonts w:ascii="Arial" w:eastAsia="Times New Roman" w:hAnsi="Arial" w:cs="Arial"/>
          <w:b/>
          <w:bCs/>
          <w:color w:val="000000"/>
          <w:sz w:val="34"/>
          <w:szCs w:val="34"/>
        </w:rPr>
      </w:pPr>
      <w:bookmarkStart w:id="110" w:name="_ddymt6hvbu1u" w:colFirst="0" w:colLast="0"/>
      <w:bookmarkStart w:id="111" w:name="_Toc242459562"/>
      <w:bookmarkEnd w:id="110"/>
      <w:r>
        <w:rPr>
          <w:rFonts w:ascii="Arial" w:hAnsi="Arial" w:cs="Arial"/>
          <w:bCs/>
          <w:sz w:val="34"/>
          <w:szCs w:val="34"/>
        </w:rPr>
        <w:br w:type="page"/>
      </w:r>
    </w:p>
    <w:p w14:paraId="13117F26" w14:textId="092DE424" w:rsidR="007E77F1" w:rsidRPr="000A2871" w:rsidRDefault="007E77F1" w:rsidP="2CEBD84C">
      <w:pPr>
        <w:pStyle w:val="Heading2"/>
        <w:keepNext w:val="0"/>
        <w:keepLines w:val="0"/>
        <w:spacing w:after="80" w:line="360" w:lineRule="auto"/>
        <w:jc w:val="left"/>
        <w:rPr>
          <w:rFonts w:ascii="Arial" w:hAnsi="Arial" w:cs="Arial"/>
          <w:b w:val="0"/>
          <w:bCs/>
          <w:sz w:val="34"/>
          <w:szCs w:val="34"/>
        </w:rPr>
      </w:pPr>
      <w:r w:rsidRPr="000A2871">
        <w:rPr>
          <w:rFonts w:ascii="Arial" w:hAnsi="Arial" w:cs="Arial"/>
          <w:bCs/>
          <w:sz w:val="34"/>
          <w:szCs w:val="34"/>
        </w:rPr>
        <w:lastRenderedPageBreak/>
        <w:t>5.6 Digital information and choice</w:t>
      </w:r>
      <w:bookmarkEnd w:id="111"/>
    </w:p>
    <w:p w14:paraId="21478B6E" w14:textId="77777777" w:rsidR="007E77F1" w:rsidRPr="000A2871" w:rsidRDefault="007E77F1" w:rsidP="000A2871">
      <w:pPr>
        <w:spacing w:after="120" w:line="360" w:lineRule="auto"/>
        <w:rPr>
          <w:rFonts w:ascii="Arial" w:hAnsi="Arial" w:cs="Arial"/>
        </w:rPr>
      </w:pPr>
      <w:r w:rsidRPr="000A2871">
        <w:rPr>
          <w:rFonts w:ascii="Arial" w:hAnsi="Arial" w:cs="Arial"/>
        </w:rPr>
        <w:t>Tang’s findings and the restricted Hawkes accounts support paying attention to control over digital interaction. Information, logging, notifications and peer contact are separate features with different demands. Rebecca’s preference for information without tracking and Sophie’s wish to control notifications illustrate why a single engagement pathway may not fit everyone. A useful design offers choices that participants can understand and change.</w:t>
      </w:r>
    </w:p>
    <w:p w14:paraId="50BCBE65" w14:textId="77777777" w:rsidR="007E77F1" w:rsidRPr="000A2871" w:rsidRDefault="007E77F1" w:rsidP="000A2871">
      <w:pPr>
        <w:spacing w:after="120" w:line="360" w:lineRule="auto"/>
        <w:rPr>
          <w:rFonts w:ascii="Arial" w:hAnsi="Arial" w:cs="Arial"/>
        </w:rPr>
      </w:pPr>
      <w:r w:rsidRPr="000A2871">
        <w:rPr>
          <w:rFonts w:ascii="Arial" w:hAnsi="Arial" w:cs="Arial"/>
        </w:rPr>
        <w:t>Credible content alone is insufficient if it is difficult to apply or arrives in a distressing format. Berry’s communication findings and wider digital research support examining practical relevance and the experience of use (Nikolaou et al., 2019; Denniss et al., 2026). Easton’s contextual fitspiration research offers a useful comparison, but its location-reporting uncertainty prevents it from strengthening a strictly UK-specific claim.</w:t>
      </w:r>
    </w:p>
    <w:p w14:paraId="73E114CF" w14:textId="77777777" w:rsidR="007E77F1" w:rsidRPr="000A2871" w:rsidRDefault="007E77F1" w:rsidP="000A2871">
      <w:pPr>
        <w:spacing w:after="120" w:line="360" w:lineRule="auto"/>
        <w:rPr>
          <w:rFonts w:ascii="Arial" w:hAnsi="Arial" w:cs="Arial"/>
        </w:rPr>
      </w:pPr>
      <w:r w:rsidRPr="000A2871">
        <w:rPr>
          <w:rFonts w:ascii="Arial" w:hAnsi="Arial" w:cs="Arial"/>
        </w:rPr>
        <w:t>Engagement measures should match the intended purpose. Frequent logging may indicate use, yet it may also involve burden; occasional access may be helpful when someone needs a practical idea. Perski et al. (2017) and Yardley et al. (2016) distinguish engagement from assumed benefit. Qualitative evaluation alongside behavioural outcomes would help determine whether a resource supports daily action or simply attracts attention.</w:t>
      </w:r>
    </w:p>
    <w:p w14:paraId="1CE84D86" w14:textId="77777777" w:rsidR="007E77F1" w:rsidRPr="000A2871" w:rsidRDefault="007E77F1" w:rsidP="000A2871">
      <w:pPr>
        <w:spacing w:after="120" w:line="360" w:lineRule="auto"/>
        <w:rPr>
          <w:rFonts w:ascii="Arial" w:hAnsi="Arial" w:cs="Arial"/>
        </w:rPr>
      </w:pPr>
      <w:r w:rsidRPr="000A2871">
        <w:rPr>
          <w:rFonts w:ascii="Arial" w:hAnsi="Arial" w:cs="Arial"/>
        </w:rPr>
        <w:t>Choice over features should nevertheless be understandable. Offering many settings can itself create work if users cannot tell what each option does. A practical evaluation could ask whether people know how to change notifications, stop tracking or seek human support, and whether those choices remain accessible over time. The relevant principle is meaningful control rather than the largest possible menu of options. This follows from the variation in the reviewed accounts and remains a design proposition requiring direct testing with intended users.</w:t>
      </w:r>
    </w:p>
    <w:p w14:paraId="637527A4" w14:textId="77777777" w:rsidR="00894BC7" w:rsidRDefault="00894BC7">
      <w:pPr>
        <w:rPr>
          <w:rFonts w:ascii="Arial" w:eastAsia="Times New Roman" w:hAnsi="Arial" w:cs="Arial"/>
          <w:b/>
          <w:bCs/>
          <w:color w:val="000000"/>
          <w:sz w:val="34"/>
          <w:szCs w:val="34"/>
        </w:rPr>
      </w:pPr>
      <w:bookmarkStart w:id="112" w:name="_7238z4l04wbd" w:colFirst="0" w:colLast="0"/>
      <w:bookmarkEnd w:id="112"/>
      <w:r>
        <w:rPr>
          <w:rFonts w:ascii="Arial" w:hAnsi="Arial" w:cs="Arial"/>
          <w:bCs/>
          <w:sz w:val="34"/>
          <w:szCs w:val="34"/>
        </w:rPr>
        <w:br w:type="page"/>
      </w:r>
    </w:p>
    <w:p w14:paraId="16F2DF21" w14:textId="55AEB215" w:rsidR="007E77F1" w:rsidRPr="000A2871" w:rsidRDefault="007E77F1" w:rsidP="2CEBD84C">
      <w:pPr>
        <w:pStyle w:val="Heading2"/>
        <w:keepNext w:val="0"/>
        <w:keepLines w:val="0"/>
        <w:spacing w:after="80" w:line="360" w:lineRule="auto"/>
        <w:jc w:val="left"/>
        <w:rPr>
          <w:rFonts w:ascii="Arial" w:hAnsi="Arial" w:cs="Arial"/>
          <w:b w:val="0"/>
          <w:bCs/>
          <w:sz w:val="34"/>
          <w:szCs w:val="34"/>
        </w:rPr>
      </w:pPr>
      <w:bookmarkStart w:id="113" w:name="_Toc242459563"/>
      <w:r w:rsidRPr="000A2871">
        <w:rPr>
          <w:rFonts w:ascii="Arial" w:hAnsi="Arial" w:cs="Arial"/>
          <w:bCs/>
          <w:sz w:val="34"/>
          <w:szCs w:val="34"/>
        </w:rPr>
        <w:lastRenderedPageBreak/>
        <w:t>5.7 Perceived usefulness and measured effectiveness</w:t>
      </w:r>
      <w:bookmarkEnd w:id="113"/>
    </w:p>
    <w:p w14:paraId="7E66B978" w14:textId="77777777" w:rsidR="007E77F1" w:rsidRPr="000A2871" w:rsidRDefault="007E77F1" w:rsidP="000A2871">
      <w:pPr>
        <w:spacing w:after="120" w:line="360" w:lineRule="auto"/>
        <w:rPr>
          <w:rFonts w:ascii="Arial" w:hAnsi="Arial" w:cs="Arial"/>
        </w:rPr>
      </w:pPr>
      <w:r w:rsidRPr="000A2871">
        <w:rPr>
          <w:rFonts w:ascii="Arial" w:hAnsi="Arial" w:cs="Arial"/>
        </w:rPr>
        <w:t>The research question includes perceived usefulness, and this distinction is central to interpretation. An account that a recipe helped someone try cooking, or that a participant would welcome a private programme, describes experience or preference. It does not establish objective improvement in diet, long-term weight change or an intervention effect. Similarly, the association between a recalled routine and weight trajectory in Sweeting cannot establish which component caused that trajectory (Sweeting et al., 2016; Tang et al., 2026).</w:t>
      </w:r>
    </w:p>
    <w:p w14:paraId="45E6318C" w14:textId="77777777" w:rsidR="007E77F1" w:rsidRPr="000A2871" w:rsidRDefault="007E77F1" w:rsidP="000A2871">
      <w:pPr>
        <w:spacing w:after="120" w:line="360" w:lineRule="auto"/>
        <w:rPr>
          <w:rFonts w:ascii="Arial" w:hAnsi="Arial" w:cs="Arial"/>
        </w:rPr>
      </w:pPr>
      <w:r w:rsidRPr="000A2871">
        <w:rPr>
          <w:rFonts w:ascii="Arial" w:hAnsi="Arial" w:cs="Arial"/>
        </w:rPr>
        <w:t>The contribution of this review is explanatory. It identifies why support may seem useful, difficult or unsuitable and suggests conditions worth testing. Acceptability domains can structure that evaluation without treating a favourable opinion as an outcome effect (Sekhon, Cartwright and Francis, 2022). Complex-intervention guidance similarly encourages attention to context and programme theory (Skivington et al., 2021).</w:t>
      </w:r>
    </w:p>
    <w:p w14:paraId="2B079291" w14:textId="7ABA1C77" w:rsidR="007E77F1" w:rsidRPr="000A2871" w:rsidRDefault="007E77F1" w:rsidP="000A2871">
      <w:pPr>
        <w:spacing w:after="120" w:line="360" w:lineRule="auto"/>
        <w:rPr>
          <w:rFonts w:ascii="Arial" w:hAnsi="Arial" w:cs="Arial"/>
        </w:rPr>
      </w:pPr>
      <w:r w:rsidRPr="000A2871">
        <w:rPr>
          <w:rFonts w:ascii="Arial" w:hAnsi="Arial" w:cs="Arial"/>
        </w:rPr>
        <w:t xml:space="preserve">An evaluation could examine whether practical assistance reduces the effort of planning, whether choice over digital features reduces burden and whether respectful communication makes concerns easier to discuss. These proposed mechanisms would then need to be examined alongside reach, retention, wellbeing and relevant behavioural or clinical outcomes. Randomised and longitudinal evidence in wider young-adult populations offers useful methodological </w:t>
      </w:r>
      <w:r w:rsidR="00220C7B" w:rsidRPr="000A2871">
        <w:rPr>
          <w:rFonts w:ascii="Arial" w:hAnsi="Arial" w:cs="Arial"/>
        </w:rPr>
        <w:t>comparison but</w:t>
      </w:r>
      <w:r w:rsidRPr="000A2871">
        <w:rPr>
          <w:rFonts w:ascii="Arial" w:hAnsi="Arial" w:cs="Arial"/>
        </w:rPr>
        <w:t xml:space="preserve"> cannot supply missing effects for the interventions proposed here (Ashton et al., 2020; Hayba et al., 2018).</w:t>
      </w:r>
    </w:p>
    <w:p w14:paraId="5C8E7BD2" w14:textId="207E9B31" w:rsidR="007E77F1" w:rsidRPr="000A2871" w:rsidRDefault="007E77F1" w:rsidP="000A2871">
      <w:pPr>
        <w:spacing w:after="120" w:line="360" w:lineRule="auto"/>
        <w:rPr>
          <w:rFonts w:ascii="Arial" w:hAnsi="Arial" w:cs="Arial"/>
        </w:rPr>
      </w:pPr>
      <w:r w:rsidRPr="000A2871">
        <w:rPr>
          <w:rFonts w:ascii="Arial" w:hAnsi="Arial" w:cs="Arial"/>
        </w:rPr>
        <w:t>The distinction also affects what counts as success. Improved understanding, reduced burden and greater confidence may be worthwhile experiences, but they should be named and assessed directly. Treating them as substitutes for unmeasured weight change would obscure the intervention’s actual contribution. A clear evaluation should explain which outcomes are expected, over what period, and why those outcomes matter to the participants.</w:t>
      </w:r>
      <w:r w:rsidR="00894BC7">
        <w:rPr>
          <w:rFonts w:ascii="Arial" w:hAnsi="Arial" w:cs="Arial"/>
        </w:rPr>
        <w:br/>
      </w:r>
    </w:p>
    <w:p w14:paraId="7DF26530" w14:textId="77777777" w:rsidR="00894BC7" w:rsidRDefault="00894BC7">
      <w:pPr>
        <w:rPr>
          <w:rFonts w:ascii="Arial" w:eastAsia="Times New Roman" w:hAnsi="Arial" w:cs="Arial"/>
          <w:b/>
          <w:bCs/>
          <w:color w:val="000000"/>
          <w:sz w:val="34"/>
          <w:szCs w:val="34"/>
        </w:rPr>
      </w:pPr>
      <w:bookmarkStart w:id="114" w:name="_dib9bsodg689" w:colFirst="0" w:colLast="0"/>
      <w:bookmarkEnd w:id="114"/>
      <w:r>
        <w:rPr>
          <w:rFonts w:ascii="Arial" w:hAnsi="Arial" w:cs="Arial"/>
          <w:bCs/>
          <w:sz w:val="34"/>
          <w:szCs w:val="34"/>
        </w:rPr>
        <w:br w:type="page"/>
      </w:r>
    </w:p>
    <w:p w14:paraId="61311B80" w14:textId="0EC385D8" w:rsidR="007E77F1" w:rsidRPr="000A2871" w:rsidRDefault="007E77F1" w:rsidP="2CEBD84C">
      <w:pPr>
        <w:pStyle w:val="Heading2"/>
        <w:keepNext w:val="0"/>
        <w:keepLines w:val="0"/>
        <w:spacing w:after="80" w:line="360" w:lineRule="auto"/>
        <w:jc w:val="left"/>
        <w:rPr>
          <w:rFonts w:ascii="Arial" w:hAnsi="Arial" w:cs="Arial"/>
          <w:b w:val="0"/>
          <w:bCs/>
          <w:sz w:val="34"/>
          <w:szCs w:val="34"/>
        </w:rPr>
      </w:pPr>
      <w:bookmarkStart w:id="115" w:name="_Toc242459564"/>
      <w:r w:rsidRPr="000A2871">
        <w:rPr>
          <w:rFonts w:ascii="Arial" w:hAnsi="Arial" w:cs="Arial"/>
          <w:bCs/>
          <w:sz w:val="34"/>
          <w:szCs w:val="34"/>
        </w:rPr>
        <w:lastRenderedPageBreak/>
        <w:t>5.8 Implications for public health and social care</w:t>
      </w:r>
      <w:bookmarkEnd w:id="115"/>
    </w:p>
    <w:p w14:paraId="33F8F323" w14:textId="77777777" w:rsidR="007E77F1" w:rsidRPr="000A2871" w:rsidRDefault="007E77F1" w:rsidP="000A2871">
      <w:pPr>
        <w:spacing w:before="180" w:after="100" w:line="360" w:lineRule="auto"/>
        <w:rPr>
          <w:rFonts w:ascii="Arial" w:hAnsi="Arial" w:cs="Arial"/>
        </w:rPr>
      </w:pPr>
      <w:r w:rsidRPr="000A2871">
        <w:rPr>
          <w:rFonts w:ascii="Arial" w:hAnsi="Arial" w:cs="Arial"/>
        </w:rPr>
        <w:t>Table 5.1. Practice implications and questions for evaluation</w:t>
      </w:r>
    </w:p>
    <w:tbl>
      <w:tblPr>
        <w:tblW w:w="8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90"/>
        <w:gridCol w:w="3645"/>
        <w:gridCol w:w="3360"/>
      </w:tblGrid>
      <w:tr w:rsidR="007E77F1" w:rsidRPr="000A2871" w14:paraId="06983BA0" w14:textId="77777777" w:rsidTr="0032180C">
        <w:trPr>
          <w:trHeight w:val="495"/>
        </w:trPr>
        <w:tc>
          <w:tcPr>
            <w:tcW w:w="1890" w:type="dxa"/>
            <w:shd w:val="clear" w:color="auto" w:fill="FFFFFF" w:themeFill="background1"/>
            <w:tcMar>
              <w:top w:w="80" w:type="dxa"/>
              <w:left w:w="80" w:type="dxa"/>
              <w:bottom w:w="80" w:type="dxa"/>
              <w:right w:w="80" w:type="dxa"/>
            </w:tcMar>
          </w:tcPr>
          <w:p w14:paraId="7094664B" w14:textId="77777777" w:rsidR="007E77F1" w:rsidRPr="007B66E1" w:rsidRDefault="007E77F1" w:rsidP="000A2871">
            <w:pPr>
              <w:spacing w:line="360" w:lineRule="auto"/>
              <w:rPr>
                <w:rFonts w:ascii="Arial" w:hAnsi="Arial" w:cs="Arial"/>
                <w:b/>
                <w:bCs/>
                <w:sz w:val="21"/>
                <w:szCs w:val="21"/>
              </w:rPr>
            </w:pPr>
            <w:r w:rsidRPr="007B66E1">
              <w:rPr>
                <w:rFonts w:ascii="Arial" w:hAnsi="Arial" w:cs="Arial"/>
                <w:b/>
                <w:bCs/>
                <w:sz w:val="21"/>
                <w:szCs w:val="21"/>
              </w:rPr>
              <w:t>Setting</w:t>
            </w:r>
          </w:p>
        </w:tc>
        <w:tc>
          <w:tcPr>
            <w:tcW w:w="3645" w:type="dxa"/>
            <w:shd w:val="clear" w:color="auto" w:fill="FFFFFF" w:themeFill="background1"/>
            <w:tcMar>
              <w:top w:w="80" w:type="dxa"/>
              <w:left w:w="80" w:type="dxa"/>
              <w:bottom w:w="80" w:type="dxa"/>
              <w:right w:w="80" w:type="dxa"/>
            </w:tcMar>
          </w:tcPr>
          <w:p w14:paraId="0825509F" w14:textId="77777777" w:rsidR="007E77F1" w:rsidRPr="007B66E1" w:rsidRDefault="007E77F1" w:rsidP="000A2871">
            <w:pPr>
              <w:spacing w:line="360" w:lineRule="auto"/>
              <w:rPr>
                <w:rFonts w:ascii="Arial" w:hAnsi="Arial" w:cs="Arial"/>
                <w:b/>
                <w:bCs/>
                <w:sz w:val="21"/>
                <w:szCs w:val="21"/>
              </w:rPr>
            </w:pPr>
            <w:r w:rsidRPr="007B66E1">
              <w:rPr>
                <w:rFonts w:ascii="Arial" w:hAnsi="Arial" w:cs="Arial"/>
                <w:b/>
                <w:bCs/>
                <w:sz w:val="21"/>
                <w:szCs w:val="21"/>
              </w:rPr>
              <w:t>Evidence-informed action to test</w:t>
            </w:r>
          </w:p>
        </w:tc>
        <w:tc>
          <w:tcPr>
            <w:tcW w:w="3360" w:type="dxa"/>
            <w:shd w:val="clear" w:color="auto" w:fill="FFFFFF" w:themeFill="background1"/>
            <w:tcMar>
              <w:top w:w="80" w:type="dxa"/>
              <w:left w:w="80" w:type="dxa"/>
              <w:bottom w:w="80" w:type="dxa"/>
              <w:right w:w="80" w:type="dxa"/>
            </w:tcMar>
          </w:tcPr>
          <w:p w14:paraId="1A92A387" w14:textId="77777777" w:rsidR="007E77F1" w:rsidRPr="007B66E1" w:rsidRDefault="007E77F1" w:rsidP="000A2871">
            <w:pPr>
              <w:spacing w:line="360" w:lineRule="auto"/>
              <w:rPr>
                <w:rFonts w:ascii="Arial" w:hAnsi="Arial" w:cs="Arial"/>
                <w:b/>
                <w:bCs/>
                <w:sz w:val="21"/>
                <w:szCs w:val="21"/>
              </w:rPr>
            </w:pPr>
            <w:r w:rsidRPr="007B66E1">
              <w:rPr>
                <w:rFonts w:ascii="Arial" w:hAnsi="Arial" w:cs="Arial"/>
                <w:b/>
                <w:bCs/>
                <w:sz w:val="21"/>
                <w:szCs w:val="21"/>
              </w:rPr>
              <w:t>Evaluation question</w:t>
            </w:r>
          </w:p>
        </w:tc>
      </w:tr>
      <w:tr w:rsidR="007E77F1" w:rsidRPr="000A2871" w14:paraId="481BA122" w14:textId="77777777" w:rsidTr="0032180C">
        <w:trPr>
          <w:trHeight w:val="1125"/>
        </w:trPr>
        <w:tc>
          <w:tcPr>
            <w:tcW w:w="1890" w:type="dxa"/>
            <w:shd w:val="clear" w:color="auto" w:fill="FFFFFF" w:themeFill="background1"/>
            <w:tcMar>
              <w:top w:w="80" w:type="dxa"/>
              <w:left w:w="80" w:type="dxa"/>
              <w:bottom w:w="80" w:type="dxa"/>
              <w:right w:w="80" w:type="dxa"/>
            </w:tcMar>
          </w:tcPr>
          <w:p w14:paraId="19342AD7" w14:textId="77777777" w:rsidR="007E77F1" w:rsidRPr="007B66E1" w:rsidRDefault="007E77F1" w:rsidP="000A2871">
            <w:pPr>
              <w:spacing w:line="360" w:lineRule="auto"/>
              <w:rPr>
                <w:rFonts w:ascii="Arial" w:hAnsi="Arial" w:cs="Arial"/>
                <w:sz w:val="21"/>
                <w:szCs w:val="21"/>
              </w:rPr>
            </w:pPr>
            <w:r w:rsidRPr="007B66E1">
              <w:rPr>
                <w:rFonts w:ascii="Arial" w:hAnsi="Arial" w:cs="Arial"/>
                <w:sz w:val="21"/>
                <w:szCs w:val="21"/>
              </w:rPr>
              <w:t>Education and work</w:t>
            </w:r>
          </w:p>
        </w:tc>
        <w:tc>
          <w:tcPr>
            <w:tcW w:w="3645" w:type="dxa"/>
            <w:shd w:val="clear" w:color="auto" w:fill="FFFFFF" w:themeFill="background1"/>
            <w:tcMar>
              <w:top w:w="80" w:type="dxa"/>
              <w:left w:w="80" w:type="dxa"/>
              <w:bottom w:w="80" w:type="dxa"/>
              <w:right w:w="80" w:type="dxa"/>
            </w:tcMar>
          </w:tcPr>
          <w:p w14:paraId="015C390D" w14:textId="77777777" w:rsidR="007E77F1" w:rsidRPr="007B66E1" w:rsidRDefault="007E77F1" w:rsidP="000A2871">
            <w:pPr>
              <w:spacing w:line="360" w:lineRule="auto"/>
              <w:rPr>
                <w:rFonts w:ascii="Arial" w:hAnsi="Arial" w:cs="Arial"/>
                <w:sz w:val="21"/>
                <w:szCs w:val="21"/>
              </w:rPr>
            </w:pPr>
            <w:r w:rsidRPr="007B66E1">
              <w:rPr>
                <w:rFonts w:ascii="Arial" w:hAnsi="Arial" w:cs="Arial"/>
                <w:sz w:val="21"/>
                <w:szCs w:val="21"/>
              </w:rPr>
              <w:t>Combine practical food support with attention to facilities, breaks and scheduling.</w:t>
            </w:r>
          </w:p>
        </w:tc>
        <w:tc>
          <w:tcPr>
            <w:tcW w:w="3360" w:type="dxa"/>
            <w:shd w:val="clear" w:color="auto" w:fill="FFFFFF" w:themeFill="background1"/>
            <w:tcMar>
              <w:top w:w="80" w:type="dxa"/>
              <w:left w:w="80" w:type="dxa"/>
              <w:bottom w:w="80" w:type="dxa"/>
              <w:right w:w="80" w:type="dxa"/>
            </w:tcMar>
          </w:tcPr>
          <w:p w14:paraId="4A054B03" w14:textId="77777777" w:rsidR="007E77F1" w:rsidRPr="007B66E1" w:rsidRDefault="007E77F1" w:rsidP="000A2871">
            <w:pPr>
              <w:spacing w:line="360" w:lineRule="auto"/>
              <w:rPr>
                <w:rFonts w:ascii="Arial" w:hAnsi="Arial" w:cs="Arial"/>
                <w:sz w:val="21"/>
                <w:szCs w:val="21"/>
              </w:rPr>
            </w:pPr>
            <w:r w:rsidRPr="007B66E1">
              <w:rPr>
                <w:rFonts w:ascii="Arial" w:hAnsi="Arial" w:cs="Arial"/>
                <w:sz w:val="21"/>
                <w:szCs w:val="21"/>
              </w:rPr>
              <w:t>Does support become usable for people with limited time or resources?</w:t>
            </w:r>
          </w:p>
        </w:tc>
      </w:tr>
      <w:tr w:rsidR="007E77F1" w:rsidRPr="000A2871" w14:paraId="25485274" w14:textId="77777777" w:rsidTr="0032180C">
        <w:trPr>
          <w:trHeight w:val="1125"/>
        </w:trPr>
        <w:tc>
          <w:tcPr>
            <w:tcW w:w="1890" w:type="dxa"/>
            <w:shd w:val="clear" w:color="auto" w:fill="FFFFFF" w:themeFill="background1"/>
            <w:tcMar>
              <w:top w:w="80" w:type="dxa"/>
              <w:left w:w="80" w:type="dxa"/>
              <w:bottom w:w="80" w:type="dxa"/>
              <w:right w:w="80" w:type="dxa"/>
            </w:tcMar>
          </w:tcPr>
          <w:p w14:paraId="670181FF" w14:textId="77777777" w:rsidR="007E77F1" w:rsidRPr="007B66E1" w:rsidRDefault="007E77F1" w:rsidP="000A2871">
            <w:pPr>
              <w:spacing w:line="360" w:lineRule="auto"/>
              <w:rPr>
                <w:rFonts w:ascii="Arial" w:hAnsi="Arial" w:cs="Arial"/>
                <w:sz w:val="21"/>
                <w:szCs w:val="21"/>
              </w:rPr>
            </w:pPr>
            <w:r w:rsidRPr="007B66E1">
              <w:rPr>
                <w:rFonts w:ascii="Arial" w:hAnsi="Arial" w:cs="Arial"/>
                <w:sz w:val="21"/>
                <w:szCs w:val="21"/>
              </w:rPr>
              <w:t>Primary and mental-health care</w:t>
            </w:r>
          </w:p>
        </w:tc>
        <w:tc>
          <w:tcPr>
            <w:tcW w:w="3645" w:type="dxa"/>
            <w:shd w:val="clear" w:color="auto" w:fill="FFFFFF" w:themeFill="background1"/>
            <w:tcMar>
              <w:top w:w="80" w:type="dxa"/>
              <w:left w:w="80" w:type="dxa"/>
              <w:bottom w:w="80" w:type="dxa"/>
              <w:right w:w="80" w:type="dxa"/>
            </w:tcMar>
          </w:tcPr>
          <w:p w14:paraId="3FE4FC03" w14:textId="77777777" w:rsidR="007E77F1" w:rsidRPr="007B66E1" w:rsidRDefault="007E77F1" w:rsidP="000A2871">
            <w:pPr>
              <w:spacing w:line="360" w:lineRule="auto"/>
              <w:rPr>
                <w:rFonts w:ascii="Arial" w:hAnsi="Arial" w:cs="Arial"/>
                <w:sz w:val="21"/>
                <w:szCs w:val="21"/>
              </w:rPr>
            </w:pPr>
            <w:r w:rsidRPr="007B66E1">
              <w:rPr>
                <w:rFonts w:ascii="Arial" w:hAnsi="Arial" w:cs="Arial"/>
                <w:sz w:val="21"/>
                <w:szCs w:val="21"/>
              </w:rPr>
              <w:t>Invite discussion of weight concerns, treatment priorities and side effects without judgement.</w:t>
            </w:r>
          </w:p>
        </w:tc>
        <w:tc>
          <w:tcPr>
            <w:tcW w:w="3360" w:type="dxa"/>
            <w:shd w:val="clear" w:color="auto" w:fill="FFFFFF" w:themeFill="background1"/>
            <w:tcMar>
              <w:top w:w="80" w:type="dxa"/>
              <w:left w:w="80" w:type="dxa"/>
              <w:bottom w:w="80" w:type="dxa"/>
              <w:right w:w="80" w:type="dxa"/>
            </w:tcMar>
          </w:tcPr>
          <w:p w14:paraId="4EA4D9E7" w14:textId="77777777" w:rsidR="007E77F1" w:rsidRPr="007B66E1" w:rsidRDefault="007E77F1" w:rsidP="000A2871">
            <w:pPr>
              <w:spacing w:line="360" w:lineRule="auto"/>
              <w:rPr>
                <w:rFonts w:ascii="Arial" w:hAnsi="Arial" w:cs="Arial"/>
                <w:sz w:val="21"/>
                <w:szCs w:val="21"/>
              </w:rPr>
            </w:pPr>
            <w:r w:rsidRPr="007B66E1">
              <w:rPr>
                <w:rFonts w:ascii="Arial" w:hAnsi="Arial" w:cs="Arial"/>
                <w:sz w:val="21"/>
                <w:szCs w:val="21"/>
              </w:rPr>
              <w:t>Do participants feel heard and able to revisit their goals?</w:t>
            </w:r>
          </w:p>
        </w:tc>
      </w:tr>
      <w:tr w:rsidR="007E77F1" w:rsidRPr="000A2871" w14:paraId="483CF720" w14:textId="77777777" w:rsidTr="0032180C">
        <w:trPr>
          <w:trHeight w:val="1125"/>
        </w:trPr>
        <w:tc>
          <w:tcPr>
            <w:tcW w:w="1890" w:type="dxa"/>
            <w:shd w:val="clear" w:color="auto" w:fill="FFFFFF" w:themeFill="background1"/>
            <w:tcMar>
              <w:top w:w="80" w:type="dxa"/>
              <w:left w:w="80" w:type="dxa"/>
              <w:bottom w:w="80" w:type="dxa"/>
              <w:right w:w="80" w:type="dxa"/>
            </w:tcMar>
          </w:tcPr>
          <w:p w14:paraId="628FF651" w14:textId="77777777" w:rsidR="007E77F1" w:rsidRPr="007B66E1" w:rsidRDefault="007E77F1" w:rsidP="000A2871">
            <w:pPr>
              <w:spacing w:line="360" w:lineRule="auto"/>
              <w:rPr>
                <w:rFonts w:ascii="Arial" w:hAnsi="Arial" w:cs="Arial"/>
                <w:sz w:val="21"/>
                <w:szCs w:val="21"/>
              </w:rPr>
            </w:pPr>
            <w:r w:rsidRPr="007B66E1">
              <w:rPr>
                <w:rFonts w:ascii="Arial" w:hAnsi="Arial" w:cs="Arial"/>
                <w:sz w:val="21"/>
                <w:szCs w:val="21"/>
              </w:rPr>
              <w:t>Community provision</w:t>
            </w:r>
          </w:p>
        </w:tc>
        <w:tc>
          <w:tcPr>
            <w:tcW w:w="3645" w:type="dxa"/>
            <w:shd w:val="clear" w:color="auto" w:fill="FFFFFF" w:themeFill="background1"/>
            <w:tcMar>
              <w:top w:w="80" w:type="dxa"/>
              <w:left w:w="80" w:type="dxa"/>
              <w:bottom w:w="80" w:type="dxa"/>
              <w:right w:w="80" w:type="dxa"/>
            </w:tcMar>
          </w:tcPr>
          <w:p w14:paraId="47E97AE2" w14:textId="77777777" w:rsidR="007E77F1" w:rsidRPr="007B66E1" w:rsidRDefault="007E77F1" w:rsidP="000A2871">
            <w:pPr>
              <w:spacing w:line="360" w:lineRule="auto"/>
              <w:rPr>
                <w:rFonts w:ascii="Arial" w:hAnsi="Arial" w:cs="Arial"/>
                <w:sz w:val="21"/>
                <w:szCs w:val="21"/>
              </w:rPr>
            </w:pPr>
            <w:r w:rsidRPr="007B66E1">
              <w:rPr>
                <w:rFonts w:ascii="Arial" w:hAnsi="Arial" w:cs="Arial"/>
                <w:sz w:val="21"/>
                <w:szCs w:val="21"/>
              </w:rPr>
              <w:t>Develop affordable options and voluntary social support with young adults.</w:t>
            </w:r>
          </w:p>
        </w:tc>
        <w:tc>
          <w:tcPr>
            <w:tcW w:w="3360" w:type="dxa"/>
            <w:shd w:val="clear" w:color="auto" w:fill="FFFFFF" w:themeFill="background1"/>
            <w:tcMar>
              <w:top w:w="80" w:type="dxa"/>
              <w:left w:w="80" w:type="dxa"/>
              <w:bottom w:w="80" w:type="dxa"/>
              <w:right w:w="80" w:type="dxa"/>
            </w:tcMar>
          </w:tcPr>
          <w:p w14:paraId="631C1ACC" w14:textId="77777777" w:rsidR="007E77F1" w:rsidRPr="007B66E1" w:rsidRDefault="007E77F1" w:rsidP="000A2871">
            <w:pPr>
              <w:spacing w:line="360" w:lineRule="auto"/>
              <w:rPr>
                <w:rFonts w:ascii="Arial" w:hAnsi="Arial" w:cs="Arial"/>
                <w:sz w:val="21"/>
                <w:szCs w:val="21"/>
              </w:rPr>
            </w:pPr>
            <w:r w:rsidRPr="007B66E1">
              <w:rPr>
                <w:rFonts w:ascii="Arial" w:hAnsi="Arial" w:cs="Arial"/>
                <w:sz w:val="21"/>
                <w:szCs w:val="21"/>
              </w:rPr>
              <w:t>Who is reached, who is missed and what costs remain?</w:t>
            </w:r>
          </w:p>
        </w:tc>
      </w:tr>
      <w:tr w:rsidR="007E77F1" w:rsidRPr="000A2871" w14:paraId="4A4CF311" w14:textId="77777777" w:rsidTr="0032180C">
        <w:trPr>
          <w:trHeight w:val="1125"/>
        </w:trPr>
        <w:tc>
          <w:tcPr>
            <w:tcW w:w="1890" w:type="dxa"/>
            <w:shd w:val="clear" w:color="auto" w:fill="FFFFFF" w:themeFill="background1"/>
            <w:tcMar>
              <w:top w:w="80" w:type="dxa"/>
              <w:left w:w="80" w:type="dxa"/>
              <w:bottom w:w="80" w:type="dxa"/>
              <w:right w:w="80" w:type="dxa"/>
            </w:tcMar>
          </w:tcPr>
          <w:p w14:paraId="65E1597E" w14:textId="77777777" w:rsidR="007E77F1" w:rsidRPr="007B66E1" w:rsidRDefault="007E77F1" w:rsidP="000A2871">
            <w:pPr>
              <w:spacing w:line="360" w:lineRule="auto"/>
              <w:rPr>
                <w:rFonts w:ascii="Arial" w:hAnsi="Arial" w:cs="Arial"/>
                <w:sz w:val="21"/>
                <w:szCs w:val="21"/>
              </w:rPr>
            </w:pPr>
            <w:r w:rsidRPr="007B66E1">
              <w:rPr>
                <w:rFonts w:ascii="Arial" w:hAnsi="Arial" w:cs="Arial"/>
                <w:sz w:val="21"/>
                <w:szCs w:val="21"/>
              </w:rPr>
              <w:t>Digital support</w:t>
            </w:r>
          </w:p>
        </w:tc>
        <w:tc>
          <w:tcPr>
            <w:tcW w:w="3645" w:type="dxa"/>
            <w:shd w:val="clear" w:color="auto" w:fill="FFFFFF" w:themeFill="background1"/>
            <w:tcMar>
              <w:top w:w="80" w:type="dxa"/>
              <w:left w:w="80" w:type="dxa"/>
              <w:bottom w:w="80" w:type="dxa"/>
              <w:right w:w="80" w:type="dxa"/>
            </w:tcMar>
          </w:tcPr>
          <w:p w14:paraId="113332EF" w14:textId="77777777" w:rsidR="007E77F1" w:rsidRPr="007B66E1" w:rsidRDefault="007E77F1" w:rsidP="000A2871">
            <w:pPr>
              <w:spacing w:line="360" w:lineRule="auto"/>
              <w:rPr>
                <w:rFonts w:ascii="Arial" w:hAnsi="Arial" w:cs="Arial"/>
                <w:sz w:val="21"/>
                <w:szCs w:val="21"/>
              </w:rPr>
            </w:pPr>
            <w:r w:rsidRPr="007B66E1">
              <w:rPr>
                <w:rFonts w:ascii="Arial" w:hAnsi="Arial" w:cs="Arial"/>
                <w:sz w:val="21"/>
                <w:szCs w:val="21"/>
              </w:rPr>
              <w:t>Provide credible information and choices over reminders, logging and sharing.</w:t>
            </w:r>
          </w:p>
        </w:tc>
        <w:tc>
          <w:tcPr>
            <w:tcW w:w="3360" w:type="dxa"/>
            <w:shd w:val="clear" w:color="auto" w:fill="FFFFFF" w:themeFill="background1"/>
            <w:tcMar>
              <w:top w:w="80" w:type="dxa"/>
              <w:left w:w="80" w:type="dxa"/>
              <w:bottom w:w="80" w:type="dxa"/>
              <w:right w:w="80" w:type="dxa"/>
            </w:tcMar>
          </w:tcPr>
          <w:p w14:paraId="7435AD79" w14:textId="77777777" w:rsidR="007E77F1" w:rsidRPr="007B66E1" w:rsidRDefault="007E77F1" w:rsidP="000A2871">
            <w:pPr>
              <w:spacing w:line="360" w:lineRule="auto"/>
              <w:rPr>
                <w:rFonts w:ascii="Arial" w:hAnsi="Arial" w:cs="Arial"/>
                <w:sz w:val="21"/>
                <w:szCs w:val="21"/>
              </w:rPr>
            </w:pPr>
            <w:r w:rsidRPr="007B66E1">
              <w:rPr>
                <w:rFonts w:ascii="Arial" w:hAnsi="Arial" w:cs="Arial"/>
                <w:sz w:val="21"/>
                <w:szCs w:val="21"/>
              </w:rPr>
              <w:t>Which features help, create burden or prompt withdrawal?</w:t>
            </w:r>
          </w:p>
        </w:tc>
      </w:tr>
      <w:tr w:rsidR="007E77F1" w:rsidRPr="000A2871" w14:paraId="4B4C4E85" w14:textId="77777777" w:rsidTr="0032180C">
        <w:trPr>
          <w:trHeight w:val="1125"/>
        </w:trPr>
        <w:tc>
          <w:tcPr>
            <w:tcW w:w="1890" w:type="dxa"/>
            <w:shd w:val="clear" w:color="auto" w:fill="FFFFFF" w:themeFill="background1"/>
            <w:tcMar>
              <w:top w:w="80" w:type="dxa"/>
              <w:left w:w="80" w:type="dxa"/>
              <w:bottom w:w="80" w:type="dxa"/>
              <w:right w:w="80" w:type="dxa"/>
            </w:tcMar>
          </w:tcPr>
          <w:p w14:paraId="0515B39D" w14:textId="77777777" w:rsidR="007E77F1" w:rsidRPr="007B66E1" w:rsidRDefault="007E77F1" w:rsidP="000A2871">
            <w:pPr>
              <w:spacing w:line="360" w:lineRule="auto"/>
              <w:rPr>
                <w:rFonts w:ascii="Arial" w:hAnsi="Arial" w:cs="Arial"/>
                <w:sz w:val="21"/>
                <w:szCs w:val="21"/>
              </w:rPr>
            </w:pPr>
            <w:r w:rsidRPr="007B66E1">
              <w:rPr>
                <w:rFonts w:ascii="Arial" w:hAnsi="Arial" w:cs="Arial"/>
                <w:sz w:val="21"/>
                <w:szCs w:val="21"/>
              </w:rPr>
              <w:t>Policy evaluation</w:t>
            </w:r>
          </w:p>
        </w:tc>
        <w:tc>
          <w:tcPr>
            <w:tcW w:w="3645" w:type="dxa"/>
            <w:shd w:val="clear" w:color="auto" w:fill="FFFFFF" w:themeFill="background1"/>
            <w:tcMar>
              <w:top w:w="80" w:type="dxa"/>
              <w:left w:w="80" w:type="dxa"/>
              <w:bottom w:w="80" w:type="dxa"/>
              <w:right w:w="80" w:type="dxa"/>
            </w:tcMar>
          </w:tcPr>
          <w:p w14:paraId="2C9838BF" w14:textId="77777777" w:rsidR="007E77F1" w:rsidRPr="007B66E1" w:rsidRDefault="007E77F1" w:rsidP="000A2871">
            <w:pPr>
              <w:spacing w:line="360" w:lineRule="auto"/>
              <w:rPr>
                <w:rFonts w:ascii="Arial" w:hAnsi="Arial" w:cs="Arial"/>
                <w:sz w:val="21"/>
                <w:szCs w:val="21"/>
              </w:rPr>
            </w:pPr>
            <w:r w:rsidRPr="007B66E1">
              <w:rPr>
                <w:rFonts w:ascii="Arial" w:hAnsi="Arial" w:cs="Arial"/>
                <w:sz w:val="21"/>
                <w:szCs w:val="21"/>
              </w:rPr>
              <w:t>Examine intended outcomes alongside emotional and social experiences.</w:t>
            </w:r>
          </w:p>
        </w:tc>
        <w:tc>
          <w:tcPr>
            <w:tcW w:w="3360" w:type="dxa"/>
            <w:shd w:val="clear" w:color="auto" w:fill="FFFFFF" w:themeFill="background1"/>
            <w:tcMar>
              <w:top w:w="80" w:type="dxa"/>
              <w:left w:w="80" w:type="dxa"/>
              <w:bottom w:w="80" w:type="dxa"/>
              <w:right w:w="80" w:type="dxa"/>
            </w:tcMar>
          </w:tcPr>
          <w:p w14:paraId="66C5BF64" w14:textId="77777777" w:rsidR="007E77F1" w:rsidRPr="007B66E1" w:rsidRDefault="007E77F1" w:rsidP="000A2871">
            <w:pPr>
              <w:spacing w:line="360" w:lineRule="auto"/>
              <w:rPr>
                <w:rFonts w:ascii="Arial" w:hAnsi="Arial" w:cs="Arial"/>
                <w:sz w:val="21"/>
                <w:szCs w:val="21"/>
              </w:rPr>
            </w:pPr>
            <w:r w:rsidRPr="007B66E1">
              <w:rPr>
                <w:rFonts w:ascii="Arial" w:hAnsi="Arial" w:cs="Arial"/>
                <w:sz w:val="21"/>
                <w:szCs w:val="21"/>
              </w:rPr>
              <w:t>Are benefits and unintended consequences distributed unevenly?</w:t>
            </w:r>
          </w:p>
        </w:tc>
      </w:tr>
    </w:tbl>
    <w:p w14:paraId="496D336F"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7D5B1179" w14:textId="77777777" w:rsidR="007E77F1" w:rsidRPr="000A2871" w:rsidRDefault="007E77F1" w:rsidP="000A2871">
      <w:pPr>
        <w:spacing w:after="120" w:line="360" w:lineRule="auto"/>
        <w:rPr>
          <w:rFonts w:ascii="Arial" w:hAnsi="Arial" w:cs="Arial"/>
        </w:rPr>
      </w:pPr>
      <w:r w:rsidRPr="000A2871">
        <w:rPr>
          <w:rFonts w:ascii="Arial" w:hAnsi="Arial" w:cs="Arial"/>
        </w:rPr>
        <w:t>These proposals should be developed with young adults rather than inferred solely from the most articulate volunteers. Co-design can clarify priorities and language, but does not guarantee effectiveness or representativeness. An evaluation should document who took part in shaping the service and seek the views of people who declined or stopped using it. This connects the review’s findings with equity as well as acceptability.</w:t>
      </w:r>
    </w:p>
    <w:p w14:paraId="29BA3B3B" w14:textId="77777777" w:rsidR="007E77F1" w:rsidRPr="000A2871" w:rsidRDefault="007E77F1" w:rsidP="000A2871">
      <w:pPr>
        <w:spacing w:after="120" w:line="360" w:lineRule="auto"/>
        <w:rPr>
          <w:rFonts w:ascii="Arial" w:hAnsi="Arial" w:cs="Arial"/>
        </w:rPr>
      </w:pPr>
      <w:r w:rsidRPr="000A2871">
        <w:rPr>
          <w:rFonts w:ascii="Arial" w:hAnsi="Arial" w:cs="Arial"/>
        </w:rPr>
        <w:t>Implementation would also require attention to reach. A university or workplace programme can appear acceptable among participants while missing people who cannot attend, do not feel represented or leave early. Recording only satisfaction among continuing users would obscure this difference. Recruitment, withdrawal and non-use should therefore be examined alongside the experience of participation. Reviews of young-adult recruitment and retention support treating these as substantive questions rather than administrative matters (Lam et al., 2016; Whatnall et al., 2021).</w:t>
      </w:r>
    </w:p>
    <w:p w14:paraId="687F0C0A" w14:textId="22929055" w:rsidR="007E77F1" w:rsidRPr="000A2871" w:rsidRDefault="007E77F1" w:rsidP="5841D35C">
      <w:pPr>
        <w:pStyle w:val="Heading2"/>
        <w:keepNext w:val="0"/>
        <w:keepLines w:val="0"/>
        <w:spacing w:after="80" w:line="360" w:lineRule="auto"/>
        <w:jc w:val="left"/>
        <w:rPr>
          <w:rFonts w:ascii="Arial" w:hAnsi="Arial" w:cs="Arial"/>
          <w:b w:val="0"/>
          <w:bCs/>
          <w:sz w:val="34"/>
          <w:szCs w:val="34"/>
        </w:rPr>
      </w:pPr>
      <w:bookmarkStart w:id="116" w:name="_hoyu9chxmps" w:colFirst="0" w:colLast="0"/>
      <w:bookmarkStart w:id="117" w:name="_Toc242459565"/>
      <w:bookmarkEnd w:id="116"/>
      <w:r w:rsidRPr="000A2871">
        <w:rPr>
          <w:rFonts w:ascii="Arial" w:hAnsi="Arial" w:cs="Arial"/>
          <w:bCs/>
          <w:sz w:val="34"/>
          <w:szCs w:val="34"/>
        </w:rPr>
        <w:lastRenderedPageBreak/>
        <w:t>5.9 Strengths, limitations and sensitivity</w:t>
      </w:r>
      <w:bookmarkEnd w:id="117"/>
    </w:p>
    <w:p w14:paraId="6CFDD204" w14:textId="77777777" w:rsidR="007E77F1" w:rsidRPr="000A2871" w:rsidRDefault="007E77F1" w:rsidP="000A2871">
      <w:pPr>
        <w:spacing w:after="120" w:line="360" w:lineRule="auto"/>
        <w:rPr>
          <w:rFonts w:ascii="Arial" w:hAnsi="Arial" w:cs="Arial"/>
        </w:rPr>
      </w:pPr>
      <w:r w:rsidRPr="000A2871">
        <w:rPr>
          <w:rFonts w:ascii="Arial" w:hAnsi="Arial" w:cs="Arial"/>
        </w:rPr>
        <w:t>A strength is the explicit link between claims, article IDs and extraction boundaries. All original nominated reports remain visible, and the final eleven-article synthesis includes three additional reports retrieved through PubMed. Actual sample ages are retained, with 18–25 studies accepted within the review’s focus on ages 18–24. The expanded appraisal and worked coding examples make the reasoning more reviewable.</w:t>
      </w:r>
    </w:p>
    <w:p w14:paraId="606EE35B" w14:textId="77777777" w:rsidR="007E77F1" w:rsidRPr="000A2871" w:rsidRDefault="007E77F1" w:rsidP="000A2871">
      <w:pPr>
        <w:spacing w:after="120" w:line="360" w:lineRule="auto"/>
        <w:rPr>
          <w:rFonts w:ascii="Arial" w:hAnsi="Arial" w:cs="Arial"/>
        </w:rPr>
      </w:pPr>
      <w:r w:rsidRPr="000A2871">
        <w:rPr>
          <w:rFonts w:ascii="Arial" w:hAnsi="Arial" w:cs="Arial"/>
        </w:rPr>
        <w:t>The principal limitations are heterogeneous samples, narrow settings and dependence on published accounts. Five contributors require restricted extraction, so the evidence is not equivalent to eleven whole-sample studies of the target group. Hunter contains an unresolved demographic inconsistency; its younger accounts are handled cautiously. Removing restricted contributors leaves six whole-sample studies and preserves the broad themes, but weakens specific conclusions about workplaces, medication, clinical apps and food insecurity.</w:t>
      </w:r>
    </w:p>
    <w:p w14:paraId="1914F64C" w14:textId="77777777" w:rsidR="007E77F1" w:rsidRPr="000A2871" w:rsidRDefault="007E77F1" w:rsidP="000A2871">
      <w:pPr>
        <w:spacing w:after="120" w:line="360" w:lineRule="auto"/>
        <w:rPr>
          <w:rFonts w:ascii="Arial" w:hAnsi="Arial" w:cs="Arial"/>
        </w:rPr>
      </w:pPr>
      <w:r w:rsidRPr="000A2871">
        <w:rPr>
          <w:rFonts w:ascii="Arial" w:hAnsi="Arial" w:cs="Arial"/>
        </w:rPr>
        <w:t>The original search audit is also incomplete. Targeted supplementary retrieval improves the evidence available for this dissertation but does not repair every historical screening decision or establish an exhaustive search. Single-reviewer interpretation and English-language coverage create further limits. These issues affect confidence in completeness and transferability, while leaving the documented accounts available for cautious interpretation.</w:t>
      </w:r>
    </w:p>
    <w:p w14:paraId="54398C16" w14:textId="274BB04F" w:rsidR="007E77F1" w:rsidRPr="000A2871" w:rsidRDefault="007E77F1" w:rsidP="000A2871">
      <w:pPr>
        <w:spacing w:after="120" w:line="360" w:lineRule="auto"/>
        <w:rPr>
          <w:rFonts w:ascii="Arial" w:hAnsi="Arial" w:cs="Arial"/>
        </w:rPr>
      </w:pPr>
      <w:r w:rsidRPr="000A2871">
        <w:rPr>
          <w:rFonts w:ascii="Arial" w:hAnsi="Arial" w:cs="Arial"/>
        </w:rPr>
        <w:t>An alternative explanation for recurring themes is that similar interview questions encourage similar answers across reports. Questions about barriers and preferences may make practical problems especially visible, while successful routines receive less attention. Published quotations are also selected by original authors, so the available material reflects more than participant experience alone. The review cannot remove these influences retrospectively. Keeping study context, analytic approach and contradictory accounts visible provides a more defensible interpretation than treating recurrence as independent confirmation of a universal mechanism (Braun and Clarke, 2021; Noyes et al., 2024).</w:t>
      </w:r>
      <w:r w:rsidR="00911724">
        <w:rPr>
          <w:rFonts w:ascii="Arial" w:hAnsi="Arial" w:cs="Arial"/>
        </w:rPr>
        <w:br/>
      </w:r>
    </w:p>
    <w:p w14:paraId="3EC016F6" w14:textId="6BB7D5B5" w:rsidR="007E77F1" w:rsidRPr="000A2871" w:rsidRDefault="007E77F1" w:rsidP="5841D35C">
      <w:pPr>
        <w:pStyle w:val="Heading2"/>
        <w:keepNext w:val="0"/>
        <w:keepLines w:val="0"/>
        <w:spacing w:after="80" w:line="360" w:lineRule="auto"/>
        <w:jc w:val="left"/>
        <w:rPr>
          <w:rFonts w:ascii="Arial" w:hAnsi="Arial" w:cs="Arial"/>
          <w:b w:val="0"/>
          <w:bCs/>
          <w:sz w:val="34"/>
          <w:szCs w:val="34"/>
        </w:rPr>
      </w:pPr>
      <w:bookmarkStart w:id="118" w:name="_z68q0pkdrjow" w:colFirst="0" w:colLast="0"/>
      <w:bookmarkStart w:id="119" w:name="_Toc242459566"/>
      <w:bookmarkEnd w:id="118"/>
      <w:r w:rsidRPr="000A2871">
        <w:rPr>
          <w:rFonts w:ascii="Arial" w:hAnsi="Arial" w:cs="Arial"/>
          <w:bCs/>
          <w:sz w:val="34"/>
          <w:szCs w:val="34"/>
        </w:rPr>
        <w:t>5.10 Priorities for further research</w:t>
      </w:r>
      <w:bookmarkEnd w:id="119"/>
    </w:p>
    <w:p w14:paraId="6A3DB594" w14:textId="77777777" w:rsidR="007E77F1" w:rsidRPr="000A2871" w:rsidRDefault="007E77F1" w:rsidP="000A2871">
      <w:pPr>
        <w:spacing w:after="120" w:line="360" w:lineRule="auto"/>
        <w:rPr>
          <w:rFonts w:ascii="Arial" w:hAnsi="Arial" w:cs="Arial"/>
        </w:rPr>
      </w:pPr>
      <w:r w:rsidRPr="000A2871">
        <w:rPr>
          <w:rFonts w:ascii="Arial" w:hAnsi="Arial" w:cs="Arial"/>
        </w:rPr>
        <w:t>Future studies should report actual age ranges and link participant characteristics to quotations in ways that permit appropriate synthesis. Recruitment should extend beyond university samples and include young adults in varied work, housing and caring circumstances. Longitudinal qualitative work could examine how support changes in usefulness over time. Evaluations should test both practical benefit and possible burden, with attention to inequalities in who can participate.</w:t>
      </w:r>
    </w:p>
    <w:p w14:paraId="5C6BE347" w14:textId="23219EA9" w:rsidR="007E77F1" w:rsidRPr="000A2871" w:rsidRDefault="007E77F1" w:rsidP="000A2871">
      <w:pPr>
        <w:spacing w:after="120" w:line="360" w:lineRule="auto"/>
      </w:pPr>
      <w:r w:rsidRPr="000A2871">
        <w:rPr>
          <w:rFonts w:ascii="Arial" w:hAnsi="Arial" w:cs="Arial"/>
        </w:rPr>
        <w:lastRenderedPageBreak/>
        <w:t>A further priority is to connect accounts of acceptability with subsequent experience. Following participants who continue, stop or return could clarify whether an intervention remains useful as circumstances change. Such work would help distinguish initial appeal from sustained support.</w:t>
      </w:r>
      <w:r w:rsidR="00911724">
        <w:rPr>
          <w:rFonts w:ascii="Arial" w:hAnsi="Arial" w:cs="Arial"/>
        </w:rPr>
        <w:br/>
      </w:r>
    </w:p>
    <w:p w14:paraId="30D09165" w14:textId="068E6FE0" w:rsidR="3DA50125" w:rsidRDefault="3DA50125" w:rsidP="7ABD8AA0">
      <w:pPr>
        <w:pStyle w:val="Heading2"/>
        <w:keepNext w:val="0"/>
        <w:keepLines w:val="0"/>
        <w:spacing w:after="80" w:line="360" w:lineRule="auto"/>
        <w:jc w:val="left"/>
        <w:rPr>
          <w:rFonts w:ascii="Arial" w:eastAsia="Arial" w:hAnsi="Arial" w:cs="Arial"/>
          <w:bCs/>
          <w:color w:val="000000" w:themeColor="text1"/>
          <w:sz w:val="34"/>
          <w:szCs w:val="34"/>
        </w:rPr>
      </w:pPr>
      <w:bookmarkStart w:id="120" w:name="_dyel4vnf3qna" w:colFirst="0" w:colLast="0"/>
      <w:bookmarkStart w:id="121" w:name="_Toc242459567"/>
      <w:bookmarkEnd w:id="120"/>
      <w:r w:rsidRPr="7ABD8AA0">
        <w:rPr>
          <w:rFonts w:ascii="Arial" w:eastAsia="Arial" w:hAnsi="Arial" w:cs="Arial"/>
          <w:bCs/>
          <w:color w:val="000000" w:themeColor="text1"/>
          <w:sz w:val="34"/>
          <w:szCs w:val="34"/>
        </w:rPr>
        <w:t>Summary</w:t>
      </w:r>
      <w:bookmarkEnd w:id="121"/>
    </w:p>
    <w:p w14:paraId="03BFBB7A" w14:textId="7DC6F2C8" w:rsidR="0DA37C71" w:rsidRDefault="0DA37C71" w:rsidP="7ABD8AA0">
      <w:pPr>
        <w:spacing w:before="225" w:after="225" w:line="360" w:lineRule="auto"/>
        <w:rPr>
          <w:rFonts w:ascii="Arial" w:eastAsia="Arial" w:hAnsi="Arial" w:cs="Arial"/>
          <w:color w:val="2B2D38"/>
        </w:rPr>
      </w:pPr>
      <w:r w:rsidRPr="7ABD8AA0">
        <w:rPr>
          <w:rFonts w:ascii="Arial" w:eastAsia="Arial" w:hAnsi="Arial" w:cs="Arial"/>
          <w:color w:val="2B2D38"/>
        </w:rPr>
        <w:t>This chapter has highlighted the importance of assistance, respectful communication and support that responds to changing needs. It has distinguished perceived usefulness, from measured effectiveness. Considered the strengths and limitations of the evidence. These interpretations inform the recommendations and conclusions presented in the chapter.</w:t>
      </w:r>
    </w:p>
    <w:p w14:paraId="3B67083B" w14:textId="10E93867" w:rsidR="7ABD8AA0" w:rsidRDefault="7ABD8AA0" w:rsidP="7ABD8AA0"/>
    <w:p w14:paraId="5D6ACB1C" w14:textId="0733FDB3" w:rsidR="2ED748B9" w:rsidRDefault="2ED748B9"/>
    <w:p w14:paraId="589B9F79" w14:textId="475643CD" w:rsidR="2ED748B9" w:rsidRDefault="2ED748B9"/>
    <w:p w14:paraId="317B1492" w14:textId="2B3AE788" w:rsidR="2ED748B9" w:rsidRDefault="2ED748B9"/>
    <w:p w14:paraId="1249F106" w14:textId="67AF511E" w:rsidR="2ED748B9" w:rsidRDefault="2ED748B9"/>
    <w:p w14:paraId="23BAF23A" w14:textId="3C462803" w:rsidR="2ED748B9" w:rsidRDefault="2ED748B9"/>
    <w:p w14:paraId="10CE3AAC" w14:textId="6773032F" w:rsidR="2ED748B9" w:rsidRDefault="2ED748B9"/>
    <w:p w14:paraId="782FBA68" w14:textId="2D171EB9" w:rsidR="2ED748B9" w:rsidRDefault="2ED748B9"/>
    <w:p w14:paraId="367C1197" w14:textId="7DE843CA" w:rsidR="2ED748B9" w:rsidRDefault="2ED748B9"/>
    <w:p w14:paraId="7AD5D975" w14:textId="598B597F" w:rsidR="5841D35C" w:rsidRDefault="5841D35C"/>
    <w:p w14:paraId="3F74068B" w14:textId="1090F377" w:rsidR="5841D35C" w:rsidRDefault="5841D35C"/>
    <w:p w14:paraId="7274C3B8" w14:textId="2CD0F634" w:rsidR="5841D35C" w:rsidRDefault="5841D35C"/>
    <w:p w14:paraId="4D2E2AD2" w14:textId="2EA37AA5" w:rsidR="5841D35C" w:rsidRDefault="5841D35C"/>
    <w:p w14:paraId="1D00DCB6" w14:textId="30B5B8EB" w:rsidR="5841D35C" w:rsidRDefault="5841D35C"/>
    <w:p w14:paraId="6A0C0E36" w14:textId="6588C721" w:rsidR="5841D35C" w:rsidRDefault="5841D35C"/>
    <w:p w14:paraId="75BD0807" w14:textId="77777777" w:rsidR="00911724" w:rsidRDefault="00911724">
      <w:pPr>
        <w:rPr>
          <w:rFonts w:ascii="Arial" w:eastAsia="Times New Roman" w:hAnsi="Arial" w:cs="Arial"/>
          <w:b/>
          <w:bCs/>
          <w:color w:val="000000"/>
          <w:sz w:val="46"/>
          <w:szCs w:val="46"/>
        </w:rPr>
      </w:pPr>
      <w:r>
        <w:rPr>
          <w:rFonts w:ascii="Arial" w:hAnsi="Arial" w:cs="Arial"/>
          <w:bCs/>
          <w:sz w:val="46"/>
          <w:szCs w:val="46"/>
        </w:rPr>
        <w:br w:type="page"/>
      </w:r>
    </w:p>
    <w:p w14:paraId="31FB05F1" w14:textId="73DB2946" w:rsidR="007E77F1" w:rsidRPr="000A2871" w:rsidRDefault="007E77F1" w:rsidP="7ABD8AA0">
      <w:pPr>
        <w:pStyle w:val="Heading1"/>
        <w:keepNext w:val="0"/>
        <w:keepLines w:val="0"/>
        <w:spacing w:before="480" w:line="360" w:lineRule="auto"/>
        <w:ind w:left="0" w:firstLine="0"/>
        <w:jc w:val="left"/>
      </w:pPr>
      <w:bookmarkStart w:id="122" w:name="_Toc242459568"/>
      <w:r w:rsidRPr="000A2871">
        <w:rPr>
          <w:rFonts w:ascii="Arial" w:hAnsi="Arial" w:cs="Arial"/>
          <w:bCs/>
          <w:sz w:val="46"/>
          <w:szCs w:val="46"/>
        </w:rPr>
        <w:lastRenderedPageBreak/>
        <w:t>6</w:t>
      </w:r>
      <w:r w:rsidR="51031B1B" w:rsidRPr="7ABD8AA0">
        <w:rPr>
          <w:rFonts w:ascii="Arial" w:hAnsi="Arial" w:cs="Arial"/>
          <w:sz w:val="46"/>
          <w:szCs w:val="46"/>
        </w:rPr>
        <w:t>.</w:t>
      </w:r>
      <w:r w:rsidRPr="000A2871">
        <w:rPr>
          <w:rFonts w:ascii="Arial" w:hAnsi="Arial" w:cs="Arial"/>
          <w:bCs/>
          <w:sz w:val="46"/>
          <w:szCs w:val="46"/>
        </w:rPr>
        <w:t xml:space="preserve"> </w:t>
      </w:r>
      <w:bookmarkStart w:id="123" w:name="_p9oqx16boz12" w:colFirst="0" w:colLast="0"/>
      <w:bookmarkEnd w:id="123"/>
      <w:r w:rsidRPr="000A2871">
        <w:rPr>
          <w:rFonts w:ascii="Arial" w:hAnsi="Arial" w:cs="Arial"/>
          <w:bCs/>
          <w:sz w:val="46"/>
          <w:szCs w:val="46"/>
        </w:rPr>
        <w:t>Conclusion</w:t>
      </w:r>
      <w:bookmarkEnd w:id="122"/>
    </w:p>
    <w:p w14:paraId="673A5E4D" w14:textId="7A30F0F1" w:rsidR="7B0229FA" w:rsidRDefault="7B0229FA" w:rsidP="7ABD8AA0">
      <w:pPr>
        <w:spacing w:before="225" w:after="225" w:line="360" w:lineRule="auto"/>
        <w:rPr>
          <w:rFonts w:ascii="Arial" w:eastAsia="Arial" w:hAnsi="Arial" w:cs="Arial"/>
          <w:color w:val="2B2D38"/>
        </w:rPr>
      </w:pPr>
      <w:r w:rsidRPr="7ABD8AA0">
        <w:rPr>
          <w:rFonts w:ascii="Arial" w:eastAsia="Arial" w:hAnsi="Arial" w:cs="Arial"/>
          <w:color w:val="2B2D38"/>
        </w:rPr>
        <w:t xml:space="preserve">This chapter </w:t>
      </w:r>
      <w:r w:rsidRPr="62A3780D">
        <w:rPr>
          <w:rFonts w:ascii="Arial" w:eastAsia="Arial" w:hAnsi="Arial" w:cs="Arial"/>
          <w:color w:val="2B2D38"/>
        </w:rPr>
        <w:t>explores</w:t>
      </w:r>
      <w:r w:rsidRPr="7ABD8AA0">
        <w:rPr>
          <w:rFonts w:ascii="Arial" w:eastAsia="Arial" w:hAnsi="Arial" w:cs="Arial"/>
          <w:color w:val="2B2D38"/>
        </w:rPr>
        <w:t xml:space="preserve"> the conclusions from the review and how the results answer the research question. It combines the factors that affect obesity-related habits and the way UK young adults feel about getting support. It also describes what the dissertation adds, what the results mean for real-life situations the limits of the study and ideas for research, in the future.</w:t>
      </w:r>
      <w:r w:rsidR="00911724">
        <w:rPr>
          <w:rFonts w:ascii="Arial" w:eastAsia="Arial" w:hAnsi="Arial" w:cs="Arial"/>
          <w:color w:val="2B2D38"/>
        </w:rPr>
        <w:br/>
      </w:r>
    </w:p>
    <w:p w14:paraId="061FBEA7" w14:textId="39CB6B06" w:rsidR="007E77F1" w:rsidRPr="000A2871" w:rsidRDefault="007E77F1" w:rsidP="7ABD8AA0">
      <w:pPr>
        <w:pStyle w:val="Heading2"/>
        <w:keepNext w:val="0"/>
        <w:keepLines w:val="0"/>
        <w:spacing w:after="80" w:line="360" w:lineRule="auto"/>
        <w:jc w:val="left"/>
        <w:rPr>
          <w:rFonts w:ascii="Arial" w:hAnsi="Arial" w:cs="Arial"/>
          <w:b w:val="0"/>
          <w:bCs/>
          <w:sz w:val="34"/>
          <w:szCs w:val="34"/>
        </w:rPr>
      </w:pPr>
      <w:bookmarkStart w:id="124" w:name="_Toc242459569"/>
      <w:r w:rsidRPr="000A2871">
        <w:rPr>
          <w:rFonts w:ascii="Arial" w:hAnsi="Arial" w:cs="Arial"/>
          <w:bCs/>
          <w:sz w:val="34"/>
          <w:szCs w:val="34"/>
        </w:rPr>
        <w:t>6.1 Overview of the review</w:t>
      </w:r>
      <w:bookmarkEnd w:id="124"/>
    </w:p>
    <w:p w14:paraId="0AE1C6D1" w14:textId="77777777" w:rsidR="007E77F1" w:rsidRPr="000A2871" w:rsidRDefault="007E77F1" w:rsidP="000A2871">
      <w:pPr>
        <w:spacing w:after="120" w:line="360" w:lineRule="auto"/>
        <w:rPr>
          <w:rFonts w:ascii="Arial" w:hAnsi="Arial" w:cs="Arial"/>
        </w:rPr>
      </w:pPr>
      <w:r w:rsidRPr="000A2871">
        <w:rPr>
          <w:rFonts w:ascii="Arial" w:hAnsi="Arial" w:cs="Arial"/>
        </w:rPr>
        <w:t>This dissertation examined determinants of obesity-related behaviour and perceived effectiveness of support among young adults aged 18–24 in the United Kingdom. Studies recruiting participants aged 18–25 were accepted within the eligibility approach. Eleven articles contribute to the final thematic synthesis: six through their whole samples and five through identifiable younger accounts. Three further nominated reports remain in the evidence map and contextual discussion, with their eligibility limitations recorded.</w:t>
      </w:r>
    </w:p>
    <w:p w14:paraId="1294F19B" w14:textId="6981048C" w:rsidR="007E77F1" w:rsidRPr="000A2871" w:rsidRDefault="007E77F1" w:rsidP="000A2871">
      <w:pPr>
        <w:spacing w:after="120" w:line="360" w:lineRule="auto"/>
        <w:rPr>
          <w:rFonts w:ascii="Arial" w:hAnsi="Arial" w:cs="Arial"/>
        </w:rPr>
      </w:pPr>
      <w:r w:rsidRPr="000A2871">
        <w:rPr>
          <w:rFonts w:ascii="Arial" w:hAnsi="Arial" w:cs="Arial"/>
        </w:rPr>
        <w:t>The analysis developed five connected themes: changing priorities, practical feasibility, social belonging and credibility, emotional safety, and support that fits the person and the moment. These themes describe how health-related action is experienced within everyday circumstances. They do not identify independent causes of obesity, estimate the prevalence of barriers or establish that a particular intervention changes weight.</w:t>
      </w:r>
      <w:r w:rsidR="00911724">
        <w:rPr>
          <w:rFonts w:ascii="Arial" w:hAnsi="Arial" w:cs="Arial"/>
        </w:rPr>
        <w:br/>
      </w:r>
    </w:p>
    <w:p w14:paraId="77058B31" w14:textId="4BD5A41D" w:rsidR="007E77F1" w:rsidRPr="000A2871" w:rsidRDefault="007E77F1" w:rsidP="0C3B4487">
      <w:pPr>
        <w:pStyle w:val="Heading2"/>
        <w:keepNext w:val="0"/>
        <w:keepLines w:val="0"/>
        <w:spacing w:after="80" w:line="360" w:lineRule="auto"/>
        <w:jc w:val="left"/>
        <w:rPr>
          <w:rFonts w:ascii="Arial" w:hAnsi="Arial" w:cs="Arial"/>
          <w:b w:val="0"/>
          <w:bCs/>
          <w:sz w:val="34"/>
          <w:szCs w:val="34"/>
        </w:rPr>
      </w:pPr>
      <w:bookmarkStart w:id="125" w:name="_5laiwjcoulmv" w:colFirst="0" w:colLast="0"/>
      <w:bookmarkStart w:id="126" w:name="_Toc242459570"/>
      <w:bookmarkEnd w:id="125"/>
      <w:r w:rsidRPr="000A2871">
        <w:rPr>
          <w:rFonts w:ascii="Arial" w:hAnsi="Arial" w:cs="Arial"/>
          <w:bCs/>
          <w:sz w:val="34"/>
          <w:szCs w:val="34"/>
        </w:rPr>
        <w:t>6.2 Answer to the research question</w:t>
      </w:r>
      <w:bookmarkEnd w:id="126"/>
    </w:p>
    <w:p w14:paraId="2AB9C65F" w14:textId="77777777" w:rsidR="007E77F1" w:rsidRPr="000A2871" w:rsidRDefault="007E77F1" w:rsidP="000A2871">
      <w:pPr>
        <w:spacing w:after="120" w:line="360" w:lineRule="auto"/>
        <w:rPr>
          <w:rFonts w:ascii="Arial" w:hAnsi="Arial" w:cs="Arial"/>
        </w:rPr>
      </w:pPr>
      <w:r w:rsidRPr="000A2871">
        <w:rPr>
          <w:rFonts w:ascii="Arial" w:hAnsi="Arial" w:cs="Arial"/>
        </w:rPr>
        <w:t>The first part of the question asks what influences obesity-related behaviour. The evidence indicates that knowledge and concern operate within practical and social opportunities. Work, study, living arrangements, food costs and relationships can change what is possible. Health-related decisions may also compete with psychological distress, fatigue or the wish to participate socially. A young adult’s intentions therefore provide only part of the explanation for their behaviour.</w:t>
      </w:r>
    </w:p>
    <w:p w14:paraId="33FBEFD2" w14:textId="06D06174" w:rsidR="007E77F1" w:rsidRPr="000A2871" w:rsidRDefault="007E77F1" w:rsidP="000A2871">
      <w:pPr>
        <w:spacing w:after="120" w:line="360" w:lineRule="auto"/>
        <w:rPr>
          <w:rFonts w:ascii="Arial" w:hAnsi="Arial" w:cs="Arial"/>
        </w:rPr>
      </w:pPr>
      <w:r w:rsidRPr="000A2871">
        <w:rPr>
          <w:rFonts w:ascii="Arial" w:hAnsi="Arial" w:cs="Arial"/>
        </w:rPr>
        <w:t xml:space="preserve">The second part asks how support is perceived. Usefulness depends on relevance, credibility, feasibility and emotional acceptability. Information can be welcomed when it helps with an immediate </w:t>
      </w:r>
      <w:r w:rsidR="00220C7B" w:rsidRPr="000A2871">
        <w:rPr>
          <w:rFonts w:ascii="Arial" w:hAnsi="Arial" w:cs="Arial"/>
        </w:rPr>
        <w:t>concern yet</w:t>
      </w:r>
      <w:r w:rsidRPr="000A2871">
        <w:rPr>
          <w:rFonts w:ascii="Arial" w:hAnsi="Arial" w:cs="Arial"/>
        </w:rPr>
        <w:t xml:space="preserve"> tracking or reminders can feel unnecessary or burdensome. Numerical information can be interpreted through body-image concerns rather than its intended health message. These differences favour asking what a person needs instead of assuming that the same feature will benefit every user.</w:t>
      </w:r>
    </w:p>
    <w:p w14:paraId="632C25CD" w14:textId="77777777" w:rsidR="007E77F1" w:rsidRPr="000A2871" w:rsidRDefault="007E77F1" w:rsidP="000A2871">
      <w:pPr>
        <w:spacing w:after="120" w:line="360" w:lineRule="auto"/>
        <w:rPr>
          <w:rFonts w:ascii="Arial" w:hAnsi="Arial" w:cs="Arial"/>
        </w:rPr>
      </w:pPr>
      <w:r w:rsidRPr="000A2871">
        <w:rPr>
          <w:rFonts w:ascii="Arial" w:hAnsi="Arial" w:cs="Arial"/>
        </w:rPr>
        <w:lastRenderedPageBreak/>
        <w:t>Taken together, the evidence supports an account of fit between the person, the proposed action and the circumstances in which it must happen. Sweeting’s transitions, Scott’s linked social practices, Tang’s digital experiences and the other contributors illuminate different parts of this relationship. The review’s answer is consequently conditional: support is more likely to be perceived as useful when it responds to these conditions, but its effectiveness must still be tested.</w:t>
      </w:r>
    </w:p>
    <w:p w14:paraId="2FB3137F" w14:textId="1D2B0F4C" w:rsidR="007E77F1" w:rsidRPr="000A2871" w:rsidRDefault="007E77F1" w:rsidP="000A2871">
      <w:pPr>
        <w:spacing w:after="120" w:line="360" w:lineRule="auto"/>
        <w:rPr>
          <w:rFonts w:ascii="Arial" w:hAnsi="Arial" w:cs="Arial"/>
        </w:rPr>
      </w:pPr>
      <w:r w:rsidRPr="000A2871">
        <w:rPr>
          <w:rFonts w:ascii="Arial" w:hAnsi="Arial" w:cs="Arial"/>
        </w:rPr>
        <w:t>The findings also show why a simple division between individual and environmental explanations is inadequate. Participants interpret their circumstances and make choices within them, while relationships and institutions influence which choices are available. The practical question is how those conditions interact in a particular setting. Understanding a young adult’s priorities without examining opportunity gives an incomplete account; examining constraints without listening to preferences is similarly insufficient. The synthesis connects these perspectives while retaining differences between the studies.</w:t>
      </w:r>
      <w:r w:rsidR="00911724">
        <w:rPr>
          <w:rFonts w:ascii="Arial" w:hAnsi="Arial" w:cs="Arial"/>
        </w:rPr>
        <w:br/>
      </w:r>
    </w:p>
    <w:p w14:paraId="03FFC9CE" w14:textId="5E05CBB1" w:rsidR="007E77F1" w:rsidRPr="000A2871" w:rsidRDefault="007E77F1" w:rsidP="7AA5175A">
      <w:pPr>
        <w:pStyle w:val="Heading2"/>
        <w:keepNext w:val="0"/>
        <w:keepLines w:val="0"/>
        <w:spacing w:after="80" w:line="360" w:lineRule="auto"/>
        <w:jc w:val="left"/>
        <w:rPr>
          <w:rFonts w:ascii="Arial" w:hAnsi="Arial" w:cs="Arial"/>
          <w:b w:val="0"/>
          <w:bCs/>
          <w:sz w:val="34"/>
          <w:szCs w:val="34"/>
        </w:rPr>
      </w:pPr>
      <w:bookmarkStart w:id="127" w:name="_brp6aun9t2i6" w:colFirst="0" w:colLast="0"/>
      <w:bookmarkStart w:id="128" w:name="_Toc242459571"/>
      <w:bookmarkEnd w:id="127"/>
      <w:r w:rsidRPr="000A2871">
        <w:rPr>
          <w:rFonts w:ascii="Arial" w:hAnsi="Arial" w:cs="Arial"/>
          <w:bCs/>
          <w:sz w:val="34"/>
          <w:szCs w:val="34"/>
        </w:rPr>
        <w:t>6.3 Contribution of the dissertation</w:t>
      </w:r>
      <w:bookmarkEnd w:id="128"/>
    </w:p>
    <w:p w14:paraId="06ED8F13" w14:textId="77777777" w:rsidR="007E77F1" w:rsidRPr="000A2871" w:rsidRDefault="007E77F1" w:rsidP="000A2871">
      <w:pPr>
        <w:spacing w:after="120" w:line="360" w:lineRule="auto"/>
        <w:rPr>
          <w:rFonts w:ascii="Arial" w:hAnsi="Arial" w:cs="Arial"/>
        </w:rPr>
      </w:pPr>
      <w:r w:rsidRPr="000A2871">
        <w:rPr>
          <w:rFonts w:ascii="Arial" w:hAnsi="Arial" w:cs="Arial"/>
        </w:rPr>
        <w:t>The dissertation brings together evidence usually discussed separately: health communication, weight-management histories, workplaces, food purchasing, professional education, medication-related concerns and digital support. The contribution is not that these are all the same problem. It is that comparing them reveals recurring questions about opportunity, priorities and the meaning of help. The ecological, COM-B and acceptability frameworks provide a clear structure for considering those questions without replacing the source findings.</w:t>
      </w:r>
    </w:p>
    <w:p w14:paraId="629677F5" w14:textId="77777777" w:rsidR="007E77F1" w:rsidRPr="000A2871" w:rsidRDefault="007E77F1" w:rsidP="000A2871">
      <w:pPr>
        <w:spacing w:after="120" w:line="360" w:lineRule="auto"/>
        <w:rPr>
          <w:rFonts w:ascii="Arial" w:hAnsi="Arial" w:cs="Arial"/>
        </w:rPr>
      </w:pPr>
      <w:r w:rsidRPr="000A2871">
        <w:rPr>
          <w:rFonts w:ascii="Arial" w:hAnsi="Arial" w:cs="Arial"/>
        </w:rPr>
        <w:t>The variety of settings also makes the analysis more specific. Howard Wilsher and colleagues contribute young men’s perspectives on food and identity; Trahearn’s younger accounts show that nutritional knowledge can coexist with practical and emotional difficulties; Hunter’s age-labelled accounts add cautious insight into purchasing under financial pressure. These contributions broaden the synthesis across different UK circumstances.</w:t>
      </w:r>
    </w:p>
    <w:p w14:paraId="4184EAB7" w14:textId="77777777" w:rsidR="007E77F1" w:rsidRPr="000A2871" w:rsidRDefault="007E77F1" w:rsidP="000A2871">
      <w:pPr>
        <w:spacing w:after="120" w:line="360" w:lineRule="auto"/>
        <w:rPr>
          <w:rFonts w:ascii="Arial" w:hAnsi="Arial" w:cs="Arial"/>
        </w:rPr>
      </w:pPr>
      <w:r w:rsidRPr="000A2871">
        <w:rPr>
          <w:rFonts w:ascii="Arial" w:hAnsi="Arial" w:cs="Arial"/>
        </w:rPr>
        <w:t>Methodologically, article IDs, extraction rules, CASP rationales and worked examples provide a visible route from reports to themes. The PRISMA-informed flow distinguishes the original records from supplementary retrieval and makes the unresolved report-stage audit explicit. This preserves the distinction between verified decisions and stages requiring further documentation. The appraisal count is also kept separate from the number contributing to the synthesis.</w:t>
      </w:r>
    </w:p>
    <w:p w14:paraId="232D39DC" w14:textId="17F6867E" w:rsidR="007E77F1" w:rsidRPr="000A2871" w:rsidRDefault="007E77F1" w:rsidP="000A2871">
      <w:pPr>
        <w:spacing w:after="120" w:line="360" w:lineRule="auto"/>
        <w:rPr>
          <w:rFonts w:ascii="Arial" w:hAnsi="Arial" w:cs="Arial"/>
        </w:rPr>
      </w:pPr>
      <w:r w:rsidRPr="000A2871">
        <w:rPr>
          <w:rFonts w:ascii="Arial" w:hAnsi="Arial" w:cs="Arial"/>
        </w:rPr>
        <w:lastRenderedPageBreak/>
        <w:t>Another contribution is the distinction between information and support. Information may explain a health recommendation, but support also involves making action feasible, responding to uncertainty and allowing concerns to be discussed. The studies illuminate different parts of that relationship. They show why a recommendation can be understood yet remain difficult to follow, and why an intervention can offer useful content while some features feel unnecessary. This distinction provides a clearer starting point for development than assuming that the main problem is always a lack of awareness.</w:t>
      </w:r>
      <w:r w:rsidR="00911724">
        <w:rPr>
          <w:rFonts w:ascii="Arial" w:hAnsi="Arial" w:cs="Arial"/>
        </w:rPr>
        <w:br/>
      </w:r>
    </w:p>
    <w:p w14:paraId="19117C6C" w14:textId="1F64395E" w:rsidR="007E77F1" w:rsidRPr="000A2871" w:rsidRDefault="007E77F1" w:rsidP="57B27460">
      <w:pPr>
        <w:pStyle w:val="Heading2"/>
        <w:keepNext w:val="0"/>
        <w:keepLines w:val="0"/>
        <w:spacing w:after="80" w:line="360" w:lineRule="auto"/>
        <w:jc w:val="left"/>
        <w:rPr>
          <w:rFonts w:ascii="Arial" w:hAnsi="Arial" w:cs="Arial"/>
          <w:b w:val="0"/>
          <w:bCs/>
          <w:sz w:val="34"/>
          <w:szCs w:val="34"/>
        </w:rPr>
      </w:pPr>
      <w:bookmarkStart w:id="129" w:name="_ey3is0qwm98q" w:colFirst="0" w:colLast="0"/>
      <w:bookmarkStart w:id="130" w:name="_Toc242459572"/>
      <w:bookmarkEnd w:id="129"/>
      <w:r w:rsidRPr="000A2871">
        <w:rPr>
          <w:rFonts w:ascii="Arial" w:hAnsi="Arial" w:cs="Arial"/>
          <w:bCs/>
          <w:sz w:val="34"/>
          <w:szCs w:val="34"/>
        </w:rPr>
        <w:t>6.4 Implications for practice</w:t>
      </w:r>
      <w:bookmarkEnd w:id="130"/>
    </w:p>
    <w:p w14:paraId="4EDF0A5C" w14:textId="77777777" w:rsidR="007E77F1" w:rsidRPr="000A2871" w:rsidRDefault="007E77F1" w:rsidP="000A2871">
      <w:pPr>
        <w:spacing w:after="120" w:line="360" w:lineRule="auto"/>
        <w:rPr>
          <w:rFonts w:ascii="Arial" w:hAnsi="Arial" w:cs="Arial"/>
        </w:rPr>
      </w:pPr>
      <w:r w:rsidRPr="000A2871">
        <w:rPr>
          <w:rFonts w:ascii="Arial" w:hAnsi="Arial" w:cs="Arial"/>
        </w:rPr>
        <w:t>Public health and social care services should begin with the circumstances in which young adults are being asked to act. Practical food provision, usable facilities and predictable opportunities may be as relevant as education. Advice should recognise differences between student life, employment and other responsibilities. Services can then test whether their offer reaches people whose routines or resources make standard provision difficult to use.</w:t>
      </w:r>
    </w:p>
    <w:p w14:paraId="5D9D3E11" w14:textId="77777777" w:rsidR="007E77F1" w:rsidRPr="000A2871" w:rsidRDefault="007E77F1" w:rsidP="000A2871">
      <w:pPr>
        <w:spacing w:after="120" w:line="360" w:lineRule="auto"/>
        <w:rPr>
          <w:rFonts w:ascii="Arial" w:hAnsi="Arial" w:cs="Arial"/>
        </w:rPr>
      </w:pPr>
      <w:r w:rsidRPr="000A2871">
        <w:rPr>
          <w:rFonts w:ascii="Arial" w:hAnsi="Arial" w:cs="Arial"/>
        </w:rPr>
        <w:t>Healthcare conversations should allow weight concerns to be raised alongside other priorities, including mental health and treatment experiences. Respectful communication means listening to the person’s aims and agreeing what can reasonably be addressed. The review supports attention to the experience of these conversations, while leaving clinical assessment and treatment decisions to appropriate professional care.</w:t>
      </w:r>
    </w:p>
    <w:p w14:paraId="7462F96D" w14:textId="77777777" w:rsidR="007E77F1" w:rsidRPr="000A2871" w:rsidRDefault="007E77F1" w:rsidP="000A2871">
      <w:pPr>
        <w:spacing w:after="120" w:line="360" w:lineRule="auto"/>
        <w:rPr>
          <w:rFonts w:ascii="Arial" w:hAnsi="Arial" w:cs="Arial"/>
        </w:rPr>
      </w:pPr>
      <w:r w:rsidRPr="000A2871">
        <w:rPr>
          <w:rFonts w:ascii="Arial" w:hAnsi="Arial" w:cs="Arial"/>
        </w:rPr>
        <w:t>Digital resources should provide understandable, credible information and meaningful choices about interaction. Features such as reminders, logging and peer contact should be evaluated separately because they create different benefits and demands. Non-digital routes also need consideration. A service’s success should be judged through usefulness, access and wellbeing alongside the behavioural or clinical outcomes it is designed to improve.</w:t>
      </w:r>
    </w:p>
    <w:p w14:paraId="1407AFFB" w14:textId="1A8F59E0" w:rsidR="007E77F1" w:rsidRPr="000A2871" w:rsidRDefault="007E77F1" w:rsidP="000A2871">
      <w:pPr>
        <w:spacing w:after="120" w:line="360" w:lineRule="auto"/>
        <w:rPr>
          <w:rFonts w:ascii="Arial" w:hAnsi="Arial" w:cs="Arial"/>
        </w:rPr>
      </w:pPr>
      <w:r w:rsidRPr="000A2871">
        <w:rPr>
          <w:rFonts w:ascii="Arial" w:hAnsi="Arial" w:cs="Arial"/>
        </w:rPr>
        <w:t xml:space="preserve">The proposals also require clear responsibility. Employers and educational institutions can examine the conditions they control, while health professionals can consider how advice fits a person’s wider care. Community organisations can help identify local resources and barriers, and young adults can explain which forms of assistance they would value. These roles should be discussed together where appropriate. The review does not establish a single delivery model; it supports identifying who can influence the </w:t>
      </w:r>
      <w:r w:rsidR="00E02AEB" w:rsidRPr="000A2871">
        <w:rPr>
          <w:rFonts w:ascii="Arial" w:hAnsi="Arial" w:cs="Arial"/>
        </w:rPr>
        <w:t>difficulty</w:t>
      </w:r>
      <w:r w:rsidRPr="000A2871">
        <w:rPr>
          <w:rFonts w:ascii="Arial" w:hAnsi="Arial" w:cs="Arial"/>
        </w:rPr>
        <w:t xml:space="preserve"> described and evaluating the response in that setting.</w:t>
      </w:r>
    </w:p>
    <w:p w14:paraId="05F6DA86" w14:textId="718F5B65" w:rsidR="007E77F1" w:rsidRPr="000A2871" w:rsidRDefault="007E77F1" w:rsidP="000A2871">
      <w:pPr>
        <w:spacing w:after="120" w:line="360" w:lineRule="auto"/>
        <w:rPr>
          <w:rFonts w:ascii="Arial" w:hAnsi="Arial" w:cs="Arial"/>
        </w:rPr>
      </w:pPr>
      <w:r w:rsidRPr="000A2871">
        <w:rPr>
          <w:rFonts w:ascii="Arial" w:hAnsi="Arial" w:cs="Arial"/>
        </w:rPr>
        <w:t xml:space="preserve">An emphasis on fit should not become an expectation that services can accommodate every preference without limits. Resources, staff time and the purposes of an intervention also matter. The practical task is to make those decisions explicit, involve intended users and examine whose needs remain unmet. This is especially important when a convenient service </w:t>
      </w:r>
      <w:r w:rsidRPr="000A2871">
        <w:rPr>
          <w:rFonts w:ascii="Arial" w:hAnsi="Arial" w:cs="Arial"/>
        </w:rPr>
        <w:lastRenderedPageBreak/>
        <w:t>model reaches some young adults more readily than others. Evaluation should consider the experience of people who cannot use the offer, as well as those who participate.</w:t>
      </w:r>
      <w:r w:rsidR="00911724">
        <w:rPr>
          <w:rFonts w:ascii="Arial" w:hAnsi="Arial" w:cs="Arial"/>
        </w:rPr>
        <w:br/>
      </w:r>
    </w:p>
    <w:p w14:paraId="6A29EBD8" w14:textId="08779E46" w:rsidR="007E77F1" w:rsidRPr="000A2871" w:rsidRDefault="007E77F1" w:rsidP="3177A8DD">
      <w:pPr>
        <w:pStyle w:val="Heading2"/>
        <w:keepNext w:val="0"/>
        <w:keepLines w:val="0"/>
        <w:spacing w:after="80" w:line="360" w:lineRule="auto"/>
        <w:jc w:val="left"/>
        <w:rPr>
          <w:rFonts w:ascii="Arial" w:hAnsi="Arial" w:cs="Arial"/>
          <w:b w:val="0"/>
          <w:bCs/>
          <w:sz w:val="34"/>
          <w:szCs w:val="34"/>
        </w:rPr>
      </w:pPr>
      <w:bookmarkStart w:id="131" w:name="_birauiqv2k7z" w:colFirst="0" w:colLast="0"/>
      <w:bookmarkStart w:id="132" w:name="_Toc242459573"/>
      <w:bookmarkEnd w:id="131"/>
      <w:r w:rsidRPr="000A2871">
        <w:rPr>
          <w:rFonts w:ascii="Arial" w:hAnsi="Arial" w:cs="Arial"/>
          <w:bCs/>
          <w:sz w:val="34"/>
          <w:szCs w:val="34"/>
        </w:rPr>
        <w:t>6.5 Limits of the conclusions</w:t>
      </w:r>
      <w:bookmarkEnd w:id="132"/>
    </w:p>
    <w:p w14:paraId="65499AE7" w14:textId="77777777" w:rsidR="007E77F1" w:rsidRPr="000A2871" w:rsidRDefault="007E77F1" w:rsidP="000A2871">
      <w:pPr>
        <w:spacing w:after="120" w:line="360" w:lineRule="auto"/>
        <w:rPr>
          <w:rFonts w:ascii="Arial" w:hAnsi="Arial" w:cs="Arial"/>
        </w:rPr>
      </w:pPr>
      <w:r w:rsidRPr="000A2871">
        <w:rPr>
          <w:rFonts w:ascii="Arial" w:hAnsi="Arial" w:cs="Arial"/>
        </w:rPr>
        <w:t>The eleven articles do not represent all UK young adults. Participants differ in circumstances, intervention exposure and weight status, and several samples are narrow or self-selected. Restricted extraction reduces the material available from broader reports. The original search’s limited coverage and incomplete screening history prevent a claim that every eligible study has been found. Supplementary known-item retrieval adds useful evidence but is not a substitute for a comprehensive search update.</w:t>
      </w:r>
    </w:p>
    <w:p w14:paraId="53C87D2A" w14:textId="77777777" w:rsidR="007E77F1" w:rsidRPr="000A2871" w:rsidRDefault="007E77F1" w:rsidP="000A2871">
      <w:pPr>
        <w:spacing w:after="120" w:line="360" w:lineRule="auto"/>
        <w:rPr>
          <w:rFonts w:ascii="Arial" w:hAnsi="Arial" w:cs="Arial"/>
        </w:rPr>
      </w:pPr>
      <w:r w:rsidRPr="000A2871">
        <w:rPr>
          <w:rFonts w:ascii="Arial" w:hAnsi="Arial" w:cs="Arial"/>
        </w:rPr>
        <w:t>Reported preferences are also not equivalent to sustained use. Someone may welcome an intervention idea yet find it difficult once it becomes part of daily life. Conversely, a feature that seems unattractive initially may prove useful later. Longitudinal research and mixed-method evaluation are needed to understand these changes. The present findings identify issues for that work rather than providing a final design prescription.</w:t>
      </w:r>
    </w:p>
    <w:p w14:paraId="4D7687A7" w14:textId="63D5F5E7" w:rsidR="007E77F1" w:rsidRPr="000A2871" w:rsidRDefault="007E77F1" w:rsidP="000A2871">
      <w:pPr>
        <w:spacing w:after="120" w:line="360" w:lineRule="auto"/>
        <w:rPr>
          <w:rFonts w:ascii="Arial" w:hAnsi="Arial" w:cs="Arial"/>
        </w:rPr>
      </w:pPr>
      <w:r w:rsidRPr="000A2871">
        <w:rPr>
          <w:rFonts w:ascii="Arial" w:hAnsi="Arial" w:cs="Arial"/>
        </w:rPr>
        <w:t xml:space="preserve">Confidence also depends on the level of the claim. The evidence can support an interpretation that schedules, relationships and emotional responses matter in the settings studied. It offers a weaker basis for deciding which influence is most important across the </w:t>
      </w:r>
      <w:r w:rsidR="00911724" w:rsidRPr="000A2871">
        <w:rPr>
          <w:rFonts w:ascii="Arial" w:hAnsi="Arial" w:cs="Arial"/>
        </w:rPr>
        <w:t>UK,</w:t>
      </w:r>
      <w:r w:rsidRPr="000A2871">
        <w:rPr>
          <w:rFonts w:ascii="Arial" w:hAnsi="Arial" w:cs="Arial"/>
        </w:rPr>
        <w:t xml:space="preserve"> or which intervention component would produce the greatest effect. Maintaining that distinction protects the usefulness of the review: its findings can inform questions and development without being stretched into conclusions that the available designs cannot establish.</w:t>
      </w:r>
      <w:r w:rsidR="00911724">
        <w:rPr>
          <w:rFonts w:ascii="Arial" w:hAnsi="Arial" w:cs="Arial"/>
        </w:rPr>
        <w:br/>
      </w:r>
    </w:p>
    <w:p w14:paraId="2E297709" w14:textId="77777777" w:rsidR="00911724" w:rsidRDefault="00911724">
      <w:pPr>
        <w:rPr>
          <w:rFonts w:ascii="Arial" w:eastAsia="Times New Roman" w:hAnsi="Arial" w:cs="Arial"/>
          <w:b/>
          <w:bCs/>
          <w:color w:val="000000"/>
          <w:sz w:val="34"/>
          <w:szCs w:val="34"/>
        </w:rPr>
      </w:pPr>
      <w:bookmarkStart w:id="133" w:name="_70isteo6xtd" w:colFirst="0" w:colLast="0"/>
      <w:bookmarkEnd w:id="133"/>
      <w:r>
        <w:rPr>
          <w:rFonts w:ascii="Arial" w:hAnsi="Arial" w:cs="Arial"/>
          <w:bCs/>
          <w:sz w:val="34"/>
          <w:szCs w:val="34"/>
        </w:rPr>
        <w:br w:type="page"/>
      </w:r>
    </w:p>
    <w:p w14:paraId="573EF1E0" w14:textId="22478E43" w:rsidR="007E77F1" w:rsidRPr="000A2871" w:rsidRDefault="007E77F1" w:rsidP="006B148D">
      <w:pPr>
        <w:pStyle w:val="Heading2"/>
        <w:keepNext w:val="0"/>
        <w:keepLines w:val="0"/>
        <w:spacing w:after="80" w:line="360" w:lineRule="auto"/>
        <w:jc w:val="left"/>
        <w:rPr>
          <w:rFonts w:ascii="Arial" w:hAnsi="Arial" w:cs="Arial"/>
          <w:b w:val="0"/>
          <w:bCs/>
          <w:sz w:val="34"/>
          <w:szCs w:val="34"/>
        </w:rPr>
      </w:pPr>
      <w:bookmarkStart w:id="134" w:name="_Toc242459574"/>
      <w:r w:rsidRPr="000A2871">
        <w:rPr>
          <w:rFonts w:ascii="Arial" w:hAnsi="Arial" w:cs="Arial"/>
          <w:bCs/>
          <w:sz w:val="34"/>
          <w:szCs w:val="34"/>
        </w:rPr>
        <w:lastRenderedPageBreak/>
        <w:t>6.6 Recommendations</w:t>
      </w:r>
      <w:bookmarkEnd w:id="134"/>
      <w:r w:rsidRPr="000A2871">
        <w:rPr>
          <w:rFonts w:ascii="Arial" w:hAnsi="Arial" w:cs="Arial"/>
          <w:bCs/>
          <w:sz w:val="34"/>
          <w:szCs w:val="34"/>
        </w:rPr>
        <w:t xml:space="preserve"> </w:t>
      </w:r>
    </w:p>
    <w:p w14:paraId="24D200E8" w14:textId="77777777" w:rsidR="007E77F1" w:rsidRPr="000A2871" w:rsidRDefault="007E77F1" w:rsidP="000A2871">
      <w:pPr>
        <w:spacing w:after="120" w:line="360" w:lineRule="auto"/>
        <w:rPr>
          <w:rFonts w:ascii="Arial" w:hAnsi="Arial" w:cs="Arial"/>
        </w:rPr>
      </w:pPr>
      <w:r w:rsidRPr="000A2871">
        <w:rPr>
          <w:rFonts w:ascii="Arial" w:hAnsi="Arial" w:cs="Arial"/>
        </w:rPr>
        <w:t>Future intervention work should retain young adults’ involvement through development, delivery and evaluation. Their accounts can help identify an action worth supporting, the conditions it requires and the consequences that matter to them. Combining this understanding with rigorous outcome evaluation would allow services to distinguish appealing ideas from interventions that are feasible, equitable and beneficial in practice.</w:t>
      </w:r>
    </w:p>
    <w:p w14:paraId="277998A7" w14:textId="77777777" w:rsidR="007E77F1" w:rsidRPr="000A2871" w:rsidRDefault="007E77F1" w:rsidP="000A2871">
      <w:pPr>
        <w:spacing w:after="120" w:line="360" w:lineRule="auto"/>
        <w:rPr>
          <w:rFonts w:ascii="Arial" w:hAnsi="Arial" w:cs="Arial"/>
        </w:rPr>
      </w:pPr>
      <w:r w:rsidRPr="000A2871">
        <w:rPr>
          <w:rFonts w:ascii="Arial" w:hAnsi="Arial" w:cs="Arial"/>
        </w:rPr>
        <w:t>The next stage should therefore connect three tasks: clarify the practical problem with young adults, specify how the proposed support is expected to help, and assess both its use and its consequences. Published qualitative findings provide a starting point for these tasks. They remain open to revision when wider participation, changing circumstances or outcome evidence reveals a different account.</w:t>
      </w:r>
    </w:p>
    <w:p w14:paraId="7EE2065F" w14:textId="07C84DD1" w:rsidR="007E77F1" w:rsidRPr="000A2871" w:rsidRDefault="007E77F1" w:rsidP="000A2871">
      <w:pPr>
        <w:spacing w:after="120" w:line="360" w:lineRule="auto"/>
        <w:rPr>
          <w:rFonts w:ascii="Arial" w:hAnsi="Arial" w:cs="Arial"/>
        </w:rPr>
      </w:pPr>
      <w:r w:rsidRPr="000A2871">
        <w:rPr>
          <w:rFonts w:ascii="Arial" w:hAnsi="Arial" w:cs="Arial"/>
        </w:rPr>
        <w:t>Progress would be demonstrated by support that people can use within their circumstances, together with evidence about its benefits and burdens. The review identifies questions for that assessment and a rationale for asking them. It does not remove the need to test the response.</w:t>
      </w:r>
      <w:r w:rsidR="00911724">
        <w:rPr>
          <w:rFonts w:ascii="Arial" w:hAnsi="Arial" w:cs="Arial"/>
        </w:rPr>
        <w:br/>
      </w:r>
    </w:p>
    <w:p w14:paraId="401B6432" w14:textId="6FFFAA3C" w:rsidR="007E77F1" w:rsidRPr="000A2871" w:rsidRDefault="0031657F" w:rsidP="00F24A42">
      <w:pPr>
        <w:pStyle w:val="Heading2"/>
        <w:keepNext w:val="0"/>
        <w:keepLines w:val="0"/>
        <w:spacing w:after="80" w:line="360" w:lineRule="auto"/>
        <w:jc w:val="left"/>
        <w:rPr>
          <w:rFonts w:ascii="Arial" w:hAnsi="Arial" w:cs="Arial"/>
          <w:b w:val="0"/>
          <w:bCs/>
          <w:sz w:val="34"/>
          <w:szCs w:val="34"/>
        </w:rPr>
      </w:pPr>
      <w:bookmarkStart w:id="135" w:name="_Toc242459575"/>
      <w:r>
        <w:rPr>
          <w:rFonts w:ascii="Arial" w:hAnsi="Arial" w:cs="Arial"/>
          <w:bCs/>
          <w:sz w:val="34"/>
          <w:szCs w:val="34"/>
        </w:rPr>
        <w:t>Summary</w:t>
      </w:r>
      <w:bookmarkEnd w:id="135"/>
    </w:p>
    <w:p w14:paraId="75DFAB67" w14:textId="77777777" w:rsidR="007E77F1" w:rsidRPr="000A2871" w:rsidRDefault="007E77F1" w:rsidP="000A2871">
      <w:pPr>
        <w:spacing w:after="120" w:line="360" w:lineRule="auto"/>
        <w:rPr>
          <w:rFonts w:ascii="Arial" w:hAnsi="Arial" w:cs="Arial"/>
        </w:rPr>
      </w:pPr>
      <w:r w:rsidRPr="000A2871">
        <w:rPr>
          <w:rFonts w:ascii="Arial" w:hAnsi="Arial" w:cs="Arial"/>
        </w:rPr>
        <w:t>Young adulthood does not come with a single routine, budget or set of priorities. The review shows why obesity-related support needs to take those differences seriously. Practical assistance, credible information and respectful relationships offer a coherent direction for development. Their value lies in making healthier action more achievable without overlooking the person’s other needs. The next step is to test that direction carefully, using both young adults’ experiences and outcomes that matter for their health.</w:t>
      </w:r>
    </w:p>
    <w:p w14:paraId="14E2B6C8" w14:textId="77777777" w:rsidR="0031657F" w:rsidRDefault="0031657F">
      <w:pPr>
        <w:rPr>
          <w:rFonts w:ascii="Arial" w:eastAsia="Times New Roman" w:hAnsi="Arial" w:cs="Arial"/>
          <w:b/>
          <w:bCs/>
          <w:color w:val="000000"/>
          <w:sz w:val="46"/>
          <w:szCs w:val="46"/>
        </w:rPr>
      </w:pPr>
      <w:bookmarkStart w:id="136" w:name="_kcw1ustblf9o" w:colFirst="0" w:colLast="0"/>
      <w:bookmarkEnd w:id="136"/>
      <w:r>
        <w:rPr>
          <w:rFonts w:ascii="Arial" w:hAnsi="Arial" w:cs="Arial"/>
          <w:bCs/>
          <w:sz w:val="46"/>
          <w:szCs w:val="46"/>
        </w:rPr>
        <w:br w:type="page"/>
      </w:r>
    </w:p>
    <w:p w14:paraId="3F7C268A" w14:textId="77777777" w:rsidR="00911724" w:rsidRPr="000A2871" w:rsidRDefault="00911724" w:rsidP="00911724">
      <w:pPr>
        <w:pStyle w:val="Heading1"/>
        <w:keepNext w:val="0"/>
        <w:keepLines w:val="0"/>
        <w:spacing w:before="480" w:line="360" w:lineRule="auto"/>
        <w:jc w:val="left"/>
        <w:rPr>
          <w:rFonts w:ascii="Arial" w:hAnsi="Arial" w:cs="Arial"/>
          <w:b w:val="0"/>
          <w:bCs/>
          <w:sz w:val="46"/>
          <w:szCs w:val="46"/>
        </w:rPr>
      </w:pPr>
      <w:bookmarkStart w:id="137" w:name="_Toc242459576"/>
      <w:r w:rsidRPr="000A2871">
        <w:rPr>
          <w:rFonts w:ascii="Arial" w:hAnsi="Arial" w:cs="Arial"/>
          <w:bCs/>
          <w:sz w:val="46"/>
          <w:szCs w:val="46"/>
        </w:rPr>
        <w:lastRenderedPageBreak/>
        <w:t>References</w:t>
      </w:r>
      <w:bookmarkEnd w:id="137"/>
    </w:p>
    <w:p w14:paraId="18DF62B6" w14:textId="77777777" w:rsidR="00911724" w:rsidRPr="000A2871" w:rsidRDefault="00911724" w:rsidP="00911724">
      <w:pPr>
        <w:spacing w:after="120" w:line="360" w:lineRule="auto"/>
        <w:rPr>
          <w:rFonts w:ascii="Arial" w:hAnsi="Arial" w:cs="Arial"/>
        </w:rPr>
      </w:pPr>
      <w:r w:rsidRPr="000A2871">
        <w:rPr>
          <w:rFonts w:ascii="Arial" w:hAnsi="Arial" w:cs="Arial"/>
        </w:rPr>
        <w:t>Harvard author</w:t>
      </w:r>
      <w:r w:rsidRPr="63E617BF">
        <w:rPr>
          <w:rFonts w:ascii="Arial" w:hAnsi="Arial" w:cs="Arial"/>
        </w:rPr>
        <w:t xml:space="preserve"> </w:t>
      </w:r>
      <w:r w:rsidRPr="000A2871">
        <w:rPr>
          <w:rFonts w:ascii="Arial" w:hAnsi="Arial" w:cs="Arial"/>
        </w:rPr>
        <w:t>date references. Publication years are within 2016–2026. DOI links identify journal articles; access dates are provided for organisational and continuously updated sources.</w:t>
      </w:r>
    </w:p>
    <w:p w14:paraId="4CDAAD25"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Abarca-Gómez, L., Abdeen, Z.A., Hamid, Z.A. et al. (2017) ‘Worldwide trends in body-mass index, underweight, overweight, and obesity from 1975 to 2016: a pooled analysis of 2416 population-based measurement studies in 128·9 million children, adolescents, and adults’, </w:t>
      </w:r>
      <w:r w:rsidRPr="000A2871">
        <w:rPr>
          <w:rFonts w:ascii="Arial" w:hAnsi="Arial" w:cs="Arial"/>
          <w:i/>
          <w:iCs/>
        </w:rPr>
        <w:t>The Lancet</w:t>
      </w:r>
      <w:r w:rsidRPr="000A2871">
        <w:rPr>
          <w:rFonts w:ascii="Arial" w:hAnsi="Arial" w:cs="Arial"/>
        </w:rPr>
        <w:t>, 390(10113), pp. 2627–2642. Available at: https://doi.org/10.1016/s0140-6736(17)32129-3.</w:t>
      </w:r>
    </w:p>
    <w:p w14:paraId="7C3133CA"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Afshin, A., Sur, P.J., Fay, K.A. et al. (2019) ‘Health effects of dietary risks in 195 countries, 1990–2017: a systematic analysis for the Global Burden of Disease Study 2017’, </w:t>
      </w:r>
      <w:r w:rsidRPr="000A2871">
        <w:rPr>
          <w:rFonts w:ascii="Arial" w:hAnsi="Arial" w:cs="Arial"/>
          <w:i/>
          <w:iCs/>
        </w:rPr>
        <w:t>The Lancet</w:t>
      </w:r>
      <w:r w:rsidRPr="000A2871">
        <w:rPr>
          <w:rFonts w:ascii="Arial" w:hAnsi="Arial" w:cs="Arial"/>
        </w:rPr>
        <w:t>, 393(10184), pp. 1958–1972. Available at: https://doi.org/10.1016/s0140-6736(19)30041-8.</w:t>
      </w:r>
    </w:p>
    <w:p w14:paraId="069CB3F0"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Alexander, G.L., Lindberg, N., Firemark, A.L., Rukstalis, M.R. and McMullen, C. (2018) ‘Motivations of Young Adults for Improving Dietary Choices: Focus Group Findings Prior to the MENU GenY Dietary Change Trial’, </w:t>
      </w:r>
      <w:r w:rsidRPr="000A2871">
        <w:rPr>
          <w:rFonts w:ascii="Arial" w:hAnsi="Arial" w:cs="Arial"/>
          <w:i/>
          <w:iCs/>
        </w:rPr>
        <w:t>Health Education &amp; Behavior</w:t>
      </w:r>
      <w:r w:rsidRPr="000A2871">
        <w:rPr>
          <w:rFonts w:ascii="Arial" w:hAnsi="Arial" w:cs="Arial"/>
        </w:rPr>
        <w:t>, 45(4), pp. 492–500. Available at: https://doi.org/10.1177/1090198117736347.</w:t>
      </w:r>
    </w:p>
    <w:p w14:paraId="44AFB2DD"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Allman-Farinelli, M., Rahman, H., Nour, M., Wellard-Cole, L. and Watson, W.L. (2019) ‘The Role of Supportive Food Environments to Enable Healthier Choices When Eating Meals Prepared Outside the Home: Findings from Focus Groups of 18 to 30-Year-Olds’, </w:t>
      </w:r>
      <w:r w:rsidRPr="000A2871">
        <w:rPr>
          <w:rFonts w:ascii="Arial" w:hAnsi="Arial" w:cs="Arial"/>
          <w:i/>
          <w:iCs/>
        </w:rPr>
        <w:t>Nutrients</w:t>
      </w:r>
      <w:r w:rsidRPr="000A2871">
        <w:rPr>
          <w:rFonts w:ascii="Arial" w:hAnsi="Arial" w:cs="Arial"/>
        </w:rPr>
        <w:t>, 11(9), article 2217. Available at: https://doi.org/10.3390/nu11092217.</w:t>
      </w:r>
    </w:p>
    <w:p w14:paraId="236D965D"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Amir-Behghadami, M. (2024) ‘SPIDER as a framework to formulate eligibility criteria in qualitative systematic reviews’, </w:t>
      </w:r>
      <w:r w:rsidRPr="000A2871">
        <w:rPr>
          <w:rFonts w:ascii="Arial" w:hAnsi="Arial" w:cs="Arial"/>
          <w:i/>
          <w:iCs/>
        </w:rPr>
        <w:t>BMJ Supportive &amp; Palliative Care</w:t>
      </w:r>
      <w:r w:rsidRPr="000A2871">
        <w:rPr>
          <w:rFonts w:ascii="Arial" w:hAnsi="Arial" w:cs="Arial"/>
        </w:rPr>
        <w:t>, 14(e1), pp. e312–e313. Available at: https://doi.org/10.1136/bmjspcare-2021-003161.</w:t>
      </w:r>
    </w:p>
    <w:p w14:paraId="3E2E2B9A" w14:textId="77777777" w:rsidR="00911724" w:rsidRPr="000A2871" w:rsidRDefault="00911724" w:rsidP="00911724">
      <w:pPr>
        <w:spacing w:after="120" w:line="360" w:lineRule="auto"/>
        <w:ind w:left="360"/>
        <w:rPr>
          <w:rFonts w:ascii="Arial" w:hAnsi="Arial" w:cs="Arial"/>
        </w:rPr>
      </w:pPr>
      <w:r w:rsidRPr="000A2871">
        <w:rPr>
          <w:rFonts w:ascii="Arial" w:hAnsi="Arial" w:cs="Arial"/>
        </w:rPr>
        <w:t>Ashton, L.M., Sharkey, T., Whatnall, M.C. et al. (2020) ‘Which behaviour change techniques within interventions to prevent weight gain and/or initiate weight loss improve adiposity outcomes in young adults? A systematic review and meta</w:t>
      </w:r>
      <w:r w:rsidRPr="000A2871">
        <w:rPr>
          <w:rFonts w:ascii="Cambria Math" w:eastAsia="Times New Roman" w:hAnsi="Cambria Math" w:cs="Cambria Math"/>
        </w:rPr>
        <w:t>‐</w:t>
      </w:r>
      <w:r w:rsidRPr="000A2871">
        <w:rPr>
          <w:rFonts w:ascii="Arial" w:hAnsi="Arial" w:cs="Arial"/>
        </w:rPr>
        <w:t xml:space="preserve">analysis of randomized controlled trials’, </w:t>
      </w:r>
      <w:r w:rsidRPr="000A2871">
        <w:rPr>
          <w:rFonts w:ascii="Arial" w:hAnsi="Arial" w:cs="Arial"/>
          <w:i/>
          <w:iCs/>
        </w:rPr>
        <w:t>Obesity Reviews</w:t>
      </w:r>
      <w:r w:rsidRPr="000A2871">
        <w:rPr>
          <w:rFonts w:ascii="Arial" w:hAnsi="Arial" w:cs="Arial"/>
        </w:rPr>
        <w:t>, 21(6), e13009. Available at: https://doi.org/10.1111/obr.13009.</w:t>
      </w:r>
    </w:p>
    <w:p w14:paraId="0C4B872B"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Atanasova, P., Kusuma, D., Pineda, E., Frost, G., Sassi, F. and Miraldo, M. (2022) ‘The impact of the consumer and neighbourhood food environment on dietary intake and obesity-related outcomes: A systematic review of causal impact studies’, </w:t>
      </w:r>
      <w:r w:rsidRPr="000A2871">
        <w:rPr>
          <w:rFonts w:ascii="Arial" w:hAnsi="Arial" w:cs="Arial"/>
          <w:i/>
          <w:iCs/>
        </w:rPr>
        <w:t>Social Science &amp; Medicine</w:t>
      </w:r>
      <w:r w:rsidRPr="000A2871">
        <w:rPr>
          <w:rFonts w:ascii="Arial" w:hAnsi="Arial" w:cs="Arial"/>
        </w:rPr>
        <w:t>, 299, p. 114879. Available at: https://doi.org/10.1016/j.socscimed.2022.114879.</w:t>
      </w:r>
    </w:p>
    <w:p w14:paraId="488D3664" w14:textId="77777777" w:rsidR="00911724" w:rsidRPr="000A2871" w:rsidRDefault="00911724" w:rsidP="00911724">
      <w:pPr>
        <w:spacing w:after="120" w:line="360" w:lineRule="auto"/>
        <w:ind w:left="360"/>
        <w:rPr>
          <w:rFonts w:ascii="Arial" w:hAnsi="Arial" w:cs="Arial"/>
        </w:rPr>
      </w:pPr>
      <w:r w:rsidRPr="000A2871">
        <w:rPr>
          <w:rFonts w:ascii="Arial" w:hAnsi="Arial" w:cs="Arial"/>
        </w:rPr>
        <w:lastRenderedPageBreak/>
        <w:t xml:space="preserve">Atkins, L., Francis, J., Islam, R. et al. (2017) ‘A guide to using the Theoretical Domains Framework of behaviour change to investigate implementation problems’, </w:t>
      </w:r>
      <w:r w:rsidRPr="000A2871">
        <w:rPr>
          <w:rFonts w:ascii="Arial" w:hAnsi="Arial" w:cs="Arial"/>
          <w:i/>
          <w:iCs/>
        </w:rPr>
        <w:t>Implementation Science</w:t>
      </w:r>
      <w:r w:rsidRPr="000A2871">
        <w:rPr>
          <w:rFonts w:ascii="Arial" w:hAnsi="Arial" w:cs="Arial"/>
        </w:rPr>
        <w:t>, 12(1), 77. Available at: https://doi.org/10.1186/s13012-017-0605-9.</w:t>
      </w:r>
    </w:p>
    <w:p w14:paraId="6C6C75E3"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Bambra, C., Riordan, R., Ford, J. and Matthews, F. (2020) ‘The COVID-19 pandemic and health inequalities’, </w:t>
      </w:r>
      <w:r w:rsidRPr="000A2871">
        <w:rPr>
          <w:rFonts w:ascii="Arial" w:hAnsi="Arial" w:cs="Arial"/>
          <w:i/>
          <w:iCs/>
        </w:rPr>
        <w:t>Journal of Epidemiology and Community Health</w:t>
      </w:r>
      <w:r w:rsidRPr="000A2871">
        <w:rPr>
          <w:rFonts w:ascii="Arial" w:hAnsi="Arial" w:cs="Arial"/>
        </w:rPr>
        <w:t>, 74(11), pp. 964–968. Available at: https://doi.org/10.1136/jech-2020-214401.</w:t>
      </w:r>
    </w:p>
    <w:p w14:paraId="17F38452"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Berry, E., Aucott, L. and Poobalan, A. (2018) ‘Are young adults appreciating the health promotion messages on diet and exercise?’, </w:t>
      </w:r>
      <w:r w:rsidRPr="000A2871">
        <w:rPr>
          <w:rFonts w:ascii="Arial" w:hAnsi="Arial" w:cs="Arial"/>
          <w:i/>
          <w:iCs/>
        </w:rPr>
        <w:t>Journal of Public Health</w:t>
      </w:r>
      <w:r w:rsidRPr="000A2871">
        <w:rPr>
          <w:rFonts w:ascii="Arial" w:hAnsi="Arial" w:cs="Arial"/>
        </w:rPr>
        <w:t>, 26(6), pp. 687–696. Available at: https://doi.org/10.1007/s10389-018-0905-9.</w:t>
      </w:r>
    </w:p>
    <w:p w14:paraId="74280531"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Bidstrup, H., Brennan, L., Kaufmann, L. and de la Piedad Garcia, X. (2022) ‘Internalised weight stigma as a mediator of the relationship between experienced/perceived weight stigma and biopsychosocial outcomes: a systematic review’, </w:t>
      </w:r>
      <w:r w:rsidRPr="000A2871">
        <w:rPr>
          <w:rFonts w:ascii="Arial" w:hAnsi="Arial" w:cs="Arial"/>
          <w:i/>
          <w:iCs/>
        </w:rPr>
        <w:t>International Journal of Obesity</w:t>
      </w:r>
      <w:r w:rsidRPr="000A2871">
        <w:rPr>
          <w:rFonts w:ascii="Arial" w:hAnsi="Arial" w:cs="Arial"/>
        </w:rPr>
        <w:t>, 46(1), pp. 1–9. Available at: https://doi.org/10.1038/s41366-021-00982-4.</w:t>
      </w:r>
    </w:p>
    <w:p w14:paraId="3E5C2CFA"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Blüher, M. (2019) ‘Obesity: global epidemiology and pathogenesis’, </w:t>
      </w:r>
      <w:r w:rsidRPr="000A2871">
        <w:rPr>
          <w:rFonts w:ascii="Arial" w:hAnsi="Arial" w:cs="Arial"/>
          <w:i/>
          <w:iCs/>
        </w:rPr>
        <w:t>Nature Reviews Endocrinology</w:t>
      </w:r>
      <w:r w:rsidRPr="000A2871">
        <w:rPr>
          <w:rFonts w:ascii="Arial" w:hAnsi="Arial" w:cs="Arial"/>
        </w:rPr>
        <w:t>, 15(5), pp. 288–298. Available at: https://doi.org/10.1038/s41574-019-0176-8.</w:t>
      </w:r>
    </w:p>
    <w:p w14:paraId="7136362E" w14:textId="77777777" w:rsidR="00911724" w:rsidRPr="000A2871" w:rsidRDefault="00911724" w:rsidP="00911724">
      <w:pPr>
        <w:spacing w:after="120" w:line="360" w:lineRule="auto"/>
        <w:ind w:left="360"/>
        <w:rPr>
          <w:rFonts w:ascii="Arial" w:hAnsi="Arial" w:cs="Arial"/>
        </w:rPr>
      </w:pPr>
      <w:r w:rsidRPr="000A2871">
        <w:rPr>
          <w:rFonts w:ascii="Arial" w:hAnsi="Arial" w:cs="Arial"/>
        </w:rPr>
        <w:t>Borek, A.J., Abraham, C., Greaves, C.J. and Tarrant, M. (2018) ‘Group</w:t>
      </w:r>
      <w:r w:rsidRPr="000A2871">
        <w:rPr>
          <w:rFonts w:ascii="Cambria Math" w:eastAsia="Times New Roman" w:hAnsi="Cambria Math" w:cs="Cambria Math"/>
        </w:rPr>
        <w:t>‐</w:t>
      </w:r>
      <w:r w:rsidRPr="000A2871">
        <w:rPr>
          <w:rFonts w:ascii="Arial" w:hAnsi="Arial" w:cs="Arial"/>
        </w:rPr>
        <w:t>Based Diet and Physical Activity Weight</w:t>
      </w:r>
      <w:r w:rsidRPr="000A2871">
        <w:rPr>
          <w:rFonts w:ascii="Cambria Math" w:eastAsia="Times New Roman" w:hAnsi="Cambria Math" w:cs="Cambria Math"/>
        </w:rPr>
        <w:t>‐</w:t>
      </w:r>
      <w:r w:rsidRPr="000A2871">
        <w:rPr>
          <w:rFonts w:ascii="Arial" w:hAnsi="Arial" w:cs="Arial"/>
        </w:rPr>
        <w:t>Loss Interventions: A Systematic Review and Meta</w:t>
      </w:r>
      <w:r w:rsidRPr="000A2871">
        <w:rPr>
          <w:rFonts w:ascii="Cambria Math" w:eastAsia="Times New Roman" w:hAnsi="Cambria Math" w:cs="Cambria Math"/>
        </w:rPr>
        <w:t>‐</w:t>
      </w:r>
      <w:r w:rsidRPr="000A2871">
        <w:rPr>
          <w:rFonts w:ascii="Arial" w:hAnsi="Arial" w:cs="Arial"/>
        </w:rPr>
        <w:t xml:space="preserve">Analysis of Randomised Controlled Trials’, </w:t>
      </w:r>
      <w:r w:rsidRPr="000A2871">
        <w:rPr>
          <w:rFonts w:ascii="Arial" w:hAnsi="Arial" w:cs="Arial"/>
          <w:i/>
          <w:iCs/>
        </w:rPr>
        <w:t>Applied Psychology: Health and Well-Being</w:t>
      </w:r>
      <w:r w:rsidRPr="000A2871">
        <w:rPr>
          <w:rFonts w:ascii="Arial" w:hAnsi="Arial" w:cs="Arial"/>
        </w:rPr>
        <w:t>, 10(1), pp. 62–86. Available at: https://doi.org/10.1111/aphw.12121.</w:t>
      </w:r>
    </w:p>
    <w:p w14:paraId="47C967DD"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Braun, V. and Clarke, V. (2019) ‘Reflecting on reflexive thematic analysis’, </w:t>
      </w:r>
      <w:r w:rsidRPr="000A2871">
        <w:rPr>
          <w:rFonts w:ascii="Arial" w:hAnsi="Arial" w:cs="Arial"/>
          <w:i/>
          <w:iCs/>
        </w:rPr>
        <w:t>Qualitative Research in Sport</w:t>
      </w:r>
      <w:r w:rsidRPr="000A2871">
        <w:rPr>
          <w:rFonts w:ascii="Arial" w:hAnsi="Arial" w:cs="Arial"/>
        </w:rPr>
        <w:t>, Exercise and Health, 11(4), pp. 589–597. Available at: https://doi.org/10.1080/2159676x.2019.1628806.</w:t>
      </w:r>
    </w:p>
    <w:p w14:paraId="14A26B85"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Braun, V. and Clarke, V. (2021) ‘One size fit all? What counts as quality practice in (reflexive) thematic analysis?’, </w:t>
      </w:r>
      <w:r w:rsidRPr="000A2871">
        <w:rPr>
          <w:rFonts w:ascii="Arial" w:hAnsi="Arial" w:cs="Arial"/>
          <w:i/>
          <w:iCs/>
        </w:rPr>
        <w:t>Qualitative Research in Psychology</w:t>
      </w:r>
      <w:r w:rsidRPr="000A2871">
        <w:rPr>
          <w:rFonts w:ascii="Arial" w:hAnsi="Arial" w:cs="Arial"/>
        </w:rPr>
        <w:t>, 18(3), pp. 328–352. Available at: https://doi.org/10.1080/14780887.2020.1769238.</w:t>
      </w:r>
    </w:p>
    <w:p w14:paraId="360385D0"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Briggs, R., Rowden, H., Lagojda, L., Robbins, T. and Randeva, H.S. (2024) ‘The lived experience of food insecurity among adults with obesity: a quantitative and qualitative systematic review’, </w:t>
      </w:r>
      <w:r w:rsidRPr="000A2871">
        <w:rPr>
          <w:rFonts w:ascii="Arial" w:hAnsi="Arial" w:cs="Arial"/>
          <w:i/>
          <w:iCs/>
        </w:rPr>
        <w:t>Journal of Public Health</w:t>
      </w:r>
      <w:r w:rsidRPr="000A2871">
        <w:rPr>
          <w:rFonts w:ascii="Arial" w:hAnsi="Arial" w:cs="Arial"/>
        </w:rPr>
        <w:t>, 46(2), pp. 230–249. Available at: https://doi.org/10.1093/pubmed/fdae016.</w:t>
      </w:r>
    </w:p>
    <w:p w14:paraId="403154C1"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Bull, F.C., Al-Ansari, S.S., Biddle, S. et al. (2020) ‘World Health Organization 2020 guidelines on physical activity and sedentary behaviour’, </w:t>
      </w:r>
      <w:r w:rsidRPr="000A2871">
        <w:rPr>
          <w:rFonts w:ascii="Arial" w:hAnsi="Arial" w:cs="Arial"/>
          <w:i/>
          <w:iCs/>
        </w:rPr>
        <w:t xml:space="preserve">British Journal of Sports </w:t>
      </w:r>
      <w:r w:rsidRPr="000A2871">
        <w:rPr>
          <w:rFonts w:ascii="Arial" w:hAnsi="Arial" w:cs="Arial"/>
          <w:i/>
          <w:iCs/>
        </w:rPr>
        <w:lastRenderedPageBreak/>
        <w:t>Medicine</w:t>
      </w:r>
      <w:r w:rsidRPr="000A2871">
        <w:rPr>
          <w:rFonts w:ascii="Arial" w:hAnsi="Arial" w:cs="Arial"/>
        </w:rPr>
        <w:t>, 54(24), pp. 1451–1462. Available at: https://doi.org/10.1136/bjsports-2020-102955.</w:t>
      </w:r>
    </w:p>
    <w:p w14:paraId="3F8D41EF"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Cadario, R. and Chandon, P. (2020) ‘Which Healthy Eating Nudges Work Best? A Meta-Analysis of Field Experiments’, </w:t>
      </w:r>
      <w:r w:rsidRPr="000A2871">
        <w:rPr>
          <w:rFonts w:ascii="Arial" w:hAnsi="Arial" w:cs="Arial"/>
          <w:i/>
          <w:iCs/>
        </w:rPr>
        <w:t>Marketing Science</w:t>
      </w:r>
      <w:r w:rsidRPr="000A2871">
        <w:rPr>
          <w:rFonts w:ascii="Arial" w:hAnsi="Arial" w:cs="Arial"/>
        </w:rPr>
        <w:t>, 39(3), pp. 465–486. Available at: https://doi.org/10.1287/mksc.2018.1128.</w:t>
      </w:r>
    </w:p>
    <w:p w14:paraId="29275527"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Canzini, M. and Langdon-Daly, J. (2025) ‘‘I think from my experience, it’s a negative thing for most people’: Exploring the perspectives of young British women opposed to the calories on menus policy in the UK’, </w:t>
      </w:r>
      <w:r w:rsidRPr="000A2871">
        <w:rPr>
          <w:rFonts w:ascii="Arial" w:hAnsi="Arial" w:cs="Arial"/>
          <w:i/>
          <w:iCs/>
        </w:rPr>
        <w:t>Journal of Health Psychology</w:t>
      </w:r>
      <w:r w:rsidRPr="000A2871">
        <w:rPr>
          <w:rFonts w:ascii="Arial" w:hAnsi="Arial" w:cs="Arial"/>
        </w:rPr>
        <w:t>, 30(13), pp. 3698–3713. Available at: https://doi.org/10.1177/13591053251318192.</w:t>
      </w:r>
    </w:p>
    <w:p w14:paraId="64FA7F26" w14:textId="77777777" w:rsidR="00911724" w:rsidRPr="000A2871" w:rsidRDefault="00911724" w:rsidP="00911724">
      <w:pPr>
        <w:spacing w:after="120" w:line="360" w:lineRule="auto"/>
        <w:ind w:left="360"/>
        <w:rPr>
          <w:rFonts w:ascii="Arial" w:hAnsi="Arial" w:cs="Arial"/>
        </w:rPr>
      </w:pPr>
      <w:r w:rsidRPr="000A2871">
        <w:rPr>
          <w:rFonts w:ascii="Arial" w:hAnsi="Arial" w:cs="Arial"/>
        </w:rPr>
        <w:t>Carrillo</w:t>
      </w:r>
      <w:r w:rsidRPr="000A2871">
        <w:rPr>
          <w:rFonts w:ascii="Cambria Math" w:eastAsia="Times New Roman" w:hAnsi="Cambria Math" w:cs="Cambria Math"/>
        </w:rPr>
        <w:t>‐</w:t>
      </w:r>
      <w:r w:rsidRPr="000A2871">
        <w:rPr>
          <w:rFonts w:ascii="Arial" w:hAnsi="Arial" w:cs="Arial"/>
        </w:rPr>
        <w:t>Álvarez, E., Kawachi, I. and Riera</w:t>
      </w:r>
      <w:r w:rsidRPr="000A2871">
        <w:rPr>
          <w:rFonts w:ascii="Cambria Math" w:eastAsia="Times New Roman" w:hAnsi="Cambria Math" w:cs="Cambria Math"/>
        </w:rPr>
        <w:t>‐</w:t>
      </w:r>
      <w:r w:rsidRPr="000A2871">
        <w:rPr>
          <w:rFonts w:ascii="Arial" w:hAnsi="Arial" w:cs="Arial"/>
        </w:rPr>
        <w:t xml:space="preserve">Romaní, J. (2019) ‘Neighbourhood social capital and obesity: a systematic review of the literature’, </w:t>
      </w:r>
      <w:r w:rsidRPr="000A2871">
        <w:rPr>
          <w:rFonts w:ascii="Arial" w:hAnsi="Arial" w:cs="Arial"/>
          <w:i/>
          <w:iCs/>
        </w:rPr>
        <w:t>Obesity Reviews</w:t>
      </w:r>
      <w:r w:rsidRPr="000A2871">
        <w:rPr>
          <w:rFonts w:ascii="Arial" w:hAnsi="Arial" w:cs="Arial"/>
        </w:rPr>
        <w:t>, 20(1), pp. 119–141. Available at: https://doi.org/10.1111/obr.12760.</w:t>
      </w:r>
    </w:p>
    <w:p w14:paraId="78ECC7AB"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Coates, A.E., Hardman, C.A., Halford, J.C.G., Christiansen, P. and Boyland, E.J. (2019) ‘Social Media Influencer Marketing and Children’s Food Intake: A Randomized Trial’, </w:t>
      </w:r>
      <w:r w:rsidRPr="000A2871">
        <w:rPr>
          <w:rFonts w:ascii="Arial" w:hAnsi="Arial" w:cs="Arial"/>
          <w:i/>
          <w:iCs/>
        </w:rPr>
        <w:t>Pediatrics</w:t>
      </w:r>
      <w:r w:rsidRPr="000A2871">
        <w:rPr>
          <w:rFonts w:ascii="Arial" w:hAnsi="Arial" w:cs="Arial"/>
        </w:rPr>
        <w:t>, 143(4), e20182554. Available at: https://doi.org/10.1542/peds.2018-2554.</w:t>
      </w:r>
    </w:p>
    <w:p w14:paraId="2EB4D66B"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Critical Appraisal Skills Programme (CASP) (2024) CASP checklist: for qualitative research. Available at: https://casp-uk.net/casp-checklists/CASP-checklist-qualitative-2024.pdf (Accessed: </w:t>
      </w:r>
      <w:r>
        <w:rPr>
          <w:rFonts w:ascii="Arial" w:hAnsi="Arial" w:cs="Arial"/>
        </w:rPr>
        <w:t>24 September</w:t>
      </w:r>
      <w:r w:rsidRPr="000A2871">
        <w:rPr>
          <w:rFonts w:ascii="Arial" w:hAnsi="Arial" w:cs="Arial"/>
        </w:rPr>
        <w:t xml:space="preserve"> 2026).</w:t>
      </w:r>
    </w:p>
    <w:p w14:paraId="6A92A4E7"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Crockett, R.A., King, S.E., Marteau, T.M. et al. (2018) ‘Nutritional labelling for healthier food or non-alcoholic drink purchasing and consumption’, </w:t>
      </w:r>
      <w:r w:rsidRPr="000A2871">
        <w:rPr>
          <w:rFonts w:ascii="Arial" w:hAnsi="Arial" w:cs="Arial"/>
          <w:i/>
          <w:iCs/>
        </w:rPr>
        <w:t>Cochrane Database of Systematic Reviews</w:t>
      </w:r>
      <w:r w:rsidRPr="000A2871">
        <w:rPr>
          <w:rFonts w:ascii="Arial" w:hAnsi="Arial" w:cs="Arial"/>
        </w:rPr>
        <w:t>, 2021(6). Available at: https://doi.org/10.1002/14651858.cd009315.pub2.</w:t>
      </w:r>
    </w:p>
    <w:p w14:paraId="16CD308D"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Denniss, E., Lindberg, R., Abbott, G. and McNaughton, S.A. (2026) ‘Social Media Use for Nutrition-Related Information and Dietary Behaviors’, </w:t>
      </w:r>
      <w:r w:rsidRPr="000A2871">
        <w:rPr>
          <w:rFonts w:ascii="Arial" w:hAnsi="Arial" w:cs="Arial"/>
          <w:i/>
          <w:iCs/>
        </w:rPr>
        <w:t>Journal of Nutrition Education and Behavior</w:t>
      </w:r>
      <w:r w:rsidRPr="000A2871">
        <w:rPr>
          <w:rFonts w:ascii="Arial" w:hAnsi="Arial" w:cs="Arial"/>
        </w:rPr>
        <w:t>, 58(8), pp. 792–802. Available at: https://doi.org/10.1016/j.jneb.2026.03.003.</w:t>
      </w:r>
    </w:p>
    <w:p w14:paraId="58CC43A6"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Department of Health and Social Care (2020) Tackling obesity: empowering adults and children to live healthier lives. Available at: https://www.gov.uk/government/publications/tackling-obesity-government-strategy/tackling-obesity-empowering-adults-and-children-to-live-healthier-lives (Accessed: </w:t>
      </w:r>
      <w:r>
        <w:rPr>
          <w:rFonts w:ascii="Arial" w:hAnsi="Arial" w:cs="Arial"/>
        </w:rPr>
        <w:t>24 September</w:t>
      </w:r>
      <w:r w:rsidRPr="000A2871">
        <w:rPr>
          <w:rFonts w:ascii="Arial" w:hAnsi="Arial" w:cs="Arial"/>
        </w:rPr>
        <w:t xml:space="preserve"> 2026).</w:t>
      </w:r>
    </w:p>
    <w:p w14:paraId="2F4C1A83"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Department of Health and Social Care (2022) New calorie labelling rules come into force to improve nation’s health. Available at: https://www.gov.uk/government/news/new-calorie-labelling-rules-come-into-force-to-improve-nations-health (Accessed: </w:t>
      </w:r>
      <w:r>
        <w:rPr>
          <w:rFonts w:ascii="Arial" w:hAnsi="Arial" w:cs="Arial"/>
        </w:rPr>
        <w:t>24 September</w:t>
      </w:r>
      <w:r w:rsidRPr="000A2871">
        <w:rPr>
          <w:rFonts w:ascii="Arial" w:hAnsi="Arial" w:cs="Arial"/>
        </w:rPr>
        <w:t xml:space="preserve"> 2026).</w:t>
      </w:r>
    </w:p>
    <w:p w14:paraId="15A1D9F3" w14:textId="77777777" w:rsidR="00911724" w:rsidRPr="000A2871" w:rsidRDefault="00911724" w:rsidP="00911724">
      <w:pPr>
        <w:spacing w:after="120" w:line="360" w:lineRule="auto"/>
        <w:ind w:left="360"/>
        <w:rPr>
          <w:rFonts w:ascii="Arial" w:hAnsi="Arial" w:cs="Arial"/>
        </w:rPr>
      </w:pPr>
      <w:r w:rsidRPr="000A2871">
        <w:rPr>
          <w:rFonts w:ascii="Arial" w:hAnsi="Arial" w:cs="Arial"/>
        </w:rPr>
        <w:lastRenderedPageBreak/>
        <w:t xml:space="preserve">Dossett, L.A., Kaji, A.H. and Cochran, A. (2021) ‘SRQR and COREQ Reporting Guidelines for Qualitative Studies’, </w:t>
      </w:r>
      <w:r w:rsidRPr="000A2871">
        <w:rPr>
          <w:rFonts w:ascii="Arial" w:hAnsi="Arial" w:cs="Arial"/>
          <w:i/>
          <w:iCs/>
        </w:rPr>
        <w:t>JAMA Surgery</w:t>
      </w:r>
      <w:r w:rsidRPr="000A2871">
        <w:rPr>
          <w:rFonts w:ascii="Arial" w:hAnsi="Arial" w:cs="Arial"/>
        </w:rPr>
        <w:t>, 156(9), p. 875. Available at: https://doi.org/10.1001/jamasurg.2021.0525.</w:t>
      </w:r>
    </w:p>
    <w:p w14:paraId="7D330841"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Easton, S., Morton, K., Tappy, Z., Francis, D. and Dennison, L. (2018) ‘Young People’s Experiences of Viewing the Fitspiration Social Media Trend: Qualitative Study’, </w:t>
      </w:r>
      <w:r w:rsidRPr="000A2871">
        <w:rPr>
          <w:rFonts w:ascii="Arial" w:hAnsi="Arial" w:cs="Arial"/>
          <w:i/>
          <w:iCs/>
        </w:rPr>
        <w:t>Journal of Medical Internet Research</w:t>
      </w:r>
      <w:r w:rsidRPr="000A2871">
        <w:rPr>
          <w:rFonts w:ascii="Arial" w:hAnsi="Arial" w:cs="Arial"/>
        </w:rPr>
        <w:t>, 20(6), article e219. Available at: https://doi.org/10.2196/jmir.9156.</w:t>
      </w:r>
    </w:p>
    <w:p w14:paraId="29D0A2AC" w14:textId="77777777" w:rsidR="00911724" w:rsidRPr="000A2871" w:rsidRDefault="00911724" w:rsidP="00911724">
      <w:pPr>
        <w:spacing w:after="120" w:line="360" w:lineRule="auto"/>
        <w:ind w:left="360"/>
        <w:rPr>
          <w:rFonts w:ascii="Arial" w:hAnsi="Arial" w:cs="Arial"/>
        </w:rPr>
      </w:pPr>
      <w:r w:rsidRPr="000A2871">
        <w:rPr>
          <w:rFonts w:ascii="Arial" w:hAnsi="Arial" w:cs="Arial"/>
        </w:rPr>
        <w:t>Eskandari, F., Lake, A.A., Rose, K., Butler, M. and O'Malley, C. (2022) ‘A mixed</w:t>
      </w:r>
      <w:r w:rsidRPr="000A2871">
        <w:rPr>
          <w:rFonts w:ascii="Cambria Math" w:eastAsia="Times New Roman" w:hAnsi="Cambria Math" w:cs="Cambria Math"/>
        </w:rPr>
        <w:t>‐</w:t>
      </w:r>
      <w:r w:rsidRPr="000A2871">
        <w:rPr>
          <w:rFonts w:ascii="Arial" w:hAnsi="Arial" w:cs="Arial"/>
        </w:rPr>
        <w:t>method systematic review and meta</w:t>
      </w:r>
      <w:r w:rsidRPr="000A2871">
        <w:rPr>
          <w:rFonts w:ascii="Cambria Math" w:eastAsia="Times New Roman" w:hAnsi="Cambria Math" w:cs="Cambria Math"/>
        </w:rPr>
        <w:t>‐</w:t>
      </w:r>
      <w:r w:rsidRPr="000A2871">
        <w:rPr>
          <w:rFonts w:ascii="Arial" w:hAnsi="Arial" w:cs="Arial"/>
        </w:rPr>
        <w:t>analysis of the influences of food environments and food insecurity on obesity in high</w:t>
      </w:r>
      <w:r w:rsidRPr="000A2871">
        <w:rPr>
          <w:rFonts w:ascii="Cambria Math" w:eastAsia="Times New Roman" w:hAnsi="Cambria Math" w:cs="Cambria Math"/>
        </w:rPr>
        <w:t>‐</w:t>
      </w:r>
      <w:r w:rsidRPr="000A2871">
        <w:rPr>
          <w:rFonts w:ascii="Arial" w:hAnsi="Arial" w:cs="Arial"/>
        </w:rPr>
        <w:t xml:space="preserve">income countries’, </w:t>
      </w:r>
      <w:r w:rsidRPr="000A2871">
        <w:rPr>
          <w:rFonts w:ascii="Arial" w:hAnsi="Arial" w:cs="Arial"/>
          <w:i/>
          <w:iCs/>
        </w:rPr>
        <w:t>Food Science &amp; Nutrition</w:t>
      </w:r>
      <w:r w:rsidRPr="000A2871">
        <w:rPr>
          <w:rFonts w:ascii="Arial" w:hAnsi="Arial" w:cs="Arial"/>
        </w:rPr>
        <w:t>, 10(11), pp. 3689–3723. Available at: https://doi.org/10.1002/fsn3.2969.</w:t>
      </w:r>
    </w:p>
    <w:p w14:paraId="43FD5A1B" w14:textId="77777777" w:rsidR="00911724" w:rsidRPr="000A2871" w:rsidRDefault="00911724" w:rsidP="00911724">
      <w:pPr>
        <w:spacing w:after="120" w:line="360" w:lineRule="auto"/>
        <w:ind w:left="360"/>
        <w:rPr>
          <w:rFonts w:ascii="Arial" w:hAnsi="Arial" w:cs="Arial"/>
        </w:rPr>
      </w:pPr>
      <w:r w:rsidRPr="000A2871">
        <w:rPr>
          <w:rFonts w:ascii="Arial" w:hAnsi="Arial" w:cs="Arial"/>
        </w:rPr>
        <w:t>Fatima, Y., Doi, S.A.R. and Mamun, A.A. (2016) ‘Sleep quality and obesity in young subjects: a meta</w:t>
      </w:r>
      <w:r w:rsidRPr="000A2871">
        <w:rPr>
          <w:rFonts w:ascii="Cambria Math" w:eastAsia="Times New Roman" w:hAnsi="Cambria Math" w:cs="Cambria Math"/>
        </w:rPr>
        <w:t>‐</w:t>
      </w:r>
      <w:r w:rsidRPr="000A2871">
        <w:rPr>
          <w:rFonts w:ascii="Arial" w:hAnsi="Arial" w:cs="Arial"/>
        </w:rPr>
        <w:t xml:space="preserve">analysis’, </w:t>
      </w:r>
      <w:r w:rsidRPr="000A2871">
        <w:rPr>
          <w:rFonts w:ascii="Arial" w:hAnsi="Arial" w:cs="Arial"/>
          <w:i/>
          <w:iCs/>
        </w:rPr>
        <w:t>Obesity Reviews</w:t>
      </w:r>
      <w:r w:rsidRPr="000A2871">
        <w:rPr>
          <w:rFonts w:ascii="Arial" w:hAnsi="Arial" w:cs="Arial"/>
        </w:rPr>
        <w:t>, 17(11), pp. 1154–1166. Available at: https://doi.org/10.1111/obr.12444.</w:t>
      </w:r>
    </w:p>
    <w:p w14:paraId="69768B6F"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Fazzino, T.L., Serwatka, C., Schneider, H. and Sullivan, D. (2019) ‘A systematic review of the methodology used to study weight change among young adults attending college’, </w:t>
      </w:r>
      <w:r w:rsidRPr="000A2871">
        <w:rPr>
          <w:rFonts w:ascii="Arial" w:hAnsi="Arial" w:cs="Arial"/>
          <w:i/>
          <w:iCs/>
        </w:rPr>
        <w:t>Eating Behaviors</w:t>
      </w:r>
      <w:r w:rsidRPr="000A2871">
        <w:rPr>
          <w:rFonts w:ascii="Arial" w:hAnsi="Arial" w:cs="Arial"/>
        </w:rPr>
        <w:t>, 35, p. 101333. Available at: https://doi.org/10.1016/j.eatbeh.2019.101333.</w:t>
      </w:r>
    </w:p>
    <w:p w14:paraId="03D00210"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Finlay, A., Jones, A., Thorp, P. et al. (2025) ‘Accuracy of menu calorie labelling in the England out-of-home food sector during 2024: assessment of a national food policy’, </w:t>
      </w:r>
      <w:r w:rsidRPr="000A2871">
        <w:rPr>
          <w:rFonts w:ascii="Arial" w:hAnsi="Arial" w:cs="Arial"/>
          <w:i/>
          <w:iCs/>
        </w:rPr>
        <w:t>British Journal of Nutrition</w:t>
      </w:r>
      <w:r w:rsidRPr="000A2871">
        <w:rPr>
          <w:rFonts w:ascii="Arial" w:hAnsi="Arial" w:cs="Arial"/>
        </w:rPr>
        <w:t>, 134(8), pp. 696–704. Available at: https://doi.org/10.1017/s0007114525105217.</w:t>
      </w:r>
    </w:p>
    <w:p w14:paraId="5DEBC008"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Flemming, K. and Noyes, J. (2021) ‘Qualitative Evidence Synthesis: Where Are We at?’, </w:t>
      </w:r>
      <w:r w:rsidRPr="000A2871">
        <w:rPr>
          <w:rFonts w:ascii="Arial" w:hAnsi="Arial" w:cs="Arial"/>
          <w:i/>
          <w:iCs/>
        </w:rPr>
        <w:t>International Journal of Qualitative Methods</w:t>
      </w:r>
      <w:r w:rsidRPr="000A2871">
        <w:rPr>
          <w:rFonts w:ascii="Arial" w:hAnsi="Arial" w:cs="Arial"/>
        </w:rPr>
        <w:t>, 20, 1609406921993276. Available at: https://doi.org/10.1177/1609406921993276.</w:t>
      </w:r>
    </w:p>
    <w:p w14:paraId="3832D0CB"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Flint, S.W. and Reale, S. (2018) ‘Weight stigma in frequent exercisers: Overt, demeaning and condescending’, </w:t>
      </w:r>
      <w:r w:rsidRPr="000A2871">
        <w:rPr>
          <w:rFonts w:ascii="Arial" w:hAnsi="Arial" w:cs="Arial"/>
          <w:i/>
          <w:iCs/>
        </w:rPr>
        <w:t>Journal of Health Psychology</w:t>
      </w:r>
      <w:r w:rsidRPr="000A2871">
        <w:rPr>
          <w:rFonts w:ascii="Arial" w:hAnsi="Arial" w:cs="Arial"/>
        </w:rPr>
        <w:t>, 23(5), pp. 710–719. Available at: https://doi.org/10.1177/1359105316656232.</w:t>
      </w:r>
    </w:p>
    <w:p w14:paraId="1080C614"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Ghelani, D.P., Moran, L.J., Johnson, C., Mousa, A. and Naderpoor, N. (2020) ‘Mobile Apps for Weight Management: A Review of the Latest Evidence to Inform Practice’, </w:t>
      </w:r>
      <w:r w:rsidRPr="000A2871">
        <w:rPr>
          <w:rFonts w:ascii="Arial" w:hAnsi="Arial" w:cs="Arial"/>
          <w:i/>
          <w:iCs/>
        </w:rPr>
        <w:t>Frontiers in Endocrinology</w:t>
      </w:r>
      <w:r w:rsidRPr="000A2871">
        <w:rPr>
          <w:rFonts w:ascii="Arial" w:hAnsi="Arial" w:cs="Arial"/>
        </w:rPr>
        <w:t>, 11, 412. Available at: https://doi.org/10.3389/fendo.2020.00412.</w:t>
      </w:r>
    </w:p>
    <w:p w14:paraId="373BA7EF" w14:textId="77777777" w:rsidR="00911724" w:rsidRPr="000A2871" w:rsidRDefault="00911724" w:rsidP="00911724">
      <w:pPr>
        <w:spacing w:after="120" w:line="360" w:lineRule="auto"/>
        <w:ind w:left="360"/>
        <w:rPr>
          <w:rFonts w:ascii="Arial" w:hAnsi="Arial" w:cs="Arial"/>
        </w:rPr>
      </w:pPr>
      <w:r w:rsidRPr="000A2871">
        <w:rPr>
          <w:rFonts w:ascii="Arial" w:hAnsi="Arial" w:cs="Arial"/>
        </w:rPr>
        <w:t>Godino, J.G., Merchant, G., Norman, G.J. et al. (2016) ‘Using social and mobile tools for weight loss in overweight and obese young adults (Project SMART): a 2 year, parallel-</w:t>
      </w:r>
      <w:r w:rsidRPr="000A2871">
        <w:rPr>
          <w:rFonts w:ascii="Arial" w:hAnsi="Arial" w:cs="Arial"/>
        </w:rPr>
        <w:lastRenderedPageBreak/>
        <w:t xml:space="preserve">group, randomised, controlled trial’, </w:t>
      </w:r>
      <w:r w:rsidRPr="000A2871">
        <w:rPr>
          <w:rFonts w:ascii="Arial" w:hAnsi="Arial" w:cs="Arial"/>
          <w:i/>
          <w:iCs/>
        </w:rPr>
        <w:t>The Lancet Diabetes &amp; Endocrinology</w:t>
      </w:r>
      <w:r w:rsidRPr="000A2871">
        <w:rPr>
          <w:rFonts w:ascii="Arial" w:hAnsi="Arial" w:cs="Arial"/>
        </w:rPr>
        <w:t>, 4(9), pp. 747–755. Available at: https://doi.org/10.1016/s2213-8587(16)30105-x.</w:t>
      </w:r>
    </w:p>
    <w:p w14:paraId="06A65E49"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Guthold, R., Stevens, G.A., Riley, L.M. and Bull, F.C. (2018) ‘Worldwide trends in insufficient physical activity from 2001 to 2016: a pooled analysis of 358 population-based surveys with 1·9 million participants’, </w:t>
      </w:r>
      <w:r w:rsidRPr="000A2871">
        <w:rPr>
          <w:rFonts w:ascii="Arial" w:hAnsi="Arial" w:cs="Arial"/>
          <w:i/>
          <w:iCs/>
        </w:rPr>
        <w:t>The Lancet Global Health</w:t>
      </w:r>
      <w:r w:rsidRPr="000A2871">
        <w:rPr>
          <w:rFonts w:ascii="Arial" w:hAnsi="Arial" w:cs="Arial"/>
        </w:rPr>
        <w:t>, 6(10), pp. e1077–e1086. Available at: https://doi.org/10.1016/s2214-109x(18)30357-7.</w:t>
      </w:r>
    </w:p>
    <w:p w14:paraId="377BBD8F"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Hafiz, A.A., Gallagher, A.M., Devine, L. and Hill, A.J. (2023) ‘University student practices and perceptions on eating behaviours whilst living away from home’, </w:t>
      </w:r>
      <w:r w:rsidRPr="000A2871">
        <w:rPr>
          <w:rFonts w:ascii="Arial" w:hAnsi="Arial" w:cs="Arial"/>
          <w:i/>
          <w:iCs/>
        </w:rPr>
        <w:t>International Journal of Educational Research</w:t>
      </w:r>
      <w:r w:rsidRPr="000A2871">
        <w:rPr>
          <w:rFonts w:ascii="Arial" w:hAnsi="Arial" w:cs="Arial"/>
        </w:rPr>
        <w:t>, 117, article 102133. Available at: https://doi.org/10.1016/j.ijer.2022.102133.</w:t>
      </w:r>
    </w:p>
    <w:p w14:paraId="2123E2C7"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Hall, K.D., Ayuketah, A., Brychta, R. et al. (2019) ‘Ultra-Processed Diets Cause Excess Calorie Intake and Weight Gain: An Inpatient Randomized Controlled Trial of Ad Libitum Food Intake’, </w:t>
      </w:r>
      <w:r w:rsidRPr="000A2871">
        <w:rPr>
          <w:rFonts w:ascii="Arial" w:hAnsi="Arial" w:cs="Arial"/>
          <w:i/>
          <w:iCs/>
        </w:rPr>
        <w:t>Cell Metabolism</w:t>
      </w:r>
      <w:r w:rsidRPr="000A2871">
        <w:rPr>
          <w:rFonts w:ascii="Arial" w:hAnsi="Arial" w:cs="Arial"/>
        </w:rPr>
        <w:t>, 30(1), pp. 67–77.e3. Available at: https://doi.org/10.1016/j.cmet.2019.05.008.</w:t>
      </w:r>
    </w:p>
    <w:p w14:paraId="78BFBF3C"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Hamer, O., Larkin, D., Relph, N. and Dey, P. (2023) ‘Fear as a barrier to physical activity in young adults with obesity: a qualitative study’, </w:t>
      </w:r>
      <w:r w:rsidRPr="000A2871">
        <w:rPr>
          <w:rFonts w:ascii="Arial" w:hAnsi="Arial" w:cs="Arial"/>
          <w:i/>
          <w:iCs/>
        </w:rPr>
        <w:t>Qualitative Research in Sport</w:t>
      </w:r>
      <w:r w:rsidRPr="000A2871">
        <w:rPr>
          <w:rFonts w:ascii="Arial" w:hAnsi="Arial" w:cs="Arial"/>
        </w:rPr>
        <w:t>, Exercise and Health, 15(1), pp. 18–34. Available at: https://doi.org/10.1080/2159676x.2021.2012243.</w:t>
      </w:r>
    </w:p>
    <w:p w14:paraId="6F1863EB"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Harris, J.L., Booth, A., Cargo, M. et al. (2018) ‘Cochrane Qualitative and Implementation Methods Group guidance series—paper 2: methods for question formulation, searching, and protocol development for qualitative evidence synthesis’, </w:t>
      </w:r>
      <w:r w:rsidRPr="000A2871">
        <w:rPr>
          <w:rFonts w:ascii="Arial" w:hAnsi="Arial" w:cs="Arial"/>
          <w:i/>
          <w:iCs/>
        </w:rPr>
        <w:t>Journal of Clinical Epidemiology</w:t>
      </w:r>
      <w:r w:rsidRPr="000A2871">
        <w:rPr>
          <w:rFonts w:ascii="Arial" w:hAnsi="Arial" w:cs="Arial"/>
        </w:rPr>
        <w:t>, 97, pp. 39–48. Available at: https://doi.org/10.1016/j.jclinepi.2017.10.023.</w:t>
      </w:r>
    </w:p>
    <w:p w14:paraId="15BE29C8"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Hawkes, R.E., Pegington, M., Davies, A. et al. (2024) ‘Experiences of a Digital Behavior Change Intervention to Prevent Weight Gain and Promote Risk-Reducing Health Behaviors for Women Aged 18 to 35 Years at Increased Risk of Breast Cancer: Qualitative Interview Study’, </w:t>
      </w:r>
      <w:r w:rsidRPr="000A2871">
        <w:rPr>
          <w:rFonts w:ascii="Arial" w:hAnsi="Arial" w:cs="Arial"/>
          <w:i/>
          <w:iCs/>
        </w:rPr>
        <w:t>JMIR Cancer</w:t>
      </w:r>
      <w:r w:rsidRPr="000A2871">
        <w:rPr>
          <w:rFonts w:ascii="Arial" w:hAnsi="Arial" w:cs="Arial"/>
        </w:rPr>
        <w:t>, 10, article e57964. Available at: https://doi.org/10.2196/57964.</w:t>
      </w:r>
    </w:p>
    <w:p w14:paraId="3B55976D"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Hayba, N., Partridge, S.R., Nour, M.M., Grech, A. and Allman Farinelli, M. (2018) ‘Effectiveness of lifestyle interventions for preventing harmful weight gain among young adults from lower socioeconomic status and ethnically diverse backgrounds: a systematic review’, </w:t>
      </w:r>
      <w:r w:rsidRPr="000A2871">
        <w:rPr>
          <w:rFonts w:ascii="Arial" w:hAnsi="Arial" w:cs="Arial"/>
          <w:i/>
          <w:iCs/>
        </w:rPr>
        <w:t>Obesity Reviews</w:t>
      </w:r>
      <w:r w:rsidRPr="000A2871">
        <w:rPr>
          <w:rFonts w:ascii="Arial" w:hAnsi="Arial" w:cs="Arial"/>
        </w:rPr>
        <w:t>, 19(3), pp. 333–346. Available at: https://doi.org/10.1111/obr.12641.</w:t>
      </w:r>
    </w:p>
    <w:p w14:paraId="5D9F0C29"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Hennink, M. and Kaiser, B.N. (2022) ‘Sample sizes for saturation in qualitative research: A systematic review of empirical tests’, </w:t>
      </w:r>
      <w:r w:rsidRPr="000A2871">
        <w:rPr>
          <w:rFonts w:ascii="Arial" w:hAnsi="Arial" w:cs="Arial"/>
          <w:i/>
          <w:iCs/>
        </w:rPr>
        <w:t>Social Science &amp; Medicine</w:t>
      </w:r>
      <w:r w:rsidRPr="000A2871">
        <w:rPr>
          <w:rFonts w:ascii="Arial" w:hAnsi="Arial" w:cs="Arial"/>
        </w:rPr>
        <w:t>, 292, p. 114523. Available at: https://doi.org/10.1016/j.socscimed.2021.114523.</w:t>
      </w:r>
    </w:p>
    <w:p w14:paraId="39A25963" w14:textId="77777777" w:rsidR="00911724" w:rsidRPr="000A2871" w:rsidRDefault="00911724" w:rsidP="00911724">
      <w:pPr>
        <w:spacing w:after="120" w:line="360" w:lineRule="auto"/>
        <w:ind w:left="360"/>
        <w:rPr>
          <w:rFonts w:ascii="Arial" w:hAnsi="Arial" w:cs="Arial"/>
        </w:rPr>
      </w:pPr>
      <w:r w:rsidRPr="000A2871">
        <w:rPr>
          <w:rFonts w:ascii="Arial" w:hAnsi="Arial" w:cs="Arial"/>
        </w:rPr>
        <w:lastRenderedPageBreak/>
        <w:t xml:space="preserve">Hennink, M.M., Kaiser, B.N. and Marconi, V.C. (2017) ‘Code Saturation Versus Meaning Saturation’, </w:t>
      </w:r>
      <w:r w:rsidRPr="000A2871">
        <w:rPr>
          <w:rFonts w:ascii="Arial" w:hAnsi="Arial" w:cs="Arial"/>
          <w:i/>
          <w:iCs/>
        </w:rPr>
        <w:t>Qualitative Health Research</w:t>
      </w:r>
      <w:r w:rsidRPr="000A2871">
        <w:rPr>
          <w:rFonts w:ascii="Arial" w:hAnsi="Arial" w:cs="Arial"/>
        </w:rPr>
        <w:t>, 27(4), pp. 591–608. Available at: https://doi.org/10.1177/1049732316665344.</w:t>
      </w:r>
    </w:p>
    <w:p w14:paraId="244BF24C"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Heymsfield, S.B. and Wadden, T.A. (2017) ‘Mechanisms, Pathophysiology, and Management of Obesity’, </w:t>
      </w:r>
      <w:r w:rsidRPr="000A2871">
        <w:rPr>
          <w:rFonts w:ascii="Arial" w:hAnsi="Arial" w:cs="Arial"/>
          <w:i/>
          <w:iCs/>
        </w:rPr>
        <w:t>New England Journal of Medicine</w:t>
      </w:r>
      <w:r w:rsidRPr="000A2871">
        <w:rPr>
          <w:rFonts w:ascii="Arial" w:hAnsi="Arial" w:cs="Arial"/>
        </w:rPr>
        <w:t>, 376(3), pp. 254–266. Available at: https://doi.org/10.1056/nejmra1514009.</w:t>
      </w:r>
    </w:p>
    <w:p w14:paraId="109B2474"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Hilger-Kolb, J. and Diehl, K. (2019) ‘‘Oh God, I Have to Eat Something, But Where Can I Get Something Quickly?’—A Qualitative Interview Study on Barriers to Healthy Eating among University Students in Germany’, </w:t>
      </w:r>
      <w:r w:rsidRPr="000A2871">
        <w:rPr>
          <w:rFonts w:ascii="Arial" w:hAnsi="Arial" w:cs="Arial"/>
          <w:i/>
          <w:iCs/>
        </w:rPr>
        <w:t>Nutrients</w:t>
      </w:r>
      <w:r w:rsidRPr="000A2871">
        <w:rPr>
          <w:rFonts w:ascii="Arial" w:hAnsi="Arial" w:cs="Arial"/>
        </w:rPr>
        <w:t>, 11(10), article 2440. Available at: https://doi.org/10.3390/nu11102440.</w:t>
      </w:r>
    </w:p>
    <w:p w14:paraId="2AD23DA0" w14:textId="77777777" w:rsidR="00911724" w:rsidRPr="000A2871" w:rsidRDefault="00911724" w:rsidP="00911724">
      <w:pPr>
        <w:spacing w:after="120" w:line="360" w:lineRule="auto"/>
        <w:ind w:left="360"/>
        <w:rPr>
          <w:rFonts w:ascii="Arial" w:hAnsi="Arial" w:cs="Arial"/>
        </w:rPr>
      </w:pPr>
      <w:r w:rsidRPr="000A2871">
        <w:rPr>
          <w:rFonts w:ascii="Arial" w:hAnsi="Arial" w:cs="Arial"/>
        </w:rPr>
        <w:t>Hill, B., Bergmeier, H., Incollingo Rodriguez, A.C. et al. (2021) ‘Weight stigma and obesity</w:t>
      </w:r>
      <w:r w:rsidRPr="000A2871">
        <w:rPr>
          <w:rFonts w:ascii="Cambria Math" w:eastAsia="Times New Roman" w:hAnsi="Cambria Math" w:cs="Cambria Math"/>
        </w:rPr>
        <w:t>‐</w:t>
      </w:r>
      <w:r w:rsidRPr="000A2871">
        <w:rPr>
          <w:rFonts w:ascii="Arial" w:hAnsi="Arial" w:cs="Arial"/>
        </w:rPr>
        <w:t xml:space="preserve">related policies: A systematic review of the state of the literature’, </w:t>
      </w:r>
      <w:r w:rsidRPr="000A2871">
        <w:rPr>
          <w:rFonts w:ascii="Arial" w:hAnsi="Arial" w:cs="Arial"/>
          <w:i/>
          <w:iCs/>
        </w:rPr>
        <w:t>Obesity Reviews</w:t>
      </w:r>
      <w:r w:rsidRPr="000A2871">
        <w:rPr>
          <w:rFonts w:ascii="Arial" w:hAnsi="Arial" w:cs="Arial"/>
        </w:rPr>
        <w:t>, 22(11), e13333. Available at: https://doi.org/10.1111/obr.13333.</w:t>
      </w:r>
    </w:p>
    <w:p w14:paraId="5E92E18A"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Hogue, J.V. and Mills, J.S. (2019) ‘The effects of active social media engagement with peers on body image in young women’, </w:t>
      </w:r>
      <w:r w:rsidRPr="000A2871">
        <w:rPr>
          <w:rFonts w:ascii="Arial" w:hAnsi="Arial" w:cs="Arial"/>
          <w:i/>
          <w:iCs/>
        </w:rPr>
        <w:t>Body Image</w:t>
      </w:r>
      <w:r w:rsidRPr="000A2871">
        <w:rPr>
          <w:rFonts w:ascii="Arial" w:hAnsi="Arial" w:cs="Arial"/>
        </w:rPr>
        <w:t>, 28, pp. 1–5. Available at: https://doi.org/10.1016/j.bodyim.2018.11.002.</w:t>
      </w:r>
    </w:p>
    <w:p w14:paraId="43E350BC" w14:textId="77777777" w:rsidR="00911724" w:rsidRPr="000A2871" w:rsidRDefault="00911724" w:rsidP="00911724">
      <w:pPr>
        <w:spacing w:after="120" w:line="360" w:lineRule="auto"/>
        <w:ind w:left="360"/>
        <w:rPr>
          <w:rFonts w:ascii="Arial" w:hAnsi="Arial" w:cs="Arial"/>
        </w:rPr>
      </w:pPr>
      <w:r w:rsidRPr="000A2871">
        <w:rPr>
          <w:rFonts w:ascii="Arial" w:hAnsi="Arial" w:cs="Arial"/>
        </w:rPr>
        <w:t>Hollands, G.J., Carter, P., Anwer, S. et al. (2019) ‘Altering the availability or proximity of food, alcohol, and tobacco products to change their selection and consumption’, Cochrane Database of Systematic Reviews. Available at: https://doi.org/10.1002/14651858.cd012573.pub2.</w:t>
      </w:r>
    </w:p>
    <w:p w14:paraId="029D21D4"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Howard Wilsher, S., Fearne, A. and Panagiotaki, G. (2019) ‘“That is an Awful Lot of Fruit and Veg to Be Eating”. Focus Group Study on Motivations for the Consumption of 5 a Day in British Young Men’, </w:t>
      </w:r>
      <w:r w:rsidRPr="000A2871">
        <w:rPr>
          <w:rFonts w:ascii="Arial" w:hAnsi="Arial" w:cs="Arial"/>
          <w:i/>
          <w:iCs/>
        </w:rPr>
        <w:t>Nutrients</w:t>
      </w:r>
      <w:r w:rsidRPr="000A2871">
        <w:rPr>
          <w:rFonts w:ascii="Arial" w:hAnsi="Arial" w:cs="Arial"/>
        </w:rPr>
        <w:t>, 11(8), article 1893. Available at: https://doi.org/10.3390/nu11081893.</w:t>
      </w:r>
    </w:p>
    <w:p w14:paraId="61277A36"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Hunter, E., Johnstone, A.M., Stone, R.A. et al. (2025) ‘The people behind the pounds: a qualitative exploration of factors that help or hinder healthy, sustainable food purchases for people living with obesity and food insecurity in the UK’, </w:t>
      </w:r>
      <w:r w:rsidRPr="000A2871">
        <w:rPr>
          <w:rFonts w:ascii="Arial" w:hAnsi="Arial" w:cs="Arial"/>
          <w:i/>
          <w:iCs/>
        </w:rPr>
        <w:t>Frontiers in Nutrition</w:t>
      </w:r>
      <w:r w:rsidRPr="000A2871">
        <w:rPr>
          <w:rFonts w:ascii="Arial" w:hAnsi="Arial" w:cs="Arial"/>
        </w:rPr>
        <w:t>, 12, 1646056. Available at: https://doi.org/10.3389/fnut.2025.1646056.</w:t>
      </w:r>
    </w:p>
    <w:p w14:paraId="42884C4D"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Jastreboff, A.M., Aronne, L.J., Ahmad, N.N. et al. (2022) ‘Tirzepatide Once Weekly for the Treatment of Obesity’, </w:t>
      </w:r>
      <w:r w:rsidRPr="000A2871">
        <w:rPr>
          <w:rFonts w:ascii="Arial" w:hAnsi="Arial" w:cs="Arial"/>
          <w:i/>
          <w:iCs/>
        </w:rPr>
        <w:t>New England Journal of Medicine</w:t>
      </w:r>
      <w:r w:rsidRPr="000A2871">
        <w:rPr>
          <w:rFonts w:ascii="Arial" w:hAnsi="Arial" w:cs="Arial"/>
        </w:rPr>
        <w:t>, 387(3), pp. 205–216. Available at: https://doi.org/10.1056/nejmoa2206038.</w:t>
      </w:r>
    </w:p>
    <w:p w14:paraId="01E3F8EC"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Kelly, E.F.A., Guney-Coskun, M., Weech, M., Fallaize, R., Hwang, F. and Lovegrove, J.A. (2025) ‘Exploring the dietary changes and support required for healthy eating with female </w:t>
      </w:r>
      <w:r w:rsidRPr="000A2871">
        <w:rPr>
          <w:rFonts w:ascii="Arial" w:hAnsi="Arial" w:cs="Arial"/>
        </w:rPr>
        <w:lastRenderedPageBreak/>
        <w:t xml:space="preserve">students at UK universities: Findings from focus group discussions’, </w:t>
      </w:r>
      <w:r w:rsidRPr="000A2871">
        <w:rPr>
          <w:rFonts w:ascii="Arial" w:hAnsi="Arial" w:cs="Arial"/>
          <w:i/>
          <w:iCs/>
        </w:rPr>
        <w:t>PLOS ONE</w:t>
      </w:r>
      <w:r w:rsidRPr="000A2871">
        <w:rPr>
          <w:rFonts w:ascii="Arial" w:hAnsi="Arial" w:cs="Arial"/>
        </w:rPr>
        <w:t>, 20(4), article e0319388. Available at: https://doi.org/10.1371/journal.pone.0319388.</w:t>
      </w:r>
    </w:p>
    <w:p w14:paraId="21D12C22"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Kyle, E., Kelly, A. and McGowan, L. (2024) ‘Personal Experiences and Preferences for Weight-Management Services from Adults Living with Overweight and Obesity in the United Kingdom’, </w:t>
      </w:r>
      <w:r w:rsidRPr="000A2871">
        <w:rPr>
          <w:rFonts w:ascii="Arial" w:hAnsi="Arial" w:cs="Arial"/>
          <w:i/>
          <w:iCs/>
        </w:rPr>
        <w:t>Nutrients</w:t>
      </w:r>
      <w:r w:rsidRPr="000A2871">
        <w:rPr>
          <w:rFonts w:ascii="Arial" w:hAnsi="Arial" w:cs="Arial"/>
        </w:rPr>
        <w:t>, 16(13), article 2016. Available at: https://doi.org/10.3390/nu16132016.</w:t>
      </w:r>
    </w:p>
    <w:p w14:paraId="7096E93F" w14:textId="77777777" w:rsidR="00911724" w:rsidRPr="000A2871" w:rsidRDefault="00911724" w:rsidP="00911724">
      <w:pPr>
        <w:spacing w:after="120" w:line="360" w:lineRule="auto"/>
        <w:ind w:left="360"/>
        <w:rPr>
          <w:rFonts w:ascii="Arial" w:hAnsi="Arial" w:cs="Arial"/>
        </w:rPr>
      </w:pPr>
      <w:r w:rsidRPr="000A2871">
        <w:rPr>
          <w:rFonts w:ascii="Arial" w:hAnsi="Arial" w:cs="Arial"/>
        </w:rPr>
        <w:t>Lam, E., Partridge, S.R. and Allman</w:t>
      </w:r>
      <w:r w:rsidRPr="000A2871">
        <w:rPr>
          <w:rFonts w:ascii="Cambria Math" w:eastAsia="Times New Roman" w:hAnsi="Cambria Math" w:cs="Cambria Math"/>
        </w:rPr>
        <w:t>‐</w:t>
      </w:r>
      <w:r w:rsidRPr="000A2871">
        <w:rPr>
          <w:rFonts w:ascii="Arial" w:hAnsi="Arial" w:cs="Arial"/>
        </w:rPr>
        <w:t xml:space="preserve">Farinelli, M. (2016) ‘Strategies for successful recruitment of young adults to healthy lifestyle programmes for the prevention of weight gain: a systematic review’, </w:t>
      </w:r>
      <w:r w:rsidRPr="000A2871">
        <w:rPr>
          <w:rFonts w:ascii="Arial" w:hAnsi="Arial" w:cs="Arial"/>
          <w:i/>
          <w:iCs/>
        </w:rPr>
        <w:t>Obesity Reviews</w:t>
      </w:r>
      <w:r w:rsidRPr="000A2871">
        <w:rPr>
          <w:rFonts w:ascii="Arial" w:hAnsi="Arial" w:cs="Arial"/>
        </w:rPr>
        <w:t>, 17(2), pp. 178–200. Available at: https://doi.org/10.1111/obr.12350.</w:t>
      </w:r>
    </w:p>
    <w:p w14:paraId="687EFF02" w14:textId="77777777" w:rsidR="00911724" w:rsidRPr="000A2871" w:rsidRDefault="00911724" w:rsidP="00911724">
      <w:pPr>
        <w:spacing w:after="120" w:line="360" w:lineRule="auto"/>
        <w:ind w:left="360"/>
        <w:rPr>
          <w:rFonts w:ascii="Arial" w:hAnsi="Arial" w:cs="Arial"/>
        </w:rPr>
      </w:pPr>
      <w:r w:rsidRPr="000A2871">
        <w:rPr>
          <w:rFonts w:ascii="Arial" w:hAnsi="Arial" w:cs="Arial"/>
        </w:rPr>
        <w:t>Lane, M.M., Davis, J.A., Beattie, S. et al. (2021) ‘Ultraprocessed food and chronic noncommunicable diseases: A systematic review and meta</w:t>
      </w:r>
      <w:r w:rsidRPr="000A2871">
        <w:rPr>
          <w:rFonts w:ascii="Cambria Math" w:eastAsia="Times New Roman" w:hAnsi="Cambria Math" w:cs="Cambria Math"/>
        </w:rPr>
        <w:t>‐</w:t>
      </w:r>
      <w:r w:rsidRPr="000A2871">
        <w:rPr>
          <w:rFonts w:ascii="Arial" w:hAnsi="Arial" w:cs="Arial"/>
        </w:rPr>
        <w:t xml:space="preserve">analysis of 43 observational studies’, </w:t>
      </w:r>
      <w:r w:rsidRPr="000A2871">
        <w:rPr>
          <w:rFonts w:ascii="Arial" w:hAnsi="Arial" w:cs="Arial"/>
          <w:i/>
          <w:iCs/>
        </w:rPr>
        <w:t>Obesity Reviews</w:t>
      </w:r>
      <w:r w:rsidRPr="000A2871">
        <w:rPr>
          <w:rFonts w:ascii="Arial" w:hAnsi="Arial" w:cs="Arial"/>
        </w:rPr>
        <w:t>, 22(3), e13146. Available at: https://doi.org/10.1111/obr.13146.</w:t>
      </w:r>
    </w:p>
    <w:p w14:paraId="6B09E9EF"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Lane, M.M., Gamage, E., Du, S. et al. (2024) ‘Ultra-processed food exposure and adverse health outcomes: umbrella review of epidemiological meta-analyses’, </w:t>
      </w:r>
      <w:r w:rsidRPr="000A2871">
        <w:rPr>
          <w:rFonts w:ascii="Arial" w:hAnsi="Arial" w:cs="Arial"/>
          <w:i/>
          <w:iCs/>
        </w:rPr>
        <w:t>BMJ</w:t>
      </w:r>
      <w:r w:rsidRPr="000A2871">
        <w:rPr>
          <w:rFonts w:ascii="Arial" w:hAnsi="Arial" w:cs="Arial"/>
        </w:rPr>
        <w:t>, 384, e077310. Available at: https://doi.org/10.1136/bmj-2023-077310.</w:t>
      </w:r>
    </w:p>
    <w:p w14:paraId="7660597A"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Laska, M.N., Lytle, L.A., Nanney, M.S., Moe, S.G., Linde, J.A. and Hannan, P.J. (2016) ‘Results of a 2-year randomized, controlled obesity prevention trial: Effects on diet, activity and sleep behaviors in an at-risk young adult population’, </w:t>
      </w:r>
      <w:r w:rsidRPr="000A2871">
        <w:rPr>
          <w:rFonts w:ascii="Arial" w:hAnsi="Arial" w:cs="Arial"/>
          <w:i/>
          <w:iCs/>
        </w:rPr>
        <w:t>Preventive Medicine</w:t>
      </w:r>
      <w:r w:rsidRPr="000A2871">
        <w:rPr>
          <w:rFonts w:ascii="Arial" w:hAnsi="Arial" w:cs="Arial"/>
        </w:rPr>
        <w:t>, 89, pp. 230–236. Available at: https://doi.org/10.1016/j.ypmed.2016.06.001.</w:t>
      </w:r>
    </w:p>
    <w:p w14:paraId="69558DA3"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Lewin, S., Booth, A., Glenton, C. et al. (2018) ‘Applying GRADE-CERQual to qualitative evidence synthesis findings: introduction to the series’, </w:t>
      </w:r>
      <w:r w:rsidRPr="000A2871">
        <w:rPr>
          <w:rFonts w:ascii="Arial" w:hAnsi="Arial" w:cs="Arial"/>
          <w:i/>
          <w:iCs/>
        </w:rPr>
        <w:t>Implementation Science</w:t>
      </w:r>
      <w:r w:rsidRPr="000A2871">
        <w:rPr>
          <w:rFonts w:ascii="Arial" w:hAnsi="Arial" w:cs="Arial"/>
        </w:rPr>
        <w:t>, 13(S1), 2. Available at: https://doi.org/10.1186/s13012-017-0688-3.</w:t>
      </w:r>
    </w:p>
    <w:p w14:paraId="12278AD9"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Li, X., Braakhuis, A., Li, Z. and Roy, R. (2022) ‘How Does the University Food Environment Impact Student Dietary Behaviors? A Systematic Review’, </w:t>
      </w:r>
      <w:r w:rsidRPr="000A2871">
        <w:rPr>
          <w:rFonts w:ascii="Arial" w:hAnsi="Arial" w:cs="Arial"/>
          <w:i/>
          <w:iCs/>
        </w:rPr>
        <w:t>Frontiers in Nutrition</w:t>
      </w:r>
      <w:r w:rsidRPr="000A2871">
        <w:rPr>
          <w:rFonts w:ascii="Arial" w:hAnsi="Arial" w:cs="Arial"/>
        </w:rPr>
        <w:t>, 9, 840818. Available at: https://doi.org/10.3389/fnut.2022.840818.</w:t>
      </w:r>
    </w:p>
    <w:p w14:paraId="12065823"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Long, H.A., French, D.P. and Brooks, J.M. (2020) ‘Optimising the value of the critical appraisal skills programme (CASP) tool for quality appraisal in qualitative evidence synthesis’, </w:t>
      </w:r>
      <w:r w:rsidRPr="000A2871">
        <w:rPr>
          <w:rFonts w:ascii="Arial" w:hAnsi="Arial" w:cs="Arial"/>
          <w:i/>
          <w:iCs/>
        </w:rPr>
        <w:t>Research Methods in Medicine &amp; Health Sciences</w:t>
      </w:r>
      <w:r w:rsidRPr="000A2871">
        <w:rPr>
          <w:rFonts w:ascii="Arial" w:hAnsi="Arial" w:cs="Arial"/>
        </w:rPr>
        <w:t>, 1(1), pp. 31–42. Available at: https://doi.org/10.1177/2632084320947559.</w:t>
      </w:r>
    </w:p>
    <w:p w14:paraId="186FFE20"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Luick, M., Bandy, L., Jebb, S.A. and Pechey, R. (2024) ‘The impact of the English calorie labelling policy on the energy content of food offered and purchased in worksite cafeterias: a natural experiment’, </w:t>
      </w:r>
      <w:r w:rsidRPr="000A2871">
        <w:rPr>
          <w:rFonts w:ascii="Arial" w:hAnsi="Arial" w:cs="Arial"/>
          <w:i/>
          <w:iCs/>
        </w:rPr>
        <w:t>BMC Nutrition</w:t>
      </w:r>
      <w:r w:rsidRPr="000A2871">
        <w:rPr>
          <w:rFonts w:ascii="Arial" w:hAnsi="Arial" w:cs="Arial"/>
        </w:rPr>
        <w:t>, 10(1), 110. Available at: https://doi.org/10.1186/s40795-024-00914-1.</w:t>
      </w:r>
    </w:p>
    <w:p w14:paraId="1B74C913" w14:textId="77777777" w:rsidR="00911724" w:rsidRPr="000A2871" w:rsidRDefault="00911724" w:rsidP="00911724">
      <w:pPr>
        <w:spacing w:after="120" w:line="360" w:lineRule="auto"/>
        <w:ind w:left="360"/>
        <w:rPr>
          <w:rFonts w:ascii="Arial" w:hAnsi="Arial" w:cs="Arial"/>
        </w:rPr>
      </w:pPr>
      <w:r w:rsidRPr="000A2871">
        <w:rPr>
          <w:rFonts w:ascii="Arial" w:hAnsi="Arial" w:cs="Arial"/>
        </w:rPr>
        <w:lastRenderedPageBreak/>
        <w:t xml:space="preserve">Maguire, M. and Delahunt, B. (2017) ‘Doing a thematic analysis: A practical, step-by-step guide for learning and teaching scholars’, </w:t>
      </w:r>
      <w:r w:rsidRPr="000A2871">
        <w:rPr>
          <w:rFonts w:ascii="Arial" w:hAnsi="Arial" w:cs="Arial"/>
          <w:i/>
          <w:iCs/>
        </w:rPr>
        <w:t>All Ireland Journal of Higher Education</w:t>
      </w:r>
      <w:r w:rsidRPr="000A2871">
        <w:rPr>
          <w:rFonts w:ascii="Arial" w:hAnsi="Arial" w:cs="Arial"/>
        </w:rPr>
        <w:t>, 9(3), article 335. Available at: https://doi.org/10.62707/aishej.v9i3.335.</w:t>
      </w:r>
    </w:p>
    <w:p w14:paraId="6A52A143"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Malterud, K., Siersma, V.D. and Guassora, A.D. (2016) ‘Sample Size in Qualitative Interview Studies’, </w:t>
      </w:r>
      <w:r w:rsidRPr="000A2871">
        <w:rPr>
          <w:rFonts w:ascii="Arial" w:hAnsi="Arial" w:cs="Arial"/>
          <w:i/>
          <w:iCs/>
        </w:rPr>
        <w:t>Qualitative Health Research</w:t>
      </w:r>
      <w:r w:rsidRPr="000A2871">
        <w:rPr>
          <w:rFonts w:ascii="Arial" w:hAnsi="Arial" w:cs="Arial"/>
        </w:rPr>
        <w:t>, 26(13), pp. 1753–1760. Available at: https://doi.org/10.1177/1049732315617444.</w:t>
      </w:r>
    </w:p>
    <w:p w14:paraId="7F016C7D"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Mansour-Assi, S.J., Golaszewski, N.M., Costello, V.L. et al. (2022) ‘Social Mobile Approaches to Reducing Weight (SMART) 2.0: protocol of a randomized controlled trial among young adults in university settings’, </w:t>
      </w:r>
      <w:r w:rsidRPr="000A2871">
        <w:rPr>
          <w:rFonts w:ascii="Arial" w:hAnsi="Arial" w:cs="Arial"/>
          <w:i/>
          <w:iCs/>
        </w:rPr>
        <w:t>Trials</w:t>
      </w:r>
      <w:r w:rsidRPr="000A2871">
        <w:rPr>
          <w:rFonts w:ascii="Arial" w:hAnsi="Arial" w:cs="Arial"/>
        </w:rPr>
        <w:t>, 23(1), 7. Available at: https://doi.org/10.1186/s13063-021-05938-7.</w:t>
      </w:r>
    </w:p>
    <w:p w14:paraId="74ABFFDA"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Marmot, M., Allen, J., Boyce, T., Goldblatt, P. and Morrison, J. (2020) Health Equity in England: The Marmot Review 10 Years On. London: Institute of Health Equity. Available at: https://www.instituteofhealthequity.org/resources-reports/marmot-review-10-years-on (Accessed: </w:t>
      </w:r>
      <w:r>
        <w:rPr>
          <w:rFonts w:ascii="Arial" w:hAnsi="Arial" w:cs="Arial"/>
        </w:rPr>
        <w:t>24 September</w:t>
      </w:r>
      <w:r w:rsidRPr="000A2871">
        <w:rPr>
          <w:rFonts w:ascii="Arial" w:hAnsi="Arial" w:cs="Arial"/>
        </w:rPr>
        <w:t xml:space="preserve"> 2026).</w:t>
      </w:r>
    </w:p>
    <w:p w14:paraId="0583458F"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Monteiro, C.A., Cannon, G., Levy, R.B. et al. (2019) ‘Ultra-processed foods: what they are and how to identify them’, </w:t>
      </w:r>
      <w:r w:rsidRPr="000A2871">
        <w:rPr>
          <w:rFonts w:ascii="Arial" w:hAnsi="Arial" w:cs="Arial"/>
          <w:i/>
          <w:iCs/>
        </w:rPr>
        <w:t>Public Health Nutrition</w:t>
      </w:r>
      <w:r w:rsidRPr="000A2871">
        <w:rPr>
          <w:rFonts w:ascii="Arial" w:hAnsi="Arial" w:cs="Arial"/>
        </w:rPr>
        <w:t>, 22(5), pp. 936–941. Available at: https://doi.org/10.1017/s1368980018003762.</w:t>
      </w:r>
    </w:p>
    <w:p w14:paraId="18104011" w14:textId="77777777" w:rsidR="00911724" w:rsidRPr="000A2871" w:rsidRDefault="00911724" w:rsidP="00911724">
      <w:pPr>
        <w:spacing w:after="120" w:line="360" w:lineRule="auto"/>
        <w:ind w:left="360"/>
        <w:rPr>
          <w:rFonts w:ascii="Arial" w:hAnsi="Arial" w:cs="Arial"/>
        </w:rPr>
      </w:pPr>
      <w:r w:rsidRPr="000A2871">
        <w:rPr>
          <w:rFonts w:ascii="Arial" w:hAnsi="Arial" w:cs="Arial"/>
        </w:rPr>
        <w:t>Munt, A.E., Partridge, S.R. and Allman</w:t>
      </w:r>
      <w:r w:rsidRPr="000A2871">
        <w:rPr>
          <w:rFonts w:ascii="Cambria Math" w:eastAsia="Times New Roman" w:hAnsi="Cambria Math" w:cs="Cambria Math"/>
        </w:rPr>
        <w:t>‐</w:t>
      </w:r>
      <w:r w:rsidRPr="000A2871">
        <w:rPr>
          <w:rFonts w:ascii="Arial" w:hAnsi="Arial" w:cs="Arial"/>
        </w:rPr>
        <w:t xml:space="preserve">Farinelli, M. (2017) ‘The barriers and enablers of healthy eating among young adults: a missing piece of the obesity puzzle: A scoping review’, </w:t>
      </w:r>
      <w:r w:rsidRPr="000A2871">
        <w:rPr>
          <w:rFonts w:ascii="Arial" w:hAnsi="Arial" w:cs="Arial"/>
          <w:i/>
          <w:iCs/>
        </w:rPr>
        <w:t>Obesity Reviews</w:t>
      </w:r>
      <w:r w:rsidRPr="000A2871">
        <w:rPr>
          <w:rFonts w:ascii="Arial" w:hAnsi="Arial" w:cs="Arial"/>
        </w:rPr>
        <w:t>, 18(1), pp. 1–17. Available at: https://doi.org/10.1111/obr.12472.</w:t>
      </w:r>
    </w:p>
    <w:p w14:paraId="427679BB"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Napolitano, M.A., Whiteley, J.A., Mavredes, M. et al. (2021) ‘Effect of tailoring on weight loss among young adults receiving digital interventions: an 18 month randomized controlled trial’, </w:t>
      </w:r>
      <w:r w:rsidRPr="000A2871">
        <w:rPr>
          <w:rFonts w:ascii="Arial" w:hAnsi="Arial" w:cs="Arial"/>
          <w:i/>
          <w:iCs/>
        </w:rPr>
        <w:t>Translational Behavioral Medicine</w:t>
      </w:r>
      <w:r w:rsidRPr="000A2871">
        <w:rPr>
          <w:rFonts w:ascii="Arial" w:hAnsi="Arial" w:cs="Arial"/>
        </w:rPr>
        <w:t>, 11(4), pp. 970–980. Available at: https://doi.org/10.1093/tbm/ibab017.</w:t>
      </w:r>
    </w:p>
    <w:p w14:paraId="5628E58E"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National Institute for Health and Care Excellence (NICE) (2025) Overweight and obesity management. NICE guideline NG246. Published 14 January 2025; updated 8 January 2026. Available at: https://www.nice.org.uk/guidance/ng246 (Accessed: </w:t>
      </w:r>
      <w:r>
        <w:rPr>
          <w:rFonts w:ascii="Arial" w:hAnsi="Arial" w:cs="Arial"/>
        </w:rPr>
        <w:t>24 September</w:t>
      </w:r>
      <w:r w:rsidRPr="000A2871">
        <w:rPr>
          <w:rFonts w:ascii="Arial" w:hAnsi="Arial" w:cs="Arial"/>
        </w:rPr>
        <w:t xml:space="preserve"> 2026).</w:t>
      </w:r>
    </w:p>
    <w:p w14:paraId="79FB64A1"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NCD Risk Factor Collaboration (NCD-RisC) (2024) ‘Worldwide trends in underweight and obesity from 1990 to 2022: a pooled analysis of 3663 population-representative studies with 222 million children, adolescents, and adults’, </w:t>
      </w:r>
      <w:r w:rsidRPr="000A2871">
        <w:rPr>
          <w:rFonts w:ascii="Arial" w:hAnsi="Arial" w:cs="Arial"/>
          <w:i/>
          <w:iCs/>
        </w:rPr>
        <w:t>The Lancet</w:t>
      </w:r>
      <w:r w:rsidRPr="000A2871">
        <w:rPr>
          <w:rFonts w:ascii="Arial" w:hAnsi="Arial" w:cs="Arial"/>
        </w:rPr>
        <w:t>, 403(10431), pp. 1027–1050. Available at: https://doi.org/10.1016/s0140-6736(23)02750-2.</w:t>
      </w:r>
    </w:p>
    <w:p w14:paraId="3C5071D8" w14:textId="77777777" w:rsidR="00911724" w:rsidRPr="000A2871" w:rsidRDefault="00911724" w:rsidP="00911724">
      <w:pPr>
        <w:spacing w:after="120" w:line="360" w:lineRule="auto"/>
        <w:ind w:left="360"/>
        <w:rPr>
          <w:rFonts w:ascii="Arial" w:hAnsi="Arial" w:cs="Arial"/>
        </w:rPr>
      </w:pPr>
      <w:r w:rsidRPr="000A2871">
        <w:rPr>
          <w:rFonts w:ascii="Arial" w:hAnsi="Arial" w:cs="Arial"/>
        </w:rPr>
        <w:lastRenderedPageBreak/>
        <w:t xml:space="preserve">Neve, K.L. and Isaacs, A. (2022) ‘How does the food environment influence people engaged in weight management? A systematic review and thematic synthesis of the qualitative literature’, </w:t>
      </w:r>
      <w:r w:rsidRPr="000A2871">
        <w:rPr>
          <w:rFonts w:ascii="Arial" w:hAnsi="Arial" w:cs="Arial"/>
          <w:i/>
          <w:iCs/>
        </w:rPr>
        <w:t>Obesity Reviews</w:t>
      </w:r>
      <w:r w:rsidRPr="000A2871">
        <w:rPr>
          <w:rFonts w:ascii="Arial" w:hAnsi="Arial" w:cs="Arial"/>
        </w:rPr>
        <w:t>, 23(3), e13398. Available at: https://doi.org/10.1111/obr.13398.</w:t>
      </w:r>
    </w:p>
    <w:p w14:paraId="752C40F6"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Nikolaou, C.K., Tay, Z., Leu, J. et al. (2019) ‘Young People’s Attitudes and Motivations Toward Social Media and Mobile Apps for Weight Control: Mixed Methods Study’, </w:t>
      </w:r>
      <w:r w:rsidRPr="000A2871">
        <w:rPr>
          <w:rFonts w:ascii="Arial" w:hAnsi="Arial" w:cs="Arial"/>
          <w:i/>
          <w:iCs/>
        </w:rPr>
        <w:t>JMIR mHealth and uHealth</w:t>
      </w:r>
      <w:r w:rsidRPr="000A2871">
        <w:rPr>
          <w:rFonts w:ascii="Arial" w:hAnsi="Arial" w:cs="Arial"/>
        </w:rPr>
        <w:t>, 7(10), article e11205. Available at: https://doi.org/10.2196/11205.</w:t>
      </w:r>
    </w:p>
    <w:p w14:paraId="3DC500DF"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Noyes, J., Booth, A., Cargo, M. et al. (2024) Chapter 21: Qualitative evidence. In Higgins, J.P.T., Thomas, J., Chandler, J. et al. (eds) Cochrane Handbook for Systematic Reviews of Interventions. Version 6.5. Cochrane. Available at: https://www.cochrane.org/authors/handbooks-and-manuals/handbook/current/chapter-21 (Accessed: </w:t>
      </w:r>
      <w:r>
        <w:rPr>
          <w:rFonts w:ascii="Arial" w:hAnsi="Arial" w:cs="Arial"/>
        </w:rPr>
        <w:t>24 September</w:t>
      </w:r>
      <w:r w:rsidRPr="000A2871">
        <w:rPr>
          <w:rFonts w:ascii="Arial" w:hAnsi="Arial" w:cs="Arial"/>
        </w:rPr>
        <w:t xml:space="preserve"> 2026).</w:t>
      </w:r>
    </w:p>
    <w:p w14:paraId="49BF4D3E"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Office for Health Improvement and Disparities (OHID) (2025) Obesity profile: short statistical commentary, May 2025. Available at: https://www.gov.uk/government/statistics/obesity-profile-may-2025-update/obesity-profile-short-statistical-commentary-may-2025 (Accessed: </w:t>
      </w:r>
      <w:r>
        <w:rPr>
          <w:rFonts w:ascii="Arial" w:hAnsi="Arial" w:cs="Arial"/>
        </w:rPr>
        <w:t>24 September</w:t>
      </w:r>
      <w:r w:rsidRPr="000A2871">
        <w:rPr>
          <w:rFonts w:ascii="Arial" w:hAnsi="Arial" w:cs="Arial"/>
        </w:rPr>
        <w:t xml:space="preserve"> 2026).</w:t>
      </w:r>
    </w:p>
    <w:p w14:paraId="4B032262"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Oosterveen, E., Tzelepis, F., Ashton, L. and Hutchesson, M.J. (2017) ‘A systematic review of eHealth behavioral interventions targeting smoking, nutrition, alcohol, physical activity and/or obesity for young adults’, </w:t>
      </w:r>
      <w:r w:rsidRPr="000A2871">
        <w:rPr>
          <w:rFonts w:ascii="Arial" w:hAnsi="Arial" w:cs="Arial"/>
          <w:i/>
          <w:iCs/>
        </w:rPr>
        <w:t>Preventive Medicine</w:t>
      </w:r>
      <w:r w:rsidRPr="000A2871">
        <w:rPr>
          <w:rFonts w:ascii="Arial" w:hAnsi="Arial" w:cs="Arial"/>
        </w:rPr>
        <w:t>, 99, pp. 197–206. Available at: https://doi.org/10.1016/j.ypmed.2017.01.009.</w:t>
      </w:r>
    </w:p>
    <w:p w14:paraId="524AE1CB"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Orlando, C., Bajorek, Z., Oxenham, A. et al. (2025) ‘From lunch breaks to late nights: a qualitative study of how workplaces can support healthy diet, physical activity and sleep behaviours in young adults’, </w:t>
      </w:r>
      <w:r w:rsidRPr="000A2871">
        <w:rPr>
          <w:rFonts w:ascii="Arial" w:hAnsi="Arial" w:cs="Arial"/>
          <w:i/>
          <w:iCs/>
        </w:rPr>
        <w:t>BMC Public Health</w:t>
      </w:r>
      <w:r w:rsidRPr="000A2871">
        <w:rPr>
          <w:rFonts w:ascii="Arial" w:hAnsi="Arial" w:cs="Arial"/>
        </w:rPr>
        <w:t>, 25(1), 4262. Available at: https://doi.org/10.1186/s12889-025-25595-8.</w:t>
      </w:r>
    </w:p>
    <w:p w14:paraId="1DC4FA92"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Page, M.J., McKenzie, J.E., Bossuyt, P.M. et al. (2021) ‘The PRISMA 2020 statement: an updated guideline for reporting systematic reviews’, </w:t>
      </w:r>
      <w:r w:rsidRPr="000A2871">
        <w:rPr>
          <w:rFonts w:ascii="Arial" w:hAnsi="Arial" w:cs="Arial"/>
          <w:i/>
          <w:iCs/>
        </w:rPr>
        <w:t>BMJ</w:t>
      </w:r>
      <w:r w:rsidRPr="000A2871">
        <w:rPr>
          <w:rFonts w:ascii="Arial" w:hAnsi="Arial" w:cs="Arial"/>
        </w:rPr>
        <w:t>, 372, n71. Available at: https://doi.org/10.1136/bmj.n71.</w:t>
      </w:r>
    </w:p>
    <w:p w14:paraId="28CD7401"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Pagliai, G., Dinu, M., Madarena, M.P., Bonaccio, M., Iacoviello, L. and Sofi, F. (2021) ‘Consumption of ultra-processed foods and health status: a systematic review and meta-analysis’, </w:t>
      </w:r>
      <w:r w:rsidRPr="000A2871">
        <w:rPr>
          <w:rFonts w:ascii="Arial" w:hAnsi="Arial" w:cs="Arial"/>
          <w:i/>
          <w:iCs/>
        </w:rPr>
        <w:t>British Journal of Nutrition</w:t>
      </w:r>
      <w:r w:rsidRPr="000A2871">
        <w:rPr>
          <w:rFonts w:ascii="Arial" w:hAnsi="Arial" w:cs="Arial"/>
        </w:rPr>
        <w:t>, 125(3), pp. 308–318. Available at: https://doi.org/10.1017/s0007114520002688.</w:t>
      </w:r>
    </w:p>
    <w:p w14:paraId="6CE81058"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Pearl, R.L. and Puhl, R.M. (2018) ‘Weight bias internalization and health: a systematic review’, </w:t>
      </w:r>
      <w:r w:rsidRPr="000A2871">
        <w:rPr>
          <w:rFonts w:ascii="Arial" w:hAnsi="Arial" w:cs="Arial"/>
          <w:i/>
          <w:iCs/>
        </w:rPr>
        <w:t>Obesity Reviews</w:t>
      </w:r>
      <w:r w:rsidRPr="000A2871">
        <w:rPr>
          <w:rFonts w:ascii="Arial" w:hAnsi="Arial" w:cs="Arial"/>
        </w:rPr>
        <w:t>, 19(8), pp. 1141–1163. Available at: https://doi.org/10.1111/obr.12701.</w:t>
      </w:r>
    </w:p>
    <w:p w14:paraId="1DC7F2D6" w14:textId="77777777" w:rsidR="00911724" w:rsidRPr="000A2871" w:rsidRDefault="00911724" w:rsidP="00911724">
      <w:pPr>
        <w:spacing w:after="120" w:line="360" w:lineRule="auto"/>
        <w:ind w:left="360"/>
        <w:rPr>
          <w:rFonts w:ascii="Arial" w:hAnsi="Arial" w:cs="Arial"/>
        </w:rPr>
      </w:pPr>
      <w:r w:rsidRPr="000A2871">
        <w:rPr>
          <w:rFonts w:ascii="Arial" w:hAnsi="Arial" w:cs="Arial"/>
        </w:rPr>
        <w:lastRenderedPageBreak/>
        <w:t xml:space="preserve">Perski, O., Blandford, A., West, R. and Michie, S. (2017) ‘Conceptualising engagement with digital behaviour change interventions: a systematic review using principles from critical interpretive synthesis’, </w:t>
      </w:r>
      <w:r w:rsidRPr="000A2871">
        <w:rPr>
          <w:rFonts w:ascii="Arial" w:hAnsi="Arial" w:cs="Arial"/>
          <w:i/>
          <w:iCs/>
        </w:rPr>
        <w:t>Translational Behavioral Medicine</w:t>
      </w:r>
      <w:r w:rsidRPr="000A2871">
        <w:rPr>
          <w:rFonts w:ascii="Arial" w:hAnsi="Arial" w:cs="Arial"/>
        </w:rPr>
        <w:t>, 7(2), pp. 254–267. Available at: https://doi.org/10.1007/s13142-016-0453-1.</w:t>
      </w:r>
    </w:p>
    <w:p w14:paraId="1ABBC0C1"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Polden, M., Jones, A., Adams, J. et al. (2023) ‘Kilocalorie labelling in the out-of-home sector: an observational study of business practices and consumer behaviour prior to implementation of the mandatory calorie labelling policy in England, 2022’, </w:t>
      </w:r>
      <w:r w:rsidRPr="000A2871">
        <w:rPr>
          <w:rFonts w:ascii="Arial" w:hAnsi="Arial" w:cs="Arial"/>
          <w:i/>
          <w:iCs/>
        </w:rPr>
        <w:t>BMC Public Health</w:t>
      </w:r>
      <w:r w:rsidRPr="000A2871">
        <w:rPr>
          <w:rFonts w:ascii="Arial" w:hAnsi="Arial" w:cs="Arial"/>
        </w:rPr>
        <w:t>, 23(1), 1088. Available at: https://doi.org/10.1186/s12889-023-16033-8.</w:t>
      </w:r>
    </w:p>
    <w:p w14:paraId="2FDE6AC1"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Pont, S.J., Puhl, R., Cook, S.R., Slusser, W., SECTION ON OBESITY and THE OBESITY SOCIETY (2017) ‘Stigma Experienced by Children and Adolescents With Obesity’, </w:t>
      </w:r>
      <w:r w:rsidRPr="000A2871">
        <w:rPr>
          <w:rFonts w:ascii="Arial" w:hAnsi="Arial" w:cs="Arial"/>
          <w:i/>
          <w:iCs/>
        </w:rPr>
        <w:t>Pediatrics</w:t>
      </w:r>
      <w:r w:rsidRPr="000A2871">
        <w:rPr>
          <w:rFonts w:ascii="Arial" w:hAnsi="Arial" w:cs="Arial"/>
        </w:rPr>
        <w:t>, 140(6), e20173034. Available at: https://doi.org/10.1542/peds.2017-3034.</w:t>
      </w:r>
    </w:p>
    <w:p w14:paraId="02B24243"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Puhl, R.M. and Lessard, L.M. (2020) ‘Weight Stigma in Youth: Prevalence, Consequences, and Considerations for Clinical Practice’, </w:t>
      </w:r>
      <w:r w:rsidRPr="000A2871">
        <w:rPr>
          <w:rFonts w:ascii="Arial" w:hAnsi="Arial" w:cs="Arial"/>
          <w:i/>
          <w:iCs/>
        </w:rPr>
        <w:t>Current Obesity Reports</w:t>
      </w:r>
      <w:r w:rsidRPr="000A2871">
        <w:rPr>
          <w:rFonts w:ascii="Arial" w:hAnsi="Arial" w:cs="Arial"/>
        </w:rPr>
        <w:t>, 9(4), pp. 402–411. Available at: https://doi.org/10.1007/s13679-020-00408-8.</w:t>
      </w:r>
    </w:p>
    <w:p w14:paraId="0BA4B725"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Remmert, J.E., Convertino, A.D., Roberts, S.R., Godfrey, K.M. and Butryn, M.L. (2019) ‘Stigmatizing weight experiences in health care: Associations with BMI and eating behaviours’, </w:t>
      </w:r>
      <w:r w:rsidRPr="000A2871">
        <w:rPr>
          <w:rFonts w:ascii="Arial" w:hAnsi="Arial" w:cs="Arial"/>
          <w:i/>
          <w:iCs/>
        </w:rPr>
        <w:t>Obesity Science &amp; Practice</w:t>
      </w:r>
      <w:r w:rsidRPr="000A2871">
        <w:rPr>
          <w:rFonts w:ascii="Arial" w:hAnsi="Arial" w:cs="Arial"/>
        </w:rPr>
        <w:t>, 5(6), pp. 555–563. Available at: https://doi.org/10.1002/osp4.379.</w:t>
      </w:r>
    </w:p>
    <w:p w14:paraId="4912BFC3"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Rethlefsen, M.L., Kirtley, S., Waffenschmidt, S. et al. (2021) ‘PRISMA-S: an extension to the PRISMA Statement for Reporting Literature Searches in Systematic Reviews’, </w:t>
      </w:r>
      <w:r w:rsidRPr="000A2871">
        <w:rPr>
          <w:rFonts w:ascii="Arial" w:hAnsi="Arial" w:cs="Arial"/>
          <w:i/>
          <w:iCs/>
        </w:rPr>
        <w:t>Systematic Reviews</w:t>
      </w:r>
      <w:r w:rsidRPr="000A2871">
        <w:rPr>
          <w:rFonts w:ascii="Arial" w:hAnsi="Arial" w:cs="Arial"/>
        </w:rPr>
        <w:t>, 10(1), 39. Available at: https://doi.org/10.1186/s13643-020-01542-z.</w:t>
      </w:r>
    </w:p>
    <w:p w14:paraId="6F538AF2"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Roche, C., Fisher, A., Fancourt, D. and Burton, A. (2022) ‘Exploring Barriers and Facilitators to Physical Activity during the COVID-19 Pandemic: A Qualitative Study’, </w:t>
      </w:r>
      <w:r w:rsidRPr="000A2871">
        <w:rPr>
          <w:rFonts w:ascii="Arial" w:hAnsi="Arial" w:cs="Arial"/>
          <w:i/>
          <w:iCs/>
        </w:rPr>
        <w:t>International Journal of Environmental Research and Public Health</w:t>
      </w:r>
      <w:r w:rsidRPr="000A2871">
        <w:rPr>
          <w:rFonts w:ascii="Arial" w:hAnsi="Arial" w:cs="Arial"/>
        </w:rPr>
        <w:t>, 19(15), article 9169. Available at: https://doi.org/10.3390/ijerph19159169.</w:t>
      </w:r>
    </w:p>
    <w:p w14:paraId="73066524"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Rodrigues, A., Kohli, N., Watson, C. and Boynton, K. (2025) ‘Optimising Weight Management Advice for Adults Prescribed Antidepressants: A Qualitative Interview Study of Experiences’, </w:t>
      </w:r>
      <w:r w:rsidRPr="000A2871">
        <w:rPr>
          <w:rFonts w:ascii="Arial" w:hAnsi="Arial" w:cs="Arial"/>
          <w:i/>
          <w:iCs/>
        </w:rPr>
        <w:t>International Journal of Mental Health Nursing</w:t>
      </w:r>
      <w:r w:rsidRPr="000A2871">
        <w:rPr>
          <w:rFonts w:ascii="Arial" w:hAnsi="Arial" w:cs="Arial"/>
        </w:rPr>
        <w:t>, 34(3), e70068. Available at: https://doi.org/10.1111/inm.70068.</w:t>
      </w:r>
    </w:p>
    <w:p w14:paraId="57630066"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Rounsefell, K., Gibson, S., McLean, S. et al. (2020) ‘Social media, body image and food choices in healthy young adults: A mixed methods systematic review’, </w:t>
      </w:r>
      <w:r w:rsidRPr="000A2871">
        <w:rPr>
          <w:rFonts w:ascii="Arial" w:hAnsi="Arial" w:cs="Arial"/>
          <w:i/>
          <w:iCs/>
        </w:rPr>
        <w:t>Nutrition &amp; Dietetics</w:t>
      </w:r>
      <w:r w:rsidRPr="000A2871">
        <w:rPr>
          <w:rFonts w:ascii="Arial" w:hAnsi="Arial" w:cs="Arial"/>
        </w:rPr>
        <w:t>, 77(1), pp. 19–40. Available at: https://doi.org/10.1111/1747-0080.12581.</w:t>
      </w:r>
    </w:p>
    <w:p w14:paraId="0C133FAB" w14:textId="77777777" w:rsidR="00911724" w:rsidRPr="000A2871" w:rsidRDefault="00911724" w:rsidP="00911724">
      <w:pPr>
        <w:spacing w:after="120" w:line="360" w:lineRule="auto"/>
        <w:ind w:left="360"/>
        <w:rPr>
          <w:rFonts w:ascii="Arial" w:hAnsi="Arial" w:cs="Arial"/>
        </w:rPr>
      </w:pPr>
      <w:r w:rsidRPr="000A2871">
        <w:rPr>
          <w:rFonts w:ascii="Arial" w:hAnsi="Arial" w:cs="Arial"/>
        </w:rPr>
        <w:lastRenderedPageBreak/>
        <w:t xml:space="preserve">Rubino, F., Puhl, R.M., Cummings, D.E. et al. (2020) ‘Joint international consensus statement for ending stigma of obesity’, </w:t>
      </w:r>
      <w:r w:rsidRPr="000A2871">
        <w:rPr>
          <w:rFonts w:ascii="Arial" w:hAnsi="Arial" w:cs="Arial"/>
          <w:i/>
          <w:iCs/>
        </w:rPr>
        <w:t>Nature Medicine</w:t>
      </w:r>
      <w:r w:rsidRPr="000A2871">
        <w:rPr>
          <w:rFonts w:ascii="Arial" w:hAnsi="Arial" w:cs="Arial"/>
        </w:rPr>
        <w:t>, 26(4), pp. 485–497. Available at: https://doi.org/10.1038/s41591-020-0803-x.</w:t>
      </w:r>
    </w:p>
    <w:p w14:paraId="597E4B33"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Ryan, L., Coyne, R., Heary, C. et al. (2023) ‘Weight stigma experienced by patients with obesity in healthcare settings: A qualitative evidence synthesis’, </w:t>
      </w:r>
      <w:r w:rsidRPr="000A2871">
        <w:rPr>
          <w:rFonts w:ascii="Arial" w:hAnsi="Arial" w:cs="Arial"/>
          <w:i/>
          <w:iCs/>
        </w:rPr>
        <w:t>Obesity Reviews</w:t>
      </w:r>
      <w:r w:rsidRPr="000A2871">
        <w:rPr>
          <w:rFonts w:ascii="Arial" w:hAnsi="Arial" w:cs="Arial"/>
        </w:rPr>
        <w:t>, 24(10), e13606. Available at: https://doi.org/10.1111/obr.13606.</w:t>
      </w:r>
    </w:p>
    <w:p w14:paraId="5D17D9B0"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Sallis, J.F. (2018) ‘Needs and Challenges Related to Multilevel Interventions: Physical Activity Examples’, </w:t>
      </w:r>
      <w:r w:rsidRPr="000A2871">
        <w:rPr>
          <w:rFonts w:ascii="Arial" w:hAnsi="Arial" w:cs="Arial"/>
          <w:i/>
          <w:iCs/>
        </w:rPr>
        <w:t>Health Education &amp; Behavior</w:t>
      </w:r>
      <w:r w:rsidRPr="000A2871">
        <w:rPr>
          <w:rFonts w:ascii="Arial" w:hAnsi="Arial" w:cs="Arial"/>
        </w:rPr>
        <w:t>, 45(5), pp. 661–667. Available at: https://doi.org/10.1177/1090198118796458.</w:t>
      </w:r>
    </w:p>
    <w:p w14:paraId="77071FEF"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Sawyer, S.M., Azzopardi, P.S., Wickremarathne, D. and Patton, G.C. (2018) ‘The age of adolescence’, </w:t>
      </w:r>
      <w:r w:rsidRPr="000A2871">
        <w:rPr>
          <w:rFonts w:ascii="Arial" w:hAnsi="Arial" w:cs="Arial"/>
          <w:i/>
          <w:iCs/>
        </w:rPr>
        <w:t>The Lancet Child &amp; Adolescent Health</w:t>
      </w:r>
      <w:r w:rsidRPr="000A2871">
        <w:rPr>
          <w:rFonts w:ascii="Arial" w:hAnsi="Arial" w:cs="Arial"/>
        </w:rPr>
        <w:t>, 2(3), pp. 223–228. Available at: https://doi.org/10.1016/s2352-4642(18)30022-1.</w:t>
      </w:r>
    </w:p>
    <w:p w14:paraId="6760FC59"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Schoeppe, S., Alley, S., Van Lippevelde, W. et al. (2016) ‘Efficacy of interventions that use apps to improve diet, physical activity and sedentary behaviour: a systematic review’, </w:t>
      </w:r>
      <w:r w:rsidRPr="000A2871">
        <w:rPr>
          <w:rFonts w:ascii="Arial" w:hAnsi="Arial" w:cs="Arial"/>
          <w:i/>
          <w:iCs/>
        </w:rPr>
        <w:t>International Journal of Behavioral Nutrition and Physical Activity</w:t>
      </w:r>
      <w:r w:rsidRPr="000A2871">
        <w:rPr>
          <w:rFonts w:ascii="Arial" w:hAnsi="Arial" w:cs="Arial"/>
        </w:rPr>
        <w:t>, 13(1), 127. Available at: https://doi.org/10.1186/s12966-016-0454-y.</w:t>
      </w:r>
    </w:p>
    <w:p w14:paraId="0EBDCB29"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Scott, S., Muir, C., Stead, M. et al. (2020) ‘Exploring the links between unhealthy eating behaviour and heavy alcohol use in the social, emotional and cultural lives of young adults (aged 18–25): A qualitative research study’, </w:t>
      </w:r>
      <w:r w:rsidRPr="000A2871">
        <w:rPr>
          <w:rFonts w:ascii="Arial" w:hAnsi="Arial" w:cs="Arial"/>
          <w:i/>
          <w:iCs/>
        </w:rPr>
        <w:t>Appetite</w:t>
      </w:r>
      <w:r w:rsidRPr="000A2871">
        <w:rPr>
          <w:rFonts w:ascii="Arial" w:hAnsi="Arial" w:cs="Arial"/>
        </w:rPr>
        <w:t>, 144, article 104449. Available at: https://doi.org/10.1016/j.appet.2019.104449.</w:t>
      </w:r>
    </w:p>
    <w:p w14:paraId="22279BCB"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Sekhon, M., Cartwright, M. and Francis, J.J. (2017) ‘Acceptability of healthcare interventions: an overview of reviews and development of a theoretical framework’, </w:t>
      </w:r>
      <w:r w:rsidRPr="000A2871">
        <w:rPr>
          <w:rFonts w:ascii="Arial" w:hAnsi="Arial" w:cs="Arial"/>
          <w:i/>
          <w:iCs/>
        </w:rPr>
        <w:t>BMC Health Services Research</w:t>
      </w:r>
      <w:r w:rsidRPr="000A2871">
        <w:rPr>
          <w:rFonts w:ascii="Arial" w:hAnsi="Arial" w:cs="Arial"/>
        </w:rPr>
        <w:t>, 17(1), 88. Available at: https://doi.org/10.1186/s12913-017-2031-8.</w:t>
      </w:r>
    </w:p>
    <w:p w14:paraId="6490818D"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Sekhon, M., Cartwright, M. and Francis, J.J. (2022) ‘Development of a theory-informed questionnaire to assess the acceptability of healthcare interventions’, </w:t>
      </w:r>
      <w:r w:rsidRPr="000A2871">
        <w:rPr>
          <w:rFonts w:ascii="Arial" w:hAnsi="Arial" w:cs="Arial"/>
          <w:i/>
          <w:iCs/>
        </w:rPr>
        <w:t>BMC Health Services Research</w:t>
      </w:r>
      <w:r w:rsidRPr="000A2871">
        <w:rPr>
          <w:rFonts w:ascii="Arial" w:hAnsi="Arial" w:cs="Arial"/>
        </w:rPr>
        <w:t>, 22(1), 279. Available at: https://doi.org/10.1186/s12913-022-07577-3.</w:t>
      </w:r>
    </w:p>
    <w:p w14:paraId="16C6F104"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Sharkey, T., Whatnall, M.C., Hutchesson, M.J. et al. (2020) ‘Effectiveness of gender-targeted versus gender-neutral interventions aimed at improving dietary intake, physical activity and/or overweight/obesity in young adults (aged 17–35 years): a systematic review and meta-analysis’, </w:t>
      </w:r>
      <w:r w:rsidRPr="000A2871">
        <w:rPr>
          <w:rFonts w:ascii="Arial" w:hAnsi="Arial" w:cs="Arial"/>
          <w:i/>
          <w:iCs/>
        </w:rPr>
        <w:t>Nutrition Journal</w:t>
      </w:r>
      <w:r w:rsidRPr="000A2871">
        <w:rPr>
          <w:rFonts w:ascii="Arial" w:hAnsi="Arial" w:cs="Arial"/>
        </w:rPr>
        <w:t>, 19(1), 78. Available at: https://doi.org/10.1186/s12937-020-00594-0.</w:t>
      </w:r>
    </w:p>
    <w:p w14:paraId="6918E46B" w14:textId="77777777" w:rsidR="00911724" w:rsidRPr="000A2871" w:rsidRDefault="00911724" w:rsidP="00911724">
      <w:pPr>
        <w:spacing w:after="120" w:line="360" w:lineRule="auto"/>
        <w:ind w:left="360"/>
        <w:rPr>
          <w:rFonts w:ascii="Arial" w:hAnsi="Arial" w:cs="Arial"/>
        </w:rPr>
      </w:pPr>
      <w:r w:rsidRPr="000A2871">
        <w:rPr>
          <w:rFonts w:ascii="Arial" w:hAnsi="Arial" w:cs="Arial"/>
        </w:rPr>
        <w:lastRenderedPageBreak/>
        <w:t xml:space="preserve">Sidani, J.E., Shensa, A., Hoffman, B., Hanmer, J. and Primack, B.A. (2016) ‘The Association between Social Media Use and Eating Concerns among US Young Adults’, </w:t>
      </w:r>
      <w:r w:rsidRPr="000A2871">
        <w:rPr>
          <w:rFonts w:ascii="Arial" w:hAnsi="Arial" w:cs="Arial"/>
          <w:i/>
          <w:iCs/>
        </w:rPr>
        <w:t>Journal of the Academy of Nutrition and Dietetics</w:t>
      </w:r>
      <w:r w:rsidRPr="000A2871">
        <w:rPr>
          <w:rFonts w:ascii="Arial" w:hAnsi="Arial" w:cs="Arial"/>
        </w:rPr>
        <w:t>, 116(9), pp. 1465–1472. Available at: https://doi.org/10.1016/j.jand.2016.03.021.</w:t>
      </w:r>
    </w:p>
    <w:p w14:paraId="7AFFBF06"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Sides, N., Pringle, A. and Newson, L. (2024) ‘The lived experience of weight loss maintenance in young people’, </w:t>
      </w:r>
      <w:r w:rsidRPr="000A2871">
        <w:rPr>
          <w:rFonts w:ascii="Arial" w:hAnsi="Arial" w:cs="Arial"/>
          <w:i/>
          <w:iCs/>
        </w:rPr>
        <w:t>Health Expectations</w:t>
      </w:r>
      <w:r w:rsidRPr="000A2871">
        <w:rPr>
          <w:rFonts w:ascii="Arial" w:hAnsi="Arial" w:cs="Arial"/>
        </w:rPr>
        <w:t>, 27(1), e13955. Available at: https://doi.org/10.1111/hex.13955.</w:t>
      </w:r>
    </w:p>
    <w:p w14:paraId="4050476F"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Skea, Z.C., Aceves-Martins, M., Robertson, C., De Bruin, M. and Avenell, A. (2019) ‘Acceptability and feasibility of weight management programmes for adults with severe obesity: a qualitative systematic review’, </w:t>
      </w:r>
      <w:r w:rsidRPr="000A2871">
        <w:rPr>
          <w:rFonts w:ascii="Arial" w:hAnsi="Arial" w:cs="Arial"/>
          <w:i/>
          <w:iCs/>
        </w:rPr>
        <w:t>BMJ Open</w:t>
      </w:r>
      <w:r w:rsidRPr="000A2871">
        <w:rPr>
          <w:rFonts w:ascii="Arial" w:hAnsi="Arial" w:cs="Arial"/>
        </w:rPr>
        <w:t>, 9(9), article e029473. Available at: https://doi.org/10.1136/bmjopen-2019-029473.</w:t>
      </w:r>
    </w:p>
    <w:p w14:paraId="62D149B6"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Skivington, K., Matthews, L., Simpson, S.A. et al. (2021) ‘A new framework for developing and evaluating complex interventions: update of Medical Research Council guidance’, </w:t>
      </w:r>
      <w:r w:rsidRPr="000A2871">
        <w:rPr>
          <w:rFonts w:ascii="Arial" w:hAnsi="Arial" w:cs="Arial"/>
          <w:i/>
          <w:iCs/>
        </w:rPr>
        <w:t>BMJ</w:t>
      </w:r>
      <w:r w:rsidRPr="000A2871">
        <w:rPr>
          <w:rFonts w:ascii="Arial" w:hAnsi="Arial" w:cs="Arial"/>
        </w:rPr>
        <w:t>, 374, n2061. Available at: https://doi.org/10.1136/bmj.n2061.</w:t>
      </w:r>
    </w:p>
    <w:p w14:paraId="1205A389"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Sport England (2024) Active Lives Adult Survey November 2022–23 Report. Available at: https://www.sportengland.org/research-and-data/data/active-lives/active-lives-data-tables (Accessed: </w:t>
      </w:r>
      <w:r>
        <w:rPr>
          <w:rFonts w:ascii="Arial" w:hAnsi="Arial" w:cs="Arial"/>
        </w:rPr>
        <w:t>24 September</w:t>
      </w:r>
      <w:r w:rsidRPr="000A2871">
        <w:rPr>
          <w:rFonts w:ascii="Arial" w:hAnsi="Arial" w:cs="Arial"/>
        </w:rPr>
        <w:t xml:space="preserve"> 2026).</w:t>
      </w:r>
    </w:p>
    <w:p w14:paraId="7D5F7F21"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Srour, B., Fezeu, L.K., Kesse-Guyot, E. et al. (2019) ‘Ultra-processed food intake and risk of cardiovascular disease: prospective cohort study (NutriNet-Santé)’, </w:t>
      </w:r>
      <w:r w:rsidRPr="000A2871">
        <w:rPr>
          <w:rFonts w:ascii="Arial" w:hAnsi="Arial" w:cs="Arial"/>
          <w:i/>
          <w:iCs/>
        </w:rPr>
        <w:t>BMJ</w:t>
      </w:r>
      <w:r w:rsidRPr="000A2871">
        <w:rPr>
          <w:rFonts w:ascii="Arial" w:hAnsi="Arial" w:cs="Arial"/>
        </w:rPr>
        <w:t>, 365, l1451. Available at: https://doi.org/10.1136/bmj.l1451.</w:t>
      </w:r>
    </w:p>
    <w:p w14:paraId="539D1650"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St-Onge, M.P., Grandner, M.A., Brown, D. et al. (2016) ‘Sleep Duration and Quality: Impact on Lifestyle Behaviors and Cardiometabolic Health: A Scientific Statement From the American Heart Association’, </w:t>
      </w:r>
      <w:r w:rsidRPr="000A2871">
        <w:rPr>
          <w:rFonts w:ascii="Arial" w:hAnsi="Arial" w:cs="Arial"/>
          <w:i/>
          <w:iCs/>
        </w:rPr>
        <w:t>Circulation</w:t>
      </w:r>
      <w:r w:rsidRPr="000A2871">
        <w:rPr>
          <w:rFonts w:ascii="Arial" w:hAnsi="Arial" w:cs="Arial"/>
        </w:rPr>
        <w:t>, 134(18). Available at: https://doi.org/10.1161/cir.0000000000000444.</w:t>
      </w:r>
    </w:p>
    <w:p w14:paraId="4C6DE8AF"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Sweeting, H., Smith, E., Neary, J. and Wright, C. (2016) ‘‘Now I care’: a qualitative study of how overweight adolescents managed their weight in the transition to adulthood’, </w:t>
      </w:r>
      <w:r w:rsidRPr="000A2871">
        <w:rPr>
          <w:rFonts w:ascii="Arial" w:hAnsi="Arial" w:cs="Arial"/>
          <w:i/>
          <w:iCs/>
        </w:rPr>
        <w:t>BMJ Open</w:t>
      </w:r>
      <w:r w:rsidRPr="000A2871">
        <w:rPr>
          <w:rFonts w:ascii="Arial" w:hAnsi="Arial" w:cs="Arial"/>
        </w:rPr>
        <w:t>, 6(11), article e010774. Available at: https://doi.org/10.1136/bmjopen-2015-010774.</w:t>
      </w:r>
    </w:p>
    <w:p w14:paraId="2F845173"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Tang, H., Ahern, A.L., Spreckley, M. and Smith, A.D. (2026) ‘Young Adults’ Interactions With Food and Nutrition Content on Social Media and Implications for Intervention Design: Semistructured Interview Study’, </w:t>
      </w:r>
      <w:r w:rsidRPr="000A2871">
        <w:rPr>
          <w:rFonts w:ascii="Arial" w:hAnsi="Arial" w:cs="Arial"/>
          <w:i/>
          <w:iCs/>
        </w:rPr>
        <w:t>Journal of Medical Internet Research</w:t>
      </w:r>
      <w:r w:rsidRPr="000A2871">
        <w:rPr>
          <w:rFonts w:ascii="Arial" w:hAnsi="Arial" w:cs="Arial"/>
        </w:rPr>
        <w:t>, 28, article e89344. Available at: https://doi.org/10.2196/89344.</w:t>
      </w:r>
    </w:p>
    <w:p w14:paraId="02357462"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Tarrant, M., Khan, S.S., Farrow, C.V., Shah, P., Daly, M. and Kos, K. (2017) ‘Patient experiences of a bariatric group programme for managing obesity: A qualitative interview </w:t>
      </w:r>
      <w:r w:rsidRPr="000A2871">
        <w:rPr>
          <w:rFonts w:ascii="Arial" w:hAnsi="Arial" w:cs="Arial"/>
        </w:rPr>
        <w:lastRenderedPageBreak/>
        <w:t xml:space="preserve">study’, </w:t>
      </w:r>
      <w:r w:rsidRPr="000A2871">
        <w:rPr>
          <w:rFonts w:ascii="Arial" w:hAnsi="Arial" w:cs="Arial"/>
          <w:i/>
          <w:iCs/>
        </w:rPr>
        <w:t>British Journal of Health Psychology</w:t>
      </w:r>
      <w:r w:rsidRPr="000A2871">
        <w:rPr>
          <w:rFonts w:ascii="Arial" w:hAnsi="Arial" w:cs="Arial"/>
        </w:rPr>
        <w:t>, 22(1), pp. 77–93. Available at: https://doi.org/10.1111/bjhp.12218.</w:t>
      </w:r>
    </w:p>
    <w:p w14:paraId="57BE91A4"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Trahearn, M., Merryweather, D. and Amirabdollahian, F. (2021) ‘Dietetic Students’ Drivers and Barriers to Healthy Eating While Studying to Be a Healthcare Professional (a Pilot Study)’, </w:t>
      </w:r>
      <w:r w:rsidRPr="000A2871">
        <w:rPr>
          <w:rFonts w:ascii="Arial" w:hAnsi="Arial" w:cs="Arial"/>
          <w:i/>
          <w:iCs/>
        </w:rPr>
        <w:t>Healthcare</w:t>
      </w:r>
      <w:r w:rsidRPr="000A2871">
        <w:rPr>
          <w:rFonts w:ascii="Arial" w:hAnsi="Arial" w:cs="Arial"/>
        </w:rPr>
        <w:t>, 9(5), article 579. Available at: https://doi.org/10.3390/healthcare9050579.</w:t>
      </w:r>
    </w:p>
    <w:p w14:paraId="44E629B4"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Tyrrell, R.L., Townshend, T.G., Adamson, A.J. and Lake, A.A. (2016) ‘‘I'm not trusted in the kitchen’: food environments and food behaviours of young people attending school and college’, </w:t>
      </w:r>
      <w:r w:rsidRPr="000A2871">
        <w:rPr>
          <w:rFonts w:ascii="Arial" w:hAnsi="Arial" w:cs="Arial"/>
          <w:i/>
          <w:iCs/>
        </w:rPr>
        <w:t>Journal of Public Health</w:t>
      </w:r>
      <w:r w:rsidRPr="000A2871">
        <w:rPr>
          <w:rFonts w:ascii="Arial" w:hAnsi="Arial" w:cs="Arial"/>
        </w:rPr>
        <w:t>, 38(2), pp. 289–299. Available at: https://doi.org/10.1093/pubmed/fdv030.</w:t>
      </w:r>
    </w:p>
    <w:p w14:paraId="4CDAC92A"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Vasileiou, K., Barnett, J., Thorpe, S. and Young, T. (2018) ‘Characterising and justifying sample size sufficiency in interview-based studies: systematic analysis of qualitative health research over a 15-year period’, </w:t>
      </w:r>
      <w:r w:rsidRPr="000A2871">
        <w:rPr>
          <w:rFonts w:ascii="Arial" w:hAnsi="Arial" w:cs="Arial"/>
          <w:i/>
          <w:iCs/>
        </w:rPr>
        <w:t>BMC Medical Research Methodology</w:t>
      </w:r>
      <w:r w:rsidRPr="000A2871">
        <w:rPr>
          <w:rFonts w:ascii="Arial" w:hAnsi="Arial" w:cs="Arial"/>
        </w:rPr>
        <w:t>, 18(1), 148. Available at: https://doi.org/10.1186/s12874-018-0594-7.</w:t>
      </w:r>
    </w:p>
    <w:p w14:paraId="006423E2"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Vélez-Toral, M., Rodríguez-Reinado, C., Ramallo-Espinosa, A. and Andrés-Villas, M. (2020) ‘“It’s Important but, on What Level?”: Healthy Cooking Meanings and Barriers to Healthy Eating among University Students’, </w:t>
      </w:r>
      <w:r w:rsidRPr="000A2871">
        <w:rPr>
          <w:rFonts w:ascii="Arial" w:hAnsi="Arial" w:cs="Arial"/>
          <w:i/>
          <w:iCs/>
        </w:rPr>
        <w:t>Nutrients</w:t>
      </w:r>
      <w:r w:rsidRPr="000A2871">
        <w:rPr>
          <w:rFonts w:ascii="Arial" w:hAnsi="Arial" w:cs="Arial"/>
        </w:rPr>
        <w:t>, 12(8), article 2309. Available at: https://doi.org/10.3390/nu12082309.</w:t>
      </w:r>
    </w:p>
    <w:p w14:paraId="1CC13D7E"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Warburton, D.E.R. and Bredin, S.S.D. (2017) ‘Health benefits of physical activity’, </w:t>
      </w:r>
      <w:r w:rsidRPr="000A2871">
        <w:rPr>
          <w:rFonts w:ascii="Arial" w:hAnsi="Arial" w:cs="Arial"/>
          <w:i/>
          <w:iCs/>
        </w:rPr>
        <w:t>Current Opinion in Cardiology</w:t>
      </w:r>
      <w:r w:rsidRPr="000A2871">
        <w:rPr>
          <w:rFonts w:ascii="Arial" w:hAnsi="Arial" w:cs="Arial"/>
        </w:rPr>
        <w:t>, 32(5), pp. 541–556. Available at: https://doi.org/10.1097/hco.0000000000000437.</w:t>
      </w:r>
    </w:p>
    <w:p w14:paraId="3C60BA94"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Warnick, J.L., Darling, K.E., West, C.E., Jones, L. and Jelalian, E. (2022) ‘Weight Stigma and Mental Health in Youth: A Systematic Review and Meta-Analysis’, </w:t>
      </w:r>
      <w:r w:rsidRPr="000A2871">
        <w:rPr>
          <w:rFonts w:ascii="Arial" w:hAnsi="Arial" w:cs="Arial"/>
          <w:i/>
          <w:iCs/>
        </w:rPr>
        <w:t>Journal of Pediatric Psychology</w:t>
      </w:r>
      <w:r w:rsidRPr="000A2871">
        <w:rPr>
          <w:rFonts w:ascii="Arial" w:hAnsi="Arial" w:cs="Arial"/>
        </w:rPr>
        <w:t>, 47(3), pp. 237–255. Available at: https://doi.org/10.1093/jpepsy/jsab110.</w:t>
      </w:r>
    </w:p>
    <w:p w14:paraId="65E2A3A5"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West, R. and Michie, S. (2020) ‘A Brief Introduction to the COM-B Model of Behaviour and the PRIME Theory of Motivation’, </w:t>
      </w:r>
      <w:r w:rsidRPr="000A2871">
        <w:rPr>
          <w:rFonts w:ascii="Arial" w:hAnsi="Arial" w:cs="Arial"/>
          <w:i/>
          <w:iCs/>
        </w:rPr>
        <w:t>Qeios</w:t>
      </w:r>
      <w:r w:rsidRPr="000A2871">
        <w:rPr>
          <w:rFonts w:ascii="Arial" w:hAnsi="Arial" w:cs="Arial"/>
        </w:rPr>
        <w:t>, WW04E6.2. Available at: https://doi.org/10.32388/WW04E6.2.</w:t>
      </w:r>
    </w:p>
    <w:p w14:paraId="42ACCFA7"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Wharton, S., Lau, D.C.W., Vallis, M. et al. (2020) ‘Obesity in adults: a clinical practice guideline’, </w:t>
      </w:r>
      <w:r w:rsidRPr="000A2871">
        <w:rPr>
          <w:rFonts w:ascii="Arial" w:hAnsi="Arial" w:cs="Arial"/>
          <w:i/>
          <w:iCs/>
        </w:rPr>
        <w:t>Canadian Medical Association Journal</w:t>
      </w:r>
      <w:r w:rsidRPr="000A2871">
        <w:rPr>
          <w:rFonts w:ascii="Arial" w:hAnsi="Arial" w:cs="Arial"/>
        </w:rPr>
        <w:t>, 192(31), pp. E875–E891. Available at: https://doi.org/10.1503/cmaj.191707.</w:t>
      </w:r>
    </w:p>
    <w:p w14:paraId="7AA703EB"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Whatnall, M.C., Hutchesson, M.J., Sharkey, T. et al. (2021) ‘Recruiting and retaining young adults: what can we learn from behavioural interventions targeting nutrition, physical activity and/or obesity? A systematic review of the literature’, </w:t>
      </w:r>
      <w:r w:rsidRPr="000A2871">
        <w:rPr>
          <w:rFonts w:ascii="Arial" w:hAnsi="Arial" w:cs="Arial"/>
          <w:i/>
          <w:iCs/>
        </w:rPr>
        <w:t xml:space="preserve">Public Health </w:t>
      </w:r>
      <w:r w:rsidRPr="000A2871">
        <w:rPr>
          <w:rFonts w:ascii="Arial" w:hAnsi="Arial" w:cs="Arial"/>
          <w:i/>
          <w:iCs/>
        </w:rPr>
        <w:lastRenderedPageBreak/>
        <w:t>Nutrition</w:t>
      </w:r>
      <w:r w:rsidRPr="000A2871">
        <w:rPr>
          <w:rFonts w:ascii="Arial" w:hAnsi="Arial" w:cs="Arial"/>
        </w:rPr>
        <w:t>, 24(17), pp. 5686–5703. Available at: https://doi.org/10.1017/s1368980021001129.</w:t>
      </w:r>
    </w:p>
    <w:p w14:paraId="744E4ECC"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Wongprawmas, R., Sogari, G., Menozzi, D. and Mora, C. (2022) ‘Strategies to Promote Healthy Eating Among University Students: A Qualitative Study Using the Nominal Group Technique’, </w:t>
      </w:r>
      <w:r w:rsidRPr="000A2871">
        <w:rPr>
          <w:rFonts w:ascii="Arial" w:hAnsi="Arial" w:cs="Arial"/>
          <w:i/>
          <w:iCs/>
        </w:rPr>
        <w:t>Frontiers in Nutrition</w:t>
      </w:r>
      <w:r w:rsidRPr="000A2871">
        <w:rPr>
          <w:rFonts w:ascii="Arial" w:hAnsi="Arial" w:cs="Arial"/>
        </w:rPr>
        <w:t>, 9, 821016. Available at: https://doi.org/10.3389/fnut.2022.821016.</w:t>
      </w:r>
    </w:p>
    <w:p w14:paraId="7B31CED5"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World Health Organization (2023) Commercial determinants of health. Available at: https://www.who.int/news-room/fact-sheets/detail/commercial-determinants-of-health (Accessed: </w:t>
      </w:r>
      <w:r>
        <w:rPr>
          <w:rFonts w:ascii="Arial" w:hAnsi="Arial" w:cs="Arial"/>
        </w:rPr>
        <w:t>24 September</w:t>
      </w:r>
      <w:r w:rsidRPr="000A2871">
        <w:rPr>
          <w:rFonts w:ascii="Arial" w:hAnsi="Arial" w:cs="Arial"/>
        </w:rPr>
        <w:t xml:space="preserve"> 2026).</w:t>
      </w:r>
    </w:p>
    <w:p w14:paraId="40D8C2C8"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World Health Organization (2025) Social determinants of health. Available at: https://www.who.int/news-room/fact-sheets/detail/social-determinants-of-health (Accessed: </w:t>
      </w:r>
      <w:r>
        <w:rPr>
          <w:rFonts w:ascii="Arial" w:hAnsi="Arial" w:cs="Arial"/>
        </w:rPr>
        <w:t>24 September</w:t>
      </w:r>
      <w:r w:rsidRPr="000A2871">
        <w:rPr>
          <w:rFonts w:ascii="Arial" w:hAnsi="Arial" w:cs="Arial"/>
        </w:rPr>
        <w:t xml:space="preserve"> 2026).</w:t>
      </w:r>
    </w:p>
    <w:p w14:paraId="56B540CE"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World Health Organization (WHO) (2026) Obesity and overweight. Updated </w:t>
      </w:r>
      <w:r>
        <w:rPr>
          <w:rFonts w:ascii="Arial" w:hAnsi="Arial" w:cs="Arial"/>
        </w:rPr>
        <w:t>24 September</w:t>
      </w:r>
      <w:r w:rsidRPr="000A2871">
        <w:rPr>
          <w:rFonts w:ascii="Arial" w:hAnsi="Arial" w:cs="Arial"/>
        </w:rPr>
        <w:t xml:space="preserve"> 2026. Available at: https://www.who.int/news-room/fact-sheets/detail/obesity-and-overweight (Accessed: </w:t>
      </w:r>
      <w:r>
        <w:rPr>
          <w:rFonts w:ascii="Arial" w:hAnsi="Arial" w:cs="Arial"/>
        </w:rPr>
        <w:t>24 September</w:t>
      </w:r>
      <w:r w:rsidRPr="000A2871">
        <w:rPr>
          <w:rFonts w:ascii="Arial" w:hAnsi="Arial" w:cs="Arial"/>
        </w:rPr>
        <w:t xml:space="preserve"> 2026).</w:t>
      </w:r>
    </w:p>
    <w:p w14:paraId="028409FD" w14:textId="77777777" w:rsidR="00911724" w:rsidRPr="000A2871" w:rsidRDefault="00911724" w:rsidP="00911724">
      <w:pPr>
        <w:spacing w:after="120" w:line="360" w:lineRule="auto"/>
        <w:ind w:left="360"/>
        <w:rPr>
          <w:rFonts w:ascii="Arial" w:hAnsi="Arial" w:cs="Arial"/>
        </w:rPr>
      </w:pPr>
      <w:r w:rsidRPr="000A2871">
        <w:rPr>
          <w:rFonts w:ascii="Arial" w:hAnsi="Arial" w:cs="Arial"/>
        </w:rPr>
        <w:t xml:space="preserve">Wu, Y.K. and Berry, D.C. (2018) ‘Impact of weight stigma on physiological and psychological health outcomes for overweight and obese adults: A systematic review’, </w:t>
      </w:r>
      <w:r w:rsidRPr="000A2871">
        <w:rPr>
          <w:rFonts w:ascii="Arial" w:hAnsi="Arial" w:cs="Arial"/>
          <w:i/>
          <w:iCs/>
        </w:rPr>
        <w:t>Journal of Advanced Nursing</w:t>
      </w:r>
      <w:r w:rsidRPr="000A2871">
        <w:rPr>
          <w:rFonts w:ascii="Arial" w:hAnsi="Arial" w:cs="Arial"/>
        </w:rPr>
        <w:t>, 74(5), pp. 1030–1042. Available at: https://doi.org/10.1111/jan.13511.</w:t>
      </w:r>
    </w:p>
    <w:p w14:paraId="1E7FD8A6" w14:textId="77777777" w:rsidR="00911724" w:rsidRPr="000A2871" w:rsidRDefault="00911724" w:rsidP="00911724">
      <w:pPr>
        <w:spacing w:line="360" w:lineRule="auto"/>
        <w:ind w:left="360"/>
        <w:rPr>
          <w:rFonts w:ascii="Arial" w:hAnsi="Arial" w:cs="Arial"/>
        </w:rPr>
      </w:pPr>
      <w:r w:rsidRPr="000A2871">
        <w:rPr>
          <w:rFonts w:ascii="Arial" w:hAnsi="Arial" w:cs="Arial"/>
        </w:rPr>
        <w:t xml:space="preserve">Yardley, L., Spring, B.J., Riper, H. et al. (2016) ‘Understanding and Promoting Effective Engagement With Digital Behavior Change Interventions’, </w:t>
      </w:r>
      <w:r w:rsidRPr="000A2871">
        <w:rPr>
          <w:rFonts w:ascii="Arial" w:hAnsi="Arial" w:cs="Arial"/>
          <w:i/>
          <w:iCs/>
        </w:rPr>
        <w:t>American Journal of Preventive Medicine</w:t>
      </w:r>
      <w:r w:rsidRPr="000A2871">
        <w:rPr>
          <w:rFonts w:ascii="Arial" w:hAnsi="Arial" w:cs="Arial"/>
        </w:rPr>
        <w:t>, 51(5), pp. 833–842. Available at: https://doi.org/10.1016/j.amepre.2016.06.015.</w:t>
      </w:r>
    </w:p>
    <w:p w14:paraId="4688A816" w14:textId="77777777" w:rsidR="00911724" w:rsidRDefault="00911724">
      <w:pPr>
        <w:rPr>
          <w:rFonts w:ascii="Times New Roman" w:eastAsia="Times New Roman" w:hAnsi="Times New Roman" w:cs="Times New Roman"/>
          <w:b/>
          <w:color w:val="000000"/>
          <w:sz w:val="24"/>
        </w:rPr>
      </w:pPr>
      <w:r>
        <w:br w:type="page"/>
      </w:r>
    </w:p>
    <w:p w14:paraId="20BF7512" w14:textId="5C361B93" w:rsidR="007E77F1" w:rsidRPr="000A2871" w:rsidRDefault="007E77F1" w:rsidP="0031657F">
      <w:pPr>
        <w:pStyle w:val="Heading1"/>
        <w:keepNext w:val="0"/>
        <w:keepLines w:val="0"/>
        <w:spacing w:before="480" w:line="360" w:lineRule="auto"/>
        <w:jc w:val="left"/>
        <w:rPr>
          <w:rFonts w:ascii="Arial" w:hAnsi="Arial" w:cs="Arial"/>
          <w:b w:val="0"/>
          <w:bCs/>
          <w:sz w:val="46"/>
          <w:szCs w:val="46"/>
        </w:rPr>
      </w:pPr>
      <w:bookmarkStart w:id="138" w:name="_Toc242459577"/>
      <w:r w:rsidRPr="000A2871">
        <w:rPr>
          <w:rFonts w:ascii="Arial" w:hAnsi="Arial" w:cs="Arial"/>
          <w:bCs/>
          <w:sz w:val="46"/>
          <w:szCs w:val="46"/>
        </w:rPr>
        <w:lastRenderedPageBreak/>
        <w:t xml:space="preserve">Appendix </w:t>
      </w:r>
      <w:r w:rsidR="00E02AEB" w:rsidRPr="000A2871">
        <w:rPr>
          <w:rFonts w:ascii="Arial" w:hAnsi="Arial" w:cs="Arial"/>
          <w:bCs/>
          <w:sz w:val="46"/>
          <w:szCs w:val="46"/>
        </w:rPr>
        <w:t>A</w:t>
      </w:r>
      <w:r w:rsidR="00E02AEB">
        <w:rPr>
          <w:rFonts w:ascii="Arial" w:hAnsi="Arial" w:cs="Arial"/>
          <w:bCs/>
          <w:sz w:val="46"/>
          <w:szCs w:val="46"/>
        </w:rPr>
        <w:t>:</w:t>
      </w:r>
      <w:r w:rsidRPr="000A2871">
        <w:rPr>
          <w:rFonts w:ascii="Arial" w:hAnsi="Arial" w:cs="Arial"/>
          <w:bCs/>
          <w:sz w:val="46"/>
          <w:szCs w:val="46"/>
        </w:rPr>
        <w:t xml:space="preserve"> Search sources and strategies</w:t>
      </w:r>
      <w:bookmarkEnd w:id="138"/>
    </w:p>
    <w:p w14:paraId="6BFB07AE" w14:textId="5E0432C1" w:rsidR="007E77F1" w:rsidRPr="000A2871" w:rsidRDefault="007E77F1" w:rsidP="000A2871">
      <w:pPr>
        <w:spacing w:after="120" w:line="360" w:lineRule="auto"/>
        <w:rPr>
          <w:rFonts w:ascii="Arial" w:hAnsi="Arial" w:cs="Arial"/>
        </w:rPr>
      </w:pPr>
      <w:r w:rsidRPr="000A2871">
        <w:rPr>
          <w:rFonts w:ascii="Arial" w:hAnsi="Arial" w:cs="Arial"/>
        </w:rPr>
        <w:t xml:space="preserve">The original search log is dated </w:t>
      </w:r>
      <w:r w:rsidR="00A76190">
        <w:rPr>
          <w:rFonts w:ascii="Arial" w:hAnsi="Arial" w:cs="Arial"/>
        </w:rPr>
        <w:t>12 September</w:t>
      </w:r>
      <w:r w:rsidRPr="000A2871">
        <w:rPr>
          <w:rFonts w:ascii="Arial" w:hAnsi="Arial" w:cs="Arial"/>
        </w:rPr>
        <w:t xml:space="preserve"> 2026. These strategies reproduce the supplied record, including its date-filter discrepancy. The additional PubMed query is a targeted known-item retrieval, not a comprehensive update.</w:t>
      </w:r>
    </w:p>
    <w:p w14:paraId="18629DBE" w14:textId="77777777" w:rsidR="007E77F1" w:rsidRPr="000A2871" w:rsidRDefault="007E77F1" w:rsidP="0031657F">
      <w:pPr>
        <w:pStyle w:val="Heading2"/>
        <w:keepNext w:val="0"/>
        <w:keepLines w:val="0"/>
        <w:spacing w:after="80" w:line="360" w:lineRule="auto"/>
        <w:jc w:val="left"/>
        <w:rPr>
          <w:rFonts w:ascii="Arial" w:hAnsi="Arial" w:cs="Arial"/>
          <w:b w:val="0"/>
          <w:bCs/>
          <w:sz w:val="34"/>
          <w:szCs w:val="34"/>
        </w:rPr>
      </w:pPr>
      <w:bookmarkStart w:id="139" w:name="_ow2z2j4zyc1x" w:colFirst="0" w:colLast="0"/>
      <w:bookmarkStart w:id="140" w:name="_Toc242459578"/>
      <w:bookmarkEnd w:id="139"/>
      <w:r w:rsidRPr="000A2871">
        <w:rPr>
          <w:rFonts w:ascii="Arial" w:hAnsi="Arial" w:cs="Arial"/>
          <w:bCs/>
          <w:sz w:val="34"/>
          <w:szCs w:val="34"/>
        </w:rPr>
        <w:t>A1 Search inventory</w:t>
      </w:r>
      <w:bookmarkEnd w:id="140"/>
    </w:p>
    <w:tbl>
      <w:tblPr>
        <w:tblW w:w="9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21"/>
        <w:gridCol w:w="1774"/>
        <w:gridCol w:w="4931"/>
      </w:tblGrid>
      <w:tr w:rsidR="007E77F1" w:rsidRPr="000A2871" w14:paraId="73C55752" w14:textId="77777777" w:rsidTr="00142F4B">
        <w:trPr>
          <w:trHeight w:val="780"/>
          <w:jc w:val="center"/>
        </w:trPr>
        <w:tc>
          <w:tcPr>
            <w:tcW w:w="2621" w:type="dxa"/>
            <w:shd w:val="clear" w:color="auto" w:fill="FFFFFF" w:themeFill="background1"/>
            <w:tcMar>
              <w:top w:w="80" w:type="dxa"/>
              <w:left w:w="80" w:type="dxa"/>
              <w:bottom w:w="80" w:type="dxa"/>
              <w:right w:w="80" w:type="dxa"/>
            </w:tcMar>
          </w:tcPr>
          <w:p w14:paraId="1A4A3B7F" w14:textId="77777777" w:rsidR="007E77F1" w:rsidRPr="0031657F" w:rsidRDefault="007E77F1" w:rsidP="0031657F">
            <w:pPr>
              <w:spacing w:line="360" w:lineRule="auto"/>
              <w:jc w:val="center"/>
              <w:rPr>
                <w:rFonts w:ascii="Arial" w:hAnsi="Arial" w:cs="Arial"/>
                <w:b/>
                <w:bCs/>
                <w:sz w:val="20"/>
                <w:szCs w:val="20"/>
              </w:rPr>
            </w:pPr>
            <w:r w:rsidRPr="0031657F">
              <w:rPr>
                <w:rFonts w:ascii="Arial" w:hAnsi="Arial" w:cs="Arial"/>
                <w:b/>
                <w:bCs/>
                <w:sz w:val="20"/>
                <w:szCs w:val="20"/>
              </w:rPr>
              <w:t>Source</w:t>
            </w:r>
          </w:p>
        </w:tc>
        <w:tc>
          <w:tcPr>
            <w:tcW w:w="1774" w:type="dxa"/>
            <w:shd w:val="clear" w:color="auto" w:fill="FFFFFF" w:themeFill="background1"/>
            <w:tcMar>
              <w:top w:w="80" w:type="dxa"/>
              <w:left w:w="80" w:type="dxa"/>
              <w:bottom w:w="80" w:type="dxa"/>
              <w:right w:w="80" w:type="dxa"/>
            </w:tcMar>
          </w:tcPr>
          <w:p w14:paraId="2CD936D4" w14:textId="77777777" w:rsidR="007E77F1" w:rsidRPr="0031657F" w:rsidRDefault="007E77F1" w:rsidP="0031657F">
            <w:pPr>
              <w:spacing w:line="360" w:lineRule="auto"/>
              <w:jc w:val="center"/>
              <w:rPr>
                <w:rFonts w:ascii="Arial" w:hAnsi="Arial" w:cs="Arial"/>
                <w:b/>
                <w:bCs/>
                <w:sz w:val="20"/>
                <w:szCs w:val="20"/>
              </w:rPr>
            </w:pPr>
            <w:r w:rsidRPr="0031657F">
              <w:rPr>
                <w:rFonts w:ascii="Arial" w:hAnsi="Arial" w:cs="Arial"/>
                <w:b/>
                <w:bCs/>
                <w:sz w:val="20"/>
                <w:szCs w:val="20"/>
              </w:rPr>
              <w:t>Original records</w:t>
            </w:r>
          </w:p>
        </w:tc>
        <w:tc>
          <w:tcPr>
            <w:tcW w:w="4931" w:type="dxa"/>
            <w:shd w:val="clear" w:color="auto" w:fill="FFFFFF" w:themeFill="background1"/>
            <w:tcMar>
              <w:top w:w="80" w:type="dxa"/>
              <w:left w:w="80" w:type="dxa"/>
              <w:bottom w:w="80" w:type="dxa"/>
              <w:right w:w="80" w:type="dxa"/>
            </w:tcMar>
          </w:tcPr>
          <w:p w14:paraId="241925A1" w14:textId="77777777" w:rsidR="007E77F1" w:rsidRPr="0031657F" w:rsidRDefault="007E77F1" w:rsidP="0031657F">
            <w:pPr>
              <w:spacing w:line="360" w:lineRule="auto"/>
              <w:jc w:val="center"/>
              <w:rPr>
                <w:rFonts w:ascii="Arial" w:hAnsi="Arial" w:cs="Arial"/>
                <w:b/>
                <w:bCs/>
                <w:sz w:val="20"/>
                <w:szCs w:val="20"/>
              </w:rPr>
            </w:pPr>
            <w:r w:rsidRPr="0031657F">
              <w:rPr>
                <w:rFonts w:ascii="Arial" w:hAnsi="Arial" w:cs="Arial"/>
                <w:b/>
                <w:bCs/>
                <w:sz w:val="20"/>
                <w:szCs w:val="20"/>
              </w:rPr>
              <w:t>Basis</w:t>
            </w:r>
          </w:p>
        </w:tc>
      </w:tr>
      <w:tr w:rsidR="007E77F1" w:rsidRPr="000A2871" w14:paraId="0BB86485" w14:textId="77777777" w:rsidTr="00142F4B">
        <w:trPr>
          <w:trHeight w:val="480"/>
          <w:jc w:val="center"/>
        </w:trPr>
        <w:tc>
          <w:tcPr>
            <w:tcW w:w="2621" w:type="dxa"/>
            <w:shd w:val="clear" w:color="auto" w:fill="FFFFFF" w:themeFill="background1"/>
            <w:tcMar>
              <w:top w:w="80" w:type="dxa"/>
              <w:left w:w="80" w:type="dxa"/>
              <w:bottom w:w="80" w:type="dxa"/>
              <w:right w:w="80" w:type="dxa"/>
            </w:tcMar>
          </w:tcPr>
          <w:p w14:paraId="74B3C9B7" w14:textId="77777777" w:rsidR="007E77F1" w:rsidRPr="0031657F" w:rsidRDefault="007E77F1" w:rsidP="0031657F">
            <w:pPr>
              <w:spacing w:line="360" w:lineRule="auto"/>
              <w:jc w:val="center"/>
              <w:rPr>
                <w:rFonts w:ascii="Arial" w:hAnsi="Arial" w:cs="Arial"/>
                <w:sz w:val="20"/>
                <w:szCs w:val="20"/>
              </w:rPr>
            </w:pPr>
            <w:r w:rsidRPr="0031657F">
              <w:rPr>
                <w:rFonts w:ascii="Arial" w:hAnsi="Arial" w:cs="Arial"/>
                <w:sz w:val="20"/>
                <w:szCs w:val="20"/>
              </w:rPr>
              <w:t>PubMed</w:t>
            </w:r>
          </w:p>
        </w:tc>
        <w:tc>
          <w:tcPr>
            <w:tcW w:w="1774" w:type="dxa"/>
            <w:shd w:val="clear" w:color="auto" w:fill="FFFFFF" w:themeFill="background1"/>
            <w:tcMar>
              <w:top w:w="80" w:type="dxa"/>
              <w:left w:w="80" w:type="dxa"/>
              <w:bottom w:w="80" w:type="dxa"/>
              <w:right w:w="80" w:type="dxa"/>
            </w:tcMar>
          </w:tcPr>
          <w:p w14:paraId="304E6519" w14:textId="77777777" w:rsidR="007E77F1" w:rsidRPr="0031657F" w:rsidRDefault="007E77F1" w:rsidP="0031657F">
            <w:pPr>
              <w:spacing w:line="360" w:lineRule="auto"/>
              <w:jc w:val="center"/>
              <w:rPr>
                <w:rFonts w:ascii="Arial" w:hAnsi="Arial" w:cs="Arial"/>
                <w:sz w:val="20"/>
                <w:szCs w:val="20"/>
              </w:rPr>
            </w:pPr>
            <w:r w:rsidRPr="0031657F">
              <w:rPr>
                <w:rFonts w:ascii="Arial" w:hAnsi="Arial" w:cs="Arial"/>
                <w:sz w:val="20"/>
                <w:szCs w:val="20"/>
              </w:rPr>
              <w:t>69</w:t>
            </w:r>
          </w:p>
        </w:tc>
        <w:tc>
          <w:tcPr>
            <w:tcW w:w="4931" w:type="dxa"/>
            <w:shd w:val="clear" w:color="auto" w:fill="FFFFFF" w:themeFill="background1"/>
            <w:tcMar>
              <w:top w:w="80" w:type="dxa"/>
              <w:left w:w="80" w:type="dxa"/>
              <w:bottom w:w="80" w:type="dxa"/>
              <w:right w:w="80" w:type="dxa"/>
            </w:tcMar>
          </w:tcPr>
          <w:p w14:paraId="4A892E0C" w14:textId="77777777" w:rsidR="007E77F1" w:rsidRPr="0031657F" w:rsidRDefault="007E77F1" w:rsidP="0031657F">
            <w:pPr>
              <w:spacing w:line="360" w:lineRule="auto"/>
              <w:jc w:val="center"/>
              <w:rPr>
                <w:rFonts w:ascii="Arial" w:hAnsi="Arial" w:cs="Arial"/>
                <w:sz w:val="20"/>
                <w:szCs w:val="20"/>
              </w:rPr>
            </w:pPr>
            <w:r w:rsidRPr="0031657F">
              <w:rPr>
                <w:rFonts w:ascii="Arial" w:hAnsi="Arial" w:cs="Arial"/>
                <w:sz w:val="20"/>
                <w:szCs w:val="20"/>
              </w:rPr>
              <w:t>NBIB export</w:t>
            </w:r>
          </w:p>
        </w:tc>
      </w:tr>
      <w:tr w:rsidR="007E77F1" w:rsidRPr="000A2871" w14:paraId="268D7B4C" w14:textId="77777777" w:rsidTr="00142F4B">
        <w:trPr>
          <w:trHeight w:val="480"/>
          <w:jc w:val="center"/>
        </w:trPr>
        <w:tc>
          <w:tcPr>
            <w:tcW w:w="2621" w:type="dxa"/>
            <w:shd w:val="clear" w:color="auto" w:fill="FFFFFF" w:themeFill="background1"/>
            <w:tcMar>
              <w:top w:w="80" w:type="dxa"/>
              <w:left w:w="80" w:type="dxa"/>
              <w:bottom w:w="80" w:type="dxa"/>
              <w:right w:w="80" w:type="dxa"/>
            </w:tcMar>
          </w:tcPr>
          <w:p w14:paraId="3BF4F3D8" w14:textId="77777777" w:rsidR="007E77F1" w:rsidRPr="0031657F" w:rsidRDefault="007E77F1" w:rsidP="0031657F">
            <w:pPr>
              <w:spacing w:line="360" w:lineRule="auto"/>
              <w:jc w:val="center"/>
              <w:rPr>
                <w:rFonts w:ascii="Arial" w:hAnsi="Arial" w:cs="Arial"/>
                <w:sz w:val="20"/>
                <w:szCs w:val="20"/>
              </w:rPr>
            </w:pPr>
            <w:r w:rsidRPr="0031657F">
              <w:rPr>
                <w:rFonts w:ascii="Arial" w:hAnsi="Arial" w:cs="Arial"/>
                <w:sz w:val="20"/>
                <w:szCs w:val="20"/>
              </w:rPr>
              <w:t>ScienceDirect</w:t>
            </w:r>
          </w:p>
        </w:tc>
        <w:tc>
          <w:tcPr>
            <w:tcW w:w="1774" w:type="dxa"/>
            <w:shd w:val="clear" w:color="auto" w:fill="FFFFFF" w:themeFill="background1"/>
            <w:tcMar>
              <w:top w:w="80" w:type="dxa"/>
              <w:left w:w="80" w:type="dxa"/>
              <w:bottom w:w="80" w:type="dxa"/>
              <w:right w:w="80" w:type="dxa"/>
            </w:tcMar>
          </w:tcPr>
          <w:p w14:paraId="3F3B81C8" w14:textId="77777777" w:rsidR="007E77F1" w:rsidRPr="0031657F" w:rsidRDefault="007E77F1" w:rsidP="0031657F">
            <w:pPr>
              <w:spacing w:line="360" w:lineRule="auto"/>
              <w:jc w:val="center"/>
              <w:rPr>
                <w:rFonts w:ascii="Arial" w:hAnsi="Arial" w:cs="Arial"/>
                <w:sz w:val="20"/>
                <w:szCs w:val="20"/>
              </w:rPr>
            </w:pPr>
            <w:r w:rsidRPr="0031657F">
              <w:rPr>
                <w:rFonts w:ascii="Arial" w:hAnsi="Arial" w:cs="Arial"/>
                <w:sz w:val="20"/>
                <w:szCs w:val="20"/>
              </w:rPr>
              <w:t>2,766</w:t>
            </w:r>
          </w:p>
        </w:tc>
        <w:tc>
          <w:tcPr>
            <w:tcW w:w="4931" w:type="dxa"/>
            <w:shd w:val="clear" w:color="auto" w:fill="FFFFFF" w:themeFill="background1"/>
            <w:tcMar>
              <w:top w:w="80" w:type="dxa"/>
              <w:left w:w="80" w:type="dxa"/>
              <w:bottom w:w="80" w:type="dxa"/>
              <w:right w:w="80" w:type="dxa"/>
            </w:tcMar>
          </w:tcPr>
          <w:p w14:paraId="68EEA71A" w14:textId="77777777" w:rsidR="007E77F1" w:rsidRPr="0031657F" w:rsidRDefault="007E77F1" w:rsidP="0031657F">
            <w:pPr>
              <w:spacing w:line="360" w:lineRule="auto"/>
              <w:jc w:val="center"/>
              <w:rPr>
                <w:rFonts w:ascii="Arial" w:hAnsi="Arial" w:cs="Arial"/>
                <w:sz w:val="20"/>
                <w:szCs w:val="20"/>
              </w:rPr>
            </w:pPr>
            <w:r w:rsidRPr="0031657F">
              <w:rPr>
                <w:rFonts w:ascii="Arial" w:hAnsi="Arial" w:cs="Arial"/>
                <w:sz w:val="20"/>
                <w:szCs w:val="20"/>
              </w:rPr>
              <w:t>28 unique RIS batches</w:t>
            </w:r>
          </w:p>
        </w:tc>
      </w:tr>
      <w:tr w:rsidR="007E77F1" w:rsidRPr="000A2871" w14:paraId="25CA6C0F" w14:textId="77777777" w:rsidTr="00142F4B">
        <w:trPr>
          <w:trHeight w:val="480"/>
          <w:jc w:val="center"/>
        </w:trPr>
        <w:tc>
          <w:tcPr>
            <w:tcW w:w="2621" w:type="dxa"/>
            <w:shd w:val="clear" w:color="auto" w:fill="FFFFFF" w:themeFill="background1"/>
            <w:tcMar>
              <w:top w:w="80" w:type="dxa"/>
              <w:left w:w="80" w:type="dxa"/>
              <w:bottom w:w="80" w:type="dxa"/>
              <w:right w:w="80" w:type="dxa"/>
            </w:tcMar>
          </w:tcPr>
          <w:p w14:paraId="1CBFC6D6" w14:textId="77777777" w:rsidR="007E77F1" w:rsidRPr="0031657F" w:rsidRDefault="007E77F1" w:rsidP="0031657F">
            <w:pPr>
              <w:spacing w:line="360" w:lineRule="auto"/>
              <w:jc w:val="center"/>
              <w:rPr>
                <w:rFonts w:ascii="Arial" w:hAnsi="Arial" w:cs="Arial"/>
                <w:sz w:val="20"/>
                <w:szCs w:val="20"/>
              </w:rPr>
            </w:pPr>
            <w:r w:rsidRPr="0031657F">
              <w:rPr>
                <w:rFonts w:ascii="Arial" w:hAnsi="Arial" w:cs="Arial"/>
                <w:sz w:val="20"/>
                <w:szCs w:val="20"/>
              </w:rPr>
              <w:t>BioMed Central</w:t>
            </w:r>
          </w:p>
        </w:tc>
        <w:tc>
          <w:tcPr>
            <w:tcW w:w="1774" w:type="dxa"/>
            <w:shd w:val="clear" w:color="auto" w:fill="FFFFFF" w:themeFill="background1"/>
            <w:tcMar>
              <w:top w:w="80" w:type="dxa"/>
              <w:left w:w="80" w:type="dxa"/>
              <w:bottom w:w="80" w:type="dxa"/>
              <w:right w:w="80" w:type="dxa"/>
            </w:tcMar>
          </w:tcPr>
          <w:p w14:paraId="043BCA60" w14:textId="77777777" w:rsidR="007E77F1" w:rsidRPr="0031657F" w:rsidRDefault="007E77F1" w:rsidP="0031657F">
            <w:pPr>
              <w:spacing w:line="360" w:lineRule="auto"/>
              <w:jc w:val="center"/>
              <w:rPr>
                <w:rFonts w:ascii="Arial" w:hAnsi="Arial" w:cs="Arial"/>
                <w:sz w:val="20"/>
                <w:szCs w:val="20"/>
              </w:rPr>
            </w:pPr>
            <w:r w:rsidRPr="0031657F">
              <w:rPr>
                <w:rFonts w:ascii="Arial" w:hAnsi="Arial" w:cs="Arial"/>
                <w:sz w:val="20"/>
                <w:szCs w:val="20"/>
              </w:rPr>
              <w:t>142</w:t>
            </w:r>
          </w:p>
        </w:tc>
        <w:tc>
          <w:tcPr>
            <w:tcW w:w="4931" w:type="dxa"/>
            <w:shd w:val="clear" w:color="auto" w:fill="FFFFFF" w:themeFill="background1"/>
            <w:tcMar>
              <w:top w:w="80" w:type="dxa"/>
              <w:left w:w="80" w:type="dxa"/>
              <w:bottom w:w="80" w:type="dxa"/>
              <w:right w:w="80" w:type="dxa"/>
            </w:tcMar>
          </w:tcPr>
          <w:p w14:paraId="04CF750F" w14:textId="77777777" w:rsidR="007E77F1" w:rsidRPr="0031657F" w:rsidRDefault="007E77F1" w:rsidP="0031657F">
            <w:pPr>
              <w:spacing w:line="360" w:lineRule="auto"/>
              <w:jc w:val="center"/>
              <w:rPr>
                <w:rFonts w:ascii="Arial" w:hAnsi="Arial" w:cs="Arial"/>
                <w:sz w:val="20"/>
                <w:szCs w:val="20"/>
              </w:rPr>
            </w:pPr>
            <w:r w:rsidRPr="0031657F">
              <w:rPr>
                <w:rFonts w:ascii="Arial" w:hAnsi="Arial" w:cs="Arial"/>
                <w:sz w:val="20"/>
                <w:szCs w:val="20"/>
              </w:rPr>
              <w:t>Nine non-empty CSV files from ten journal searches</w:t>
            </w:r>
          </w:p>
        </w:tc>
      </w:tr>
      <w:tr w:rsidR="007E77F1" w:rsidRPr="000A2871" w14:paraId="6368F871" w14:textId="77777777" w:rsidTr="00142F4B">
        <w:trPr>
          <w:trHeight w:val="480"/>
          <w:jc w:val="center"/>
        </w:trPr>
        <w:tc>
          <w:tcPr>
            <w:tcW w:w="2621" w:type="dxa"/>
            <w:shd w:val="clear" w:color="auto" w:fill="FFFFFF" w:themeFill="background1"/>
            <w:tcMar>
              <w:top w:w="80" w:type="dxa"/>
              <w:left w:w="80" w:type="dxa"/>
              <w:bottom w:w="80" w:type="dxa"/>
              <w:right w:w="80" w:type="dxa"/>
            </w:tcMar>
          </w:tcPr>
          <w:p w14:paraId="61A04A59" w14:textId="77777777" w:rsidR="007E77F1" w:rsidRPr="0031657F" w:rsidRDefault="007E77F1" w:rsidP="0031657F">
            <w:pPr>
              <w:spacing w:line="360" w:lineRule="auto"/>
              <w:jc w:val="center"/>
              <w:rPr>
                <w:rFonts w:ascii="Arial" w:hAnsi="Arial" w:cs="Arial"/>
                <w:sz w:val="20"/>
                <w:szCs w:val="20"/>
              </w:rPr>
            </w:pPr>
            <w:r w:rsidRPr="0031657F">
              <w:rPr>
                <w:rFonts w:ascii="Arial" w:hAnsi="Arial" w:cs="Arial"/>
                <w:sz w:val="20"/>
                <w:szCs w:val="20"/>
              </w:rPr>
              <w:t>Original total</w:t>
            </w:r>
          </w:p>
        </w:tc>
        <w:tc>
          <w:tcPr>
            <w:tcW w:w="1774" w:type="dxa"/>
            <w:shd w:val="clear" w:color="auto" w:fill="FFFFFF" w:themeFill="background1"/>
            <w:tcMar>
              <w:top w:w="80" w:type="dxa"/>
              <w:left w:w="80" w:type="dxa"/>
              <w:bottom w:w="80" w:type="dxa"/>
              <w:right w:w="80" w:type="dxa"/>
            </w:tcMar>
          </w:tcPr>
          <w:p w14:paraId="5D511C6F" w14:textId="77777777" w:rsidR="007E77F1" w:rsidRPr="0031657F" w:rsidRDefault="007E77F1" w:rsidP="0031657F">
            <w:pPr>
              <w:spacing w:line="360" w:lineRule="auto"/>
              <w:jc w:val="center"/>
              <w:rPr>
                <w:rFonts w:ascii="Arial" w:hAnsi="Arial" w:cs="Arial"/>
                <w:sz w:val="20"/>
                <w:szCs w:val="20"/>
              </w:rPr>
            </w:pPr>
            <w:r w:rsidRPr="0031657F">
              <w:rPr>
                <w:rFonts w:ascii="Arial" w:hAnsi="Arial" w:cs="Arial"/>
                <w:sz w:val="20"/>
                <w:szCs w:val="20"/>
              </w:rPr>
              <w:t>2,977</w:t>
            </w:r>
          </w:p>
        </w:tc>
        <w:tc>
          <w:tcPr>
            <w:tcW w:w="4931" w:type="dxa"/>
            <w:shd w:val="clear" w:color="auto" w:fill="FFFFFF" w:themeFill="background1"/>
            <w:tcMar>
              <w:top w:w="80" w:type="dxa"/>
              <w:left w:w="80" w:type="dxa"/>
              <w:bottom w:w="80" w:type="dxa"/>
              <w:right w:w="80" w:type="dxa"/>
            </w:tcMar>
          </w:tcPr>
          <w:p w14:paraId="0BBCC1F1" w14:textId="77777777" w:rsidR="007E77F1" w:rsidRPr="0031657F" w:rsidRDefault="007E77F1" w:rsidP="0031657F">
            <w:pPr>
              <w:spacing w:line="360" w:lineRule="auto"/>
              <w:jc w:val="center"/>
              <w:rPr>
                <w:rFonts w:ascii="Arial" w:hAnsi="Arial" w:cs="Arial"/>
                <w:sz w:val="20"/>
                <w:szCs w:val="20"/>
              </w:rPr>
            </w:pPr>
            <w:r w:rsidRPr="0031657F">
              <w:rPr>
                <w:rFonts w:ascii="Arial" w:hAnsi="Arial" w:cs="Arial"/>
                <w:sz w:val="20"/>
                <w:szCs w:val="20"/>
              </w:rPr>
              <w:t>Before eleven exact-DOI duplicate removals</w:t>
            </w:r>
          </w:p>
        </w:tc>
      </w:tr>
      <w:tr w:rsidR="007E77F1" w:rsidRPr="000A2871" w14:paraId="067863C8" w14:textId="77777777" w:rsidTr="00142F4B">
        <w:trPr>
          <w:trHeight w:val="780"/>
          <w:jc w:val="center"/>
        </w:trPr>
        <w:tc>
          <w:tcPr>
            <w:tcW w:w="2621" w:type="dxa"/>
            <w:shd w:val="clear" w:color="auto" w:fill="FFFFFF" w:themeFill="background1"/>
            <w:tcMar>
              <w:top w:w="80" w:type="dxa"/>
              <w:left w:w="80" w:type="dxa"/>
              <w:bottom w:w="80" w:type="dxa"/>
              <w:right w:w="80" w:type="dxa"/>
            </w:tcMar>
          </w:tcPr>
          <w:p w14:paraId="4D0FE23D" w14:textId="77777777" w:rsidR="007E77F1" w:rsidRPr="0031657F" w:rsidRDefault="007E77F1" w:rsidP="0031657F">
            <w:pPr>
              <w:spacing w:line="360" w:lineRule="auto"/>
              <w:jc w:val="center"/>
              <w:rPr>
                <w:rFonts w:ascii="Arial" w:hAnsi="Arial" w:cs="Arial"/>
                <w:sz w:val="20"/>
                <w:szCs w:val="20"/>
              </w:rPr>
            </w:pPr>
            <w:r w:rsidRPr="0031657F">
              <w:rPr>
                <w:rFonts w:ascii="Arial" w:hAnsi="Arial" w:cs="Arial"/>
                <w:sz w:val="20"/>
                <w:szCs w:val="20"/>
              </w:rPr>
              <w:t>Supplementary PubMed</w:t>
            </w:r>
          </w:p>
        </w:tc>
        <w:tc>
          <w:tcPr>
            <w:tcW w:w="1774" w:type="dxa"/>
            <w:shd w:val="clear" w:color="auto" w:fill="FFFFFF" w:themeFill="background1"/>
            <w:tcMar>
              <w:top w:w="80" w:type="dxa"/>
              <w:left w:w="80" w:type="dxa"/>
              <w:bottom w:w="80" w:type="dxa"/>
              <w:right w:w="80" w:type="dxa"/>
            </w:tcMar>
          </w:tcPr>
          <w:p w14:paraId="75671A2B" w14:textId="77777777" w:rsidR="007E77F1" w:rsidRPr="0031657F" w:rsidRDefault="007E77F1" w:rsidP="0031657F">
            <w:pPr>
              <w:spacing w:line="360" w:lineRule="auto"/>
              <w:jc w:val="center"/>
              <w:rPr>
                <w:rFonts w:ascii="Arial" w:hAnsi="Arial" w:cs="Arial"/>
                <w:sz w:val="20"/>
                <w:szCs w:val="20"/>
              </w:rPr>
            </w:pPr>
            <w:r w:rsidRPr="0031657F">
              <w:rPr>
                <w:rFonts w:ascii="Arial" w:hAnsi="Arial" w:cs="Arial"/>
                <w:sz w:val="20"/>
                <w:szCs w:val="20"/>
              </w:rPr>
              <w:t>3</w:t>
            </w:r>
          </w:p>
        </w:tc>
        <w:tc>
          <w:tcPr>
            <w:tcW w:w="4931" w:type="dxa"/>
            <w:shd w:val="clear" w:color="auto" w:fill="FFFFFF" w:themeFill="background1"/>
            <w:tcMar>
              <w:top w:w="80" w:type="dxa"/>
              <w:left w:w="80" w:type="dxa"/>
              <w:bottom w:w="80" w:type="dxa"/>
              <w:right w:w="80" w:type="dxa"/>
            </w:tcMar>
          </w:tcPr>
          <w:p w14:paraId="0F63E5ED" w14:textId="3BCE9DB4" w:rsidR="007E77F1" w:rsidRPr="0031657F" w:rsidRDefault="007E77F1" w:rsidP="0031657F">
            <w:pPr>
              <w:spacing w:line="360" w:lineRule="auto"/>
              <w:jc w:val="center"/>
              <w:rPr>
                <w:rFonts w:ascii="Arial" w:hAnsi="Arial" w:cs="Arial"/>
                <w:sz w:val="20"/>
                <w:szCs w:val="20"/>
              </w:rPr>
            </w:pPr>
            <w:r w:rsidRPr="0031657F">
              <w:rPr>
                <w:rFonts w:ascii="Arial" w:hAnsi="Arial" w:cs="Arial"/>
                <w:sz w:val="20"/>
                <w:szCs w:val="20"/>
              </w:rPr>
              <w:t xml:space="preserve">PMID query on </w:t>
            </w:r>
            <w:r w:rsidR="00A76190" w:rsidRPr="0031657F">
              <w:rPr>
                <w:rFonts w:ascii="Arial" w:hAnsi="Arial" w:cs="Arial"/>
                <w:sz w:val="20"/>
                <w:szCs w:val="20"/>
              </w:rPr>
              <w:t>24 September</w:t>
            </w:r>
            <w:r w:rsidRPr="0031657F">
              <w:rPr>
                <w:rFonts w:ascii="Arial" w:hAnsi="Arial" w:cs="Arial"/>
                <w:sz w:val="20"/>
                <w:szCs w:val="20"/>
              </w:rPr>
              <w:t xml:space="preserve"> 2026</w:t>
            </w:r>
          </w:p>
        </w:tc>
      </w:tr>
      <w:tr w:rsidR="007E77F1" w:rsidRPr="000A2871" w14:paraId="565EFC18" w14:textId="77777777" w:rsidTr="00142F4B">
        <w:trPr>
          <w:trHeight w:val="780"/>
          <w:jc w:val="center"/>
        </w:trPr>
        <w:tc>
          <w:tcPr>
            <w:tcW w:w="2621" w:type="dxa"/>
            <w:shd w:val="clear" w:color="auto" w:fill="FFFFFF" w:themeFill="background1"/>
            <w:tcMar>
              <w:top w:w="80" w:type="dxa"/>
              <w:left w:w="80" w:type="dxa"/>
              <w:bottom w:w="80" w:type="dxa"/>
              <w:right w:w="80" w:type="dxa"/>
            </w:tcMar>
          </w:tcPr>
          <w:p w14:paraId="5398A95A" w14:textId="77777777" w:rsidR="007E77F1" w:rsidRPr="0031657F" w:rsidRDefault="007E77F1" w:rsidP="0031657F">
            <w:pPr>
              <w:spacing w:line="360" w:lineRule="auto"/>
              <w:jc w:val="center"/>
              <w:rPr>
                <w:rFonts w:ascii="Arial" w:hAnsi="Arial" w:cs="Arial"/>
                <w:sz w:val="20"/>
                <w:szCs w:val="20"/>
              </w:rPr>
            </w:pPr>
            <w:r w:rsidRPr="0031657F">
              <w:rPr>
                <w:rFonts w:ascii="Arial" w:hAnsi="Arial" w:cs="Arial"/>
                <w:sz w:val="20"/>
                <w:szCs w:val="20"/>
              </w:rPr>
              <w:t>Combined unique records</w:t>
            </w:r>
          </w:p>
        </w:tc>
        <w:tc>
          <w:tcPr>
            <w:tcW w:w="1774" w:type="dxa"/>
            <w:shd w:val="clear" w:color="auto" w:fill="FFFFFF" w:themeFill="background1"/>
            <w:tcMar>
              <w:top w:w="80" w:type="dxa"/>
              <w:left w:w="80" w:type="dxa"/>
              <w:bottom w:w="80" w:type="dxa"/>
              <w:right w:w="80" w:type="dxa"/>
            </w:tcMar>
          </w:tcPr>
          <w:p w14:paraId="22A5B64B" w14:textId="77777777" w:rsidR="007E77F1" w:rsidRPr="0031657F" w:rsidRDefault="007E77F1" w:rsidP="0031657F">
            <w:pPr>
              <w:spacing w:line="360" w:lineRule="auto"/>
              <w:jc w:val="center"/>
              <w:rPr>
                <w:rFonts w:ascii="Arial" w:hAnsi="Arial" w:cs="Arial"/>
                <w:sz w:val="20"/>
                <w:szCs w:val="20"/>
              </w:rPr>
            </w:pPr>
            <w:r w:rsidRPr="0031657F">
              <w:rPr>
                <w:rFonts w:ascii="Arial" w:hAnsi="Arial" w:cs="Arial"/>
                <w:sz w:val="20"/>
                <w:szCs w:val="20"/>
              </w:rPr>
              <w:t>2,969</w:t>
            </w:r>
          </w:p>
        </w:tc>
        <w:tc>
          <w:tcPr>
            <w:tcW w:w="4931" w:type="dxa"/>
            <w:shd w:val="clear" w:color="auto" w:fill="FFFFFF" w:themeFill="background1"/>
            <w:tcMar>
              <w:top w:w="80" w:type="dxa"/>
              <w:left w:w="80" w:type="dxa"/>
              <w:bottom w:w="80" w:type="dxa"/>
              <w:right w:w="80" w:type="dxa"/>
            </w:tcMar>
          </w:tcPr>
          <w:p w14:paraId="4A4F117E" w14:textId="77777777" w:rsidR="007E77F1" w:rsidRPr="0031657F" w:rsidRDefault="007E77F1" w:rsidP="0031657F">
            <w:pPr>
              <w:spacing w:line="360" w:lineRule="auto"/>
              <w:jc w:val="center"/>
              <w:rPr>
                <w:rFonts w:ascii="Arial" w:hAnsi="Arial" w:cs="Arial"/>
                <w:sz w:val="20"/>
                <w:szCs w:val="20"/>
              </w:rPr>
            </w:pPr>
            <w:r w:rsidRPr="0031657F">
              <w:rPr>
                <w:rFonts w:ascii="Arial" w:hAnsi="Arial" w:cs="Arial"/>
                <w:sz w:val="20"/>
                <w:szCs w:val="20"/>
              </w:rPr>
              <w:t>2,980 records minus eleven duplicates</w:t>
            </w:r>
          </w:p>
        </w:tc>
      </w:tr>
    </w:tbl>
    <w:p w14:paraId="14F9FF16"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55BBA4B7" w14:textId="77777777" w:rsidR="007E77F1" w:rsidRPr="000A2871" w:rsidRDefault="007E77F1" w:rsidP="0031657F">
      <w:pPr>
        <w:pStyle w:val="Heading2"/>
        <w:keepNext w:val="0"/>
        <w:keepLines w:val="0"/>
        <w:spacing w:after="80" w:line="360" w:lineRule="auto"/>
        <w:jc w:val="left"/>
        <w:rPr>
          <w:rFonts w:ascii="Arial" w:hAnsi="Arial" w:cs="Arial"/>
          <w:b w:val="0"/>
          <w:bCs/>
          <w:sz w:val="34"/>
          <w:szCs w:val="34"/>
        </w:rPr>
      </w:pPr>
      <w:bookmarkStart w:id="141" w:name="_h2sg8zs8cqzh" w:colFirst="0" w:colLast="0"/>
      <w:bookmarkStart w:id="142" w:name="_Toc242459579"/>
      <w:bookmarkEnd w:id="141"/>
      <w:r w:rsidRPr="000A2871">
        <w:rPr>
          <w:rFonts w:ascii="Arial" w:hAnsi="Arial" w:cs="Arial"/>
          <w:bCs/>
          <w:sz w:val="34"/>
          <w:szCs w:val="34"/>
        </w:rPr>
        <w:t>A2 PubMed</w:t>
      </w:r>
      <w:bookmarkEnd w:id="142"/>
    </w:p>
    <w:p w14:paraId="1AAAE363" w14:textId="77777777" w:rsidR="007E77F1" w:rsidRPr="000A2871" w:rsidRDefault="007E77F1" w:rsidP="000A2871">
      <w:pPr>
        <w:spacing w:after="120" w:line="360" w:lineRule="auto"/>
        <w:rPr>
          <w:rFonts w:ascii="Arial" w:hAnsi="Arial" w:cs="Arial"/>
        </w:rPr>
      </w:pPr>
      <w:r w:rsidRPr="000A2871">
        <w:rPr>
          <w:rFonts w:ascii="Arial" w:hAnsi="Arial" w:cs="Arial"/>
        </w:rPr>
        <w:t>("Young Adult"[Mesh] OR "young adult*"[Title/Abstract] OR "emerging adult*"[Title/Abstract] OR student*[Title/Abstract] OR "university student*"[Title/Abstract])</w:t>
      </w:r>
    </w:p>
    <w:p w14:paraId="28E21DD0" w14:textId="77777777" w:rsidR="007E77F1" w:rsidRPr="000A2871" w:rsidRDefault="007E77F1" w:rsidP="000A2871">
      <w:pPr>
        <w:spacing w:after="120" w:line="360" w:lineRule="auto"/>
        <w:rPr>
          <w:rFonts w:ascii="Arial" w:hAnsi="Arial" w:cs="Arial"/>
        </w:rPr>
      </w:pPr>
      <w:r w:rsidRPr="000A2871">
        <w:rPr>
          <w:rFonts w:ascii="Arial" w:hAnsi="Arial" w:cs="Arial"/>
        </w:rPr>
        <w:t>AND</w:t>
      </w:r>
    </w:p>
    <w:p w14:paraId="059E8E08" w14:textId="77777777" w:rsidR="007E77F1" w:rsidRPr="000A2871" w:rsidRDefault="007E77F1" w:rsidP="000A2871">
      <w:pPr>
        <w:spacing w:after="120" w:line="360" w:lineRule="auto"/>
        <w:rPr>
          <w:rFonts w:ascii="Arial" w:hAnsi="Arial" w:cs="Arial"/>
        </w:rPr>
      </w:pPr>
      <w:r w:rsidRPr="000A2871">
        <w:rPr>
          <w:rFonts w:ascii="Arial" w:hAnsi="Arial" w:cs="Arial"/>
        </w:rPr>
        <w:t>("Obesity"[Mesh] OR obes*[Title/Abstract] OR overweight [Title/Abstract] OR "weight management"[Title/Abstract] OR "healthy weight"[Title/Abstract])</w:t>
      </w:r>
    </w:p>
    <w:p w14:paraId="2EBB77BD" w14:textId="77777777" w:rsidR="007E77F1" w:rsidRPr="000A2871" w:rsidRDefault="007E77F1" w:rsidP="000A2871">
      <w:pPr>
        <w:spacing w:after="120" w:line="360" w:lineRule="auto"/>
        <w:rPr>
          <w:rFonts w:ascii="Arial" w:hAnsi="Arial" w:cs="Arial"/>
        </w:rPr>
      </w:pPr>
      <w:r w:rsidRPr="000A2871">
        <w:rPr>
          <w:rFonts w:ascii="Arial" w:hAnsi="Arial" w:cs="Arial"/>
        </w:rPr>
        <w:t>AND</w:t>
      </w:r>
    </w:p>
    <w:p w14:paraId="68ED554A" w14:textId="77777777" w:rsidR="007E77F1" w:rsidRPr="000A2871" w:rsidRDefault="007E77F1" w:rsidP="000A2871">
      <w:pPr>
        <w:spacing w:after="120" w:line="360" w:lineRule="auto"/>
        <w:rPr>
          <w:rFonts w:ascii="Arial" w:hAnsi="Arial" w:cs="Arial"/>
        </w:rPr>
      </w:pPr>
      <w:r w:rsidRPr="000A2871">
        <w:rPr>
          <w:rFonts w:ascii="Arial" w:hAnsi="Arial" w:cs="Arial"/>
        </w:rPr>
        <w:t>(determinant*[Title/Abstract] OR barrier*[Title/Abstract] OR facilitator*[Title/Abstract] OR perception*[Title/Abstract] OR experience*[Title/Abstract] OR attitude*[Title/Abstract] OR intervention*[Title/Abstract] OR prevention [Title/Abstract])</w:t>
      </w:r>
    </w:p>
    <w:p w14:paraId="73EDEA98" w14:textId="77777777" w:rsidR="007E77F1" w:rsidRPr="000A2871" w:rsidRDefault="007E77F1" w:rsidP="000A2871">
      <w:pPr>
        <w:spacing w:after="120" w:line="360" w:lineRule="auto"/>
        <w:rPr>
          <w:rFonts w:ascii="Arial" w:hAnsi="Arial" w:cs="Arial"/>
        </w:rPr>
      </w:pPr>
      <w:r w:rsidRPr="000A2871">
        <w:rPr>
          <w:rFonts w:ascii="Arial" w:hAnsi="Arial" w:cs="Arial"/>
        </w:rPr>
        <w:lastRenderedPageBreak/>
        <w:t>AND</w:t>
      </w:r>
    </w:p>
    <w:p w14:paraId="094DCCF2" w14:textId="77777777" w:rsidR="007E77F1" w:rsidRPr="000A2871" w:rsidRDefault="007E77F1" w:rsidP="000A2871">
      <w:pPr>
        <w:spacing w:after="120" w:line="360" w:lineRule="auto"/>
        <w:rPr>
          <w:rFonts w:ascii="Arial" w:hAnsi="Arial" w:cs="Arial"/>
        </w:rPr>
      </w:pPr>
      <w:r w:rsidRPr="000A2871">
        <w:rPr>
          <w:rFonts w:ascii="Arial" w:hAnsi="Arial" w:cs="Arial"/>
        </w:rPr>
        <w:t>(qualitative [Title/Abstract] OR interview*[Title/Abstract] OR "focus group*"[Title/Abstract] OR ethnograph*[Title/Abstract] OR "thematic analysis"[Title/Abstract])</w:t>
      </w:r>
    </w:p>
    <w:p w14:paraId="08BC1FFB" w14:textId="77777777" w:rsidR="007E77F1" w:rsidRPr="000A2871" w:rsidRDefault="007E77F1" w:rsidP="000A2871">
      <w:pPr>
        <w:spacing w:after="120" w:line="360" w:lineRule="auto"/>
        <w:rPr>
          <w:rFonts w:ascii="Arial" w:hAnsi="Arial" w:cs="Arial"/>
        </w:rPr>
      </w:pPr>
      <w:r w:rsidRPr="000A2871">
        <w:rPr>
          <w:rFonts w:ascii="Arial" w:hAnsi="Arial" w:cs="Arial"/>
        </w:rPr>
        <w:t>AND</w:t>
      </w:r>
    </w:p>
    <w:p w14:paraId="34239F46" w14:textId="77777777" w:rsidR="007E77F1" w:rsidRPr="000A2871" w:rsidRDefault="007E77F1" w:rsidP="000A2871">
      <w:pPr>
        <w:spacing w:after="120" w:line="360" w:lineRule="auto"/>
        <w:rPr>
          <w:rFonts w:ascii="Arial" w:hAnsi="Arial" w:cs="Arial"/>
        </w:rPr>
      </w:pPr>
      <w:r w:rsidRPr="000A2871">
        <w:rPr>
          <w:rFonts w:ascii="Arial" w:hAnsi="Arial" w:cs="Arial"/>
        </w:rPr>
        <w:t>("United Kingdom"[Mesh] OR UK[Title/Abstract] OR "United Kingdom"[Title/Abstract] OR England [Title/Abstract] OR Scotland [Title/Abstract] OR Wales [Title/Abstract] OR "Northern Ireland"[Title/Abstract])</w:t>
      </w:r>
    </w:p>
    <w:p w14:paraId="55A21805" w14:textId="77777777" w:rsidR="007E77F1" w:rsidRPr="000A2871" w:rsidRDefault="007E77F1" w:rsidP="000A2871">
      <w:pPr>
        <w:spacing w:after="120" w:line="360" w:lineRule="auto"/>
        <w:rPr>
          <w:rFonts w:ascii="Arial" w:hAnsi="Arial" w:cs="Arial"/>
        </w:rPr>
      </w:pPr>
      <w:r w:rsidRPr="000A2871">
        <w:rPr>
          <w:rFonts w:ascii="Arial" w:hAnsi="Arial" w:cs="Arial"/>
        </w:rPr>
        <w:t>AND</w:t>
      </w:r>
    </w:p>
    <w:p w14:paraId="46805E9E" w14:textId="77777777" w:rsidR="007E77F1" w:rsidRPr="000A2871" w:rsidRDefault="007E77F1" w:rsidP="000A2871">
      <w:pPr>
        <w:spacing w:after="120" w:line="360" w:lineRule="auto"/>
        <w:rPr>
          <w:rFonts w:ascii="Arial" w:hAnsi="Arial" w:cs="Arial"/>
        </w:rPr>
      </w:pPr>
      <w:r w:rsidRPr="000A2871">
        <w:rPr>
          <w:rFonts w:ascii="Arial" w:hAnsi="Arial" w:cs="Arial"/>
        </w:rPr>
        <w:t>("2016/01/01"[Date - Publication] : "2026/10/01"[Date - Publication])</w:t>
      </w:r>
    </w:p>
    <w:p w14:paraId="45BAB554" w14:textId="77777777" w:rsidR="007E77F1" w:rsidRPr="000A2871" w:rsidRDefault="007E77F1" w:rsidP="000A2871">
      <w:pPr>
        <w:spacing w:after="120" w:line="360" w:lineRule="auto"/>
        <w:rPr>
          <w:rFonts w:ascii="Arial" w:hAnsi="Arial" w:cs="Arial"/>
        </w:rPr>
      </w:pPr>
      <w:r w:rsidRPr="000A2871">
        <w:rPr>
          <w:rFonts w:ascii="Arial" w:hAnsi="Arial" w:cs="Arial"/>
        </w:rPr>
        <w:t>AND</w:t>
      </w:r>
    </w:p>
    <w:p w14:paraId="26CB40DE" w14:textId="77777777" w:rsidR="007E77F1" w:rsidRPr="000A2871" w:rsidRDefault="007E77F1" w:rsidP="000A2871">
      <w:pPr>
        <w:spacing w:after="120" w:line="360" w:lineRule="auto"/>
        <w:rPr>
          <w:rFonts w:ascii="Arial" w:hAnsi="Arial" w:cs="Arial"/>
        </w:rPr>
      </w:pPr>
      <w:r w:rsidRPr="000A2871">
        <w:rPr>
          <w:rFonts w:ascii="Arial" w:hAnsi="Arial" w:cs="Arial"/>
        </w:rPr>
        <w:t>english[Language]</w:t>
      </w:r>
    </w:p>
    <w:p w14:paraId="5E8446F5" w14:textId="6469B9F7" w:rsidR="007E77F1" w:rsidRPr="000A2871" w:rsidRDefault="007E77F1" w:rsidP="000A2871">
      <w:pPr>
        <w:spacing w:after="120" w:line="360" w:lineRule="auto"/>
        <w:rPr>
          <w:rFonts w:ascii="Arial" w:hAnsi="Arial" w:cs="Arial"/>
        </w:rPr>
      </w:pPr>
      <w:r w:rsidRPr="000A2871">
        <w:rPr>
          <w:rFonts w:ascii="Arial" w:hAnsi="Arial" w:cs="Arial"/>
        </w:rPr>
        <w:t xml:space="preserve">Recorded additional filters: English; publication period 1 January 2016 to 25 September 2026. The active end-date filter is earlier than the </w:t>
      </w:r>
      <w:r w:rsidR="00A76190">
        <w:rPr>
          <w:rFonts w:ascii="Arial" w:hAnsi="Arial" w:cs="Arial"/>
        </w:rPr>
        <w:t>12 September</w:t>
      </w:r>
      <w:r w:rsidRPr="000A2871">
        <w:rPr>
          <w:rFonts w:ascii="Arial" w:hAnsi="Arial" w:cs="Arial"/>
        </w:rPr>
        <w:t xml:space="preserve"> end date written in the query.</w:t>
      </w:r>
    </w:p>
    <w:p w14:paraId="13A31BB1" w14:textId="77777777" w:rsidR="007E77F1" w:rsidRPr="000A2871" w:rsidRDefault="007E77F1" w:rsidP="0031657F">
      <w:pPr>
        <w:pStyle w:val="Heading2"/>
        <w:keepNext w:val="0"/>
        <w:keepLines w:val="0"/>
        <w:spacing w:after="80" w:line="360" w:lineRule="auto"/>
        <w:jc w:val="left"/>
        <w:rPr>
          <w:rFonts w:ascii="Arial" w:hAnsi="Arial" w:cs="Arial"/>
          <w:b w:val="0"/>
          <w:bCs/>
          <w:sz w:val="34"/>
          <w:szCs w:val="34"/>
        </w:rPr>
      </w:pPr>
      <w:bookmarkStart w:id="143" w:name="_8udcz5voav6o" w:colFirst="0" w:colLast="0"/>
      <w:bookmarkStart w:id="144" w:name="_Toc242459580"/>
      <w:bookmarkEnd w:id="143"/>
      <w:r w:rsidRPr="000A2871">
        <w:rPr>
          <w:rFonts w:ascii="Arial" w:hAnsi="Arial" w:cs="Arial"/>
          <w:bCs/>
          <w:sz w:val="34"/>
          <w:szCs w:val="34"/>
        </w:rPr>
        <w:t>A3 ScienceDirect</w:t>
      </w:r>
      <w:bookmarkEnd w:id="144"/>
    </w:p>
    <w:p w14:paraId="736A2459" w14:textId="77777777" w:rsidR="007E77F1" w:rsidRPr="000A2871" w:rsidRDefault="007E77F1" w:rsidP="000A2871">
      <w:pPr>
        <w:spacing w:after="120" w:line="360" w:lineRule="auto"/>
        <w:rPr>
          <w:rFonts w:ascii="Arial" w:hAnsi="Arial" w:cs="Arial"/>
        </w:rPr>
      </w:pPr>
      <w:r w:rsidRPr="000A2871">
        <w:rPr>
          <w:rFonts w:ascii="Arial" w:hAnsi="Arial" w:cs="Arial"/>
        </w:rPr>
        <w:t>("young adult" OR "young adults") AND (obesity OR overweight) AND (qualitative OR interview OR "focus group") AND ("United Kingdom" OR UK)</w:t>
      </w:r>
    </w:p>
    <w:p w14:paraId="4A015C5F" w14:textId="77777777" w:rsidR="007E77F1" w:rsidRPr="000A2871" w:rsidRDefault="007E77F1" w:rsidP="000A2871">
      <w:pPr>
        <w:spacing w:after="120" w:line="360" w:lineRule="auto"/>
        <w:rPr>
          <w:rFonts w:ascii="Arial" w:hAnsi="Arial" w:cs="Arial"/>
        </w:rPr>
      </w:pPr>
      <w:r w:rsidRPr="000A2871">
        <w:rPr>
          <w:rFonts w:ascii="Arial" w:hAnsi="Arial" w:cs="Arial"/>
        </w:rPr>
        <w:t>Recorded publication filter: 2016–2026. Results were exported in batches; one identical export file was not imported a second time.</w:t>
      </w:r>
    </w:p>
    <w:p w14:paraId="31419409" w14:textId="77777777" w:rsidR="007E77F1" w:rsidRPr="000A2871" w:rsidRDefault="007E77F1" w:rsidP="0031657F">
      <w:pPr>
        <w:pStyle w:val="Heading2"/>
        <w:keepNext w:val="0"/>
        <w:keepLines w:val="0"/>
        <w:spacing w:after="80" w:line="360" w:lineRule="auto"/>
        <w:jc w:val="left"/>
        <w:rPr>
          <w:rFonts w:ascii="Arial" w:hAnsi="Arial" w:cs="Arial"/>
          <w:b w:val="0"/>
          <w:bCs/>
          <w:sz w:val="34"/>
          <w:szCs w:val="34"/>
        </w:rPr>
      </w:pPr>
      <w:bookmarkStart w:id="145" w:name="_ee197p68mbfc" w:colFirst="0" w:colLast="0"/>
      <w:bookmarkStart w:id="146" w:name="_Toc242459581"/>
      <w:bookmarkEnd w:id="145"/>
      <w:r w:rsidRPr="000A2871">
        <w:rPr>
          <w:rFonts w:ascii="Arial" w:hAnsi="Arial" w:cs="Arial"/>
          <w:bCs/>
          <w:sz w:val="34"/>
          <w:szCs w:val="34"/>
        </w:rPr>
        <w:t>A4 BioMed Central journals</w:t>
      </w:r>
      <w:bookmarkEnd w:id="146"/>
    </w:p>
    <w:p w14:paraId="3BD8E9D9" w14:textId="77777777" w:rsidR="007E77F1" w:rsidRPr="000A2871" w:rsidRDefault="007E77F1" w:rsidP="000A2871">
      <w:pPr>
        <w:spacing w:after="120" w:line="360" w:lineRule="auto"/>
        <w:rPr>
          <w:rFonts w:ascii="Arial" w:hAnsi="Arial" w:cs="Arial"/>
        </w:rPr>
      </w:pPr>
      <w:r w:rsidRPr="000A2871">
        <w:rPr>
          <w:rFonts w:ascii="Arial" w:hAnsi="Arial" w:cs="Arial"/>
        </w:rPr>
        <w:t>("young adult" OR "young adults") AND (obesity OR overweight) AND (qualitative OR interview OR "focus group") AND (UK OR "United Kingdom")</w:t>
      </w:r>
    </w:p>
    <w:p w14:paraId="0B8FF5BD" w14:textId="4EFA3B06" w:rsidR="00142F4B" w:rsidRDefault="007E77F1" w:rsidP="000A2871">
      <w:pPr>
        <w:spacing w:after="120" w:line="360" w:lineRule="auto"/>
        <w:rPr>
          <w:rFonts w:ascii="Arial" w:hAnsi="Arial" w:cs="Arial"/>
        </w:rPr>
      </w:pPr>
      <w:r w:rsidRPr="000A2871">
        <w:rPr>
          <w:rFonts w:ascii="Arial" w:hAnsi="Arial" w:cs="Arial"/>
        </w:rPr>
        <w:t>Searches were run through Springer Nature Link within the following journal collection, with a recorded 2016–2026 publication filter.</w:t>
      </w:r>
      <w:r w:rsidR="00A16ACB">
        <w:rPr>
          <w:rFonts w:ascii="Arial" w:hAnsi="Arial" w:cs="Arial"/>
        </w:rPr>
        <w:br/>
      </w:r>
      <w:r w:rsidR="00A16ACB">
        <w:rPr>
          <w:rFonts w:ascii="Arial" w:hAnsi="Arial" w:cs="Arial"/>
        </w:rPr>
        <w:br/>
      </w:r>
      <w:r w:rsidR="00A16ACB">
        <w:rPr>
          <w:rFonts w:ascii="Arial" w:hAnsi="Arial" w:cs="Arial"/>
        </w:rPr>
        <w:br/>
      </w:r>
    </w:p>
    <w:p w14:paraId="48AEA5C8" w14:textId="77777777" w:rsidR="00142F4B" w:rsidRDefault="00142F4B">
      <w:pPr>
        <w:rPr>
          <w:rFonts w:ascii="Arial" w:hAnsi="Arial" w:cs="Arial"/>
        </w:rPr>
      </w:pPr>
      <w:r>
        <w:rPr>
          <w:rFonts w:ascii="Arial" w:hAnsi="Arial" w:cs="Arial"/>
        </w:rPr>
        <w:br w:type="page"/>
      </w:r>
    </w:p>
    <w:p w14:paraId="53534919" w14:textId="77777777" w:rsidR="007E77F1" w:rsidRPr="000A2871" w:rsidRDefault="007E77F1" w:rsidP="000A2871">
      <w:pPr>
        <w:spacing w:after="120" w:line="360" w:lineRule="auto"/>
        <w:rPr>
          <w:rFonts w:ascii="Arial" w:hAnsi="Arial" w:cs="Arial"/>
        </w:rPr>
      </w:pPr>
    </w:p>
    <w:tbl>
      <w:tblPr>
        <w:tblW w:w="8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7455"/>
        <w:gridCol w:w="1440"/>
      </w:tblGrid>
      <w:tr w:rsidR="007E77F1" w:rsidRPr="000A2871" w14:paraId="442D683F" w14:textId="77777777" w:rsidTr="00142F4B">
        <w:trPr>
          <w:trHeight w:val="480"/>
        </w:trPr>
        <w:tc>
          <w:tcPr>
            <w:tcW w:w="7455" w:type="dxa"/>
            <w:shd w:val="clear" w:color="auto" w:fill="FFFFFF" w:themeFill="background1"/>
            <w:tcMar>
              <w:top w:w="80" w:type="dxa"/>
              <w:left w:w="80" w:type="dxa"/>
              <w:bottom w:w="80" w:type="dxa"/>
              <w:right w:w="80" w:type="dxa"/>
            </w:tcMar>
          </w:tcPr>
          <w:p w14:paraId="2CD30736" w14:textId="77777777" w:rsidR="007E77F1" w:rsidRPr="0031657F" w:rsidRDefault="007E77F1" w:rsidP="000A2871">
            <w:pPr>
              <w:spacing w:line="360" w:lineRule="auto"/>
              <w:rPr>
                <w:rFonts w:ascii="Arial" w:hAnsi="Arial" w:cs="Arial"/>
                <w:b/>
                <w:bCs/>
                <w:sz w:val="20"/>
                <w:szCs w:val="20"/>
              </w:rPr>
            </w:pPr>
            <w:r w:rsidRPr="0031657F">
              <w:rPr>
                <w:rFonts w:ascii="Arial" w:hAnsi="Arial" w:cs="Arial"/>
                <w:b/>
                <w:bCs/>
                <w:sz w:val="20"/>
                <w:szCs w:val="20"/>
              </w:rPr>
              <w:t>Journal</w:t>
            </w:r>
          </w:p>
        </w:tc>
        <w:tc>
          <w:tcPr>
            <w:tcW w:w="1440" w:type="dxa"/>
            <w:shd w:val="clear" w:color="auto" w:fill="FFFFFF" w:themeFill="background1"/>
            <w:tcMar>
              <w:top w:w="80" w:type="dxa"/>
              <w:left w:w="80" w:type="dxa"/>
              <w:bottom w:w="80" w:type="dxa"/>
              <w:right w:w="80" w:type="dxa"/>
            </w:tcMar>
          </w:tcPr>
          <w:p w14:paraId="36C87B42" w14:textId="77777777" w:rsidR="007E77F1" w:rsidRPr="0031657F" w:rsidRDefault="007E77F1" w:rsidP="000A2871">
            <w:pPr>
              <w:spacing w:line="360" w:lineRule="auto"/>
              <w:rPr>
                <w:rFonts w:ascii="Arial" w:hAnsi="Arial" w:cs="Arial"/>
                <w:b/>
                <w:bCs/>
                <w:sz w:val="20"/>
                <w:szCs w:val="20"/>
              </w:rPr>
            </w:pPr>
            <w:r w:rsidRPr="0031657F">
              <w:rPr>
                <w:rFonts w:ascii="Arial" w:hAnsi="Arial" w:cs="Arial"/>
                <w:b/>
                <w:bCs/>
                <w:sz w:val="20"/>
                <w:szCs w:val="20"/>
              </w:rPr>
              <w:t>Records</w:t>
            </w:r>
          </w:p>
        </w:tc>
      </w:tr>
      <w:tr w:rsidR="007E77F1" w:rsidRPr="000A2871" w14:paraId="5B278750" w14:textId="77777777" w:rsidTr="00142F4B">
        <w:trPr>
          <w:trHeight w:val="480"/>
        </w:trPr>
        <w:tc>
          <w:tcPr>
            <w:tcW w:w="7455" w:type="dxa"/>
            <w:shd w:val="clear" w:color="auto" w:fill="FFFFFF" w:themeFill="background1"/>
            <w:tcMar>
              <w:top w:w="80" w:type="dxa"/>
              <w:left w:w="80" w:type="dxa"/>
              <w:bottom w:w="80" w:type="dxa"/>
              <w:right w:w="80" w:type="dxa"/>
            </w:tcMar>
          </w:tcPr>
          <w:p w14:paraId="1D05077D" w14:textId="77777777" w:rsidR="007E77F1" w:rsidRPr="0031657F" w:rsidRDefault="007E77F1" w:rsidP="000A2871">
            <w:pPr>
              <w:spacing w:line="360" w:lineRule="auto"/>
              <w:rPr>
                <w:rFonts w:ascii="Arial" w:hAnsi="Arial" w:cs="Arial"/>
                <w:sz w:val="20"/>
                <w:szCs w:val="20"/>
              </w:rPr>
            </w:pPr>
            <w:r w:rsidRPr="0031657F">
              <w:rPr>
                <w:rFonts w:ascii="Arial" w:hAnsi="Arial" w:cs="Arial"/>
                <w:sz w:val="20"/>
                <w:szCs w:val="20"/>
              </w:rPr>
              <w:t>BMC Public Health</w:t>
            </w:r>
          </w:p>
        </w:tc>
        <w:tc>
          <w:tcPr>
            <w:tcW w:w="1440" w:type="dxa"/>
            <w:shd w:val="clear" w:color="auto" w:fill="FFFFFF" w:themeFill="background1"/>
            <w:tcMar>
              <w:top w:w="80" w:type="dxa"/>
              <w:left w:w="80" w:type="dxa"/>
              <w:bottom w:w="80" w:type="dxa"/>
              <w:right w:w="80" w:type="dxa"/>
            </w:tcMar>
          </w:tcPr>
          <w:p w14:paraId="64FD0EA4" w14:textId="77777777" w:rsidR="007E77F1" w:rsidRPr="0031657F" w:rsidRDefault="007E77F1" w:rsidP="000A2871">
            <w:pPr>
              <w:spacing w:line="360" w:lineRule="auto"/>
              <w:rPr>
                <w:rFonts w:ascii="Arial" w:hAnsi="Arial" w:cs="Arial"/>
                <w:sz w:val="20"/>
                <w:szCs w:val="20"/>
              </w:rPr>
            </w:pPr>
            <w:r w:rsidRPr="0031657F">
              <w:rPr>
                <w:rFonts w:ascii="Arial" w:hAnsi="Arial" w:cs="Arial"/>
                <w:sz w:val="20"/>
                <w:szCs w:val="20"/>
              </w:rPr>
              <w:t>90</w:t>
            </w:r>
          </w:p>
        </w:tc>
      </w:tr>
      <w:tr w:rsidR="007E77F1" w:rsidRPr="000A2871" w14:paraId="7D4FAF3B" w14:textId="77777777" w:rsidTr="00142F4B">
        <w:trPr>
          <w:trHeight w:val="480"/>
        </w:trPr>
        <w:tc>
          <w:tcPr>
            <w:tcW w:w="7455" w:type="dxa"/>
            <w:shd w:val="clear" w:color="auto" w:fill="FFFFFF" w:themeFill="background1"/>
            <w:tcMar>
              <w:top w:w="80" w:type="dxa"/>
              <w:left w:w="80" w:type="dxa"/>
              <w:bottom w:w="80" w:type="dxa"/>
              <w:right w:w="80" w:type="dxa"/>
            </w:tcMar>
          </w:tcPr>
          <w:p w14:paraId="167EEAD2" w14:textId="77777777" w:rsidR="007E77F1" w:rsidRPr="0031657F" w:rsidRDefault="007E77F1" w:rsidP="000A2871">
            <w:pPr>
              <w:spacing w:line="360" w:lineRule="auto"/>
              <w:rPr>
                <w:rFonts w:ascii="Arial" w:hAnsi="Arial" w:cs="Arial"/>
                <w:sz w:val="20"/>
                <w:szCs w:val="20"/>
              </w:rPr>
            </w:pPr>
            <w:r w:rsidRPr="0031657F">
              <w:rPr>
                <w:rFonts w:ascii="Arial" w:hAnsi="Arial" w:cs="Arial"/>
                <w:sz w:val="20"/>
                <w:szCs w:val="20"/>
              </w:rPr>
              <w:t>BMC Nutrition</w:t>
            </w:r>
          </w:p>
        </w:tc>
        <w:tc>
          <w:tcPr>
            <w:tcW w:w="1440" w:type="dxa"/>
            <w:shd w:val="clear" w:color="auto" w:fill="FFFFFF" w:themeFill="background1"/>
            <w:tcMar>
              <w:top w:w="80" w:type="dxa"/>
              <w:left w:w="80" w:type="dxa"/>
              <w:bottom w:w="80" w:type="dxa"/>
              <w:right w:w="80" w:type="dxa"/>
            </w:tcMar>
          </w:tcPr>
          <w:p w14:paraId="1E033D34" w14:textId="77777777" w:rsidR="007E77F1" w:rsidRPr="0031657F" w:rsidRDefault="007E77F1" w:rsidP="000A2871">
            <w:pPr>
              <w:spacing w:line="360" w:lineRule="auto"/>
              <w:rPr>
                <w:rFonts w:ascii="Arial" w:hAnsi="Arial" w:cs="Arial"/>
                <w:sz w:val="20"/>
                <w:szCs w:val="20"/>
              </w:rPr>
            </w:pPr>
            <w:r w:rsidRPr="0031657F">
              <w:rPr>
                <w:rFonts w:ascii="Arial" w:hAnsi="Arial" w:cs="Arial"/>
                <w:sz w:val="20"/>
                <w:szCs w:val="20"/>
              </w:rPr>
              <w:t>11</w:t>
            </w:r>
          </w:p>
        </w:tc>
      </w:tr>
      <w:tr w:rsidR="007E77F1" w:rsidRPr="000A2871" w14:paraId="3846B5AC" w14:textId="77777777" w:rsidTr="00142F4B">
        <w:trPr>
          <w:trHeight w:val="480"/>
        </w:trPr>
        <w:tc>
          <w:tcPr>
            <w:tcW w:w="7455" w:type="dxa"/>
            <w:shd w:val="clear" w:color="auto" w:fill="FFFFFF" w:themeFill="background1"/>
            <w:tcMar>
              <w:top w:w="80" w:type="dxa"/>
              <w:left w:w="80" w:type="dxa"/>
              <w:bottom w:w="80" w:type="dxa"/>
              <w:right w:w="80" w:type="dxa"/>
            </w:tcMar>
          </w:tcPr>
          <w:p w14:paraId="7502653D" w14:textId="77777777" w:rsidR="007E77F1" w:rsidRPr="0031657F" w:rsidRDefault="007E77F1" w:rsidP="000A2871">
            <w:pPr>
              <w:spacing w:line="360" w:lineRule="auto"/>
              <w:rPr>
                <w:rFonts w:ascii="Arial" w:hAnsi="Arial" w:cs="Arial"/>
                <w:sz w:val="20"/>
                <w:szCs w:val="20"/>
              </w:rPr>
            </w:pPr>
            <w:r w:rsidRPr="0031657F">
              <w:rPr>
                <w:rFonts w:ascii="Arial" w:hAnsi="Arial" w:cs="Arial"/>
                <w:sz w:val="20"/>
                <w:szCs w:val="20"/>
              </w:rPr>
              <w:t>BMC Health Services Research</w:t>
            </w:r>
          </w:p>
        </w:tc>
        <w:tc>
          <w:tcPr>
            <w:tcW w:w="1440" w:type="dxa"/>
            <w:shd w:val="clear" w:color="auto" w:fill="FFFFFF" w:themeFill="background1"/>
            <w:tcMar>
              <w:top w:w="80" w:type="dxa"/>
              <w:left w:w="80" w:type="dxa"/>
              <w:bottom w:w="80" w:type="dxa"/>
              <w:right w:w="80" w:type="dxa"/>
            </w:tcMar>
          </w:tcPr>
          <w:p w14:paraId="77F2CA45" w14:textId="77777777" w:rsidR="007E77F1" w:rsidRPr="0031657F" w:rsidRDefault="007E77F1" w:rsidP="000A2871">
            <w:pPr>
              <w:spacing w:line="360" w:lineRule="auto"/>
              <w:rPr>
                <w:rFonts w:ascii="Arial" w:hAnsi="Arial" w:cs="Arial"/>
                <w:sz w:val="20"/>
                <w:szCs w:val="20"/>
              </w:rPr>
            </w:pPr>
            <w:r w:rsidRPr="0031657F">
              <w:rPr>
                <w:rFonts w:ascii="Arial" w:hAnsi="Arial" w:cs="Arial"/>
                <w:sz w:val="20"/>
                <w:szCs w:val="20"/>
              </w:rPr>
              <w:t>8</w:t>
            </w:r>
          </w:p>
        </w:tc>
      </w:tr>
      <w:tr w:rsidR="007E77F1" w:rsidRPr="000A2871" w14:paraId="7023221A" w14:textId="77777777" w:rsidTr="00142F4B">
        <w:trPr>
          <w:trHeight w:val="480"/>
        </w:trPr>
        <w:tc>
          <w:tcPr>
            <w:tcW w:w="7455" w:type="dxa"/>
            <w:shd w:val="clear" w:color="auto" w:fill="FFFFFF" w:themeFill="background1"/>
            <w:tcMar>
              <w:top w:w="80" w:type="dxa"/>
              <w:left w:w="80" w:type="dxa"/>
              <w:bottom w:w="80" w:type="dxa"/>
              <w:right w:w="80" w:type="dxa"/>
            </w:tcMar>
          </w:tcPr>
          <w:p w14:paraId="0BB46406" w14:textId="77777777" w:rsidR="007E77F1" w:rsidRPr="0031657F" w:rsidRDefault="007E77F1" w:rsidP="000A2871">
            <w:pPr>
              <w:spacing w:line="360" w:lineRule="auto"/>
              <w:rPr>
                <w:rFonts w:ascii="Arial" w:hAnsi="Arial" w:cs="Arial"/>
                <w:sz w:val="20"/>
                <w:szCs w:val="20"/>
              </w:rPr>
            </w:pPr>
            <w:r w:rsidRPr="0031657F">
              <w:rPr>
                <w:rFonts w:ascii="Arial" w:hAnsi="Arial" w:cs="Arial"/>
                <w:sz w:val="20"/>
                <w:szCs w:val="20"/>
              </w:rPr>
              <w:t>BMC Primary Care</w:t>
            </w:r>
          </w:p>
        </w:tc>
        <w:tc>
          <w:tcPr>
            <w:tcW w:w="1440" w:type="dxa"/>
            <w:shd w:val="clear" w:color="auto" w:fill="FFFFFF" w:themeFill="background1"/>
            <w:tcMar>
              <w:top w:w="80" w:type="dxa"/>
              <w:left w:w="80" w:type="dxa"/>
              <w:bottom w:w="80" w:type="dxa"/>
              <w:right w:w="80" w:type="dxa"/>
            </w:tcMar>
          </w:tcPr>
          <w:p w14:paraId="226DFA2C" w14:textId="77777777" w:rsidR="007E77F1" w:rsidRPr="0031657F" w:rsidRDefault="007E77F1" w:rsidP="000A2871">
            <w:pPr>
              <w:spacing w:line="360" w:lineRule="auto"/>
              <w:rPr>
                <w:rFonts w:ascii="Arial" w:hAnsi="Arial" w:cs="Arial"/>
                <w:sz w:val="20"/>
                <w:szCs w:val="20"/>
              </w:rPr>
            </w:pPr>
            <w:r w:rsidRPr="0031657F">
              <w:rPr>
                <w:rFonts w:ascii="Arial" w:hAnsi="Arial" w:cs="Arial"/>
                <w:sz w:val="20"/>
                <w:szCs w:val="20"/>
              </w:rPr>
              <w:t>1</w:t>
            </w:r>
          </w:p>
        </w:tc>
      </w:tr>
      <w:tr w:rsidR="007E77F1" w:rsidRPr="000A2871" w14:paraId="129E6B7B" w14:textId="77777777" w:rsidTr="00142F4B">
        <w:trPr>
          <w:trHeight w:val="480"/>
        </w:trPr>
        <w:tc>
          <w:tcPr>
            <w:tcW w:w="7455" w:type="dxa"/>
            <w:shd w:val="clear" w:color="auto" w:fill="FFFFFF" w:themeFill="background1"/>
            <w:tcMar>
              <w:top w:w="80" w:type="dxa"/>
              <w:left w:w="80" w:type="dxa"/>
              <w:bottom w:w="80" w:type="dxa"/>
              <w:right w:w="80" w:type="dxa"/>
            </w:tcMar>
          </w:tcPr>
          <w:p w14:paraId="0EE04186" w14:textId="77777777" w:rsidR="007E77F1" w:rsidRPr="0031657F" w:rsidRDefault="007E77F1" w:rsidP="000A2871">
            <w:pPr>
              <w:spacing w:line="360" w:lineRule="auto"/>
              <w:rPr>
                <w:rFonts w:ascii="Arial" w:hAnsi="Arial" w:cs="Arial"/>
                <w:sz w:val="20"/>
                <w:szCs w:val="20"/>
              </w:rPr>
            </w:pPr>
            <w:r w:rsidRPr="0031657F">
              <w:rPr>
                <w:rFonts w:ascii="Arial" w:hAnsi="Arial" w:cs="Arial"/>
                <w:sz w:val="20"/>
                <w:szCs w:val="20"/>
              </w:rPr>
              <w:t>BMC Psychology</w:t>
            </w:r>
          </w:p>
        </w:tc>
        <w:tc>
          <w:tcPr>
            <w:tcW w:w="1440" w:type="dxa"/>
            <w:shd w:val="clear" w:color="auto" w:fill="FFFFFF" w:themeFill="background1"/>
            <w:tcMar>
              <w:top w:w="80" w:type="dxa"/>
              <w:left w:w="80" w:type="dxa"/>
              <w:bottom w:w="80" w:type="dxa"/>
              <w:right w:w="80" w:type="dxa"/>
            </w:tcMar>
          </w:tcPr>
          <w:p w14:paraId="4C3E71BE" w14:textId="77777777" w:rsidR="007E77F1" w:rsidRPr="0031657F" w:rsidRDefault="007E77F1" w:rsidP="000A2871">
            <w:pPr>
              <w:spacing w:line="360" w:lineRule="auto"/>
              <w:rPr>
                <w:rFonts w:ascii="Arial" w:hAnsi="Arial" w:cs="Arial"/>
                <w:sz w:val="20"/>
                <w:szCs w:val="20"/>
              </w:rPr>
            </w:pPr>
            <w:r w:rsidRPr="0031657F">
              <w:rPr>
                <w:rFonts w:ascii="Arial" w:hAnsi="Arial" w:cs="Arial"/>
                <w:sz w:val="20"/>
                <w:szCs w:val="20"/>
              </w:rPr>
              <w:t>3</w:t>
            </w:r>
          </w:p>
        </w:tc>
      </w:tr>
      <w:tr w:rsidR="007E77F1" w:rsidRPr="000A2871" w14:paraId="4C855258" w14:textId="77777777" w:rsidTr="00142F4B">
        <w:trPr>
          <w:trHeight w:val="480"/>
        </w:trPr>
        <w:tc>
          <w:tcPr>
            <w:tcW w:w="7455" w:type="dxa"/>
            <w:shd w:val="clear" w:color="auto" w:fill="FFFFFF" w:themeFill="background1"/>
            <w:tcMar>
              <w:top w:w="80" w:type="dxa"/>
              <w:left w:w="80" w:type="dxa"/>
              <w:bottom w:w="80" w:type="dxa"/>
              <w:right w:w="80" w:type="dxa"/>
            </w:tcMar>
          </w:tcPr>
          <w:p w14:paraId="628DFEE9" w14:textId="77777777" w:rsidR="007E77F1" w:rsidRPr="0031657F" w:rsidRDefault="007E77F1" w:rsidP="000A2871">
            <w:pPr>
              <w:spacing w:line="360" w:lineRule="auto"/>
              <w:rPr>
                <w:rFonts w:ascii="Arial" w:hAnsi="Arial" w:cs="Arial"/>
                <w:sz w:val="20"/>
                <w:szCs w:val="20"/>
              </w:rPr>
            </w:pPr>
            <w:r w:rsidRPr="0031657F">
              <w:rPr>
                <w:rFonts w:ascii="Arial" w:hAnsi="Arial" w:cs="Arial"/>
                <w:sz w:val="20"/>
                <w:szCs w:val="20"/>
              </w:rPr>
              <w:t>BMC Obesity</w:t>
            </w:r>
          </w:p>
        </w:tc>
        <w:tc>
          <w:tcPr>
            <w:tcW w:w="1440" w:type="dxa"/>
            <w:shd w:val="clear" w:color="auto" w:fill="FFFFFF" w:themeFill="background1"/>
            <w:tcMar>
              <w:top w:w="80" w:type="dxa"/>
              <w:left w:w="80" w:type="dxa"/>
              <w:bottom w:w="80" w:type="dxa"/>
              <w:right w:w="80" w:type="dxa"/>
            </w:tcMar>
          </w:tcPr>
          <w:p w14:paraId="7C791771" w14:textId="77777777" w:rsidR="007E77F1" w:rsidRPr="0031657F" w:rsidRDefault="007E77F1" w:rsidP="000A2871">
            <w:pPr>
              <w:spacing w:line="360" w:lineRule="auto"/>
              <w:rPr>
                <w:rFonts w:ascii="Arial" w:hAnsi="Arial" w:cs="Arial"/>
                <w:sz w:val="20"/>
                <w:szCs w:val="20"/>
              </w:rPr>
            </w:pPr>
            <w:r w:rsidRPr="0031657F">
              <w:rPr>
                <w:rFonts w:ascii="Arial" w:hAnsi="Arial" w:cs="Arial"/>
                <w:sz w:val="20"/>
                <w:szCs w:val="20"/>
              </w:rPr>
              <w:t>1</w:t>
            </w:r>
          </w:p>
        </w:tc>
      </w:tr>
      <w:tr w:rsidR="007E77F1" w:rsidRPr="000A2871" w14:paraId="08D5B6AA" w14:textId="77777777" w:rsidTr="00142F4B">
        <w:trPr>
          <w:trHeight w:val="480"/>
        </w:trPr>
        <w:tc>
          <w:tcPr>
            <w:tcW w:w="7455" w:type="dxa"/>
            <w:shd w:val="clear" w:color="auto" w:fill="FFFFFF" w:themeFill="background1"/>
            <w:tcMar>
              <w:top w:w="80" w:type="dxa"/>
              <w:left w:w="80" w:type="dxa"/>
              <w:bottom w:w="80" w:type="dxa"/>
              <w:right w:w="80" w:type="dxa"/>
            </w:tcMar>
          </w:tcPr>
          <w:p w14:paraId="31B4E365" w14:textId="77777777" w:rsidR="007E77F1" w:rsidRPr="0031657F" w:rsidRDefault="007E77F1" w:rsidP="000A2871">
            <w:pPr>
              <w:spacing w:line="360" w:lineRule="auto"/>
              <w:rPr>
                <w:rFonts w:ascii="Arial" w:hAnsi="Arial" w:cs="Arial"/>
                <w:sz w:val="20"/>
                <w:szCs w:val="20"/>
              </w:rPr>
            </w:pPr>
            <w:r w:rsidRPr="0031657F">
              <w:rPr>
                <w:rFonts w:ascii="Arial" w:hAnsi="Arial" w:cs="Arial"/>
                <w:sz w:val="20"/>
                <w:szCs w:val="20"/>
              </w:rPr>
              <w:t>BMC Global and Public Health</w:t>
            </w:r>
          </w:p>
        </w:tc>
        <w:tc>
          <w:tcPr>
            <w:tcW w:w="1440" w:type="dxa"/>
            <w:shd w:val="clear" w:color="auto" w:fill="FFFFFF" w:themeFill="background1"/>
            <w:tcMar>
              <w:top w:w="80" w:type="dxa"/>
              <w:left w:w="80" w:type="dxa"/>
              <w:bottom w:w="80" w:type="dxa"/>
              <w:right w:w="80" w:type="dxa"/>
            </w:tcMar>
          </w:tcPr>
          <w:p w14:paraId="038462FA" w14:textId="77777777" w:rsidR="007E77F1" w:rsidRPr="0031657F" w:rsidRDefault="007E77F1" w:rsidP="000A2871">
            <w:pPr>
              <w:spacing w:line="360" w:lineRule="auto"/>
              <w:rPr>
                <w:rFonts w:ascii="Arial" w:hAnsi="Arial" w:cs="Arial"/>
                <w:sz w:val="20"/>
                <w:szCs w:val="20"/>
              </w:rPr>
            </w:pPr>
            <w:r w:rsidRPr="0031657F">
              <w:rPr>
                <w:rFonts w:ascii="Arial" w:hAnsi="Arial" w:cs="Arial"/>
                <w:sz w:val="20"/>
                <w:szCs w:val="20"/>
              </w:rPr>
              <w:t>0</w:t>
            </w:r>
          </w:p>
        </w:tc>
      </w:tr>
      <w:tr w:rsidR="007E77F1" w:rsidRPr="000A2871" w14:paraId="06186C2F" w14:textId="77777777" w:rsidTr="00142F4B">
        <w:trPr>
          <w:trHeight w:val="480"/>
        </w:trPr>
        <w:tc>
          <w:tcPr>
            <w:tcW w:w="7455" w:type="dxa"/>
            <w:shd w:val="clear" w:color="auto" w:fill="FFFFFF" w:themeFill="background1"/>
            <w:tcMar>
              <w:top w:w="80" w:type="dxa"/>
              <w:left w:w="80" w:type="dxa"/>
              <w:bottom w:w="80" w:type="dxa"/>
              <w:right w:w="80" w:type="dxa"/>
            </w:tcMar>
          </w:tcPr>
          <w:p w14:paraId="09CD40D2" w14:textId="77777777" w:rsidR="007E77F1" w:rsidRPr="0031657F" w:rsidRDefault="007E77F1" w:rsidP="000A2871">
            <w:pPr>
              <w:spacing w:line="360" w:lineRule="auto"/>
              <w:rPr>
                <w:rFonts w:ascii="Arial" w:hAnsi="Arial" w:cs="Arial"/>
                <w:sz w:val="20"/>
                <w:szCs w:val="20"/>
              </w:rPr>
            </w:pPr>
            <w:r w:rsidRPr="0031657F">
              <w:rPr>
                <w:rFonts w:ascii="Arial" w:hAnsi="Arial" w:cs="Arial"/>
                <w:sz w:val="20"/>
                <w:szCs w:val="20"/>
              </w:rPr>
              <w:t>BMC Endocrine Disorders</w:t>
            </w:r>
          </w:p>
        </w:tc>
        <w:tc>
          <w:tcPr>
            <w:tcW w:w="1440" w:type="dxa"/>
            <w:shd w:val="clear" w:color="auto" w:fill="FFFFFF" w:themeFill="background1"/>
            <w:tcMar>
              <w:top w:w="80" w:type="dxa"/>
              <w:left w:w="80" w:type="dxa"/>
              <w:bottom w:w="80" w:type="dxa"/>
              <w:right w:w="80" w:type="dxa"/>
            </w:tcMar>
          </w:tcPr>
          <w:p w14:paraId="223C8072" w14:textId="77777777" w:rsidR="007E77F1" w:rsidRPr="0031657F" w:rsidRDefault="007E77F1" w:rsidP="000A2871">
            <w:pPr>
              <w:spacing w:line="360" w:lineRule="auto"/>
              <w:rPr>
                <w:rFonts w:ascii="Arial" w:hAnsi="Arial" w:cs="Arial"/>
                <w:sz w:val="20"/>
                <w:szCs w:val="20"/>
              </w:rPr>
            </w:pPr>
            <w:r w:rsidRPr="0031657F">
              <w:rPr>
                <w:rFonts w:ascii="Arial" w:hAnsi="Arial" w:cs="Arial"/>
                <w:sz w:val="20"/>
                <w:szCs w:val="20"/>
              </w:rPr>
              <w:t>1</w:t>
            </w:r>
          </w:p>
        </w:tc>
      </w:tr>
      <w:tr w:rsidR="007E77F1" w:rsidRPr="000A2871" w14:paraId="42EC578E" w14:textId="77777777" w:rsidTr="00142F4B">
        <w:trPr>
          <w:trHeight w:val="480"/>
        </w:trPr>
        <w:tc>
          <w:tcPr>
            <w:tcW w:w="7455" w:type="dxa"/>
            <w:shd w:val="clear" w:color="auto" w:fill="FFFFFF" w:themeFill="background1"/>
            <w:tcMar>
              <w:top w:w="80" w:type="dxa"/>
              <w:left w:w="80" w:type="dxa"/>
              <w:bottom w:w="80" w:type="dxa"/>
              <w:right w:w="80" w:type="dxa"/>
            </w:tcMar>
          </w:tcPr>
          <w:p w14:paraId="71FB0796" w14:textId="77777777" w:rsidR="007E77F1" w:rsidRPr="0031657F" w:rsidRDefault="007E77F1" w:rsidP="000A2871">
            <w:pPr>
              <w:spacing w:line="360" w:lineRule="auto"/>
              <w:rPr>
                <w:rFonts w:ascii="Arial" w:hAnsi="Arial" w:cs="Arial"/>
                <w:sz w:val="20"/>
                <w:szCs w:val="20"/>
              </w:rPr>
            </w:pPr>
            <w:r w:rsidRPr="0031657F">
              <w:rPr>
                <w:rFonts w:ascii="Arial" w:hAnsi="Arial" w:cs="Arial"/>
                <w:sz w:val="20"/>
                <w:szCs w:val="20"/>
              </w:rPr>
              <w:t>International Journal of Behavioral Nutrition and Physical Activity</w:t>
            </w:r>
          </w:p>
        </w:tc>
        <w:tc>
          <w:tcPr>
            <w:tcW w:w="1440" w:type="dxa"/>
            <w:shd w:val="clear" w:color="auto" w:fill="FFFFFF" w:themeFill="background1"/>
            <w:tcMar>
              <w:top w:w="80" w:type="dxa"/>
              <w:left w:w="80" w:type="dxa"/>
              <w:bottom w:w="80" w:type="dxa"/>
              <w:right w:w="80" w:type="dxa"/>
            </w:tcMar>
          </w:tcPr>
          <w:p w14:paraId="465EEE64" w14:textId="77777777" w:rsidR="007E77F1" w:rsidRPr="0031657F" w:rsidRDefault="007E77F1" w:rsidP="000A2871">
            <w:pPr>
              <w:spacing w:line="360" w:lineRule="auto"/>
              <w:rPr>
                <w:rFonts w:ascii="Arial" w:hAnsi="Arial" w:cs="Arial"/>
                <w:sz w:val="20"/>
                <w:szCs w:val="20"/>
              </w:rPr>
            </w:pPr>
            <w:r w:rsidRPr="0031657F">
              <w:rPr>
                <w:rFonts w:ascii="Arial" w:hAnsi="Arial" w:cs="Arial"/>
                <w:sz w:val="20"/>
                <w:szCs w:val="20"/>
              </w:rPr>
              <w:t>26</w:t>
            </w:r>
          </w:p>
        </w:tc>
      </w:tr>
      <w:tr w:rsidR="007E77F1" w:rsidRPr="000A2871" w14:paraId="010CEF57" w14:textId="77777777" w:rsidTr="00142F4B">
        <w:trPr>
          <w:trHeight w:val="480"/>
        </w:trPr>
        <w:tc>
          <w:tcPr>
            <w:tcW w:w="7455" w:type="dxa"/>
            <w:shd w:val="clear" w:color="auto" w:fill="FFFFFF" w:themeFill="background1"/>
            <w:tcMar>
              <w:top w:w="80" w:type="dxa"/>
              <w:left w:w="80" w:type="dxa"/>
              <w:bottom w:w="80" w:type="dxa"/>
              <w:right w:w="80" w:type="dxa"/>
            </w:tcMar>
          </w:tcPr>
          <w:p w14:paraId="7FE7CBA2" w14:textId="77777777" w:rsidR="007E77F1" w:rsidRPr="0031657F" w:rsidRDefault="007E77F1" w:rsidP="000A2871">
            <w:pPr>
              <w:spacing w:line="360" w:lineRule="auto"/>
              <w:rPr>
                <w:rFonts w:ascii="Arial" w:hAnsi="Arial" w:cs="Arial"/>
                <w:sz w:val="20"/>
                <w:szCs w:val="20"/>
              </w:rPr>
            </w:pPr>
            <w:r w:rsidRPr="0031657F">
              <w:rPr>
                <w:rFonts w:ascii="Arial" w:hAnsi="Arial" w:cs="Arial"/>
                <w:sz w:val="20"/>
                <w:szCs w:val="20"/>
              </w:rPr>
              <w:t>BMC Digital Health</w:t>
            </w:r>
          </w:p>
        </w:tc>
        <w:tc>
          <w:tcPr>
            <w:tcW w:w="1440" w:type="dxa"/>
            <w:shd w:val="clear" w:color="auto" w:fill="FFFFFF" w:themeFill="background1"/>
            <w:tcMar>
              <w:top w:w="80" w:type="dxa"/>
              <w:left w:w="80" w:type="dxa"/>
              <w:bottom w:w="80" w:type="dxa"/>
              <w:right w:w="80" w:type="dxa"/>
            </w:tcMar>
          </w:tcPr>
          <w:p w14:paraId="7A7BF903" w14:textId="77777777" w:rsidR="007E77F1" w:rsidRPr="0031657F" w:rsidRDefault="007E77F1" w:rsidP="000A2871">
            <w:pPr>
              <w:spacing w:line="360" w:lineRule="auto"/>
              <w:rPr>
                <w:rFonts w:ascii="Arial" w:hAnsi="Arial" w:cs="Arial"/>
                <w:sz w:val="20"/>
                <w:szCs w:val="20"/>
              </w:rPr>
            </w:pPr>
            <w:r w:rsidRPr="0031657F">
              <w:rPr>
                <w:rFonts w:ascii="Arial" w:hAnsi="Arial" w:cs="Arial"/>
                <w:sz w:val="20"/>
                <w:szCs w:val="20"/>
              </w:rPr>
              <w:t>1</w:t>
            </w:r>
          </w:p>
        </w:tc>
      </w:tr>
      <w:tr w:rsidR="007E77F1" w:rsidRPr="000A2871" w14:paraId="0F05457C" w14:textId="77777777" w:rsidTr="00142F4B">
        <w:trPr>
          <w:trHeight w:val="480"/>
        </w:trPr>
        <w:tc>
          <w:tcPr>
            <w:tcW w:w="7455" w:type="dxa"/>
            <w:shd w:val="clear" w:color="auto" w:fill="FFFFFF" w:themeFill="background1"/>
            <w:tcMar>
              <w:top w:w="80" w:type="dxa"/>
              <w:left w:w="80" w:type="dxa"/>
              <w:bottom w:w="80" w:type="dxa"/>
              <w:right w:w="80" w:type="dxa"/>
            </w:tcMar>
          </w:tcPr>
          <w:p w14:paraId="68468AD6" w14:textId="77777777" w:rsidR="007E77F1" w:rsidRPr="0031657F" w:rsidRDefault="007E77F1" w:rsidP="000A2871">
            <w:pPr>
              <w:spacing w:line="360" w:lineRule="auto"/>
              <w:rPr>
                <w:rFonts w:ascii="Arial" w:hAnsi="Arial" w:cs="Arial"/>
                <w:sz w:val="20"/>
                <w:szCs w:val="20"/>
              </w:rPr>
            </w:pPr>
            <w:r w:rsidRPr="0031657F">
              <w:rPr>
                <w:rFonts w:ascii="Arial" w:hAnsi="Arial" w:cs="Arial"/>
                <w:sz w:val="20"/>
                <w:szCs w:val="20"/>
              </w:rPr>
              <w:t>Total</w:t>
            </w:r>
          </w:p>
        </w:tc>
        <w:tc>
          <w:tcPr>
            <w:tcW w:w="1440" w:type="dxa"/>
            <w:shd w:val="clear" w:color="auto" w:fill="FFFFFF" w:themeFill="background1"/>
            <w:tcMar>
              <w:top w:w="80" w:type="dxa"/>
              <w:left w:w="80" w:type="dxa"/>
              <w:bottom w:w="80" w:type="dxa"/>
              <w:right w:w="80" w:type="dxa"/>
            </w:tcMar>
          </w:tcPr>
          <w:p w14:paraId="7549105A" w14:textId="77777777" w:rsidR="007E77F1" w:rsidRPr="0031657F" w:rsidRDefault="007E77F1" w:rsidP="000A2871">
            <w:pPr>
              <w:spacing w:line="360" w:lineRule="auto"/>
              <w:rPr>
                <w:rFonts w:ascii="Arial" w:hAnsi="Arial" w:cs="Arial"/>
                <w:sz w:val="20"/>
                <w:szCs w:val="20"/>
              </w:rPr>
            </w:pPr>
            <w:r w:rsidRPr="0031657F">
              <w:rPr>
                <w:rFonts w:ascii="Arial" w:hAnsi="Arial" w:cs="Arial"/>
                <w:sz w:val="20"/>
                <w:szCs w:val="20"/>
              </w:rPr>
              <w:t>142</w:t>
            </w:r>
          </w:p>
        </w:tc>
      </w:tr>
    </w:tbl>
    <w:p w14:paraId="58475207"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4322C849" w14:textId="77777777" w:rsidR="007E77F1" w:rsidRPr="000A2871" w:rsidRDefault="007E77F1" w:rsidP="47DECC07">
      <w:pPr>
        <w:pStyle w:val="Heading2"/>
        <w:keepNext w:val="0"/>
        <w:keepLines w:val="0"/>
        <w:spacing w:after="80" w:line="360" w:lineRule="auto"/>
        <w:jc w:val="left"/>
        <w:rPr>
          <w:rFonts w:ascii="Arial" w:hAnsi="Arial" w:cs="Arial"/>
          <w:b w:val="0"/>
          <w:bCs/>
          <w:sz w:val="34"/>
          <w:szCs w:val="34"/>
        </w:rPr>
      </w:pPr>
      <w:bookmarkStart w:id="147" w:name="_km139xk9pnze" w:colFirst="0" w:colLast="0"/>
      <w:bookmarkStart w:id="148" w:name="_Toc242459582"/>
      <w:bookmarkEnd w:id="147"/>
      <w:r w:rsidRPr="000A2871">
        <w:rPr>
          <w:rFonts w:ascii="Arial" w:hAnsi="Arial" w:cs="Arial"/>
          <w:bCs/>
          <w:sz w:val="34"/>
          <w:szCs w:val="34"/>
        </w:rPr>
        <w:t>A5 Supplementary PubMed retrieval</w:t>
      </w:r>
      <w:bookmarkEnd w:id="148"/>
    </w:p>
    <w:p w14:paraId="286A6805" w14:textId="77777777" w:rsidR="007E77F1" w:rsidRPr="000A2871" w:rsidRDefault="007E77F1" w:rsidP="000A2871">
      <w:pPr>
        <w:spacing w:after="120" w:line="360" w:lineRule="auto"/>
        <w:rPr>
          <w:rFonts w:ascii="Arial" w:hAnsi="Arial" w:cs="Arial"/>
        </w:rPr>
      </w:pPr>
      <w:r w:rsidRPr="000A2871">
        <w:rPr>
          <w:rFonts w:ascii="Arial" w:hAnsi="Arial" w:cs="Arial"/>
        </w:rPr>
        <w:t>31416148[UID] OR 34068242[UID] OR 41132563[UID]</w:t>
      </w:r>
    </w:p>
    <w:p w14:paraId="152556F2" w14:textId="01D3EE33" w:rsidR="007E77F1" w:rsidRPr="000A2871" w:rsidRDefault="007E77F1" w:rsidP="000A2871">
      <w:pPr>
        <w:spacing w:after="120" w:line="360" w:lineRule="auto"/>
        <w:rPr>
          <w:rFonts w:ascii="Arial" w:hAnsi="Arial" w:cs="Arial"/>
        </w:rPr>
      </w:pPr>
      <w:r w:rsidRPr="000A2871">
        <w:rPr>
          <w:rFonts w:ascii="Arial" w:hAnsi="Arial" w:cs="Arial"/>
        </w:rPr>
        <w:t xml:space="preserve">Run on </w:t>
      </w:r>
      <w:r w:rsidR="00A76190">
        <w:rPr>
          <w:rFonts w:ascii="Arial" w:hAnsi="Arial" w:cs="Arial"/>
        </w:rPr>
        <w:t>24 September</w:t>
      </w:r>
      <w:r w:rsidRPr="000A2871">
        <w:rPr>
          <w:rFonts w:ascii="Arial" w:hAnsi="Arial" w:cs="Arial"/>
        </w:rPr>
        <w:t xml:space="preserve"> 2026; three records returned. S0001: Howard Wilsher et al. (2019), PMID 31416148. S0002: Trahearn et al. (2021), PMID 34068242. S0003: Hunter et al. (2025), PMID 41132563. DOI comparison found none in the original unique-record set.</w:t>
      </w:r>
    </w:p>
    <w:p w14:paraId="25B5098F" w14:textId="77777777" w:rsidR="007B66E1" w:rsidRDefault="007B66E1">
      <w:pPr>
        <w:rPr>
          <w:rFonts w:ascii="Arial" w:eastAsia="Times New Roman" w:hAnsi="Arial" w:cs="Arial"/>
          <w:b/>
          <w:bCs/>
          <w:color w:val="000000"/>
          <w:sz w:val="46"/>
          <w:szCs w:val="46"/>
        </w:rPr>
      </w:pPr>
      <w:bookmarkStart w:id="149" w:name="_ywkmfrhtz70y" w:colFirst="0" w:colLast="0"/>
      <w:bookmarkEnd w:id="149"/>
      <w:r>
        <w:rPr>
          <w:rFonts w:ascii="Arial" w:hAnsi="Arial" w:cs="Arial"/>
          <w:bCs/>
          <w:sz w:val="46"/>
          <w:szCs w:val="46"/>
        </w:rPr>
        <w:br w:type="page"/>
      </w:r>
    </w:p>
    <w:p w14:paraId="54852E32" w14:textId="2B456C99" w:rsidR="007E77F1" w:rsidRPr="000A2871" w:rsidRDefault="007E77F1" w:rsidP="1DB2B6F8">
      <w:pPr>
        <w:pStyle w:val="Heading1"/>
        <w:keepNext w:val="0"/>
        <w:keepLines w:val="0"/>
        <w:spacing w:before="480" w:line="360" w:lineRule="auto"/>
        <w:jc w:val="left"/>
        <w:rPr>
          <w:rFonts w:ascii="Arial" w:hAnsi="Arial" w:cs="Arial"/>
          <w:b w:val="0"/>
          <w:bCs/>
          <w:sz w:val="46"/>
          <w:szCs w:val="46"/>
        </w:rPr>
      </w:pPr>
      <w:bookmarkStart w:id="150" w:name="_Toc242459583"/>
      <w:r w:rsidRPr="000A2871">
        <w:rPr>
          <w:rFonts w:ascii="Arial" w:hAnsi="Arial" w:cs="Arial"/>
          <w:bCs/>
          <w:sz w:val="46"/>
          <w:szCs w:val="46"/>
        </w:rPr>
        <w:lastRenderedPageBreak/>
        <w:t xml:space="preserve">Appendix </w:t>
      </w:r>
      <w:r w:rsidR="00E02AEB" w:rsidRPr="000A2871">
        <w:rPr>
          <w:rFonts w:ascii="Arial" w:hAnsi="Arial" w:cs="Arial"/>
          <w:bCs/>
          <w:sz w:val="46"/>
          <w:szCs w:val="46"/>
        </w:rPr>
        <w:t>B</w:t>
      </w:r>
      <w:r w:rsidR="00E02AEB">
        <w:rPr>
          <w:rFonts w:ascii="Arial" w:hAnsi="Arial" w:cs="Arial"/>
          <w:bCs/>
          <w:sz w:val="46"/>
          <w:szCs w:val="46"/>
        </w:rPr>
        <w:t>:</w:t>
      </w:r>
      <w:r w:rsidRPr="000A2871">
        <w:rPr>
          <w:rFonts w:ascii="Arial" w:hAnsi="Arial" w:cs="Arial"/>
          <w:bCs/>
          <w:sz w:val="46"/>
          <w:szCs w:val="46"/>
        </w:rPr>
        <w:t xml:space="preserve"> Evidence and extraction register</w:t>
      </w:r>
      <w:bookmarkEnd w:id="150"/>
    </w:p>
    <w:p w14:paraId="144A1B6B" w14:textId="77777777" w:rsidR="007E77F1" w:rsidRPr="000A2871" w:rsidRDefault="007E77F1" w:rsidP="000A2871">
      <w:pPr>
        <w:spacing w:after="120" w:line="360" w:lineRule="auto"/>
        <w:rPr>
          <w:rFonts w:ascii="Arial" w:hAnsi="Arial" w:cs="Arial"/>
        </w:rPr>
      </w:pPr>
      <w:r w:rsidRPr="000A2871">
        <w:rPr>
          <w:rFonts w:ascii="Arial" w:hAnsi="Arial" w:cs="Arial"/>
        </w:rPr>
        <w:t>The first eleven entries contribute to the synthesis. Three additional entries are contextual only. Whole-sample use and restricted extraction describe the material used in this review; total study sample sizes must not be added as a count of eligible contributors.</w:t>
      </w:r>
    </w:p>
    <w:p w14:paraId="7A0A96E2" w14:textId="77777777" w:rsidR="007E77F1" w:rsidRPr="000A2871" w:rsidRDefault="007E77F1" w:rsidP="007B66E1">
      <w:pPr>
        <w:pStyle w:val="Heading2"/>
        <w:keepNext w:val="0"/>
        <w:keepLines w:val="0"/>
        <w:spacing w:after="80" w:line="360" w:lineRule="auto"/>
        <w:jc w:val="left"/>
        <w:rPr>
          <w:rFonts w:ascii="Arial" w:hAnsi="Arial" w:cs="Arial"/>
          <w:b w:val="0"/>
          <w:bCs/>
          <w:sz w:val="34"/>
          <w:szCs w:val="34"/>
        </w:rPr>
      </w:pPr>
      <w:bookmarkStart w:id="151" w:name="_8mbyzsyvpfd9" w:colFirst="0" w:colLast="0"/>
      <w:bookmarkStart w:id="152" w:name="_Toc242459584"/>
      <w:bookmarkEnd w:id="151"/>
      <w:r w:rsidRPr="000A2871">
        <w:rPr>
          <w:rFonts w:ascii="Arial" w:hAnsi="Arial" w:cs="Arial"/>
          <w:bCs/>
          <w:sz w:val="34"/>
          <w:szCs w:val="34"/>
        </w:rPr>
        <w:t>R0024 Berry et al. (2018)</w:t>
      </w:r>
      <w:bookmarkEnd w:id="152"/>
    </w:p>
    <w:p w14:paraId="034B5317"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Use: </w:t>
      </w:r>
      <w:r w:rsidRPr="000A2871">
        <w:rPr>
          <w:rFonts w:ascii="Arial" w:hAnsi="Arial" w:cs="Arial"/>
        </w:rPr>
        <w:t>Whole sample</w:t>
      </w:r>
    </w:p>
    <w:p w14:paraId="7BBF5DE9"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Setting and sample: </w:t>
      </w:r>
      <w:r w:rsidRPr="000A2871">
        <w:rPr>
          <w:rFonts w:ascii="Arial" w:hAnsi="Arial" w:cs="Arial"/>
        </w:rPr>
        <w:t>Aberdeen, Scotland; 19 participants aged 18–25.</w:t>
      </w:r>
    </w:p>
    <w:p w14:paraId="7782BB90"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Design and analysis: </w:t>
      </w:r>
      <w:r w:rsidRPr="000A2871">
        <w:rPr>
          <w:rFonts w:ascii="Arial" w:hAnsi="Arial" w:cs="Arial"/>
        </w:rPr>
        <w:t>Five focus groups and two interviews, recorded and transcribed; thematic analysis with discussion of codes and themes.</w:t>
      </w:r>
    </w:p>
    <w:p w14:paraId="6D628742"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Extraction boundary: </w:t>
      </w:r>
      <w:r w:rsidRPr="000A2871">
        <w:rPr>
          <w:rFonts w:ascii="Arial" w:hAnsi="Arial" w:cs="Arial"/>
        </w:rPr>
        <w:t>Use the complete sample under the accepted 18–25 study range. Earlier restrictions to specified focus groups and interviews are removed.</w:t>
      </w:r>
    </w:p>
    <w:p w14:paraId="77EBEA3B"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Source locator: </w:t>
      </w:r>
      <w:r w:rsidRPr="000A2871">
        <w:rPr>
          <w:rFonts w:ascii="Arial" w:hAnsi="Arial" w:cs="Arial"/>
        </w:rPr>
        <w:t>Methods: sampling, collection and analysis; Results: participant demographics and five themes; Table 1; ethics declarations.</w:t>
      </w:r>
    </w:p>
    <w:p w14:paraId="3085D1FF" w14:textId="77777777" w:rsidR="007E77F1" w:rsidRPr="000A2871" w:rsidRDefault="007E77F1" w:rsidP="000A2871">
      <w:pPr>
        <w:spacing w:after="120" w:line="360" w:lineRule="auto"/>
        <w:rPr>
          <w:rFonts w:ascii="Arial" w:hAnsi="Arial" w:cs="Arial"/>
        </w:rPr>
      </w:pPr>
      <w:r w:rsidRPr="000A2871">
        <w:rPr>
          <w:rFonts w:ascii="Arial" w:hAnsi="Arial" w:cs="Arial"/>
        </w:rPr>
        <w:t>DOI: https://doi.org/10.1007/s10389-018-0905-9</w:t>
      </w:r>
    </w:p>
    <w:p w14:paraId="18D5E128" w14:textId="77777777" w:rsidR="007E77F1" w:rsidRPr="000A2871" w:rsidRDefault="007E77F1" w:rsidP="007B66E1">
      <w:pPr>
        <w:pStyle w:val="Heading2"/>
        <w:keepNext w:val="0"/>
        <w:keepLines w:val="0"/>
        <w:spacing w:after="80" w:line="360" w:lineRule="auto"/>
        <w:jc w:val="left"/>
        <w:rPr>
          <w:rFonts w:ascii="Arial" w:hAnsi="Arial" w:cs="Arial"/>
          <w:b w:val="0"/>
          <w:bCs/>
          <w:sz w:val="34"/>
          <w:szCs w:val="34"/>
        </w:rPr>
      </w:pPr>
      <w:bookmarkStart w:id="153" w:name="_imcz9hm914f1" w:colFirst="0" w:colLast="0"/>
      <w:bookmarkStart w:id="154" w:name="_Toc242459585"/>
      <w:bookmarkEnd w:id="153"/>
      <w:r w:rsidRPr="000A2871">
        <w:rPr>
          <w:rFonts w:ascii="Arial" w:hAnsi="Arial" w:cs="Arial"/>
          <w:bCs/>
          <w:sz w:val="34"/>
          <w:szCs w:val="34"/>
        </w:rPr>
        <w:t>R0046 Sweeting et al. (2016)</w:t>
      </w:r>
      <w:bookmarkEnd w:id="154"/>
    </w:p>
    <w:p w14:paraId="602B73E0"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Use: </w:t>
      </w:r>
      <w:r w:rsidRPr="000A2871">
        <w:rPr>
          <w:rFonts w:ascii="Arial" w:hAnsi="Arial" w:cs="Arial"/>
        </w:rPr>
        <w:t>Whole sample</w:t>
      </w:r>
    </w:p>
    <w:p w14:paraId="7E0948FD"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Setting and sample: </w:t>
      </w:r>
      <w:r w:rsidRPr="000A2871">
        <w:rPr>
          <w:rFonts w:ascii="Arial" w:hAnsi="Arial" w:cs="Arial"/>
        </w:rPr>
        <w:t>West of Scotland; 35 participants interviewed at age 24, with adolescent BMI above the 95th centile.</w:t>
      </w:r>
    </w:p>
    <w:p w14:paraId="45421256"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Design and analysis: </w:t>
      </w:r>
      <w:r w:rsidRPr="000A2871">
        <w:rPr>
          <w:rFonts w:ascii="Arial" w:hAnsi="Arial" w:cs="Arial"/>
        </w:rPr>
        <w:t>Semistructured life-history interviews linked to longitudinal weight trajectories.</w:t>
      </w:r>
    </w:p>
    <w:p w14:paraId="12C653F9"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Extraction boundary: </w:t>
      </w:r>
      <w:r w:rsidRPr="000A2871">
        <w:rPr>
          <w:rFonts w:ascii="Arial" w:hAnsi="Arial" w:cs="Arial"/>
        </w:rPr>
        <w:t>Use the complete sample. Recalled experiences and later interpretation should not be treated as prospective causal measurement.</w:t>
      </w:r>
    </w:p>
    <w:p w14:paraId="5D902C0E"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Source locator: </w:t>
      </w:r>
      <w:r w:rsidRPr="000A2871">
        <w:rPr>
          <w:rFonts w:ascii="Arial" w:hAnsi="Arial" w:cs="Arial"/>
        </w:rPr>
        <w:t>Methods and participant selection; Results: changing concern, weight management and adult circumstances.</w:t>
      </w:r>
    </w:p>
    <w:p w14:paraId="7EF7028D" w14:textId="77777777" w:rsidR="007E77F1" w:rsidRPr="000A2871" w:rsidRDefault="007E77F1" w:rsidP="000A2871">
      <w:pPr>
        <w:spacing w:after="120" w:line="360" w:lineRule="auto"/>
        <w:rPr>
          <w:rFonts w:ascii="Arial" w:hAnsi="Arial" w:cs="Arial"/>
        </w:rPr>
      </w:pPr>
      <w:r w:rsidRPr="000A2871">
        <w:rPr>
          <w:rFonts w:ascii="Arial" w:hAnsi="Arial" w:cs="Arial"/>
        </w:rPr>
        <w:t>DOI: https://doi.org/10.1136/bmjopen-2015-010774</w:t>
      </w:r>
    </w:p>
    <w:p w14:paraId="053D06B7" w14:textId="77777777" w:rsidR="007B66E1" w:rsidRDefault="007B66E1">
      <w:pPr>
        <w:rPr>
          <w:rFonts w:ascii="Arial" w:eastAsia="Times New Roman" w:hAnsi="Arial" w:cs="Arial"/>
          <w:b/>
          <w:bCs/>
          <w:color w:val="000000"/>
          <w:sz w:val="34"/>
          <w:szCs w:val="34"/>
        </w:rPr>
      </w:pPr>
      <w:bookmarkStart w:id="155" w:name="_ip2bfraxx87z" w:colFirst="0" w:colLast="0"/>
      <w:bookmarkEnd w:id="155"/>
      <w:r>
        <w:rPr>
          <w:rFonts w:ascii="Arial" w:hAnsi="Arial" w:cs="Arial"/>
          <w:bCs/>
          <w:sz w:val="34"/>
          <w:szCs w:val="34"/>
        </w:rPr>
        <w:br w:type="page"/>
      </w:r>
    </w:p>
    <w:p w14:paraId="6529E9E2" w14:textId="77777777" w:rsidR="007E77F1" w:rsidRPr="000A2871" w:rsidRDefault="007E77F1" w:rsidP="007B66E1">
      <w:pPr>
        <w:pStyle w:val="Heading2"/>
        <w:keepNext w:val="0"/>
        <w:keepLines w:val="0"/>
        <w:spacing w:after="80" w:line="360" w:lineRule="auto"/>
        <w:jc w:val="left"/>
        <w:rPr>
          <w:rFonts w:ascii="Arial" w:hAnsi="Arial" w:cs="Arial"/>
          <w:b w:val="0"/>
          <w:bCs/>
          <w:sz w:val="34"/>
          <w:szCs w:val="34"/>
        </w:rPr>
      </w:pPr>
      <w:bookmarkStart w:id="156" w:name="_Toc242459586"/>
      <w:r w:rsidRPr="000A2871">
        <w:rPr>
          <w:rFonts w:ascii="Arial" w:hAnsi="Arial" w:cs="Arial"/>
          <w:bCs/>
          <w:sz w:val="34"/>
          <w:szCs w:val="34"/>
        </w:rPr>
        <w:lastRenderedPageBreak/>
        <w:t>R0132 Tang et al. (2026)</w:t>
      </w:r>
      <w:bookmarkEnd w:id="156"/>
    </w:p>
    <w:p w14:paraId="13FE7D50"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Use: </w:t>
      </w:r>
      <w:r w:rsidRPr="000A2871">
        <w:rPr>
          <w:rFonts w:ascii="Arial" w:hAnsi="Arial" w:cs="Arial"/>
        </w:rPr>
        <w:t>Whole sample</w:t>
      </w:r>
    </w:p>
    <w:p w14:paraId="251A235B"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Setting and sample: </w:t>
      </w:r>
      <w:r w:rsidRPr="000A2871">
        <w:rPr>
          <w:rFonts w:ascii="Arial" w:hAnsi="Arial" w:cs="Arial"/>
        </w:rPr>
        <w:t>UK residents; 25 participants aged 18–25; online interviews conducted in 2024.</w:t>
      </w:r>
    </w:p>
    <w:p w14:paraId="76CB23DC"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Design and analysis: </w:t>
      </w:r>
      <w:r w:rsidRPr="000A2871">
        <w:rPr>
          <w:rFonts w:ascii="Arial" w:hAnsi="Arial" w:cs="Arial"/>
        </w:rPr>
        <w:t>Reflexive thematic analysis followed by COM-B and TDF interpretation; public involvement informed design.</w:t>
      </w:r>
    </w:p>
    <w:p w14:paraId="6A2BABE6"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Extraction boundary: </w:t>
      </w:r>
      <w:r w:rsidRPr="000A2871">
        <w:rPr>
          <w:rFonts w:ascii="Arial" w:hAnsi="Arial" w:cs="Arial"/>
        </w:rPr>
        <w:t>Use the whole sample, including published age-25 accounts. Distinguish ordinary social-media experiences from preferences for a future intervention.</w:t>
      </w:r>
    </w:p>
    <w:p w14:paraId="286E95DC"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Source locator: </w:t>
      </w:r>
      <w:r w:rsidRPr="000A2871">
        <w:rPr>
          <w:rFonts w:ascii="Arial" w:hAnsi="Arial" w:cs="Arial"/>
        </w:rPr>
        <w:t>Methods: recruitment, reflexivity and two-stage analysis; Results: five themes; ethics section.</w:t>
      </w:r>
    </w:p>
    <w:p w14:paraId="3577E3B4" w14:textId="62387CDD" w:rsidR="007E77F1" w:rsidRPr="000A2871" w:rsidRDefault="007E77F1" w:rsidP="000A2871">
      <w:pPr>
        <w:spacing w:after="120" w:line="360" w:lineRule="auto"/>
        <w:rPr>
          <w:rFonts w:ascii="Arial" w:hAnsi="Arial" w:cs="Arial"/>
        </w:rPr>
      </w:pPr>
      <w:r w:rsidRPr="000A2871">
        <w:rPr>
          <w:rFonts w:ascii="Arial" w:hAnsi="Arial" w:cs="Arial"/>
        </w:rPr>
        <w:t>DOI: https://doi.org/10.2196/89344</w:t>
      </w:r>
    </w:p>
    <w:p w14:paraId="53672E81" w14:textId="77777777" w:rsidR="007E77F1" w:rsidRPr="000A2871" w:rsidRDefault="007E77F1" w:rsidP="003B4C7D">
      <w:pPr>
        <w:pStyle w:val="Heading2"/>
        <w:keepNext w:val="0"/>
        <w:keepLines w:val="0"/>
        <w:spacing w:after="80" w:line="360" w:lineRule="auto"/>
        <w:jc w:val="left"/>
        <w:rPr>
          <w:rFonts w:ascii="Arial" w:hAnsi="Arial" w:cs="Arial"/>
          <w:b w:val="0"/>
          <w:bCs/>
          <w:sz w:val="34"/>
          <w:szCs w:val="34"/>
        </w:rPr>
      </w:pPr>
      <w:bookmarkStart w:id="157" w:name="_Toc242459587"/>
      <w:r w:rsidRPr="000A2871">
        <w:rPr>
          <w:rFonts w:ascii="Arial" w:hAnsi="Arial" w:cs="Arial"/>
          <w:bCs/>
          <w:sz w:val="34"/>
          <w:szCs w:val="34"/>
        </w:rPr>
        <w:t>R0096 Scott et al. (2020)</w:t>
      </w:r>
      <w:bookmarkEnd w:id="157"/>
    </w:p>
    <w:p w14:paraId="386FFAF5"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Use: </w:t>
      </w:r>
      <w:r w:rsidRPr="000A2871">
        <w:rPr>
          <w:rFonts w:ascii="Arial" w:hAnsi="Arial" w:cs="Arial"/>
        </w:rPr>
        <w:t>Whole sample</w:t>
      </w:r>
    </w:p>
    <w:p w14:paraId="3AFB58A7"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Setting and sample: </w:t>
      </w:r>
      <w:r w:rsidRPr="000A2871">
        <w:rPr>
          <w:rFonts w:ascii="Arial" w:hAnsi="Arial" w:cs="Arial"/>
        </w:rPr>
        <w:t>North-East England; 45 participants aged 18–25, including three aged 25.</w:t>
      </w:r>
    </w:p>
    <w:p w14:paraId="5784DBBA"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Design and analysis: </w:t>
      </w:r>
      <w:r w:rsidRPr="000A2871">
        <w:rPr>
          <w:rFonts w:ascii="Arial" w:hAnsi="Arial" w:cs="Arial"/>
        </w:rPr>
        <w:t>Semistructured interviews, concurrent analysis, constant comparison and team discussion.</w:t>
      </w:r>
    </w:p>
    <w:p w14:paraId="1EEE5F57"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Extraction boundary: </w:t>
      </w:r>
      <w:r w:rsidRPr="000A2871">
        <w:rPr>
          <w:rFonts w:ascii="Arial" w:hAnsi="Arial" w:cs="Arial"/>
        </w:rPr>
        <w:t>Use all participants under the accepted 18–25 study range. Treat food and alcohol as linked practices, rather than separating accounts from their social context.</w:t>
      </w:r>
    </w:p>
    <w:p w14:paraId="39CC4E3E"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Source locator: </w:t>
      </w:r>
      <w:r w:rsidRPr="000A2871">
        <w:rPr>
          <w:rFonts w:ascii="Arial" w:hAnsi="Arial" w:cs="Arial"/>
        </w:rPr>
        <w:t>Methods sections 2.1–2.3; Table 1; Results and study limitations.</w:t>
      </w:r>
    </w:p>
    <w:p w14:paraId="6DE27EDB" w14:textId="77777777" w:rsidR="007E77F1" w:rsidRPr="000A2871" w:rsidRDefault="007E77F1" w:rsidP="000A2871">
      <w:pPr>
        <w:spacing w:after="120" w:line="360" w:lineRule="auto"/>
        <w:rPr>
          <w:rFonts w:ascii="Arial" w:hAnsi="Arial" w:cs="Arial"/>
        </w:rPr>
      </w:pPr>
      <w:r w:rsidRPr="000A2871">
        <w:rPr>
          <w:rFonts w:ascii="Arial" w:hAnsi="Arial" w:cs="Arial"/>
        </w:rPr>
        <w:t>DOI: https://doi.org/10.1016/j.appet.2019.104449</w:t>
      </w:r>
    </w:p>
    <w:p w14:paraId="25298BB3" w14:textId="77777777" w:rsidR="007E77F1" w:rsidRPr="000A2871" w:rsidRDefault="007E77F1" w:rsidP="003B4C7D">
      <w:pPr>
        <w:pStyle w:val="Heading2"/>
        <w:keepNext w:val="0"/>
        <w:keepLines w:val="0"/>
        <w:spacing w:after="80" w:line="360" w:lineRule="auto"/>
        <w:jc w:val="left"/>
        <w:rPr>
          <w:rFonts w:ascii="Arial" w:hAnsi="Arial" w:cs="Arial"/>
          <w:b w:val="0"/>
          <w:bCs/>
          <w:sz w:val="34"/>
          <w:szCs w:val="34"/>
        </w:rPr>
      </w:pPr>
      <w:bookmarkStart w:id="158" w:name="_xsnfdapooy7f" w:colFirst="0" w:colLast="0"/>
      <w:bookmarkStart w:id="159" w:name="_Toc242459588"/>
      <w:bookmarkEnd w:id="158"/>
      <w:r w:rsidRPr="000A2871">
        <w:rPr>
          <w:rFonts w:ascii="Arial" w:hAnsi="Arial" w:cs="Arial"/>
          <w:bCs/>
          <w:sz w:val="34"/>
          <w:szCs w:val="34"/>
        </w:rPr>
        <w:t>R0058 Canzini and Langdon-Daly (2025)</w:t>
      </w:r>
      <w:bookmarkEnd w:id="159"/>
    </w:p>
    <w:p w14:paraId="45E11A7C"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Use: </w:t>
      </w:r>
      <w:r w:rsidRPr="000A2871">
        <w:rPr>
          <w:rFonts w:ascii="Arial" w:hAnsi="Arial" w:cs="Arial"/>
        </w:rPr>
        <w:t>Whole sample</w:t>
      </w:r>
    </w:p>
    <w:p w14:paraId="67C1D352"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Setting and sample: </w:t>
      </w:r>
      <w:r w:rsidRPr="000A2871">
        <w:rPr>
          <w:rFonts w:ascii="Arial" w:hAnsi="Arial" w:cs="Arial"/>
        </w:rPr>
        <w:t>UK residents; eight White British women aged 18–25, all expressing negative views of menu calorie labelling.</w:t>
      </w:r>
    </w:p>
    <w:p w14:paraId="11D4ED8C" w14:textId="3380A343" w:rsidR="007E77F1" w:rsidRPr="000A2871" w:rsidRDefault="007E77F1" w:rsidP="000A2871">
      <w:pPr>
        <w:spacing w:after="120" w:line="360" w:lineRule="auto"/>
        <w:rPr>
          <w:rFonts w:ascii="Arial" w:hAnsi="Arial" w:cs="Arial"/>
        </w:rPr>
      </w:pPr>
      <w:r w:rsidRPr="000A2871">
        <w:rPr>
          <w:rFonts w:ascii="Arial" w:hAnsi="Arial" w:cs="Arial"/>
          <w:b/>
          <w:bCs/>
        </w:rPr>
        <w:t xml:space="preserve">Design and analysis: </w:t>
      </w:r>
      <w:r w:rsidR="002A5F32" w:rsidRPr="000A2871">
        <w:rPr>
          <w:rFonts w:ascii="Arial" w:hAnsi="Arial" w:cs="Arial"/>
        </w:rPr>
        <w:t>Semi structured</w:t>
      </w:r>
      <w:r w:rsidRPr="000A2871">
        <w:rPr>
          <w:rFonts w:ascii="Arial" w:hAnsi="Arial" w:cs="Arial"/>
        </w:rPr>
        <w:t xml:space="preserve"> online interviews; inductive reflexive thematic analysis in a </w:t>
      </w:r>
      <w:r w:rsidR="002A5F32" w:rsidRPr="000A2871">
        <w:rPr>
          <w:rFonts w:ascii="Arial" w:hAnsi="Arial" w:cs="Arial"/>
        </w:rPr>
        <w:t>critical realist</w:t>
      </w:r>
      <w:r w:rsidRPr="000A2871">
        <w:rPr>
          <w:rFonts w:ascii="Arial" w:hAnsi="Arial" w:cs="Arial"/>
        </w:rPr>
        <w:t>/contextualist approach.</w:t>
      </w:r>
    </w:p>
    <w:p w14:paraId="30A9D7E5"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Extraction boundary: </w:t>
      </w:r>
      <w:r w:rsidRPr="000A2871">
        <w:rPr>
          <w:rFonts w:ascii="Arial" w:hAnsi="Arial" w:cs="Arial"/>
        </w:rPr>
        <w:t>Use the whole sample to understand these women’s experiences. Do not infer that all young women oppose the policy or estimate population harm.</w:t>
      </w:r>
    </w:p>
    <w:p w14:paraId="7ECC4354" w14:textId="77777777" w:rsidR="007E77F1" w:rsidRPr="000A2871" w:rsidRDefault="007E77F1" w:rsidP="000A2871">
      <w:pPr>
        <w:spacing w:after="120" w:line="360" w:lineRule="auto"/>
        <w:rPr>
          <w:rFonts w:ascii="Arial" w:hAnsi="Arial" w:cs="Arial"/>
        </w:rPr>
      </w:pPr>
      <w:r w:rsidRPr="000A2871">
        <w:rPr>
          <w:rFonts w:ascii="Arial" w:hAnsi="Arial" w:cs="Arial"/>
          <w:b/>
          <w:bCs/>
        </w:rPr>
        <w:lastRenderedPageBreak/>
        <w:t xml:space="preserve">Source locator: </w:t>
      </w:r>
      <w:r w:rsidRPr="000A2871">
        <w:rPr>
          <w:rFonts w:ascii="Arial" w:hAnsi="Arial" w:cs="Arial"/>
        </w:rPr>
        <w:t>Methods: participants, procedure, analysis and reflexivity; Results: three themes; discussion of sampling.</w:t>
      </w:r>
    </w:p>
    <w:p w14:paraId="7D3FF73B" w14:textId="77777777" w:rsidR="007E77F1" w:rsidRPr="000A2871" w:rsidRDefault="007E77F1" w:rsidP="000A2871">
      <w:pPr>
        <w:spacing w:after="120" w:line="360" w:lineRule="auto"/>
        <w:rPr>
          <w:rFonts w:ascii="Arial" w:hAnsi="Arial" w:cs="Arial"/>
        </w:rPr>
      </w:pPr>
      <w:r w:rsidRPr="000A2871">
        <w:rPr>
          <w:rFonts w:ascii="Arial" w:hAnsi="Arial" w:cs="Arial"/>
        </w:rPr>
        <w:t>DOI: https://doi.org/10.1177/13591053251318192</w:t>
      </w:r>
    </w:p>
    <w:p w14:paraId="19FC8D3E" w14:textId="77777777" w:rsidR="007E77F1" w:rsidRPr="000A2871" w:rsidRDefault="007E77F1" w:rsidP="002A5F32">
      <w:pPr>
        <w:pStyle w:val="Heading2"/>
        <w:keepNext w:val="0"/>
        <w:keepLines w:val="0"/>
        <w:spacing w:after="80" w:line="360" w:lineRule="auto"/>
        <w:jc w:val="left"/>
        <w:rPr>
          <w:rFonts w:ascii="Arial" w:hAnsi="Arial" w:cs="Arial"/>
          <w:b w:val="0"/>
          <w:bCs/>
          <w:sz w:val="34"/>
          <w:szCs w:val="34"/>
        </w:rPr>
      </w:pPr>
      <w:bookmarkStart w:id="160" w:name="_4yat9cbtscsz" w:colFirst="0" w:colLast="0"/>
      <w:bookmarkStart w:id="161" w:name="_Toc242459589"/>
      <w:bookmarkEnd w:id="160"/>
      <w:r w:rsidRPr="000A2871">
        <w:rPr>
          <w:rFonts w:ascii="Arial" w:hAnsi="Arial" w:cs="Arial"/>
          <w:bCs/>
          <w:sz w:val="34"/>
          <w:szCs w:val="34"/>
        </w:rPr>
        <w:t>R0040 Rodrigues et al. (2025)</w:t>
      </w:r>
      <w:bookmarkEnd w:id="161"/>
    </w:p>
    <w:p w14:paraId="08C35247"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Use: </w:t>
      </w:r>
      <w:r w:rsidRPr="000A2871">
        <w:rPr>
          <w:rFonts w:ascii="Arial" w:hAnsi="Arial" w:cs="Arial"/>
        </w:rPr>
        <w:t>Restricted accounts</w:t>
      </w:r>
    </w:p>
    <w:p w14:paraId="48381D99"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Setting and sample: </w:t>
      </w:r>
      <w:r w:rsidRPr="000A2871">
        <w:rPr>
          <w:rFonts w:ascii="Arial" w:hAnsi="Arial" w:cs="Arial"/>
        </w:rPr>
        <w:t>UK antidepressant users; 13 participants. Table 1 reports ages 19–62 and two unreported ages.</w:t>
      </w:r>
    </w:p>
    <w:p w14:paraId="2BD44C14" w14:textId="6DD660FC" w:rsidR="007E77F1" w:rsidRPr="000A2871" w:rsidRDefault="007E77F1" w:rsidP="000A2871">
      <w:pPr>
        <w:spacing w:after="120" w:line="360" w:lineRule="auto"/>
        <w:rPr>
          <w:rFonts w:ascii="Arial" w:hAnsi="Arial" w:cs="Arial"/>
        </w:rPr>
      </w:pPr>
      <w:r w:rsidRPr="000A2871">
        <w:rPr>
          <w:rFonts w:ascii="Arial" w:hAnsi="Arial" w:cs="Arial"/>
          <w:b/>
          <w:bCs/>
        </w:rPr>
        <w:t xml:space="preserve">Design and analysis: </w:t>
      </w:r>
      <w:r w:rsidR="002A5F32" w:rsidRPr="000A2871">
        <w:rPr>
          <w:rFonts w:ascii="Arial" w:hAnsi="Arial" w:cs="Arial"/>
        </w:rPr>
        <w:t>Semi structured</w:t>
      </w:r>
      <w:r w:rsidRPr="000A2871">
        <w:rPr>
          <w:rFonts w:ascii="Arial" w:hAnsi="Arial" w:cs="Arial"/>
        </w:rPr>
        <w:t xml:space="preserve"> online interviews; critical-realist reflexive thematic analysis.</w:t>
      </w:r>
    </w:p>
    <w:p w14:paraId="0A775869"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Extraction boundary: </w:t>
      </w:r>
      <w:r w:rsidRPr="000A2871">
        <w:rPr>
          <w:rFonts w:ascii="Arial" w:hAnsi="Arial" w:cs="Arial"/>
        </w:rPr>
        <w:t>Table 1 identifies P3 (19), P5 and P6 (20), and P7, P9 and P11 (21). Main-text synthesis uses attributable P3, P7, P9 and P11 accounts only. No pooled theme is presented as an eligible-only analysis.</w:t>
      </w:r>
    </w:p>
    <w:p w14:paraId="1F877004"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Source locator: </w:t>
      </w:r>
      <w:r w:rsidRPr="000A2871">
        <w:rPr>
          <w:rFonts w:ascii="Arial" w:hAnsi="Arial" w:cs="Arial"/>
        </w:rPr>
        <w:t>Table 1; Methods including reflexivity; Results quotations labelled P3, P7, P9 and P11.</w:t>
      </w:r>
    </w:p>
    <w:p w14:paraId="29E101F3" w14:textId="77777777" w:rsidR="007E77F1" w:rsidRPr="000A2871" w:rsidRDefault="007E77F1" w:rsidP="000A2871">
      <w:pPr>
        <w:spacing w:after="120" w:line="360" w:lineRule="auto"/>
        <w:rPr>
          <w:rFonts w:ascii="Arial" w:hAnsi="Arial" w:cs="Arial"/>
        </w:rPr>
      </w:pPr>
      <w:r w:rsidRPr="000A2871">
        <w:rPr>
          <w:rFonts w:ascii="Arial" w:hAnsi="Arial" w:cs="Arial"/>
        </w:rPr>
        <w:t>DOI: https://doi.org/10.1111/inm.70068</w:t>
      </w:r>
    </w:p>
    <w:p w14:paraId="38149F78" w14:textId="77777777" w:rsidR="007E77F1" w:rsidRPr="000A2871" w:rsidRDefault="007E77F1" w:rsidP="002A5F32">
      <w:pPr>
        <w:pStyle w:val="Heading2"/>
        <w:keepNext w:val="0"/>
        <w:keepLines w:val="0"/>
        <w:spacing w:after="80" w:line="360" w:lineRule="auto"/>
        <w:jc w:val="left"/>
        <w:rPr>
          <w:rFonts w:ascii="Arial" w:hAnsi="Arial" w:cs="Arial"/>
          <w:b w:val="0"/>
          <w:bCs/>
          <w:sz w:val="34"/>
          <w:szCs w:val="34"/>
        </w:rPr>
      </w:pPr>
      <w:bookmarkStart w:id="162" w:name="_mbg5gxth1wg" w:colFirst="0" w:colLast="0"/>
      <w:bookmarkStart w:id="163" w:name="_Toc242459590"/>
      <w:bookmarkEnd w:id="162"/>
      <w:r w:rsidRPr="000A2871">
        <w:rPr>
          <w:rFonts w:ascii="Arial" w:hAnsi="Arial" w:cs="Arial"/>
          <w:bCs/>
          <w:sz w:val="34"/>
          <w:szCs w:val="34"/>
        </w:rPr>
        <w:t>R0097 Orlando et al. (2025)</w:t>
      </w:r>
      <w:bookmarkEnd w:id="163"/>
    </w:p>
    <w:p w14:paraId="0A36906B"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Use: </w:t>
      </w:r>
      <w:r w:rsidRPr="000A2871">
        <w:rPr>
          <w:rFonts w:ascii="Arial" w:hAnsi="Arial" w:cs="Arial"/>
        </w:rPr>
        <w:t>Young-employee findings</w:t>
      </w:r>
    </w:p>
    <w:p w14:paraId="6A4F19D5"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Setting and sample: </w:t>
      </w:r>
      <w:r w:rsidRPr="000A2871">
        <w:rPr>
          <w:rFonts w:ascii="Arial" w:hAnsi="Arial" w:cs="Arial"/>
        </w:rPr>
        <w:t>UK workers in four industries; 23 young employees and 28 employers. Employee ages: 19–21 (n=5) and 22–25 (n=18).</w:t>
      </w:r>
    </w:p>
    <w:p w14:paraId="779EECB9"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Design and analysis: </w:t>
      </w:r>
      <w:r w:rsidRPr="000A2871">
        <w:rPr>
          <w:rFonts w:ascii="Arial" w:hAnsi="Arial" w:cs="Arial"/>
        </w:rPr>
        <w:t>Four employee and four employer online focus groups; five-stage framework analysis.</w:t>
      </w:r>
    </w:p>
    <w:p w14:paraId="26EC6813"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Extraction boundary: </w:t>
      </w:r>
      <w:r w:rsidRPr="000A2871">
        <w:rPr>
          <w:rFonts w:ascii="Arial" w:hAnsi="Arial" w:cs="Arial"/>
        </w:rPr>
        <w:t>Use findings explicitly attributed to young employees; exclude employer accounts and unseparated stakeholder claims. Table 1 actual ages support use despite the methods’ 16–24 recruitment wording.</w:t>
      </w:r>
    </w:p>
    <w:p w14:paraId="566165E9"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Source locator: </w:t>
      </w:r>
      <w:r w:rsidRPr="000A2871">
        <w:rPr>
          <w:rFonts w:ascii="Arial" w:hAnsi="Arial" w:cs="Arial"/>
        </w:rPr>
        <w:t>Methods: sampling, ethics and framework analysis; Table 1; Results clearly attributed to young people.</w:t>
      </w:r>
    </w:p>
    <w:p w14:paraId="718F80A5" w14:textId="77777777" w:rsidR="007E77F1" w:rsidRPr="000A2871" w:rsidRDefault="007E77F1" w:rsidP="000A2871">
      <w:pPr>
        <w:spacing w:after="120" w:line="360" w:lineRule="auto"/>
        <w:rPr>
          <w:rFonts w:ascii="Arial" w:hAnsi="Arial" w:cs="Arial"/>
        </w:rPr>
      </w:pPr>
      <w:r w:rsidRPr="000A2871">
        <w:rPr>
          <w:rFonts w:ascii="Arial" w:hAnsi="Arial" w:cs="Arial"/>
        </w:rPr>
        <w:t>DOI: https://doi.org/10.1186/s12889-025-25595-8</w:t>
      </w:r>
    </w:p>
    <w:p w14:paraId="282829A3" w14:textId="77777777" w:rsidR="002A5F32" w:rsidRDefault="002A5F32">
      <w:pPr>
        <w:rPr>
          <w:rFonts w:ascii="Arial" w:eastAsia="Times New Roman" w:hAnsi="Arial" w:cs="Arial"/>
          <w:b/>
          <w:bCs/>
          <w:color w:val="000000"/>
          <w:sz w:val="34"/>
          <w:szCs w:val="34"/>
        </w:rPr>
      </w:pPr>
      <w:bookmarkStart w:id="164" w:name="_anknvptftjcp" w:colFirst="0" w:colLast="0"/>
      <w:bookmarkEnd w:id="164"/>
      <w:r>
        <w:rPr>
          <w:rFonts w:ascii="Arial" w:hAnsi="Arial" w:cs="Arial"/>
          <w:bCs/>
          <w:sz w:val="34"/>
          <w:szCs w:val="34"/>
        </w:rPr>
        <w:br w:type="page"/>
      </w:r>
    </w:p>
    <w:p w14:paraId="29473473" w14:textId="77777777" w:rsidR="007E77F1" w:rsidRPr="000A2871" w:rsidRDefault="007E77F1" w:rsidP="002A5F32">
      <w:pPr>
        <w:pStyle w:val="Heading2"/>
        <w:keepNext w:val="0"/>
        <w:keepLines w:val="0"/>
        <w:spacing w:after="80" w:line="360" w:lineRule="auto"/>
        <w:jc w:val="left"/>
        <w:rPr>
          <w:rFonts w:ascii="Arial" w:hAnsi="Arial" w:cs="Arial"/>
          <w:b w:val="0"/>
          <w:bCs/>
          <w:sz w:val="34"/>
          <w:szCs w:val="34"/>
        </w:rPr>
      </w:pPr>
      <w:bookmarkStart w:id="165" w:name="_Toc242459591"/>
      <w:r w:rsidRPr="000A2871">
        <w:rPr>
          <w:rFonts w:ascii="Arial" w:hAnsi="Arial" w:cs="Arial"/>
          <w:bCs/>
          <w:sz w:val="34"/>
          <w:szCs w:val="34"/>
        </w:rPr>
        <w:lastRenderedPageBreak/>
        <w:t>R0312 Hawkes et al. (2024)</w:t>
      </w:r>
      <w:bookmarkEnd w:id="165"/>
    </w:p>
    <w:p w14:paraId="2BB3F905"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Use: </w:t>
      </w:r>
      <w:r w:rsidRPr="000A2871">
        <w:rPr>
          <w:rFonts w:ascii="Arial" w:hAnsi="Arial" w:cs="Arial"/>
        </w:rPr>
        <w:t>Restricted accounts</w:t>
      </w:r>
    </w:p>
    <w:p w14:paraId="3264F51B"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Setting and sample: </w:t>
      </w:r>
      <w:r w:rsidRPr="000A2871">
        <w:rPr>
          <w:rFonts w:ascii="Arial" w:hAnsi="Arial" w:cs="Arial"/>
        </w:rPr>
        <w:t>UK women at increased breast-cancer risk; 20 interviewees, with published quoted ages 23–35.</w:t>
      </w:r>
    </w:p>
    <w:p w14:paraId="661BE0CD"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Design and analysis: </w:t>
      </w:r>
      <w:r w:rsidRPr="000A2871">
        <w:rPr>
          <w:rFonts w:ascii="Arial" w:hAnsi="Arial" w:cs="Arial"/>
        </w:rPr>
        <w:t>Interviews after a two-month digital intervention; inductive thematic analysis organised through a framework approach.</w:t>
      </w:r>
    </w:p>
    <w:p w14:paraId="568C0A10"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Extraction boundary: </w:t>
      </w:r>
      <w:r w:rsidRPr="000A2871">
        <w:rPr>
          <w:rFonts w:ascii="Arial" w:hAnsi="Arial" w:cs="Arial"/>
        </w:rPr>
        <w:t>Use Rebecca (23), Lucy (24) and Sophie (25). Relevant accounts concern information and alcohol reflection, peer reassurance, tracking and notification choices. Other participants and pooled themes are not treated as young-adult-only evidence.</w:t>
      </w:r>
    </w:p>
    <w:p w14:paraId="556AEFBD"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Source locator: </w:t>
      </w:r>
      <w:r w:rsidRPr="000A2871">
        <w:rPr>
          <w:rFonts w:ascii="Arial" w:hAnsi="Arial" w:cs="Arial"/>
        </w:rPr>
        <w:t>Methods and participant table; Results themes 2–4, quotations explicitly labelled with names and ages.</w:t>
      </w:r>
    </w:p>
    <w:p w14:paraId="027BFD08" w14:textId="77777777" w:rsidR="007E77F1" w:rsidRPr="000A2871" w:rsidRDefault="007E77F1" w:rsidP="000A2871">
      <w:pPr>
        <w:spacing w:after="120" w:line="360" w:lineRule="auto"/>
        <w:rPr>
          <w:rFonts w:ascii="Arial" w:hAnsi="Arial" w:cs="Arial"/>
        </w:rPr>
      </w:pPr>
      <w:r w:rsidRPr="000A2871">
        <w:rPr>
          <w:rFonts w:ascii="Arial" w:hAnsi="Arial" w:cs="Arial"/>
        </w:rPr>
        <w:t>DOI: https://doi.org/10.2196/57964</w:t>
      </w:r>
    </w:p>
    <w:p w14:paraId="69A6C770" w14:textId="77777777" w:rsidR="007E77F1" w:rsidRPr="000A2871" w:rsidRDefault="007E77F1" w:rsidP="00D14504">
      <w:pPr>
        <w:pStyle w:val="Heading2"/>
        <w:keepNext w:val="0"/>
        <w:keepLines w:val="0"/>
        <w:spacing w:after="80" w:line="360" w:lineRule="auto"/>
        <w:jc w:val="left"/>
        <w:rPr>
          <w:rFonts w:ascii="Arial" w:hAnsi="Arial" w:cs="Arial"/>
          <w:b w:val="0"/>
          <w:bCs/>
          <w:sz w:val="34"/>
          <w:szCs w:val="34"/>
        </w:rPr>
      </w:pPr>
      <w:bookmarkStart w:id="166" w:name="_g0m1x69f6nj5" w:colFirst="0" w:colLast="0"/>
      <w:bookmarkStart w:id="167" w:name="_Toc242459592"/>
      <w:bookmarkEnd w:id="166"/>
      <w:r w:rsidRPr="000A2871">
        <w:rPr>
          <w:rFonts w:ascii="Arial" w:hAnsi="Arial" w:cs="Arial"/>
          <w:bCs/>
          <w:sz w:val="34"/>
          <w:szCs w:val="34"/>
        </w:rPr>
        <w:t>S0001 Howard Wilsher, Fearne and Panagiotaki (2019)</w:t>
      </w:r>
      <w:bookmarkEnd w:id="167"/>
    </w:p>
    <w:p w14:paraId="3E3E01FC"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Use: </w:t>
      </w:r>
      <w:r w:rsidRPr="000A2871">
        <w:rPr>
          <w:rFonts w:ascii="Arial" w:hAnsi="Arial" w:cs="Arial"/>
        </w:rPr>
        <w:t>Whole sample</w:t>
      </w:r>
    </w:p>
    <w:p w14:paraId="6BDEF969"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Setting and sample: </w:t>
      </w:r>
      <w:r w:rsidRPr="000A2871">
        <w:rPr>
          <w:rFonts w:ascii="Arial" w:hAnsi="Arial" w:cs="Arial"/>
        </w:rPr>
        <w:t>London and Norfolk, England; 34 men aged 18–24; eight focus groups.</w:t>
      </w:r>
    </w:p>
    <w:p w14:paraId="64131B51"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Design and analysis: </w:t>
      </w:r>
      <w:r w:rsidRPr="000A2871">
        <w:rPr>
          <w:rFonts w:ascii="Arial" w:hAnsi="Arial" w:cs="Arial"/>
        </w:rPr>
        <w:t>Visual activities, food diaries/recalls and focus groups; thematic coding using a conceptual framework.</w:t>
      </w:r>
    </w:p>
    <w:p w14:paraId="4C0BDB1A"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Extraction boundary: </w:t>
      </w:r>
      <w:r w:rsidRPr="000A2871">
        <w:rPr>
          <w:rFonts w:ascii="Arial" w:hAnsi="Arial" w:cs="Arial"/>
        </w:rPr>
        <w:t>Use all participants for food practices, message interpretation and health-conscious identity. Distinguish higher/lower fruit-and-vegetable consumption groups from obesity categories.</w:t>
      </w:r>
    </w:p>
    <w:p w14:paraId="7DE144C4"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Source locator: </w:t>
      </w:r>
      <w:r w:rsidRPr="000A2871">
        <w:rPr>
          <w:rFonts w:ascii="Arial" w:hAnsi="Arial" w:cs="Arial"/>
        </w:rPr>
        <w:t>Methods sections 2.1–2.3; Tables 1–2; Results sections on control, social influences, identity and risk.</w:t>
      </w:r>
    </w:p>
    <w:p w14:paraId="4618089E" w14:textId="77777777" w:rsidR="007E77F1" w:rsidRPr="000A2871" w:rsidRDefault="007E77F1" w:rsidP="000A2871">
      <w:pPr>
        <w:spacing w:after="120" w:line="360" w:lineRule="auto"/>
        <w:rPr>
          <w:rFonts w:ascii="Arial" w:hAnsi="Arial" w:cs="Arial"/>
        </w:rPr>
      </w:pPr>
      <w:r w:rsidRPr="000A2871">
        <w:rPr>
          <w:rFonts w:ascii="Arial" w:hAnsi="Arial" w:cs="Arial"/>
        </w:rPr>
        <w:t>DOI: https://doi.org/10.3390/nu11081893</w:t>
      </w:r>
    </w:p>
    <w:p w14:paraId="230F6127" w14:textId="77777777" w:rsidR="007E77F1" w:rsidRPr="000A2871" w:rsidRDefault="007E77F1" w:rsidP="00D14504">
      <w:pPr>
        <w:pStyle w:val="Heading2"/>
        <w:keepNext w:val="0"/>
        <w:keepLines w:val="0"/>
        <w:spacing w:after="80" w:line="360" w:lineRule="auto"/>
        <w:jc w:val="left"/>
        <w:rPr>
          <w:rFonts w:ascii="Arial" w:hAnsi="Arial" w:cs="Arial"/>
          <w:b w:val="0"/>
          <w:bCs/>
          <w:sz w:val="34"/>
          <w:szCs w:val="34"/>
        </w:rPr>
      </w:pPr>
      <w:bookmarkStart w:id="168" w:name="_p8y17qhzwp0y" w:colFirst="0" w:colLast="0"/>
      <w:bookmarkStart w:id="169" w:name="_Toc242459593"/>
      <w:bookmarkEnd w:id="168"/>
      <w:r w:rsidRPr="000A2871">
        <w:rPr>
          <w:rFonts w:ascii="Arial" w:hAnsi="Arial" w:cs="Arial"/>
          <w:bCs/>
          <w:sz w:val="34"/>
          <w:szCs w:val="34"/>
        </w:rPr>
        <w:t>S0002 Trahearn et al. (2021)</w:t>
      </w:r>
      <w:bookmarkEnd w:id="169"/>
    </w:p>
    <w:p w14:paraId="200EE126"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Use: </w:t>
      </w:r>
      <w:r w:rsidRPr="000A2871">
        <w:rPr>
          <w:rFonts w:ascii="Arial" w:hAnsi="Arial" w:cs="Arial"/>
        </w:rPr>
        <w:t>Restricted accounts</w:t>
      </w:r>
    </w:p>
    <w:p w14:paraId="75E02952" w14:textId="16B63AC2" w:rsidR="007E77F1" w:rsidRPr="000A2871" w:rsidRDefault="007E77F1" w:rsidP="000A2871">
      <w:pPr>
        <w:spacing w:after="120" w:line="360" w:lineRule="auto"/>
        <w:rPr>
          <w:rFonts w:ascii="Arial" w:hAnsi="Arial" w:cs="Arial"/>
        </w:rPr>
      </w:pPr>
      <w:r w:rsidRPr="000A2871">
        <w:rPr>
          <w:rFonts w:ascii="Arial" w:hAnsi="Arial" w:cs="Arial"/>
          <w:b/>
          <w:bCs/>
        </w:rPr>
        <w:t xml:space="preserve">Setting and sample: </w:t>
      </w:r>
      <w:r w:rsidRPr="000A2871">
        <w:rPr>
          <w:rFonts w:ascii="Arial" w:hAnsi="Arial" w:cs="Arial"/>
        </w:rPr>
        <w:t xml:space="preserve">UK </w:t>
      </w:r>
      <w:r w:rsidR="00911724" w:rsidRPr="000A2871">
        <w:rPr>
          <w:rFonts w:ascii="Arial" w:hAnsi="Arial" w:cs="Arial"/>
        </w:rPr>
        <w:t>University</w:t>
      </w:r>
      <w:r w:rsidRPr="000A2871">
        <w:rPr>
          <w:rFonts w:ascii="Arial" w:hAnsi="Arial" w:cs="Arial"/>
        </w:rPr>
        <w:t>; six final-year dietetic students. A=23, B=22, C=23, D=34, E=22, F=23.</w:t>
      </w:r>
    </w:p>
    <w:p w14:paraId="339E29AC"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Design and analysis: </w:t>
      </w:r>
      <w:r w:rsidRPr="000A2871">
        <w:rPr>
          <w:rFonts w:ascii="Arial" w:hAnsi="Arial" w:cs="Arial"/>
        </w:rPr>
        <w:t>Purposive volunteer sample; semistructured interviews; thematic analysis with team cross-checking.</w:t>
      </w:r>
    </w:p>
    <w:p w14:paraId="55B18120" w14:textId="77777777" w:rsidR="007E77F1" w:rsidRPr="000A2871" w:rsidRDefault="007E77F1" w:rsidP="000A2871">
      <w:pPr>
        <w:spacing w:after="120" w:line="360" w:lineRule="auto"/>
        <w:rPr>
          <w:rFonts w:ascii="Arial" w:hAnsi="Arial" w:cs="Arial"/>
        </w:rPr>
      </w:pPr>
      <w:r w:rsidRPr="000A2871">
        <w:rPr>
          <w:rFonts w:ascii="Arial" w:hAnsi="Arial" w:cs="Arial"/>
          <w:b/>
          <w:bCs/>
        </w:rPr>
        <w:lastRenderedPageBreak/>
        <w:t xml:space="preserve">Extraction boundary: </w:t>
      </w:r>
      <w:r w:rsidRPr="000A2871">
        <w:rPr>
          <w:rFonts w:ascii="Arial" w:hAnsi="Arial" w:cs="Arial"/>
        </w:rPr>
        <w:t>Use A, B, C, E and F accounts, retaining letter/line identifiers. Exclude D and pooled claims that cannot be attributed to the younger students. Specialist training limits transferability.</w:t>
      </w:r>
    </w:p>
    <w:p w14:paraId="15B39A12"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Source locator: </w:t>
      </w:r>
      <w:r w:rsidRPr="000A2871">
        <w:rPr>
          <w:rFonts w:ascii="Arial" w:hAnsi="Arial" w:cs="Arial"/>
        </w:rPr>
        <w:t>Methods 2.1–2.5; Table 2 (ages); Table 3 and Results quotations with letter/line identifiers; limitations/reflexivity.</w:t>
      </w:r>
    </w:p>
    <w:p w14:paraId="262A582B" w14:textId="77777777" w:rsidR="007E77F1" w:rsidRPr="000A2871" w:rsidRDefault="007E77F1" w:rsidP="000A2871">
      <w:pPr>
        <w:spacing w:after="120" w:line="360" w:lineRule="auto"/>
        <w:rPr>
          <w:rFonts w:ascii="Arial" w:hAnsi="Arial" w:cs="Arial"/>
        </w:rPr>
      </w:pPr>
      <w:r w:rsidRPr="000A2871">
        <w:rPr>
          <w:rFonts w:ascii="Arial" w:hAnsi="Arial" w:cs="Arial"/>
        </w:rPr>
        <w:t>DOI: https://doi.org/10.3390/healthcare9050579</w:t>
      </w:r>
    </w:p>
    <w:p w14:paraId="418522DE" w14:textId="77777777" w:rsidR="007E77F1" w:rsidRPr="000A2871" w:rsidRDefault="007E77F1" w:rsidP="00D14504">
      <w:pPr>
        <w:pStyle w:val="Heading2"/>
        <w:keepNext w:val="0"/>
        <w:keepLines w:val="0"/>
        <w:spacing w:after="80" w:line="360" w:lineRule="auto"/>
        <w:jc w:val="left"/>
        <w:rPr>
          <w:rFonts w:ascii="Arial" w:hAnsi="Arial" w:cs="Arial"/>
          <w:b w:val="0"/>
          <w:bCs/>
          <w:sz w:val="34"/>
          <w:szCs w:val="34"/>
        </w:rPr>
      </w:pPr>
      <w:bookmarkStart w:id="170" w:name="_tcx17mlmyzio" w:colFirst="0" w:colLast="0"/>
      <w:bookmarkStart w:id="171" w:name="_Toc242459594"/>
      <w:bookmarkEnd w:id="170"/>
      <w:r w:rsidRPr="000A2871">
        <w:rPr>
          <w:rFonts w:ascii="Arial" w:hAnsi="Arial" w:cs="Arial"/>
          <w:bCs/>
          <w:sz w:val="34"/>
          <w:szCs w:val="34"/>
        </w:rPr>
        <w:t>S0003 Hunter et al. (2025)</w:t>
      </w:r>
      <w:bookmarkEnd w:id="171"/>
    </w:p>
    <w:p w14:paraId="2B976FCC"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Use: </w:t>
      </w:r>
      <w:r w:rsidRPr="000A2871">
        <w:rPr>
          <w:rFonts w:ascii="Arial" w:hAnsi="Arial" w:cs="Arial"/>
        </w:rPr>
        <w:t>Restricted accounts; reporting caveat</w:t>
      </w:r>
    </w:p>
    <w:p w14:paraId="6BA8B415"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Setting and sample: </w:t>
      </w:r>
      <w:r w:rsidRPr="000A2871">
        <w:rPr>
          <w:rFonts w:ascii="Arial" w:hAnsi="Arial" w:cs="Arial"/>
        </w:rPr>
        <w:t>England (20) and Scotland (12); 32 adults living with obesity and food insecurity, across age bands 18–24 to 65+.</w:t>
      </w:r>
    </w:p>
    <w:p w14:paraId="421174B4"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Design and analysis: </w:t>
      </w:r>
      <w:r w:rsidRPr="000A2871">
        <w:rPr>
          <w:rFonts w:ascii="Arial" w:hAnsi="Arial" w:cs="Arial"/>
        </w:rPr>
        <w:t>Semistructured interviews and focus-group participation; thematic analysis with team and public involvement.</w:t>
      </w:r>
    </w:p>
    <w:p w14:paraId="32B6E699"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Extraction boundary: </w:t>
      </w:r>
      <w:r w:rsidRPr="000A2871">
        <w:rPr>
          <w:rFonts w:ascii="Arial" w:hAnsi="Arial" w:cs="Arial"/>
        </w:rPr>
        <w:t>Use repeated published 18–24 labels for P05 and P10 only. Omit P17 pending clarification: its 18–24 quotation label conflicts with Table 1’s two-person total. Do not present the full study’s themes as young-adult findings. Recheck conclusions with Hunter removed.</w:t>
      </w:r>
    </w:p>
    <w:p w14:paraId="2DB940D1"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Source locator: </w:t>
      </w:r>
      <w:r w:rsidRPr="000A2871">
        <w:rPr>
          <w:rFonts w:ascii="Arial" w:hAnsi="Arial" w:cs="Arial"/>
        </w:rPr>
        <w:t>Methods 2.1–2.5; Table 1; Results 3.3.1 and 3.3.3 (P05), Table 2 and Results 3.5 (P10); P17 labels in Results 3.3.2 and 3.8.</w:t>
      </w:r>
    </w:p>
    <w:p w14:paraId="36F86579" w14:textId="77777777" w:rsidR="007E77F1" w:rsidRPr="000A2871" w:rsidRDefault="007E77F1" w:rsidP="000A2871">
      <w:pPr>
        <w:spacing w:after="120" w:line="360" w:lineRule="auto"/>
        <w:rPr>
          <w:rFonts w:ascii="Arial" w:hAnsi="Arial" w:cs="Arial"/>
        </w:rPr>
      </w:pPr>
      <w:r w:rsidRPr="000A2871">
        <w:rPr>
          <w:rFonts w:ascii="Arial" w:hAnsi="Arial" w:cs="Arial"/>
        </w:rPr>
        <w:t>DOI: https://doi.org/10.3389/fnut.2025.1646056</w:t>
      </w:r>
    </w:p>
    <w:p w14:paraId="72599ABC" w14:textId="77777777" w:rsidR="007E77F1" w:rsidRPr="000A2871" w:rsidRDefault="007E77F1" w:rsidP="00D14504">
      <w:pPr>
        <w:pStyle w:val="Heading2"/>
        <w:keepNext w:val="0"/>
        <w:keepLines w:val="0"/>
        <w:spacing w:after="80" w:line="360" w:lineRule="auto"/>
        <w:jc w:val="left"/>
        <w:rPr>
          <w:rFonts w:ascii="Arial" w:hAnsi="Arial" w:cs="Arial"/>
          <w:b w:val="0"/>
          <w:bCs/>
          <w:sz w:val="34"/>
          <w:szCs w:val="34"/>
        </w:rPr>
      </w:pPr>
      <w:bookmarkStart w:id="172" w:name="_a6f2v4xtle5n" w:colFirst="0" w:colLast="0"/>
      <w:bookmarkStart w:id="173" w:name="_Toc242459595"/>
      <w:bookmarkEnd w:id="172"/>
      <w:r w:rsidRPr="000A2871">
        <w:rPr>
          <w:rFonts w:ascii="Arial" w:hAnsi="Arial" w:cs="Arial"/>
          <w:bCs/>
          <w:sz w:val="34"/>
          <w:szCs w:val="34"/>
        </w:rPr>
        <w:t>R0465 Easton et al. (2018)</w:t>
      </w:r>
      <w:bookmarkEnd w:id="173"/>
    </w:p>
    <w:p w14:paraId="72921EF2"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Use: </w:t>
      </w:r>
      <w:r w:rsidRPr="000A2871">
        <w:rPr>
          <w:rFonts w:ascii="Arial" w:hAnsi="Arial" w:cs="Arial"/>
        </w:rPr>
        <w:t>Contextual: UK location unconfirmed</w:t>
      </w:r>
    </w:p>
    <w:p w14:paraId="6ABA2578"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Setting and sample: </w:t>
      </w:r>
      <w:r w:rsidRPr="000A2871">
        <w:rPr>
          <w:rFonts w:ascii="Arial" w:hAnsi="Arial" w:cs="Arial"/>
        </w:rPr>
        <w:t>20 participants aged 18–25; Southampton research and ethics context, but exclusive UK participant location is not explicitly established.</w:t>
      </w:r>
    </w:p>
    <w:p w14:paraId="023C5AAB"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Design and analysis: </w:t>
      </w:r>
      <w:r w:rsidRPr="000A2871">
        <w:rPr>
          <w:rFonts w:ascii="Arial" w:hAnsi="Arial" w:cs="Arial"/>
        </w:rPr>
        <w:t>Four focus groups and six face-to-face interviews; inductive thematic analysis with iterative comparison.</w:t>
      </w:r>
    </w:p>
    <w:p w14:paraId="606EFF14"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Extraction boundary: </w:t>
      </w:r>
      <w:r w:rsidRPr="000A2871">
        <w:rPr>
          <w:rFonts w:ascii="Arial" w:hAnsi="Arial" w:cs="Arial"/>
        </w:rPr>
        <w:t>Use in the literature review and contextual comparison. Do not count as confirmed exclusively UK evidence based on author affiliation alone.</w:t>
      </w:r>
    </w:p>
    <w:p w14:paraId="1D3C7B83"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Source locator: </w:t>
      </w:r>
      <w:r w:rsidRPr="000A2871">
        <w:rPr>
          <w:rFonts w:ascii="Arial" w:hAnsi="Arial" w:cs="Arial"/>
        </w:rPr>
        <w:t>Methods: sampling, recruitment, collection and analysis; participant table; limitations.</w:t>
      </w:r>
    </w:p>
    <w:p w14:paraId="345B0185" w14:textId="77777777" w:rsidR="007E77F1" w:rsidRPr="000A2871" w:rsidRDefault="007E77F1" w:rsidP="000A2871">
      <w:pPr>
        <w:spacing w:after="120" w:line="360" w:lineRule="auto"/>
        <w:rPr>
          <w:rFonts w:ascii="Arial" w:hAnsi="Arial" w:cs="Arial"/>
        </w:rPr>
      </w:pPr>
      <w:r w:rsidRPr="000A2871">
        <w:rPr>
          <w:rFonts w:ascii="Arial" w:hAnsi="Arial" w:cs="Arial"/>
        </w:rPr>
        <w:t>DOI: https://doi.org/10.2196/jmir.9156</w:t>
      </w:r>
    </w:p>
    <w:p w14:paraId="5E53394B" w14:textId="77777777" w:rsidR="00D14504" w:rsidRDefault="00D14504">
      <w:pPr>
        <w:rPr>
          <w:rFonts w:ascii="Arial" w:eastAsia="Times New Roman" w:hAnsi="Arial" w:cs="Arial"/>
          <w:b/>
          <w:bCs/>
          <w:color w:val="000000"/>
          <w:sz w:val="34"/>
          <w:szCs w:val="34"/>
        </w:rPr>
      </w:pPr>
      <w:bookmarkStart w:id="174" w:name="_lmuagvu5x3tm" w:colFirst="0" w:colLast="0"/>
      <w:bookmarkEnd w:id="174"/>
      <w:r>
        <w:rPr>
          <w:rFonts w:ascii="Arial" w:hAnsi="Arial" w:cs="Arial"/>
          <w:bCs/>
          <w:sz w:val="34"/>
          <w:szCs w:val="34"/>
        </w:rPr>
        <w:br w:type="page"/>
      </w:r>
    </w:p>
    <w:p w14:paraId="2256163F" w14:textId="77777777" w:rsidR="007E77F1" w:rsidRPr="000A2871" w:rsidRDefault="007E77F1" w:rsidP="00D14504">
      <w:pPr>
        <w:pStyle w:val="Heading2"/>
        <w:keepNext w:val="0"/>
        <w:keepLines w:val="0"/>
        <w:spacing w:after="80" w:line="360" w:lineRule="auto"/>
        <w:jc w:val="left"/>
        <w:rPr>
          <w:rFonts w:ascii="Arial" w:hAnsi="Arial" w:cs="Arial"/>
          <w:b w:val="0"/>
          <w:bCs/>
          <w:sz w:val="34"/>
          <w:szCs w:val="34"/>
        </w:rPr>
      </w:pPr>
      <w:bookmarkStart w:id="175" w:name="_Toc242459596"/>
      <w:r w:rsidRPr="000A2871">
        <w:rPr>
          <w:rFonts w:ascii="Arial" w:hAnsi="Arial" w:cs="Arial"/>
          <w:bCs/>
          <w:sz w:val="34"/>
          <w:szCs w:val="34"/>
        </w:rPr>
        <w:lastRenderedPageBreak/>
        <w:t>R0045 Tyrrell et al. (2016)</w:t>
      </w:r>
      <w:bookmarkEnd w:id="175"/>
    </w:p>
    <w:p w14:paraId="5BA03AF0"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Use: </w:t>
      </w:r>
      <w:r w:rsidRPr="000A2871">
        <w:rPr>
          <w:rFonts w:ascii="Arial" w:hAnsi="Arial" w:cs="Arial"/>
        </w:rPr>
        <w:t>Contextual: inseparable younger ages</w:t>
      </w:r>
    </w:p>
    <w:p w14:paraId="2D01F10A"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Setting and sample: </w:t>
      </w:r>
      <w:r w:rsidRPr="000A2871">
        <w:rPr>
          <w:rFonts w:ascii="Arial" w:hAnsi="Arial" w:cs="Arial"/>
        </w:rPr>
        <w:t>North-East England; 40 participants aged 16–20 in four groups. Fieldwork: 2006–2007; issue: 2016; online: 2015.</w:t>
      </w:r>
    </w:p>
    <w:p w14:paraId="3E88DD08"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Design and analysis: </w:t>
      </w:r>
      <w:r w:rsidRPr="000A2871">
        <w:rPr>
          <w:rFonts w:ascii="Arial" w:hAnsi="Arial" w:cs="Arial"/>
        </w:rPr>
        <w:t>Focus groups in school/college settings; iterative analysis informed by grounded theory and prior research.</w:t>
      </w:r>
    </w:p>
    <w:p w14:paraId="239451ED"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Extraction boundary: </w:t>
      </w:r>
      <w:r w:rsidRPr="000A2871">
        <w:rPr>
          <w:rFonts w:ascii="Arial" w:hAnsi="Arial" w:cs="Arial"/>
        </w:rPr>
        <w:t>Every group spans under-18s. Group-labelled quotations cannot be attributed solely to adults. Retain as contextual evidence and record the age of the fieldwork.</w:t>
      </w:r>
    </w:p>
    <w:p w14:paraId="0C17B8A8"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Source locator: </w:t>
      </w:r>
      <w:r w:rsidRPr="000A2871">
        <w:rPr>
          <w:rFonts w:ascii="Arial" w:hAnsi="Arial" w:cs="Arial"/>
        </w:rPr>
        <w:t>Methods; Table 1 group ages; Results group-labelled quotations; discussion of recruitment.</w:t>
      </w:r>
    </w:p>
    <w:p w14:paraId="0513CA6B" w14:textId="77777777" w:rsidR="007E77F1" w:rsidRPr="000A2871" w:rsidRDefault="007E77F1" w:rsidP="000A2871">
      <w:pPr>
        <w:spacing w:after="120" w:line="360" w:lineRule="auto"/>
        <w:rPr>
          <w:rFonts w:ascii="Arial" w:hAnsi="Arial" w:cs="Arial"/>
        </w:rPr>
      </w:pPr>
      <w:r w:rsidRPr="000A2871">
        <w:rPr>
          <w:rFonts w:ascii="Arial" w:hAnsi="Arial" w:cs="Arial"/>
        </w:rPr>
        <w:t>DOI: https://doi.org/10.1093/pubmed/fdv030</w:t>
      </w:r>
    </w:p>
    <w:p w14:paraId="634925FD" w14:textId="77777777" w:rsidR="007E77F1" w:rsidRPr="000A2871" w:rsidRDefault="007E77F1" w:rsidP="00D14504">
      <w:pPr>
        <w:pStyle w:val="Heading2"/>
        <w:keepNext w:val="0"/>
        <w:keepLines w:val="0"/>
        <w:spacing w:after="80" w:line="360" w:lineRule="auto"/>
        <w:jc w:val="left"/>
        <w:rPr>
          <w:rFonts w:ascii="Arial" w:hAnsi="Arial" w:cs="Arial"/>
          <w:b w:val="0"/>
          <w:bCs/>
          <w:sz w:val="34"/>
          <w:szCs w:val="34"/>
        </w:rPr>
      </w:pPr>
      <w:bookmarkStart w:id="176" w:name="_shobio15l51g" w:colFirst="0" w:colLast="0"/>
      <w:bookmarkStart w:id="177" w:name="_Toc242459597"/>
      <w:bookmarkEnd w:id="176"/>
      <w:r w:rsidRPr="000A2871">
        <w:rPr>
          <w:rFonts w:ascii="Arial" w:hAnsi="Arial" w:cs="Arial"/>
          <w:bCs/>
          <w:sz w:val="34"/>
          <w:szCs w:val="34"/>
        </w:rPr>
        <w:t>R0974 Hafiz et al. (2023)</w:t>
      </w:r>
      <w:bookmarkEnd w:id="177"/>
    </w:p>
    <w:p w14:paraId="084340D1"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Use: </w:t>
      </w:r>
      <w:r w:rsidRPr="000A2871">
        <w:rPr>
          <w:rFonts w:ascii="Arial" w:hAnsi="Arial" w:cs="Arial"/>
        </w:rPr>
        <w:t>Contextual: age range unresolved</w:t>
      </w:r>
    </w:p>
    <w:p w14:paraId="171A469A"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Setting and sample: </w:t>
      </w:r>
      <w:r w:rsidRPr="000A2871">
        <w:rPr>
          <w:rFonts w:ascii="Arial" w:hAnsi="Arial" w:cs="Arial"/>
        </w:rPr>
        <w:t>Ulster University, Northern Ireland; 42 students; mean age 23, SD 5.3. Recruitment required age over 18.</w:t>
      </w:r>
    </w:p>
    <w:p w14:paraId="66135005"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Design and analysis: </w:t>
      </w:r>
      <w:r w:rsidRPr="000A2871">
        <w:rPr>
          <w:rFonts w:ascii="Arial" w:hAnsi="Arial" w:cs="Arial"/>
        </w:rPr>
        <w:t>Eight focus groups; conventional content/thematic analysis, coding comparison and a minimum-frequency rule.</w:t>
      </w:r>
    </w:p>
    <w:p w14:paraId="0DF1B400"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Extraction boundary: </w:t>
      </w:r>
      <w:r w:rsidRPr="000A2871">
        <w:rPr>
          <w:rFonts w:ascii="Arial" w:hAnsi="Arial" w:cs="Arial"/>
        </w:rPr>
        <w:t>Use contextually. The mean does not establish an 18–25 sample, and quotations do not identify eligible ages. Do not reproduce inconsistent sex totals in the manuscript.</w:t>
      </w:r>
    </w:p>
    <w:p w14:paraId="0C9311DC"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Source locator: </w:t>
      </w:r>
      <w:r w:rsidRPr="000A2871">
        <w:rPr>
          <w:rFonts w:ascii="Arial" w:hAnsi="Arial" w:cs="Arial"/>
        </w:rPr>
        <w:t>Methods 2.1–2.4; Results 3.1 and 3.2; participant tables and quotation labels.</w:t>
      </w:r>
    </w:p>
    <w:p w14:paraId="0120DEB2" w14:textId="77777777" w:rsidR="007E77F1" w:rsidRPr="000A2871" w:rsidRDefault="007E77F1" w:rsidP="000A2871">
      <w:pPr>
        <w:spacing w:after="120" w:line="360" w:lineRule="auto"/>
        <w:rPr>
          <w:rFonts w:ascii="Arial" w:hAnsi="Arial" w:cs="Arial"/>
        </w:rPr>
      </w:pPr>
      <w:r w:rsidRPr="000A2871">
        <w:rPr>
          <w:rFonts w:ascii="Arial" w:hAnsi="Arial" w:cs="Arial"/>
        </w:rPr>
        <w:t>DOI: https://doi.org/10.1016/j.ijer.2022.102133</w:t>
      </w:r>
    </w:p>
    <w:p w14:paraId="0D9BBA2F" w14:textId="77777777" w:rsidR="00D14504" w:rsidRDefault="00D14504">
      <w:pPr>
        <w:rPr>
          <w:rFonts w:ascii="Arial" w:eastAsia="Times New Roman" w:hAnsi="Arial" w:cs="Arial"/>
          <w:b/>
          <w:bCs/>
          <w:color w:val="000000"/>
          <w:sz w:val="34"/>
          <w:szCs w:val="34"/>
        </w:rPr>
      </w:pPr>
      <w:bookmarkStart w:id="178" w:name="_m41gg7x6rtpl" w:colFirst="0" w:colLast="0"/>
      <w:bookmarkEnd w:id="178"/>
      <w:r>
        <w:rPr>
          <w:rFonts w:ascii="Arial" w:hAnsi="Arial" w:cs="Arial"/>
          <w:bCs/>
          <w:sz w:val="34"/>
          <w:szCs w:val="34"/>
        </w:rPr>
        <w:br w:type="page"/>
      </w:r>
    </w:p>
    <w:p w14:paraId="650C07DC" w14:textId="77777777" w:rsidR="007E77F1" w:rsidRPr="000A2871" w:rsidRDefault="007E77F1" w:rsidP="00D14504">
      <w:pPr>
        <w:pStyle w:val="Heading2"/>
        <w:keepNext w:val="0"/>
        <w:keepLines w:val="0"/>
        <w:spacing w:after="80" w:line="360" w:lineRule="auto"/>
        <w:jc w:val="left"/>
        <w:rPr>
          <w:rFonts w:ascii="Arial" w:hAnsi="Arial" w:cs="Arial"/>
          <w:b w:val="0"/>
          <w:bCs/>
          <w:sz w:val="34"/>
          <w:szCs w:val="34"/>
        </w:rPr>
      </w:pPr>
      <w:bookmarkStart w:id="179" w:name="_Toc242459598"/>
      <w:r w:rsidRPr="000A2871">
        <w:rPr>
          <w:rFonts w:ascii="Arial" w:hAnsi="Arial" w:cs="Arial"/>
          <w:bCs/>
          <w:sz w:val="34"/>
          <w:szCs w:val="34"/>
        </w:rPr>
        <w:lastRenderedPageBreak/>
        <w:t>Article ID crosswalk</w:t>
      </w:r>
      <w:bookmarkEnd w:id="179"/>
    </w:p>
    <w:tbl>
      <w:tblPr>
        <w:tblW w:w="8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70"/>
        <w:gridCol w:w="2310"/>
        <w:gridCol w:w="4815"/>
      </w:tblGrid>
      <w:tr w:rsidR="007E77F1" w:rsidRPr="000A2871" w14:paraId="2CA670D9" w14:textId="77777777" w:rsidTr="00142F4B">
        <w:trPr>
          <w:trHeight w:val="780"/>
        </w:trPr>
        <w:tc>
          <w:tcPr>
            <w:tcW w:w="1770" w:type="dxa"/>
            <w:shd w:val="clear" w:color="auto" w:fill="FFFFFF" w:themeFill="background1"/>
            <w:tcMar>
              <w:top w:w="80" w:type="dxa"/>
              <w:left w:w="80" w:type="dxa"/>
              <w:bottom w:w="80" w:type="dxa"/>
              <w:right w:w="80" w:type="dxa"/>
            </w:tcMar>
          </w:tcPr>
          <w:p w14:paraId="199681C8" w14:textId="77777777" w:rsidR="007E77F1" w:rsidRPr="00D14504" w:rsidRDefault="007E77F1" w:rsidP="000A2871">
            <w:pPr>
              <w:spacing w:line="360" w:lineRule="auto"/>
              <w:rPr>
                <w:rFonts w:ascii="Arial" w:hAnsi="Arial" w:cs="Arial"/>
                <w:b/>
                <w:bCs/>
                <w:sz w:val="20"/>
                <w:szCs w:val="20"/>
              </w:rPr>
            </w:pPr>
            <w:r w:rsidRPr="00D14504">
              <w:rPr>
                <w:rFonts w:ascii="Arial" w:hAnsi="Arial" w:cs="Arial"/>
                <w:b/>
                <w:bCs/>
                <w:sz w:val="20"/>
                <w:szCs w:val="20"/>
              </w:rPr>
              <w:t>Dissertation ID</w:t>
            </w:r>
          </w:p>
        </w:tc>
        <w:tc>
          <w:tcPr>
            <w:tcW w:w="2310" w:type="dxa"/>
            <w:shd w:val="clear" w:color="auto" w:fill="FFFFFF" w:themeFill="background1"/>
            <w:tcMar>
              <w:top w:w="80" w:type="dxa"/>
              <w:left w:w="80" w:type="dxa"/>
              <w:bottom w:w="80" w:type="dxa"/>
              <w:right w:w="80" w:type="dxa"/>
            </w:tcMar>
          </w:tcPr>
          <w:p w14:paraId="3DFD8217" w14:textId="77777777" w:rsidR="007E77F1" w:rsidRPr="00D14504" w:rsidRDefault="007E77F1" w:rsidP="000A2871">
            <w:pPr>
              <w:spacing w:line="360" w:lineRule="auto"/>
              <w:rPr>
                <w:rFonts w:ascii="Arial" w:hAnsi="Arial" w:cs="Arial"/>
                <w:b/>
                <w:bCs/>
                <w:sz w:val="20"/>
                <w:szCs w:val="20"/>
              </w:rPr>
            </w:pPr>
            <w:r w:rsidRPr="00D14504">
              <w:rPr>
                <w:rFonts w:ascii="Arial" w:hAnsi="Arial" w:cs="Arial"/>
                <w:b/>
                <w:bCs/>
                <w:sz w:val="20"/>
                <w:szCs w:val="20"/>
              </w:rPr>
              <w:t>Earlier export ID or identifier</w:t>
            </w:r>
          </w:p>
        </w:tc>
        <w:tc>
          <w:tcPr>
            <w:tcW w:w="4815" w:type="dxa"/>
            <w:shd w:val="clear" w:color="auto" w:fill="FFFFFF" w:themeFill="background1"/>
            <w:tcMar>
              <w:top w:w="80" w:type="dxa"/>
              <w:left w:w="80" w:type="dxa"/>
              <w:bottom w:w="80" w:type="dxa"/>
              <w:right w:w="80" w:type="dxa"/>
            </w:tcMar>
          </w:tcPr>
          <w:p w14:paraId="41747B2E" w14:textId="77777777" w:rsidR="007E77F1" w:rsidRPr="00D14504" w:rsidRDefault="007E77F1" w:rsidP="000A2871">
            <w:pPr>
              <w:spacing w:line="360" w:lineRule="auto"/>
              <w:rPr>
                <w:rFonts w:ascii="Arial" w:hAnsi="Arial" w:cs="Arial"/>
                <w:b/>
                <w:bCs/>
                <w:sz w:val="20"/>
                <w:szCs w:val="20"/>
              </w:rPr>
            </w:pPr>
            <w:r w:rsidRPr="00D14504">
              <w:rPr>
                <w:rFonts w:ascii="Arial" w:hAnsi="Arial" w:cs="Arial"/>
                <w:b/>
                <w:bCs/>
                <w:sz w:val="20"/>
                <w:szCs w:val="20"/>
              </w:rPr>
              <w:t>Interpretation</w:t>
            </w:r>
          </w:p>
        </w:tc>
      </w:tr>
      <w:tr w:rsidR="007E77F1" w:rsidRPr="000A2871" w14:paraId="5E0C7E0C" w14:textId="77777777" w:rsidTr="00142F4B">
        <w:trPr>
          <w:trHeight w:val="780"/>
        </w:trPr>
        <w:tc>
          <w:tcPr>
            <w:tcW w:w="1770" w:type="dxa"/>
            <w:shd w:val="clear" w:color="auto" w:fill="FFFFFF" w:themeFill="background1"/>
            <w:tcMar>
              <w:top w:w="80" w:type="dxa"/>
              <w:left w:w="80" w:type="dxa"/>
              <w:bottom w:w="80" w:type="dxa"/>
              <w:right w:w="80" w:type="dxa"/>
            </w:tcMar>
          </w:tcPr>
          <w:p w14:paraId="08440635" w14:textId="77777777" w:rsidR="007E77F1" w:rsidRPr="00D14504" w:rsidRDefault="007E77F1" w:rsidP="000A2871">
            <w:pPr>
              <w:spacing w:line="360" w:lineRule="auto"/>
              <w:rPr>
                <w:rFonts w:ascii="Arial" w:hAnsi="Arial" w:cs="Arial"/>
                <w:sz w:val="20"/>
                <w:szCs w:val="20"/>
              </w:rPr>
            </w:pPr>
            <w:r w:rsidRPr="00D14504">
              <w:rPr>
                <w:rFonts w:ascii="Arial" w:hAnsi="Arial" w:cs="Arial"/>
                <w:sz w:val="20"/>
                <w:szCs w:val="20"/>
              </w:rPr>
              <w:t>R0132</w:t>
            </w:r>
          </w:p>
        </w:tc>
        <w:tc>
          <w:tcPr>
            <w:tcW w:w="2310" w:type="dxa"/>
            <w:shd w:val="clear" w:color="auto" w:fill="FFFFFF" w:themeFill="background1"/>
            <w:tcMar>
              <w:top w:w="80" w:type="dxa"/>
              <w:left w:w="80" w:type="dxa"/>
              <w:bottom w:w="80" w:type="dxa"/>
              <w:right w:w="80" w:type="dxa"/>
            </w:tcMar>
          </w:tcPr>
          <w:p w14:paraId="34AEDCC5" w14:textId="77777777" w:rsidR="007E77F1" w:rsidRPr="00D14504" w:rsidRDefault="007E77F1" w:rsidP="000A2871">
            <w:pPr>
              <w:spacing w:line="360" w:lineRule="auto"/>
              <w:rPr>
                <w:rFonts w:ascii="Arial" w:hAnsi="Arial" w:cs="Arial"/>
                <w:sz w:val="20"/>
                <w:szCs w:val="20"/>
              </w:rPr>
            </w:pPr>
            <w:r w:rsidRPr="00D14504">
              <w:rPr>
                <w:rFonts w:ascii="Arial" w:hAnsi="Arial" w:cs="Arial"/>
                <w:sz w:val="20"/>
                <w:szCs w:val="20"/>
              </w:rPr>
              <w:t>R0274</w:t>
            </w:r>
          </w:p>
        </w:tc>
        <w:tc>
          <w:tcPr>
            <w:tcW w:w="4815" w:type="dxa"/>
            <w:shd w:val="clear" w:color="auto" w:fill="FFFFFF" w:themeFill="background1"/>
            <w:tcMar>
              <w:top w:w="80" w:type="dxa"/>
              <w:left w:w="80" w:type="dxa"/>
              <w:bottom w:w="80" w:type="dxa"/>
              <w:right w:w="80" w:type="dxa"/>
            </w:tcMar>
          </w:tcPr>
          <w:p w14:paraId="33585047" w14:textId="77777777" w:rsidR="007E77F1" w:rsidRPr="00D14504" w:rsidRDefault="007E77F1" w:rsidP="000A2871">
            <w:pPr>
              <w:spacing w:line="360" w:lineRule="auto"/>
              <w:rPr>
                <w:rFonts w:ascii="Arial" w:hAnsi="Arial" w:cs="Arial"/>
                <w:sz w:val="20"/>
                <w:szCs w:val="20"/>
              </w:rPr>
            </w:pPr>
            <w:r w:rsidRPr="00D14504">
              <w:rPr>
                <w:rFonts w:ascii="Arial" w:hAnsi="Arial" w:cs="Arial"/>
                <w:sz w:val="20"/>
                <w:szCs w:val="20"/>
              </w:rPr>
              <w:t>Tang et al. (2026); the dissertation alias is preserved.</w:t>
            </w:r>
          </w:p>
        </w:tc>
      </w:tr>
      <w:tr w:rsidR="007E77F1" w:rsidRPr="000A2871" w14:paraId="48212134" w14:textId="77777777" w:rsidTr="00142F4B">
        <w:trPr>
          <w:trHeight w:val="780"/>
        </w:trPr>
        <w:tc>
          <w:tcPr>
            <w:tcW w:w="1770" w:type="dxa"/>
            <w:shd w:val="clear" w:color="auto" w:fill="FFFFFF" w:themeFill="background1"/>
            <w:tcMar>
              <w:top w:w="80" w:type="dxa"/>
              <w:left w:w="80" w:type="dxa"/>
              <w:bottom w:w="80" w:type="dxa"/>
              <w:right w:w="80" w:type="dxa"/>
            </w:tcMar>
          </w:tcPr>
          <w:p w14:paraId="204C6C6D" w14:textId="77777777" w:rsidR="007E77F1" w:rsidRPr="00D14504" w:rsidRDefault="007E77F1" w:rsidP="000A2871">
            <w:pPr>
              <w:spacing w:line="360" w:lineRule="auto"/>
              <w:rPr>
                <w:rFonts w:ascii="Arial" w:hAnsi="Arial" w:cs="Arial"/>
                <w:sz w:val="20"/>
                <w:szCs w:val="20"/>
              </w:rPr>
            </w:pPr>
            <w:r w:rsidRPr="00D14504">
              <w:rPr>
                <w:rFonts w:ascii="Arial" w:hAnsi="Arial" w:cs="Arial"/>
                <w:sz w:val="20"/>
                <w:szCs w:val="20"/>
              </w:rPr>
              <w:t>R0096</w:t>
            </w:r>
          </w:p>
        </w:tc>
        <w:tc>
          <w:tcPr>
            <w:tcW w:w="2310" w:type="dxa"/>
            <w:shd w:val="clear" w:color="auto" w:fill="FFFFFF" w:themeFill="background1"/>
            <w:tcMar>
              <w:top w:w="80" w:type="dxa"/>
              <w:left w:w="80" w:type="dxa"/>
              <w:bottom w:w="80" w:type="dxa"/>
              <w:right w:w="80" w:type="dxa"/>
            </w:tcMar>
          </w:tcPr>
          <w:p w14:paraId="2EE851D0" w14:textId="77777777" w:rsidR="007E77F1" w:rsidRPr="00D14504" w:rsidRDefault="007E77F1" w:rsidP="000A2871">
            <w:pPr>
              <w:spacing w:line="360" w:lineRule="auto"/>
              <w:rPr>
                <w:rFonts w:ascii="Arial" w:hAnsi="Arial" w:cs="Arial"/>
                <w:sz w:val="20"/>
                <w:szCs w:val="20"/>
              </w:rPr>
            </w:pPr>
            <w:r w:rsidRPr="00D14504">
              <w:rPr>
                <w:rFonts w:ascii="Arial" w:hAnsi="Arial" w:cs="Arial"/>
                <w:sz w:val="20"/>
                <w:szCs w:val="20"/>
              </w:rPr>
              <w:t>R0238</w:t>
            </w:r>
          </w:p>
        </w:tc>
        <w:tc>
          <w:tcPr>
            <w:tcW w:w="4815" w:type="dxa"/>
            <w:shd w:val="clear" w:color="auto" w:fill="FFFFFF" w:themeFill="background1"/>
            <w:tcMar>
              <w:top w:w="80" w:type="dxa"/>
              <w:left w:w="80" w:type="dxa"/>
              <w:bottom w:w="80" w:type="dxa"/>
              <w:right w:w="80" w:type="dxa"/>
            </w:tcMar>
          </w:tcPr>
          <w:p w14:paraId="21976597" w14:textId="77777777" w:rsidR="007E77F1" w:rsidRPr="00D14504" w:rsidRDefault="007E77F1" w:rsidP="000A2871">
            <w:pPr>
              <w:spacing w:line="360" w:lineRule="auto"/>
              <w:rPr>
                <w:rFonts w:ascii="Arial" w:hAnsi="Arial" w:cs="Arial"/>
                <w:sz w:val="20"/>
                <w:szCs w:val="20"/>
              </w:rPr>
            </w:pPr>
            <w:r w:rsidRPr="00D14504">
              <w:rPr>
                <w:rFonts w:ascii="Arial" w:hAnsi="Arial" w:cs="Arial"/>
                <w:sz w:val="20"/>
                <w:szCs w:val="20"/>
              </w:rPr>
              <w:t>Scott et al. (2020); do not use the same-number master record to identify this paper.</w:t>
            </w:r>
          </w:p>
        </w:tc>
      </w:tr>
      <w:tr w:rsidR="007E77F1" w:rsidRPr="000A2871" w14:paraId="3B47D15C" w14:textId="77777777" w:rsidTr="00142F4B">
        <w:trPr>
          <w:trHeight w:val="480"/>
        </w:trPr>
        <w:tc>
          <w:tcPr>
            <w:tcW w:w="1770" w:type="dxa"/>
            <w:shd w:val="clear" w:color="auto" w:fill="FFFFFF" w:themeFill="background1"/>
            <w:tcMar>
              <w:top w:w="80" w:type="dxa"/>
              <w:left w:w="80" w:type="dxa"/>
              <w:bottom w:w="80" w:type="dxa"/>
              <w:right w:w="80" w:type="dxa"/>
            </w:tcMar>
          </w:tcPr>
          <w:p w14:paraId="3A03AF71" w14:textId="77777777" w:rsidR="007E77F1" w:rsidRPr="00D14504" w:rsidRDefault="007E77F1" w:rsidP="000A2871">
            <w:pPr>
              <w:spacing w:line="360" w:lineRule="auto"/>
              <w:rPr>
                <w:rFonts w:ascii="Arial" w:hAnsi="Arial" w:cs="Arial"/>
                <w:sz w:val="20"/>
                <w:szCs w:val="20"/>
              </w:rPr>
            </w:pPr>
            <w:r w:rsidRPr="00D14504">
              <w:rPr>
                <w:rFonts w:ascii="Arial" w:hAnsi="Arial" w:cs="Arial"/>
                <w:sz w:val="20"/>
                <w:szCs w:val="20"/>
              </w:rPr>
              <w:t>S0001</w:t>
            </w:r>
          </w:p>
        </w:tc>
        <w:tc>
          <w:tcPr>
            <w:tcW w:w="2310" w:type="dxa"/>
            <w:shd w:val="clear" w:color="auto" w:fill="FFFFFF" w:themeFill="background1"/>
            <w:tcMar>
              <w:top w:w="80" w:type="dxa"/>
              <w:left w:w="80" w:type="dxa"/>
              <w:bottom w:w="80" w:type="dxa"/>
              <w:right w:w="80" w:type="dxa"/>
            </w:tcMar>
          </w:tcPr>
          <w:p w14:paraId="3A6E5CF1" w14:textId="77777777" w:rsidR="007E77F1" w:rsidRPr="00D14504" w:rsidRDefault="007E77F1" w:rsidP="000A2871">
            <w:pPr>
              <w:spacing w:line="360" w:lineRule="auto"/>
              <w:rPr>
                <w:rFonts w:ascii="Arial" w:hAnsi="Arial" w:cs="Arial"/>
                <w:sz w:val="20"/>
                <w:szCs w:val="20"/>
              </w:rPr>
            </w:pPr>
            <w:r w:rsidRPr="00D14504">
              <w:rPr>
                <w:rFonts w:ascii="Arial" w:hAnsi="Arial" w:cs="Arial"/>
                <w:sz w:val="20"/>
                <w:szCs w:val="20"/>
              </w:rPr>
              <w:t>PMID 31416148</w:t>
            </w:r>
          </w:p>
        </w:tc>
        <w:tc>
          <w:tcPr>
            <w:tcW w:w="4815" w:type="dxa"/>
            <w:shd w:val="clear" w:color="auto" w:fill="FFFFFF" w:themeFill="background1"/>
            <w:tcMar>
              <w:top w:w="80" w:type="dxa"/>
              <w:left w:w="80" w:type="dxa"/>
              <w:bottom w:w="80" w:type="dxa"/>
              <w:right w:w="80" w:type="dxa"/>
            </w:tcMar>
          </w:tcPr>
          <w:p w14:paraId="36F049B1" w14:textId="77777777" w:rsidR="007E77F1" w:rsidRPr="00D14504" w:rsidRDefault="007E77F1" w:rsidP="000A2871">
            <w:pPr>
              <w:spacing w:line="360" w:lineRule="auto"/>
              <w:rPr>
                <w:rFonts w:ascii="Arial" w:hAnsi="Arial" w:cs="Arial"/>
                <w:sz w:val="20"/>
                <w:szCs w:val="20"/>
              </w:rPr>
            </w:pPr>
            <w:r w:rsidRPr="00D14504">
              <w:rPr>
                <w:rFonts w:ascii="Arial" w:hAnsi="Arial" w:cs="Arial"/>
                <w:sz w:val="20"/>
                <w:szCs w:val="20"/>
              </w:rPr>
              <w:t>New supplementary dissertation ID.</w:t>
            </w:r>
          </w:p>
        </w:tc>
      </w:tr>
      <w:tr w:rsidR="007E77F1" w:rsidRPr="000A2871" w14:paraId="33D9C3AD" w14:textId="77777777" w:rsidTr="00142F4B">
        <w:trPr>
          <w:trHeight w:val="480"/>
        </w:trPr>
        <w:tc>
          <w:tcPr>
            <w:tcW w:w="1770" w:type="dxa"/>
            <w:shd w:val="clear" w:color="auto" w:fill="FFFFFF" w:themeFill="background1"/>
            <w:tcMar>
              <w:top w:w="80" w:type="dxa"/>
              <w:left w:w="80" w:type="dxa"/>
              <w:bottom w:w="80" w:type="dxa"/>
              <w:right w:w="80" w:type="dxa"/>
            </w:tcMar>
          </w:tcPr>
          <w:p w14:paraId="4D3789E4" w14:textId="77777777" w:rsidR="007E77F1" w:rsidRPr="00D14504" w:rsidRDefault="007E77F1" w:rsidP="000A2871">
            <w:pPr>
              <w:spacing w:line="360" w:lineRule="auto"/>
              <w:rPr>
                <w:rFonts w:ascii="Arial" w:hAnsi="Arial" w:cs="Arial"/>
                <w:sz w:val="20"/>
                <w:szCs w:val="20"/>
              </w:rPr>
            </w:pPr>
            <w:r w:rsidRPr="00D14504">
              <w:rPr>
                <w:rFonts w:ascii="Arial" w:hAnsi="Arial" w:cs="Arial"/>
                <w:sz w:val="20"/>
                <w:szCs w:val="20"/>
              </w:rPr>
              <w:t>S0002</w:t>
            </w:r>
          </w:p>
        </w:tc>
        <w:tc>
          <w:tcPr>
            <w:tcW w:w="2310" w:type="dxa"/>
            <w:shd w:val="clear" w:color="auto" w:fill="FFFFFF" w:themeFill="background1"/>
            <w:tcMar>
              <w:top w:w="80" w:type="dxa"/>
              <w:left w:w="80" w:type="dxa"/>
              <w:bottom w:w="80" w:type="dxa"/>
              <w:right w:w="80" w:type="dxa"/>
            </w:tcMar>
          </w:tcPr>
          <w:p w14:paraId="66B1D701" w14:textId="77777777" w:rsidR="007E77F1" w:rsidRPr="00D14504" w:rsidRDefault="007E77F1" w:rsidP="000A2871">
            <w:pPr>
              <w:spacing w:line="360" w:lineRule="auto"/>
              <w:rPr>
                <w:rFonts w:ascii="Arial" w:hAnsi="Arial" w:cs="Arial"/>
                <w:sz w:val="20"/>
                <w:szCs w:val="20"/>
              </w:rPr>
            </w:pPr>
            <w:r w:rsidRPr="00D14504">
              <w:rPr>
                <w:rFonts w:ascii="Arial" w:hAnsi="Arial" w:cs="Arial"/>
                <w:sz w:val="20"/>
                <w:szCs w:val="20"/>
              </w:rPr>
              <w:t>PMID 34068242</w:t>
            </w:r>
          </w:p>
        </w:tc>
        <w:tc>
          <w:tcPr>
            <w:tcW w:w="4815" w:type="dxa"/>
            <w:shd w:val="clear" w:color="auto" w:fill="FFFFFF" w:themeFill="background1"/>
            <w:tcMar>
              <w:top w:w="80" w:type="dxa"/>
              <w:left w:w="80" w:type="dxa"/>
              <w:bottom w:w="80" w:type="dxa"/>
              <w:right w:w="80" w:type="dxa"/>
            </w:tcMar>
          </w:tcPr>
          <w:p w14:paraId="4F921FC6" w14:textId="77777777" w:rsidR="007E77F1" w:rsidRPr="00D14504" w:rsidRDefault="007E77F1" w:rsidP="000A2871">
            <w:pPr>
              <w:spacing w:line="360" w:lineRule="auto"/>
              <w:rPr>
                <w:rFonts w:ascii="Arial" w:hAnsi="Arial" w:cs="Arial"/>
                <w:sz w:val="20"/>
                <w:szCs w:val="20"/>
              </w:rPr>
            </w:pPr>
            <w:r w:rsidRPr="00D14504">
              <w:rPr>
                <w:rFonts w:ascii="Arial" w:hAnsi="Arial" w:cs="Arial"/>
                <w:sz w:val="20"/>
                <w:szCs w:val="20"/>
              </w:rPr>
              <w:t>New supplementary dissertation ID.</w:t>
            </w:r>
          </w:p>
        </w:tc>
      </w:tr>
      <w:tr w:rsidR="007E77F1" w:rsidRPr="000A2871" w14:paraId="454F4570" w14:textId="77777777" w:rsidTr="00142F4B">
        <w:trPr>
          <w:trHeight w:val="480"/>
        </w:trPr>
        <w:tc>
          <w:tcPr>
            <w:tcW w:w="1770" w:type="dxa"/>
            <w:shd w:val="clear" w:color="auto" w:fill="FFFFFF" w:themeFill="background1"/>
            <w:tcMar>
              <w:top w:w="80" w:type="dxa"/>
              <w:left w:w="80" w:type="dxa"/>
              <w:bottom w:w="80" w:type="dxa"/>
              <w:right w:w="80" w:type="dxa"/>
            </w:tcMar>
          </w:tcPr>
          <w:p w14:paraId="44348808" w14:textId="77777777" w:rsidR="007E77F1" w:rsidRPr="00D14504" w:rsidRDefault="007E77F1" w:rsidP="000A2871">
            <w:pPr>
              <w:spacing w:line="360" w:lineRule="auto"/>
              <w:rPr>
                <w:rFonts w:ascii="Arial" w:hAnsi="Arial" w:cs="Arial"/>
                <w:sz w:val="20"/>
                <w:szCs w:val="20"/>
              </w:rPr>
            </w:pPr>
            <w:r w:rsidRPr="00D14504">
              <w:rPr>
                <w:rFonts w:ascii="Arial" w:hAnsi="Arial" w:cs="Arial"/>
                <w:sz w:val="20"/>
                <w:szCs w:val="20"/>
              </w:rPr>
              <w:t>S0003</w:t>
            </w:r>
          </w:p>
        </w:tc>
        <w:tc>
          <w:tcPr>
            <w:tcW w:w="2310" w:type="dxa"/>
            <w:shd w:val="clear" w:color="auto" w:fill="FFFFFF" w:themeFill="background1"/>
            <w:tcMar>
              <w:top w:w="80" w:type="dxa"/>
              <w:left w:w="80" w:type="dxa"/>
              <w:bottom w:w="80" w:type="dxa"/>
              <w:right w:w="80" w:type="dxa"/>
            </w:tcMar>
          </w:tcPr>
          <w:p w14:paraId="2E537FFC" w14:textId="77777777" w:rsidR="007E77F1" w:rsidRPr="00D14504" w:rsidRDefault="007E77F1" w:rsidP="000A2871">
            <w:pPr>
              <w:spacing w:line="360" w:lineRule="auto"/>
              <w:rPr>
                <w:rFonts w:ascii="Arial" w:hAnsi="Arial" w:cs="Arial"/>
                <w:sz w:val="20"/>
                <w:szCs w:val="20"/>
              </w:rPr>
            </w:pPr>
            <w:r w:rsidRPr="00D14504">
              <w:rPr>
                <w:rFonts w:ascii="Arial" w:hAnsi="Arial" w:cs="Arial"/>
                <w:sz w:val="20"/>
                <w:szCs w:val="20"/>
              </w:rPr>
              <w:t>PMID 41132563</w:t>
            </w:r>
          </w:p>
        </w:tc>
        <w:tc>
          <w:tcPr>
            <w:tcW w:w="4815" w:type="dxa"/>
            <w:shd w:val="clear" w:color="auto" w:fill="FFFFFF" w:themeFill="background1"/>
            <w:tcMar>
              <w:top w:w="80" w:type="dxa"/>
              <w:left w:w="80" w:type="dxa"/>
              <w:bottom w:w="80" w:type="dxa"/>
              <w:right w:w="80" w:type="dxa"/>
            </w:tcMar>
          </w:tcPr>
          <w:p w14:paraId="5461C1A9" w14:textId="77777777" w:rsidR="007E77F1" w:rsidRPr="00D14504" w:rsidRDefault="007E77F1" w:rsidP="000A2871">
            <w:pPr>
              <w:spacing w:line="360" w:lineRule="auto"/>
              <w:rPr>
                <w:rFonts w:ascii="Arial" w:hAnsi="Arial" w:cs="Arial"/>
                <w:sz w:val="20"/>
                <w:szCs w:val="20"/>
              </w:rPr>
            </w:pPr>
            <w:r w:rsidRPr="00D14504">
              <w:rPr>
                <w:rFonts w:ascii="Arial" w:hAnsi="Arial" w:cs="Arial"/>
                <w:sz w:val="20"/>
                <w:szCs w:val="20"/>
              </w:rPr>
              <w:t>New supplementary dissertation ID.</w:t>
            </w:r>
          </w:p>
        </w:tc>
      </w:tr>
    </w:tbl>
    <w:p w14:paraId="0D27B9C0"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480DA8FB" w14:textId="77777777" w:rsidR="007E77F1" w:rsidRPr="000A2871" w:rsidRDefault="007E77F1" w:rsidP="000A2871">
      <w:pPr>
        <w:spacing w:after="120" w:line="360" w:lineRule="auto"/>
        <w:rPr>
          <w:rFonts w:ascii="Arial" w:hAnsi="Arial" w:cs="Arial"/>
        </w:rPr>
      </w:pPr>
      <w:r w:rsidRPr="000A2871">
        <w:rPr>
          <w:rFonts w:ascii="Arial" w:hAnsi="Arial" w:cs="Arial"/>
        </w:rPr>
        <w:t>Other R-series IDs are retained as supplied for this dissertation. Titles and DOIs, rather than an ID alone, establish article identity.</w:t>
      </w:r>
    </w:p>
    <w:p w14:paraId="4F802738" w14:textId="77777777" w:rsidR="00D14504" w:rsidRDefault="00D14504">
      <w:pPr>
        <w:rPr>
          <w:rFonts w:ascii="Arial" w:eastAsia="Times New Roman" w:hAnsi="Arial" w:cs="Arial"/>
          <w:b/>
          <w:bCs/>
          <w:color w:val="000000"/>
          <w:sz w:val="46"/>
          <w:szCs w:val="46"/>
        </w:rPr>
      </w:pPr>
      <w:bookmarkStart w:id="180" w:name="_pdttx58wqfdq" w:colFirst="0" w:colLast="0"/>
      <w:bookmarkEnd w:id="180"/>
      <w:r>
        <w:rPr>
          <w:rFonts w:ascii="Arial" w:hAnsi="Arial" w:cs="Arial"/>
          <w:bCs/>
          <w:sz w:val="46"/>
          <w:szCs w:val="46"/>
        </w:rPr>
        <w:br w:type="page"/>
      </w:r>
    </w:p>
    <w:p w14:paraId="4F1881CB" w14:textId="22CCCEBD" w:rsidR="007E77F1" w:rsidRPr="000A2871" w:rsidRDefault="007E77F1" w:rsidP="3F241D0B">
      <w:pPr>
        <w:pStyle w:val="Heading1"/>
        <w:keepNext w:val="0"/>
        <w:keepLines w:val="0"/>
        <w:spacing w:before="480" w:line="360" w:lineRule="auto"/>
        <w:jc w:val="left"/>
        <w:rPr>
          <w:rFonts w:ascii="Arial" w:hAnsi="Arial" w:cs="Arial"/>
          <w:b w:val="0"/>
          <w:bCs/>
          <w:sz w:val="46"/>
          <w:szCs w:val="46"/>
        </w:rPr>
      </w:pPr>
      <w:bookmarkStart w:id="181" w:name="_Toc242459599"/>
      <w:r w:rsidRPr="000A2871">
        <w:rPr>
          <w:rFonts w:ascii="Arial" w:hAnsi="Arial" w:cs="Arial"/>
          <w:bCs/>
          <w:sz w:val="46"/>
          <w:szCs w:val="46"/>
        </w:rPr>
        <w:lastRenderedPageBreak/>
        <w:t>Appendix C</w:t>
      </w:r>
      <w:r w:rsidR="00E02AEB">
        <w:rPr>
          <w:rFonts w:ascii="Arial" w:hAnsi="Arial" w:cs="Arial"/>
          <w:bCs/>
          <w:sz w:val="46"/>
          <w:szCs w:val="46"/>
        </w:rPr>
        <w:t>:</w:t>
      </w:r>
      <w:r w:rsidRPr="000A2871">
        <w:rPr>
          <w:rFonts w:ascii="Arial" w:hAnsi="Arial" w:cs="Arial"/>
          <w:bCs/>
          <w:sz w:val="46"/>
          <w:szCs w:val="46"/>
        </w:rPr>
        <w:t xml:space="preserve"> Thematic synthesis trail</w:t>
      </w:r>
      <w:bookmarkEnd w:id="181"/>
    </w:p>
    <w:p w14:paraId="7A383610" w14:textId="77777777" w:rsidR="007E77F1" w:rsidRPr="000A2871" w:rsidRDefault="007E77F1" w:rsidP="000A2871">
      <w:pPr>
        <w:spacing w:after="120" w:line="360" w:lineRule="auto"/>
        <w:rPr>
          <w:rFonts w:ascii="Arial" w:hAnsi="Arial" w:cs="Arial"/>
        </w:rPr>
      </w:pPr>
      <w:r w:rsidRPr="000A2871">
        <w:rPr>
          <w:rFonts w:ascii="Arial" w:hAnsi="Arial" w:cs="Arial"/>
        </w:rPr>
        <w:t>The examples below explain thematic synthesis: relevant published material is given a short code, compared with related material, grouped into descriptive patterns and interpreted in relation to the review question. These are source paraphrases, not verbatim participant quotations. They document the present evidence-linked synthesis and do not claim access to complete original transcripts (Maguire and Delahunt, 2017; Braun and Clarke, 2021).</w:t>
      </w:r>
    </w:p>
    <w:p w14:paraId="597F048A" w14:textId="77777777" w:rsidR="007E77F1" w:rsidRPr="000A2871" w:rsidRDefault="007E77F1" w:rsidP="000A2871">
      <w:pPr>
        <w:pStyle w:val="Heading3"/>
        <w:keepNext w:val="0"/>
        <w:keepLines w:val="0"/>
        <w:spacing w:before="280" w:line="360" w:lineRule="auto"/>
        <w:rPr>
          <w:rFonts w:ascii="Arial" w:hAnsi="Arial" w:cs="Arial"/>
          <w:b/>
          <w:bCs/>
          <w:sz w:val="26"/>
          <w:szCs w:val="26"/>
        </w:rPr>
      </w:pPr>
      <w:bookmarkStart w:id="182" w:name="_52b0glxh08d" w:colFirst="0" w:colLast="0"/>
      <w:bookmarkStart w:id="183" w:name="_Toc242459600"/>
      <w:bookmarkEnd w:id="182"/>
      <w:r w:rsidRPr="000A2871">
        <w:rPr>
          <w:rFonts w:ascii="Arial" w:hAnsi="Arial" w:cs="Arial"/>
          <w:b/>
          <w:bCs/>
          <w:sz w:val="26"/>
          <w:szCs w:val="26"/>
        </w:rPr>
        <w:t>C1 R0046</w:t>
      </w:r>
      <w:bookmarkEnd w:id="183"/>
    </w:p>
    <w:p w14:paraId="78DDFE5E"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Source paraphrase: </w:t>
      </w:r>
      <w:r w:rsidRPr="000A2871">
        <w:rPr>
          <w:rFonts w:ascii="Arial" w:hAnsi="Arial" w:cs="Arial"/>
        </w:rPr>
        <w:t>Concern about weight changes alongside adult circumstances; concern alone does not distinguish trajectories.</w:t>
      </w:r>
    </w:p>
    <w:p w14:paraId="77744CFD" w14:textId="77777777" w:rsidR="007E77F1" w:rsidRPr="000A2871" w:rsidRDefault="007E77F1" w:rsidP="000A2871">
      <w:pPr>
        <w:spacing w:after="120" w:line="360" w:lineRule="auto"/>
        <w:rPr>
          <w:rFonts w:ascii="Arial" w:hAnsi="Arial" w:cs="Arial"/>
        </w:rPr>
      </w:pPr>
      <w:r w:rsidRPr="000A2871">
        <w:rPr>
          <w:rFonts w:ascii="Arial" w:eastAsia="Arial Unicode MS" w:hAnsi="Arial" w:cs="Arial"/>
          <w:b/>
          <w:bCs/>
        </w:rPr>
        <w:t xml:space="preserve">Code → descriptive pattern → analytical theme: </w:t>
      </w:r>
      <w:r w:rsidRPr="000A2871">
        <w:rPr>
          <w:rFonts w:ascii="Arial" w:eastAsia="Arial Unicode MS" w:hAnsi="Arial" w:cs="Arial"/>
        </w:rPr>
        <w:t>Shifting priorities → Readiness within transitions → T1.</w:t>
      </w:r>
    </w:p>
    <w:p w14:paraId="43BA7507" w14:textId="77777777" w:rsidR="007E77F1" w:rsidRPr="000A2871" w:rsidRDefault="007E77F1" w:rsidP="000A2871">
      <w:pPr>
        <w:spacing w:after="120" w:line="360" w:lineRule="auto"/>
        <w:rPr>
          <w:rFonts w:ascii="Arial" w:hAnsi="Arial" w:cs="Arial"/>
        </w:rPr>
      </w:pPr>
      <w:r w:rsidRPr="000A2871">
        <w:rPr>
          <w:rFonts w:ascii="Arial" w:hAnsi="Arial" w:cs="Arial"/>
        </w:rPr>
        <w:t>Locator: Results: concern and weight-management trajectories.</w:t>
      </w:r>
    </w:p>
    <w:p w14:paraId="632875C4" w14:textId="77777777" w:rsidR="007E77F1" w:rsidRPr="000A2871" w:rsidRDefault="007E77F1" w:rsidP="000A2871">
      <w:pPr>
        <w:pStyle w:val="Heading3"/>
        <w:keepNext w:val="0"/>
        <w:keepLines w:val="0"/>
        <w:spacing w:before="280" w:line="360" w:lineRule="auto"/>
        <w:rPr>
          <w:rFonts w:ascii="Arial" w:hAnsi="Arial" w:cs="Arial"/>
          <w:b/>
          <w:bCs/>
          <w:sz w:val="26"/>
          <w:szCs w:val="26"/>
        </w:rPr>
      </w:pPr>
      <w:bookmarkStart w:id="184" w:name="_1ocd1pzayrlf" w:colFirst="0" w:colLast="0"/>
      <w:bookmarkStart w:id="185" w:name="_Toc242459601"/>
      <w:bookmarkEnd w:id="184"/>
      <w:r w:rsidRPr="000A2871">
        <w:rPr>
          <w:rFonts w:ascii="Arial" w:hAnsi="Arial" w:cs="Arial"/>
          <w:b/>
          <w:bCs/>
          <w:sz w:val="26"/>
          <w:szCs w:val="26"/>
        </w:rPr>
        <w:t>C2 R0024</w:t>
      </w:r>
      <w:bookmarkEnd w:id="185"/>
    </w:p>
    <w:p w14:paraId="223AD372"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Source paraphrase: </w:t>
      </w:r>
      <w:r w:rsidRPr="000A2871">
        <w:rPr>
          <w:rFonts w:ascii="Arial" w:hAnsi="Arial" w:cs="Arial"/>
        </w:rPr>
        <w:t>Advice can be difficult to apply when it does not fit resources and routines.</w:t>
      </w:r>
    </w:p>
    <w:p w14:paraId="45CE7DD4" w14:textId="77777777" w:rsidR="007E77F1" w:rsidRPr="000A2871" w:rsidRDefault="007E77F1" w:rsidP="000A2871">
      <w:pPr>
        <w:spacing w:after="120" w:line="360" w:lineRule="auto"/>
        <w:rPr>
          <w:rFonts w:ascii="Arial" w:hAnsi="Arial" w:cs="Arial"/>
        </w:rPr>
      </w:pPr>
      <w:r w:rsidRPr="000A2871">
        <w:rPr>
          <w:rFonts w:ascii="Arial" w:eastAsia="Arial Unicode MS" w:hAnsi="Arial" w:cs="Arial"/>
          <w:b/>
          <w:bCs/>
        </w:rPr>
        <w:t xml:space="preserve">Code → descriptive pattern → analytical theme: </w:t>
      </w:r>
      <w:r w:rsidRPr="000A2871">
        <w:rPr>
          <w:rFonts w:ascii="Arial" w:eastAsia="Arial Unicode MS" w:hAnsi="Arial" w:cs="Arial"/>
        </w:rPr>
        <w:t>Advice lacks a practical route → Feasibility of recommendations → T2 / T5.</w:t>
      </w:r>
    </w:p>
    <w:p w14:paraId="1DBDF773" w14:textId="77777777" w:rsidR="007E77F1" w:rsidRPr="000A2871" w:rsidRDefault="007E77F1" w:rsidP="000A2871">
      <w:pPr>
        <w:spacing w:after="120" w:line="360" w:lineRule="auto"/>
        <w:rPr>
          <w:rFonts w:ascii="Arial" w:hAnsi="Arial" w:cs="Arial"/>
        </w:rPr>
      </w:pPr>
      <w:r w:rsidRPr="000A2871">
        <w:rPr>
          <w:rFonts w:ascii="Arial" w:hAnsi="Arial" w:cs="Arial"/>
        </w:rPr>
        <w:t>Locator: Results: barriers and improving message usability.</w:t>
      </w:r>
    </w:p>
    <w:p w14:paraId="1BCAAA8E" w14:textId="77777777" w:rsidR="007E77F1" w:rsidRPr="000A2871" w:rsidRDefault="007E77F1" w:rsidP="000A2871">
      <w:pPr>
        <w:pStyle w:val="Heading3"/>
        <w:keepNext w:val="0"/>
        <w:keepLines w:val="0"/>
        <w:spacing w:before="280" w:line="360" w:lineRule="auto"/>
        <w:rPr>
          <w:rFonts w:ascii="Arial" w:hAnsi="Arial" w:cs="Arial"/>
          <w:b/>
          <w:bCs/>
          <w:sz w:val="26"/>
          <w:szCs w:val="26"/>
        </w:rPr>
      </w:pPr>
      <w:bookmarkStart w:id="186" w:name="_pb7mq16l0z3k" w:colFirst="0" w:colLast="0"/>
      <w:bookmarkStart w:id="187" w:name="_Toc242459602"/>
      <w:bookmarkEnd w:id="186"/>
      <w:r w:rsidRPr="000A2871">
        <w:rPr>
          <w:rFonts w:ascii="Arial" w:hAnsi="Arial" w:cs="Arial"/>
          <w:b/>
          <w:bCs/>
          <w:sz w:val="26"/>
          <w:szCs w:val="26"/>
        </w:rPr>
        <w:t>C3 R0096</w:t>
      </w:r>
      <w:bookmarkEnd w:id="187"/>
    </w:p>
    <w:p w14:paraId="48FDD0C5"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Source paraphrase: </w:t>
      </w:r>
      <w:r w:rsidRPr="000A2871">
        <w:rPr>
          <w:rFonts w:ascii="Arial" w:hAnsi="Arial" w:cs="Arial"/>
        </w:rPr>
        <w:t>Food decisions form part of the sequence and social organisation of drinking occasions.</w:t>
      </w:r>
    </w:p>
    <w:p w14:paraId="4C3EDE79" w14:textId="77777777" w:rsidR="007E77F1" w:rsidRPr="000A2871" w:rsidRDefault="007E77F1" w:rsidP="000A2871">
      <w:pPr>
        <w:spacing w:after="120" w:line="360" w:lineRule="auto"/>
        <w:rPr>
          <w:rFonts w:ascii="Arial" w:hAnsi="Arial" w:cs="Arial"/>
        </w:rPr>
      </w:pPr>
      <w:r w:rsidRPr="000A2871">
        <w:rPr>
          <w:rFonts w:ascii="Arial" w:eastAsia="Arial Unicode MS" w:hAnsi="Arial" w:cs="Arial"/>
          <w:b/>
          <w:bCs/>
        </w:rPr>
        <w:t xml:space="preserve">Code → descriptive pattern → analytical theme: </w:t>
      </w:r>
      <w:r w:rsidRPr="000A2871">
        <w:rPr>
          <w:rFonts w:ascii="Arial" w:eastAsia="Arial Unicode MS" w:hAnsi="Arial" w:cs="Arial"/>
        </w:rPr>
        <w:t>Eating linked to social drinking → Connected everyday practices → T2 / T3.</w:t>
      </w:r>
    </w:p>
    <w:p w14:paraId="22E997AF" w14:textId="77777777" w:rsidR="007E77F1" w:rsidRPr="000A2871" w:rsidRDefault="007E77F1" w:rsidP="000A2871">
      <w:pPr>
        <w:spacing w:after="120" w:line="360" w:lineRule="auto"/>
        <w:rPr>
          <w:rFonts w:ascii="Arial" w:hAnsi="Arial" w:cs="Arial"/>
        </w:rPr>
      </w:pPr>
      <w:r w:rsidRPr="000A2871">
        <w:rPr>
          <w:rFonts w:ascii="Arial" w:hAnsi="Arial" w:cs="Arial"/>
        </w:rPr>
        <w:t>Locator: Results: eating before, during and after alcohol use.</w:t>
      </w:r>
    </w:p>
    <w:p w14:paraId="766CD23D" w14:textId="77777777" w:rsidR="007E77F1" w:rsidRPr="000A2871" w:rsidRDefault="007E77F1" w:rsidP="000A2871">
      <w:pPr>
        <w:pStyle w:val="Heading3"/>
        <w:keepNext w:val="0"/>
        <w:keepLines w:val="0"/>
        <w:spacing w:before="280" w:line="360" w:lineRule="auto"/>
        <w:rPr>
          <w:rFonts w:ascii="Arial" w:hAnsi="Arial" w:cs="Arial"/>
          <w:b/>
          <w:bCs/>
          <w:sz w:val="26"/>
          <w:szCs w:val="26"/>
        </w:rPr>
      </w:pPr>
      <w:bookmarkStart w:id="188" w:name="_lzxx3kt7poiz" w:colFirst="0" w:colLast="0"/>
      <w:bookmarkStart w:id="189" w:name="_Toc242459603"/>
      <w:bookmarkEnd w:id="188"/>
      <w:r w:rsidRPr="000A2871">
        <w:rPr>
          <w:rFonts w:ascii="Arial" w:hAnsi="Arial" w:cs="Arial"/>
          <w:b/>
          <w:bCs/>
          <w:sz w:val="26"/>
          <w:szCs w:val="26"/>
        </w:rPr>
        <w:t>C4 R0132</w:t>
      </w:r>
      <w:bookmarkEnd w:id="189"/>
    </w:p>
    <w:p w14:paraId="47CA5ACE"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Source paraphrase: </w:t>
      </w:r>
      <w:r w:rsidRPr="000A2871">
        <w:rPr>
          <w:rFonts w:ascii="Arial" w:hAnsi="Arial" w:cs="Arial"/>
        </w:rPr>
        <w:t>Food content can supply ideas while creating conflicting messages and appearance pressure.</w:t>
      </w:r>
    </w:p>
    <w:p w14:paraId="390A795D" w14:textId="77777777" w:rsidR="007E77F1" w:rsidRPr="000A2871" w:rsidRDefault="007E77F1" w:rsidP="000A2871">
      <w:pPr>
        <w:spacing w:after="120" w:line="360" w:lineRule="auto"/>
        <w:rPr>
          <w:rFonts w:ascii="Arial" w:hAnsi="Arial" w:cs="Arial"/>
        </w:rPr>
      </w:pPr>
      <w:r w:rsidRPr="000A2871">
        <w:rPr>
          <w:rFonts w:ascii="Arial" w:eastAsia="Arial Unicode MS" w:hAnsi="Arial" w:cs="Arial"/>
          <w:b/>
          <w:bCs/>
        </w:rPr>
        <w:lastRenderedPageBreak/>
        <w:t xml:space="preserve">Code → descriptive pattern → analytical theme: </w:t>
      </w:r>
      <w:r w:rsidRPr="000A2871">
        <w:rPr>
          <w:rFonts w:ascii="Arial" w:eastAsia="Arial Unicode MS" w:hAnsi="Arial" w:cs="Arial"/>
        </w:rPr>
        <w:t>Useful ideas; uncertain credibility → Mixed consequences of digital exposure → T3 / T4 / T5.</w:t>
      </w:r>
    </w:p>
    <w:p w14:paraId="61DEA72B" w14:textId="77777777" w:rsidR="007E77F1" w:rsidRPr="000A2871" w:rsidRDefault="007E77F1" w:rsidP="000A2871">
      <w:pPr>
        <w:spacing w:after="120" w:line="360" w:lineRule="auto"/>
        <w:rPr>
          <w:rFonts w:ascii="Arial" w:hAnsi="Arial" w:cs="Arial"/>
        </w:rPr>
      </w:pPr>
      <w:r w:rsidRPr="000A2871">
        <w:rPr>
          <w:rFonts w:ascii="Arial" w:hAnsi="Arial" w:cs="Arial"/>
        </w:rPr>
        <w:t>Locator: Results themes on information, impact and preferences.</w:t>
      </w:r>
    </w:p>
    <w:p w14:paraId="35C01A47" w14:textId="77777777" w:rsidR="007E77F1" w:rsidRPr="000A2871" w:rsidRDefault="007E77F1" w:rsidP="000A2871">
      <w:pPr>
        <w:pStyle w:val="Heading3"/>
        <w:keepNext w:val="0"/>
        <w:keepLines w:val="0"/>
        <w:spacing w:before="280" w:line="360" w:lineRule="auto"/>
        <w:rPr>
          <w:rFonts w:ascii="Arial" w:hAnsi="Arial" w:cs="Arial"/>
          <w:b/>
          <w:bCs/>
          <w:sz w:val="26"/>
          <w:szCs w:val="26"/>
        </w:rPr>
      </w:pPr>
      <w:bookmarkStart w:id="190" w:name="_2rafgreuxplc" w:colFirst="0" w:colLast="0"/>
      <w:bookmarkStart w:id="191" w:name="_Toc242459604"/>
      <w:bookmarkEnd w:id="190"/>
      <w:r w:rsidRPr="000A2871">
        <w:rPr>
          <w:rFonts w:ascii="Arial" w:hAnsi="Arial" w:cs="Arial"/>
          <w:b/>
          <w:bCs/>
          <w:sz w:val="26"/>
          <w:szCs w:val="26"/>
        </w:rPr>
        <w:t>C5 R0058</w:t>
      </w:r>
      <w:bookmarkEnd w:id="191"/>
    </w:p>
    <w:p w14:paraId="25BCE0B9"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Source paraphrase: </w:t>
      </w:r>
      <w:r w:rsidRPr="000A2871">
        <w:rPr>
          <w:rFonts w:ascii="Arial" w:hAnsi="Arial" w:cs="Arial"/>
        </w:rPr>
        <w:t>Calorie information is experienced through comparison and anxiety in this volunteer group.</w:t>
      </w:r>
    </w:p>
    <w:p w14:paraId="5A05E542" w14:textId="77777777" w:rsidR="007E77F1" w:rsidRPr="000A2871" w:rsidRDefault="007E77F1" w:rsidP="000A2871">
      <w:pPr>
        <w:spacing w:after="120" w:line="360" w:lineRule="auto"/>
        <w:rPr>
          <w:rFonts w:ascii="Arial" w:hAnsi="Arial" w:cs="Arial"/>
        </w:rPr>
      </w:pPr>
      <w:r w:rsidRPr="000A2871">
        <w:rPr>
          <w:rFonts w:ascii="Arial" w:eastAsia="Arial Unicode MS" w:hAnsi="Arial" w:cs="Arial"/>
          <w:b/>
          <w:bCs/>
        </w:rPr>
        <w:t xml:space="preserve">Code → descriptive pattern → analytical theme: </w:t>
      </w:r>
      <w:r w:rsidRPr="000A2871">
        <w:rPr>
          <w:rFonts w:ascii="Arial" w:eastAsia="Arial Unicode MS" w:hAnsi="Arial" w:cs="Arial"/>
        </w:rPr>
        <w:t>Numbers acquire emotional meaning → Emotional consequences of policy → T4.</w:t>
      </w:r>
    </w:p>
    <w:p w14:paraId="2F38FCD4" w14:textId="77777777" w:rsidR="007E77F1" w:rsidRPr="000A2871" w:rsidRDefault="007E77F1" w:rsidP="000A2871">
      <w:pPr>
        <w:spacing w:after="120" w:line="360" w:lineRule="auto"/>
        <w:rPr>
          <w:rFonts w:ascii="Arial" w:hAnsi="Arial" w:cs="Arial"/>
        </w:rPr>
      </w:pPr>
      <w:r w:rsidRPr="000A2871">
        <w:rPr>
          <w:rFonts w:ascii="Arial" w:hAnsi="Arial" w:cs="Arial"/>
        </w:rPr>
        <w:t>Locator: Results: unhealthy food relationships and thin ideals.</w:t>
      </w:r>
    </w:p>
    <w:p w14:paraId="3848216A" w14:textId="77777777" w:rsidR="007E77F1" w:rsidRPr="000A2871" w:rsidRDefault="007E77F1" w:rsidP="000A2871">
      <w:pPr>
        <w:pStyle w:val="Heading3"/>
        <w:keepNext w:val="0"/>
        <w:keepLines w:val="0"/>
        <w:spacing w:before="280" w:line="360" w:lineRule="auto"/>
        <w:rPr>
          <w:rFonts w:ascii="Arial" w:hAnsi="Arial" w:cs="Arial"/>
          <w:b/>
          <w:bCs/>
          <w:sz w:val="26"/>
          <w:szCs w:val="26"/>
        </w:rPr>
      </w:pPr>
      <w:bookmarkStart w:id="192" w:name="_5rcsv4d8mpym" w:colFirst="0" w:colLast="0"/>
      <w:bookmarkStart w:id="193" w:name="_Toc242459605"/>
      <w:bookmarkEnd w:id="192"/>
      <w:r w:rsidRPr="000A2871">
        <w:rPr>
          <w:rFonts w:ascii="Arial" w:hAnsi="Arial" w:cs="Arial"/>
          <w:b/>
          <w:bCs/>
          <w:sz w:val="26"/>
          <w:szCs w:val="26"/>
        </w:rPr>
        <w:t>C6 R0040</w:t>
      </w:r>
      <w:bookmarkEnd w:id="193"/>
    </w:p>
    <w:p w14:paraId="4236B587"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Source paraphrase: </w:t>
      </w:r>
      <w:r w:rsidRPr="000A2871">
        <w:rPr>
          <w:rFonts w:ascii="Arial" w:hAnsi="Arial" w:cs="Arial"/>
        </w:rPr>
        <w:t>P11 prioritises relief from psychological distress; P9 wants side effects addressed in reviews.</w:t>
      </w:r>
    </w:p>
    <w:p w14:paraId="47DEC399" w14:textId="77777777" w:rsidR="007E77F1" w:rsidRPr="000A2871" w:rsidRDefault="007E77F1" w:rsidP="000A2871">
      <w:pPr>
        <w:spacing w:after="120" w:line="360" w:lineRule="auto"/>
        <w:rPr>
          <w:rFonts w:ascii="Arial" w:hAnsi="Arial" w:cs="Arial"/>
        </w:rPr>
      </w:pPr>
      <w:r w:rsidRPr="000A2871">
        <w:rPr>
          <w:rFonts w:ascii="Arial" w:eastAsia="Arial Unicode MS" w:hAnsi="Arial" w:cs="Arial"/>
          <w:b/>
          <w:bCs/>
        </w:rPr>
        <w:t xml:space="preserve">Code → descriptive pattern → analytical theme: </w:t>
      </w:r>
      <w:r w:rsidRPr="000A2871">
        <w:rPr>
          <w:rFonts w:ascii="Arial" w:eastAsia="Arial Unicode MS" w:hAnsi="Arial" w:cs="Arial"/>
        </w:rPr>
        <w:t>Competing health needs; integrated support → Fit with treatment priorities → T1 / T5.</w:t>
      </w:r>
    </w:p>
    <w:p w14:paraId="4802B054" w14:textId="77777777" w:rsidR="007E77F1" w:rsidRPr="000A2871" w:rsidRDefault="007E77F1" w:rsidP="000A2871">
      <w:pPr>
        <w:spacing w:after="120" w:line="360" w:lineRule="auto"/>
        <w:rPr>
          <w:rFonts w:ascii="Arial" w:hAnsi="Arial" w:cs="Arial"/>
        </w:rPr>
      </w:pPr>
      <w:r w:rsidRPr="000A2871">
        <w:rPr>
          <w:rFonts w:ascii="Arial" w:hAnsi="Arial" w:cs="Arial"/>
        </w:rPr>
        <w:t>Locator: Results: P11 and P9 quotations.</w:t>
      </w:r>
    </w:p>
    <w:p w14:paraId="2A336800" w14:textId="77777777" w:rsidR="007E77F1" w:rsidRPr="000A2871" w:rsidRDefault="007E77F1" w:rsidP="000A2871">
      <w:pPr>
        <w:pStyle w:val="Heading3"/>
        <w:keepNext w:val="0"/>
        <w:keepLines w:val="0"/>
        <w:spacing w:before="280" w:line="360" w:lineRule="auto"/>
        <w:rPr>
          <w:rFonts w:ascii="Arial" w:hAnsi="Arial" w:cs="Arial"/>
          <w:b/>
          <w:bCs/>
          <w:sz w:val="26"/>
          <w:szCs w:val="26"/>
        </w:rPr>
      </w:pPr>
      <w:bookmarkStart w:id="194" w:name="_e1gzy7pnja98" w:colFirst="0" w:colLast="0"/>
      <w:bookmarkStart w:id="195" w:name="_Toc242459606"/>
      <w:bookmarkEnd w:id="194"/>
      <w:r w:rsidRPr="000A2871">
        <w:rPr>
          <w:rFonts w:ascii="Arial" w:hAnsi="Arial" w:cs="Arial"/>
          <w:b/>
          <w:bCs/>
          <w:sz w:val="26"/>
          <w:szCs w:val="26"/>
        </w:rPr>
        <w:t>C7 R0097</w:t>
      </w:r>
      <w:bookmarkEnd w:id="195"/>
    </w:p>
    <w:p w14:paraId="1129878B"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Source paraphrase: </w:t>
      </w:r>
      <w:r w:rsidRPr="000A2871">
        <w:rPr>
          <w:rFonts w:ascii="Arial" w:hAnsi="Arial" w:cs="Arial"/>
        </w:rPr>
        <w:t>Young employees describe breaks, schedules and facilities as relevant to healthy routines.</w:t>
      </w:r>
    </w:p>
    <w:p w14:paraId="0141942D" w14:textId="77777777" w:rsidR="007E77F1" w:rsidRPr="000A2871" w:rsidRDefault="007E77F1" w:rsidP="000A2871">
      <w:pPr>
        <w:spacing w:after="120" w:line="360" w:lineRule="auto"/>
        <w:rPr>
          <w:rFonts w:ascii="Arial" w:hAnsi="Arial" w:cs="Arial"/>
        </w:rPr>
      </w:pPr>
      <w:r w:rsidRPr="000A2871">
        <w:rPr>
          <w:rFonts w:ascii="Arial" w:eastAsia="Arial Unicode MS" w:hAnsi="Arial" w:cs="Arial"/>
          <w:b/>
          <w:bCs/>
        </w:rPr>
        <w:t xml:space="preserve">Code → descriptive pattern → analytical theme: </w:t>
      </w:r>
      <w:r w:rsidRPr="000A2871">
        <w:rPr>
          <w:rFonts w:ascii="Arial" w:eastAsia="Arial Unicode MS" w:hAnsi="Arial" w:cs="Arial"/>
        </w:rPr>
        <w:t>Workplace opportunity → Institutional conditions for action → T1 / T2.</w:t>
      </w:r>
    </w:p>
    <w:p w14:paraId="4BDE2A0F" w14:textId="77777777" w:rsidR="007E77F1" w:rsidRPr="000A2871" w:rsidRDefault="007E77F1" w:rsidP="000A2871">
      <w:pPr>
        <w:spacing w:after="120" w:line="360" w:lineRule="auto"/>
        <w:rPr>
          <w:rFonts w:ascii="Arial" w:hAnsi="Arial" w:cs="Arial"/>
        </w:rPr>
      </w:pPr>
      <w:r w:rsidRPr="000A2871">
        <w:rPr>
          <w:rFonts w:ascii="Arial" w:hAnsi="Arial" w:cs="Arial"/>
        </w:rPr>
        <w:t>Locator: Results explicitly attributed to young people.</w:t>
      </w:r>
    </w:p>
    <w:p w14:paraId="250065A2" w14:textId="77777777" w:rsidR="007E77F1" w:rsidRPr="000A2871" w:rsidRDefault="007E77F1" w:rsidP="000A2871">
      <w:pPr>
        <w:pStyle w:val="Heading3"/>
        <w:keepNext w:val="0"/>
        <w:keepLines w:val="0"/>
        <w:spacing w:before="280" w:line="360" w:lineRule="auto"/>
        <w:rPr>
          <w:rFonts w:ascii="Arial" w:hAnsi="Arial" w:cs="Arial"/>
          <w:b/>
          <w:bCs/>
          <w:sz w:val="26"/>
          <w:szCs w:val="26"/>
        </w:rPr>
      </w:pPr>
      <w:bookmarkStart w:id="196" w:name="_4op3rvhwnguj" w:colFirst="0" w:colLast="0"/>
      <w:bookmarkStart w:id="197" w:name="_Toc242459607"/>
      <w:bookmarkEnd w:id="196"/>
      <w:r w:rsidRPr="000A2871">
        <w:rPr>
          <w:rFonts w:ascii="Arial" w:hAnsi="Arial" w:cs="Arial"/>
          <w:b/>
          <w:bCs/>
          <w:sz w:val="26"/>
          <w:szCs w:val="26"/>
        </w:rPr>
        <w:t>C8 R0312</w:t>
      </w:r>
      <w:bookmarkEnd w:id="197"/>
    </w:p>
    <w:p w14:paraId="1B47B12D"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Source paraphrase: </w:t>
      </w:r>
      <w:r w:rsidRPr="000A2871">
        <w:rPr>
          <w:rFonts w:ascii="Arial" w:hAnsi="Arial" w:cs="Arial"/>
        </w:rPr>
        <w:t>Rebecca values information without logging; Lucy values peer reassurance; Sophie wants notification choice.</w:t>
      </w:r>
    </w:p>
    <w:p w14:paraId="2864BD1A" w14:textId="77777777" w:rsidR="007E77F1" w:rsidRPr="000A2871" w:rsidRDefault="007E77F1" w:rsidP="000A2871">
      <w:pPr>
        <w:spacing w:after="120" w:line="360" w:lineRule="auto"/>
        <w:rPr>
          <w:rFonts w:ascii="Arial" w:hAnsi="Arial" w:cs="Arial"/>
        </w:rPr>
      </w:pPr>
      <w:r w:rsidRPr="000A2871">
        <w:rPr>
          <w:rFonts w:ascii="Arial" w:eastAsia="Arial Unicode MS" w:hAnsi="Arial" w:cs="Arial"/>
          <w:b/>
          <w:bCs/>
        </w:rPr>
        <w:t xml:space="preserve">Code → descriptive pattern → analytical theme: </w:t>
      </w:r>
      <w:r w:rsidRPr="000A2871">
        <w:rPr>
          <w:rFonts w:ascii="Arial" w:eastAsia="Arial Unicode MS" w:hAnsi="Arial" w:cs="Arial"/>
        </w:rPr>
        <w:t>Different desired features → Personal control over participation → T3 / T5.</w:t>
      </w:r>
    </w:p>
    <w:p w14:paraId="3BB7594D" w14:textId="77777777" w:rsidR="007E77F1" w:rsidRPr="000A2871" w:rsidRDefault="007E77F1" w:rsidP="000A2871">
      <w:pPr>
        <w:spacing w:after="120" w:line="360" w:lineRule="auto"/>
        <w:rPr>
          <w:rFonts w:ascii="Arial" w:hAnsi="Arial" w:cs="Arial"/>
        </w:rPr>
      </w:pPr>
      <w:r w:rsidRPr="000A2871">
        <w:rPr>
          <w:rFonts w:ascii="Arial" w:hAnsi="Arial" w:cs="Arial"/>
        </w:rPr>
        <w:t>Locator: Results themes 2–4; ages 23, 24 and 25.</w:t>
      </w:r>
    </w:p>
    <w:p w14:paraId="0544080D" w14:textId="77777777" w:rsidR="00911724" w:rsidRDefault="00911724">
      <w:pPr>
        <w:rPr>
          <w:rFonts w:ascii="Arial" w:eastAsia="Times New Roman" w:hAnsi="Arial" w:cs="Arial"/>
          <w:b/>
          <w:bCs/>
          <w:color w:val="000000"/>
          <w:sz w:val="26"/>
          <w:szCs w:val="26"/>
          <w:u w:val="single" w:color="000000"/>
        </w:rPr>
      </w:pPr>
      <w:bookmarkStart w:id="198" w:name="_2i8ba0x5mk2x" w:colFirst="0" w:colLast="0"/>
      <w:bookmarkEnd w:id="198"/>
      <w:r>
        <w:rPr>
          <w:rFonts w:ascii="Arial" w:hAnsi="Arial" w:cs="Arial"/>
          <w:b/>
          <w:bCs/>
          <w:sz w:val="26"/>
          <w:szCs w:val="26"/>
        </w:rPr>
        <w:br w:type="page"/>
      </w:r>
    </w:p>
    <w:p w14:paraId="03E9A40F" w14:textId="02BF704E" w:rsidR="007E77F1" w:rsidRPr="000A2871" w:rsidRDefault="007E77F1" w:rsidP="000A2871">
      <w:pPr>
        <w:pStyle w:val="Heading3"/>
        <w:keepNext w:val="0"/>
        <w:keepLines w:val="0"/>
        <w:spacing w:before="280" w:line="360" w:lineRule="auto"/>
        <w:rPr>
          <w:rFonts w:ascii="Arial" w:hAnsi="Arial" w:cs="Arial"/>
          <w:b/>
          <w:bCs/>
          <w:sz w:val="26"/>
          <w:szCs w:val="26"/>
        </w:rPr>
      </w:pPr>
      <w:bookmarkStart w:id="199" w:name="_Toc242459608"/>
      <w:r w:rsidRPr="000A2871">
        <w:rPr>
          <w:rFonts w:ascii="Arial" w:hAnsi="Arial" w:cs="Arial"/>
          <w:b/>
          <w:bCs/>
          <w:sz w:val="26"/>
          <w:szCs w:val="26"/>
        </w:rPr>
        <w:lastRenderedPageBreak/>
        <w:t>C9 S0001</w:t>
      </w:r>
      <w:bookmarkEnd w:id="199"/>
    </w:p>
    <w:p w14:paraId="3547990F"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Source paraphrase: </w:t>
      </w:r>
      <w:r w:rsidRPr="000A2871">
        <w:rPr>
          <w:rFonts w:ascii="Arial" w:hAnsi="Arial" w:cs="Arial"/>
        </w:rPr>
        <w:t>Higher and lower fruit/vegetable consumers describe control and health identity differently.</w:t>
      </w:r>
    </w:p>
    <w:p w14:paraId="16C7A47A" w14:textId="77777777" w:rsidR="007E77F1" w:rsidRPr="000A2871" w:rsidRDefault="007E77F1" w:rsidP="000A2871">
      <w:pPr>
        <w:spacing w:after="120" w:line="360" w:lineRule="auto"/>
        <w:rPr>
          <w:rFonts w:ascii="Arial" w:hAnsi="Arial" w:cs="Arial"/>
        </w:rPr>
      </w:pPr>
      <w:r w:rsidRPr="000A2871">
        <w:rPr>
          <w:rFonts w:ascii="Arial" w:eastAsia="Arial Unicode MS" w:hAnsi="Arial" w:cs="Arial"/>
          <w:b/>
          <w:bCs/>
        </w:rPr>
        <w:t xml:space="preserve">Code → descriptive pattern → analytical theme: </w:t>
      </w:r>
      <w:r w:rsidRPr="000A2871">
        <w:rPr>
          <w:rFonts w:ascii="Arial" w:eastAsia="Arial Unicode MS" w:hAnsi="Arial" w:cs="Arial"/>
        </w:rPr>
        <w:t>Perceived control; health identity → Meaning of food practices → T2 / T3.</w:t>
      </w:r>
    </w:p>
    <w:p w14:paraId="03FD8F80" w14:textId="77777777" w:rsidR="007E77F1" w:rsidRPr="000A2871" w:rsidRDefault="007E77F1" w:rsidP="000A2871">
      <w:pPr>
        <w:spacing w:after="120" w:line="360" w:lineRule="auto"/>
        <w:rPr>
          <w:rFonts w:ascii="Arial" w:hAnsi="Arial" w:cs="Arial"/>
        </w:rPr>
      </w:pPr>
      <w:r w:rsidRPr="000A2871">
        <w:rPr>
          <w:rFonts w:ascii="Arial" w:hAnsi="Arial" w:cs="Arial"/>
        </w:rPr>
        <w:t>Locator: Results: control, social influences and identity.</w:t>
      </w:r>
    </w:p>
    <w:p w14:paraId="3176D74D" w14:textId="77777777" w:rsidR="007E77F1" w:rsidRPr="000A2871" w:rsidRDefault="007E77F1" w:rsidP="000A2871">
      <w:pPr>
        <w:pStyle w:val="Heading3"/>
        <w:keepNext w:val="0"/>
        <w:keepLines w:val="0"/>
        <w:spacing w:before="280" w:line="360" w:lineRule="auto"/>
        <w:rPr>
          <w:rFonts w:ascii="Arial" w:hAnsi="Arial" w:cs="Arial"/>
          <w:b/>
          <w:bCs/>
          <w:sz w:val="26"/>
          <w:szCs w:val="26"/>
        </w:rPr>
      </w:pPr>
      <w:bookmarkStart w:id="200" w:name="_y59ifbbr2gsh" w:colFirst="0" w:colLast="0"/>
      <w:bookmarkStart w:id="201" w:name="_Toc242459609"/>
      <w:bookmarkEnd w:id="200"/>
      <w:r w:rsidRPr="000A2871">
        <w:rPr>
          <w:rFonts w:ascii="Arial" w:hAnsi="Arial" w:cs="Arial"/>
          <w:b/>
          <w:bCs/>
          <w:sz w:val="26"/>
          <w:szCs w:val="26"/>
        </w:rPr>
        <w:t>C10 S0002</w:t>
      </w:r>
      <w:bookmarkEnd w:id="201"/>
    </w:p>
    <w:p w14:paraId="372E687C"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Source paraphrase: </w:t>
      </w:r>
      <w:r w:rsidRPr="000A2871">
        <w:rPr>
          <w:rFonts w:ascii="Arial" w:hAnsi="Arial" w:cs="Arial"/>
        </w:rPr>
        <w:t>B, C and F describe weight pressure linked to a professional ideal; eligible accounts also discuss placements and routines.</w:t>
      </w:r>
    </w:p>
    <w:p w14:paraId="0A6B29C7" w14:textId="77777777" w:rsidR="007E77F1" w:rsidRPr="000A2871" w:rsidRDefault="007E77F1" w:rsidP="000A2871">
      <w:pPr>
        <w:spacing w:after="120" w:line="360" w:lineRule="auto"/>
        <w:rPr>
          <w:rFonts w:ascii="Arial" w:hAnsi="Arial" w:cs="Arial"/>
        </w:rPr>
      </w:pPr>
      <w:r w:rsidRPr="000A2871">
        <w:rPr>
          <w:rFonts w:ascii="Arial" w:eastAsia="Arial Unicode MS" w:hAnsi="Arial" w:cs="Arial"/>
          <w:b/>
          <w:bCs/>
        </w:rPr>
        <w:t xml:space="preserve">Code → descriptive pattern → analytical theme: </w:t>
      </w:r>
      <w:r w:rsidRPr="000A2871">
        <w:rPr>
          <w:rFonts w:ascii="Arial" w:eastAsia="Arial Unicode MS" w:hAnsi="Arial" w:cs="Arial"/>
        </w:rPr>
        <w:t>Professional body expectations → Knowledge alongside emotional demands → T1 / T2 / T4.</w:t>
      </w:r>
    </w:p>
    <w:p w14:paraId="4C2E6AC5" w14:textId="77777777" w:rsidR="007E77F1" w:rsidRPr="000A2871" w:rsidRDefault="007E77F1" w:rsidP="000A2871">
      <w:pPr>
        <w:spacing w:after="120" w:line="360" w:lineRule="auto"/>
        <w:rPr>
          <w:rFonts w:ascii="Arial" w:hAnsi="Arial" w:cs="Arial"/>
        </w:rPr>
      </w:pPr>
      <w:r w:rsidRPr="000A2871">
        <w:rPr>
          <w:rFonts w:ascii="Arial" w:hAnsi="Arial" w:cs="Arial"/>
        </w:rPr>
        <w:t>Locator: Results and Table 3; A/B/C/E/F only.</w:t>
      </w:r>
    </w:p>
    <w:p w14:paraId="2BC2D93D" w14:textId="77777777" w:rsidR="007E77F1" w:rsidRPr="000A2871" w:rsidRDefault="007E77F1" w:rsidP="000A2871">
      <w:pPr>
        <w:pStyle w:val="Heading3"/>
        <w:keepNext w:val="0"/>
        <w:keepLines w:val="0"/>
        <w:spacing w:before="280" w:line="360" w:lineRule="auto"/>
        <w:rPr>
          <w:rFonts w:ascii="Arial" w:hAnsi="Arial" w:cs="Arial"/>
          <w:b/>
          <w:bCs/>
          <w:sz w:val="26"/>
          <w:szCs w:val="26"/>
        </w:rPr>
      </w:pPr>
      <w:bookmarkStart w:id="202" w:name="_y3eoe7xt559i" w:colFirst="0" w:colLast="0"/>
      <w:bookmarkStart w:id="203" w:name="_Toc242459610"/>
      <w:bookmarkEnd w:id="202"/>
      <w:r w:rsidRPr="000A2871">
        <w:rPr>
          <w:rFonts w:ascii="Arial" w:hAnsi="Arial" w:cs="Arial"/>
          <w:b/>
          <w:bCs/>
          <w:sz w:val="26"/>
          <w:szCs w:val="26"/>
        </w:rPr>
        <w:t>C11 S0003</w:t>
      </w:r>
      <w:bookmarkEnd w:id="203"/>
    </w:p>
    <w:p w14:paraId="6D14D28C" w14:textId="77777777" w:rsidR="007E77F1" w:rsidRPr="000A2871" w:rsidRDefault="007E77F1" w:rsidP="000A2871">
      <w:pPr>
        <w:spacing w:after="120" w:line="360" w:lineRule="auto"/>
        <w:rPr>
          <w:rFonts w:ascii="Arial" w:hAnsi="Arial" w:cs="Arial"/>
        </w:rPr>
      </w:pPr>
      <w:r w:rsidRPr="000A2871">
        <w:rPr>
          <w:rFonts w:ascii="Arial" w:hAnsi="Arial" w:cs="Arial"/>
          <w:b/>
          <w:bCs/>
        </w:rPr>
        <w:t xml:space="preserve">Source paraphrase: </w:t>
      </w:r>
      <w:r w:rsidRPr="000A2871">
        <w:rPr>
          <w:rFonts w:ascii="Arial" w:hAnsi="Arial" w:cs="Arial"/>
        </w:rPr>
        <w:t>P05 describes discounts enabling experimentation and familiar tastes shaping attention; P10 describes partner influence.</w:t>
      </w:r>
    </w:p>
    <w:p w14:paraId="52DE3972" w14:textId="77777777" w:rsidR="007E77F1" w:rsidRPr="000A2871" w:rsidRDefault="007E77F1" w:rsidP="000A2871">
      <w:pPr>
        <w:spacing w:after="120" w:line="360" w:lineRule="auto"/>
        <w:rPr>
          <w:rFonts w:ascii="Arial" w:hAnsi="Arial" w:cs="Arial"/>
        </w:rPr>
      </w:pPr>
      <w:r w:rsidRPr="000A2871">
        <w:rPr>
          <w:rFonts w:ascii="Arial" w:eastAsia="Arial Unicode MS" w:hAnsi="Arial" w:cs="Arial"/>
          <w:b/>
          <w:bCs/>
        </w:rPr>
        <w:t xml:space="preserve">Code → descriptive pattern → analytical theme: </w:t>
      </w:r>
      <w:r w:rsidRPr="000A2871">
        <w:rPr>
          <w:rFonts w:ascii="Arial" w:eastAsia="Arial Unicode MS" w:hAnsi="Arial" w:cs="Arial"/>
        </w:rPr>
        <w:t>Price opportunity; relational purchasing → Resources and preferences interact → T2 / T3.</w:t>
      </w:r>
    </w:p>
    <w:p w14:paraId="324EBC88" w14:textId="77777777" w:rsidR="007E77F1" w:rsidRPr="000A2871" w:rsidRDefault="007E77F1" w:rsidP="000A2871">
      <w:pPr>
        <w:spacing w:after="120" w:line="360" w:lineRule="auto"/>
        <w:rPr>
          <w:rFonts w:ascii="Arial" w:hAnsi="Arial" w:cs="Arial"/>
        </w:rPr>
      </w:pPr>
      <w:r w:rsidRPr="000A2871">
        <w:rPr>
          <w:rFonts w:ascii="Arial" w:hAnsi="Arial" w:cs="Arial"/>
        </w:rPr>
        <w:t>Locator: Results P05/P10 age labels; demographic caveat applies.</w:t>
      </w:r>
    </w:p>
    <w:p w14:paraId="2147D5F4" w14:textId="77777777" w:rsidR="00D14504" w:rsidRDefault="00D14504">
      <w:pPr>
        <w:rPr>
          <w:rFonts w:ascii="Arial" w:eastAsia="Times New Roman" w:hAnsi="Arial" w:cs="Arial"/>
          <w:b/>
          <w:bCs/>
          <w:color w:val="000000"/>
          <w:sz w:val="34"/>
          <w:szCs w:val="34"/>
        </w:rPr>
      </w:pPr>
      <w:bookmarkStart w:id="204" w:name="_rv8kaqb8maso" w:colFirst="0" w:colLast="0"/>
      <w:bookmarkEnd w:id="204"/>
      <w:r>
        <w:rPr>
          <w:rFonts w:ascii="Arial" w:hAnsi="Arial" w:cs="Arial"/>
          <w:bCs/>
          <w:sz w:val="34"/>
          <w:szCs w:val="34"/>
        </w:rPr>
        <w:br w:type="page"/>
      </w:r>
    </w:p>
    <w:p w14:paraId="11A37963" w14:textId="77777777" w:rsidR="007E77F1" w:rsidRPr="000A2871" w:rsidRDefault="007E77F1" w:rsidP="00D14504">
      <w:pPr>
        <w:pStyle w:val="Heading2"/>
        <w:keepNext w:val="0"/>
        <w:keepLines w:val="0"/>
        <w:spacing w:after="80" w:line="360" w:lineRule="auto"/>
        <w:jc w:val="left"/>
        <w:rPr>
          <w:rFonts w:ascii="Arial" w:hAnsi="Arial" w:cs="Arial"/>
          <w:b w:val="0"/>
          <w:bCs/>
          <w:sz w:val="34"/>
          <w:szCs w:val="34"/>
        </w:rPr>
      </w:pPr>
      <w:bookmarkStart w:id="205" w:name="_Toc242459611"/>
      <w:r w:rsidRPr="000A2871">
        <w:rPr>
          <w:rFonts w:ascii="Arial" w:hAnsi="Arial" w:cs="Arial"/>
          <w:bCs/>
          <w:sz w:val="34"/>
          <w:szCs w:val="34"/>
        </w:rPr>
        <w:lastRenderedPageBreak/>
        <w:t>Study contributions to analytical themes</w:t>
      </w:r>
      <w:bookmarkEnd w:id="205"/>
    </w:p>
    <w:tbl>
      <w:tblPr>
        <w:tblW w:w="8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985"/>
        <w:gridCol w:w="1185"/>
        <w:gridCol w:w="1185"/>
        <w:gridCol w:w="1185"/>
        <w:gridCol w:w="1185"/>
        <w:gridCol w:w="1185"/>
      </w:tblGrid>
      <w:tr w:rsidR="007E77F1" w:rsidRPr="000A2871" w14:paraId="17D27374" w14:textId="77777777" w:rsidTr="00802D40">
        <w:trPr>
          <w:trHeight w:val="480"/>
        </w:trPr>
        <w:tc>
          <w:tcPr>
            <w:tcW w:w="2985" w:type="dxa"/>
            <w:shd w:val="clear" w:color="auto" w:fill="FFFFFF" w:themeFill="background1"/>
            <w:tcMar>
              <w:top w:w="80" w:type="dxa"/>
              <w:left w:w="80" w:type="dxa"/>
              <w:bottom w:w="80" w:type="dxa"/>
              <w:right w:w="80" w:type="dxa"/>
            </w:tcMar>
          </w:tcPr>
          <w:p w14:paraId="4774857C" w14:textId="77777777" w:rsidR="007E77F1" w:rsidRPr="00D14504" w:rsidRDefault="007E77F1" w:rsidP="000A2871">
            <w:pPr>
              <w:spacing w:line="360" w:lineRule="auto"/>
              <w:rPr>
                <w:rFonts w:ascii="Arial" w:hAnsi="Arial" w:cs="Arial"/>
                <w:b/>
                <w:bCs/>
                <w:sz w:val="20"/>
                <w:szCs w:val="20"/>
              </w:rPr>
            </w:pPr>
            <w:r w:rsidRPr="00D14504">
              <w:rPr>
                <w:rFonts w:ascii="Arial" w:hAnsi="Arial" w:cs="Arial"/>
                <w:b/>
                <w:bCs/>
                <w:sz w:val="20"/>
                <w:szCs w:val="20"/>
              </w:rPr>
              <w:t>Article</w:t>
            </w:r>
          </w:p>
        </w:tc>
        <w:tc>
          <w:tcPr>
            <w:tcW w:w="1185" w:type="dxa"/>
            <w:shd w:val="clear" w:color="auto" w:fill="FFFFFF" w:themeFill="background1"/>
            <w:tcMar>
              <w:top w:w="80" w:type="dxa"/>
              <w:left w:w="80" w:type="dxa"/>
              <w:bottom w:w="80" w:type="dxa"/>
              <w:right w:w="80" w:type="dxa"/>
            </w:tcMar>
          </w:tcPr>
          <w:p w14:paraId="5C31BA91" w14:textId="77777777" w:rsidR="007E77F1" w:rsidRPr="00D14504" w:rsidRDefault="007E77F1" w:rsidP="000A2871">
            <w:pPr>
              <w:spacing w:line="360" w:lineRule="auto"/>
              <w:jc w:val="center"/>
              <w:rPr>
                <w:rFonts w:ascii="Arial" w:hAnsi="Arial" w:cs="Arial"/>
                <w:b/>
                <w:bCs/>
                <w:sz w:val="20"/>
                <w:szCs w:val="20"/>
              </w:rPr>
            </w:pPr>
            <w:r w:rsidRPr="00D14504">
              <w:rPr>
                <w:rFonts w:ascii="Arial" w:hAnsi="Arial" w:cs="Arial"/>
                <w:b/>
                <w:bCs/>
                <w:sz w:val="20"/>
                <w:szCs w:val="20"/>
              </w:rPr>
              <w:t>T1</w:t>
            </w:r>
          </w:p>
        </w:tc>
        <w:tc>
          <w:tcPr>
            <w:tcW w:w="1185" w:type="dxa"/>
            <w:shd w:val="clear" w:color="auto" w:fill="FFFFFF" w:themeFill="background1"/>
            <w:tcMar>
              <w:top w:w="80" w:type="dxa"/>
              <w:left w:w="80" w:type="dxa"/>
              <w:bottom w:w="80" w:type="dxa"/>
              <w:right w:w="80" w:type="dxa"/>
            </w:tcMar>
          </w:tcPr>
          <w:p w14:paraId="7ACF2251" w14:textId="77777777" w:rsidR="007E77F1" w:rsidRPr="00D14504" w:rsidRDefault="007E77F1" w:rsidP="000A2871">
            <w:pPr>
              <w:spacing w:line="360" w:lineRule="auto"/>
              <w:jc w:val="center"/>
              <w:rPr>
                <w:rFonts w:ascii="Arial" w:hAnsi="Arial" w:cs="Arial"/>
                <w:b/>
                <w:bCs/>
                <w:sz w:val="20"/>
                <w:szCs w:val="20"/>
              </w:rPr>
            </w:pPr>
            <w:r w:rsidRPr="00D14504">
              <w:rPr>
                <w:rFonts w:ascii="Arial" w:hAnsi="Arial" w:cs="Arial"/>
                <w:b/>
                <w:bCs/>
                <w:sz w:val="20"/>
                <w:szCs w:val="20"/>
              </w:rPr>
              <w:t>T2</w:t>
            </w:r>
          </w:p>
        </w:tc>
        <w:tc>
          <w:tcPr>
            <w:tcW w:w="1185" w:type="dxa"/>
            <w:shd w:val="clear" w:color="auto" w:fill="FFFFFF" w:themeFill="background1"/>
            <w:tcMar>
              <w:top w:w="80" w:type="dxa"/>
              <w:left w:w="80" w:type="dxa"/>
              <w:bottom w:w="80" w:type="dxa"/>
              <w:right w:w="80" w:type="dxa"/>
            </w:tcMar>
          </w:tcPr>
          <w:p w14:paraId="77646EDD" w14:textId="77777777" w:rsidR="007E77F1" w:rsidRPr="00D14504" w:rsidRDefault="007E77F1" w:rsidP="000A2871">
            <w:pPr>
              <w:spacing w:line="360" w:lineRule="auto"/>
              <w:jc w:val="center"/>
              <w:rPr>
                <w:rFonts w:ascii="Arial" w:hAnsi="Arial" w:cs="Arial"/>
                <w:b/>
                <w:bCs/>
                <w:sz w:val="20"/>
                <w:szCs w:val="20"/>
              </w:rPr>
            </w:pPr>
            <w:r w:rsidRPr="00D14504">
              <w:rPr>
                <w:rFonts w:ascii="Arial" w:hAnsi="Arial" w:cs="Arial"/>
                <w:b/>
                <w:bCs/>
                <w:sz w:val="20"/>
                <w:szCs w:val="20"/>
              </w:rPr>
              <w:t>T3</w:t>
            </w:r>
          </w:p>
        </w:tc>
        <w:tc>
          <w:tcPr>
            <w:tcW w:w="1185" w:type="dxa"/>
            <w:shd w:val="clear" w:color="auto" w:fill="FFFFFF" w:themeFill="background1"/>
            <w:tcMar>
              <w:top w:w="80" w:type="dxa"/>
              <w:left w:w="80" w:type="dxa"/>
              <w:bottom w:w="80" w:type="dxa"/>
              <w:right w:w="80" w:type="dxa"/>
            </w:tcMar>
          </w:tcPr>
          <w:p w14:paraId="62FE14C9" w14:textId="77777777" w:rsidR="007E77F1" w:rsidRPr="00D14504" w:rsidRDefault="007E77F1" w:rsidP="000A2871">
            <w:pPr>
              <w:spacing w:line="360" w:lineRule="auto"/>
              <w:jc w:val="center"/>
              <w:rPr>
                <w:rFonts w:ascii="Arial" w:hAnsi="Arial" w:cs="Arial"/>
                <w:b/>
                <w:bCs/>
                <w:sz w:val="20"/>
                <w:szCs w:val="20"/>
              </w:rPr>
            </w:pPr>
            <w:r w:rsidRPr="00D14504">
              <w:rPr>
                <w:rFonts w:ascii="Arial" w:hAnsi="Arial" w:cs="Arial"/>
                <w:b/>
                <w:bCs/>
                <w:sz w:val="20"/>
                <w:szCs w:val="20"/>
              </w:rPr>
              <w:t>T4</w:t>
            </w:r>
          </w:p>
        </w:tc>
        <w:tc>
          <w:tcPr>
            <w:tcW w:w="1185" w:type="dxa"/>
            <w:shd w:val="clear" w:color="auto" w:fill="FFFFFF" w:themeFill="background1"/>
            <w:tcMar>
              <w:top w:w="80" w:type="dxa"/>
              <w:left w:w="80" w:type="dxa"/>
              <w:bottom w:w="80" w:type="dxa"/>
              <w:right w:w="80" w:type="dxa"/>
            </w:tcMar>
          </w:tcPr>
          <w:p w14:paraId="487050A4" w14:textId="77777777" w:rsidR="007E77F1" w:rsidRPr="00D14504" w:rsidRDefault="007E77F1" w:rsidP="000A2871">
            <w:pPr>
              <w:spacing w:line="360" w:lineRule="auto"/>
              <w:jc w:val="center"/>
              <w:rPr>
                <w:rFonts w:ascii="Arial" w:hAnsi="Arial" w:cs="Arial"/>
                <w:b/>
                <w:bCs/>
                <w:sz w:val="20"/>
                <w:szCs w:val="20"/>
              </w:rPr>
            </w:pPr>
            <w:r w:rsidRPr="00D14504">
              <w:rPr>
                <w:rFonts w:ascii="Arial" w:hAnsi="Arial" w:cs="Arial"/>
                <w:b/>
                <w:bCs/>
                <w:sz w:val="20"/>
                <w:szCs w:val="20"/>
              </w:rPr>
              <w:t>T5</w:t>
            </w:r>
          </w:p>
        </w:tc>
      </w:tr>
      <w:tr w:rsidR="007E77F1" w:rsidRPr="000A2871" w14:paraId="78D07930" w14:textId="77777777" w:rsidTr="00802D40">
        <w:trPr>
          <w:trHeight w:val="480"/>
        </w:trPr>
        <w:tc>
          <w:tcPr>
            <w:tcW w:w="2985" w:type="dxa"/>
            <w:shd w:val="clear" w:color="auto" w:fill="FFFFFF" w:themeFill="background1"/>
            <w:tcMar>
              <w:top w:w="80" w:type="dxa"/>
              <w:left w:w="80" w:type="dxa"/>
              <w:bottom w:w="80" w:type="dxa"/>
              <w:right w:w="80" w:type="dxa"/>
            </w:tcMar>
          </w:tcPr>
          <w:p w14:paraId="7FA3F4BD" w14:textId="77777777" w:rsidR="007E77F1" w:rsidRPr="00D14504" w:rsidRDefault="007E77F1" w:rsidP="000A2871">
            <w:pPr>
              <w:spacing w:line="360" w:lineRule="auto"/>
              <w:rPr>
                <w:rFonts w:ascii="Arial" w:hAnsi="Arial" w:cs="Arial"/>
                <w:sz w:val="20"/>
                <w:szCs w:val="20"/>
              </w:rPr>
            </w:pPr>
            <w:r w:rsidRPr="00D14504">
              <w:rPr>
                <w:rFonts w:ascii="Arial" w:hAnsi="Arial" w:cs="Arial"/>
                <w:sz w:val="20"/>
                <w:szCs w:val="20"/>
              </w:rPr>
              <w:t>R0024</w:t>
            </w:r>
          </w:p>
        </w:tc>
        <w:tc>
          <w:tcPr>
            <w:tcW w:w="1185" w:type="dxa"/>
            <w:shd w:val="clear" w:color="auto" w:fill="FFFFFF" w:themeFill="background1"/>
            <w:tcMar>
              <w:top w:w="80" w:type="dxa"/>
              <w:left w:w="80" w:type="dxa"/>
              <w:bottom w:w="80" w:type="dxa"/>
              <w:right w:w="80" w:type="dxa"/>
            </w:tcMar>
          </w:tcPr>
          <w:p w14:paraId="4FF1016D"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6BD09BB8"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3CF2DBFA"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4BEDE2A8"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w:t>
            </w:r>
          </w:p>
        </w:tc>
        <w:tc>
          <w:tcPr>
            <w:tcW w:w="1185" w:type="dxa"/>
            <w:shd w:val="clear" w:color="auto" w:fill="FFFFFF" w:themeFill="background1"/>
            <w:tcMar>
              <w:top w:w="80" w:type="dxa"/>
              <w:left w:w="80" w:type="dxa"/>
              <w:bottom w:w="80" w:type="dxa"/>
              <w:right w:w="80" w:type="dxa"/>
            </w:tcMar>
          </w:tcPr>
          <w:p w14:paraId="001D22E6"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r>
      <w:tr w:rsidR="007E77F1" w:rsidRPr="000A2871" w14:paraId="6B0B2AD1" w14:textId="77777777" w:rsidTr="00802D40">
        <w:trPr>
          <w:trHeight w:val="480"/>
        </w:trPr>
        <w:tc>
          <w:tcPr>
            <w:tcW w:w="2985" w:type="dxa"/>
            <w:shd w:val="clear" w:color="auto" w:fill="FFFFFF" w:themeFill="background1"/>
            <w:tcMar>
              <w:top w:w="80" w:type="dxa"/>
              <w:left w:w="80" w:type="dxa"/>
              <w:bottom w:w="80" w:type="dxa"/>
              <w:right w:w="80" w:type="dxa"/>
            </w:tcMar>
          </w:tcPr>
          <w:p w14:paraId="70C62A03" w14:textId="77777777" w:rsidR="007E77F1" w:rsidRPr="00D14504" w:rsidRDefault="007E77F1" w:rsidP="000A2871">
            <w:pPr>
              <w:spacing w:line="360" w:lineRule="auto"/>
              <w:rPr>
                <w:rFonts w:ascii="Arial" w:hAnsi="Arial" w:cs="Arial"/>
                <w:sz w:val="20"/>
                <w:szCs w:val="20"/>
              </w:rPr>
            </w:pPr>
            <w:r w:rsidRPr="00D14504">
              <w:rPr>
                <w:rFonts w:ascii="Arial" w:hAnsi="Arial" w:cs="Arial"/>
                <w:sz w:val="20"/>
                <w:szCs w:val="20"/>
              </w:rPr>
              <w:t>R0046</w:t>
            </w:r>
          </w:p>
        </w:tc>
        <w:tc>
          <w:tcPr>
            <w:tcW w:w="1185" w:type="dxa"/>
            <w:shd w:val="clear" w:color="auto" w:fill="FFFFFF" w:themeFill="background1"/>
            <w:tcMar>
              <w:top w:w="80" w:type="dxa"/>
              <w:left w:w="80" w:type="dxa"/>
              <w:bottom w:w="80" w:type="dxa"/>
              <w:right w:w="80" w:type="dxa"/>
            </w:tcMar>
          </w:tcPr>
          <w:p w14:paraId="7D469BD0"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18D47BF7"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2AA480E2"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w:t>
            </w:r>
          </w:p>
        </w:tc>
        <w:tc>
          <w:tcPr>
            <w:tcW w:w="1185" w:type="dxa"/>
            <w:shd w:val="clear" w:color="auto" w:fill="FFFFFF" w:themeFill="background1"/>
            <w:tcMar>
              <w:top w:w="80" w:type="dxa"/>
              <w:left w:w="80" w:type="dxa"/>
              <w:bottom w:w="80" w:type="dxa"/>
              <w:right w:w="80" w:type="dxa"/>
            </w:tcMar>
          </w:tcPr>
          <w:p w14:paraId="03F122E4"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54D42E90"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r>
      <w:tr w:rsidR="007E77F1" w:rsidRPr="000A2871" w14:paraId="455B8EAB" w14:textId="77777777" w:rsidTr="00802D40">
        <w:trPr>
          <w:trHeight w:val="480"/>
        </w:trPr>
        <w:tc>
          <w:tcPr>
            <w:tcW w:w="2985" w:type="dxa"/>
            <w:shd w:val="clear" w:color="auto" w:fill="FFFFFF" w:themeFill="background1"/>
            <w:tcMar>
              <w:top w:w="80" w:type="dxa"/>
              <w:left w:w="80" w:type="dxa"/>
              <w:bottom w:w="80" w:type="dxa"/>
              <w:right w:w="80" w:type="dxa"/>
            </w:tcMar>
          </w:tcPr>
          <w:p w14:paraId="26769255" w14:textId="77777777" w:rsidR="007E77F1" w:rsidRPr="00D14504" w:rsidRDefault="007E77F1" w:rsidP="000A2871">
            <w:pPr>
              <w:spacing w:line="360" w:lineRule="auto"/>
              <w:rPr>
                <w:rFonts w:ascii="Arial" w:hAnsi="Arial" w:cs="Arial"/>
                <w:sz w:val="20"/>
                <w:szCs w:val="20"/>
              </w:rPr>
            </w:pPr>
            <w:r w:rsidRPr="00D14504">
              <w:rPr>
                <w:rFonts w:ascii="Arial" w:hAnsi="Arial" w:cs="Arial"/>
                <w:sz w:val="20"/>
                <w:szCs w:val="20"/>
              </w:rPr>
              <w:t>R0132</w:t>
            </w:r>
          </w:p>
        </w:tc>
        <w:tc>
          <w:tcPr>
            <w:tcW w:w="1185" w:type="dxa"/>
            <w:shd w:val="clear" w:color="auto" w:fill="FFFFFF" w:themeFill="background1"/>
            <w:tcMar>
              <w:top w:w="80" w:type="dxa"/>
              <w:left w:w="80" w:type="dxa"/>
              <w:bottom w:w="80" w:type="dxa"/>
              <w:right w:w="80" w:type="dxa"/>
            </w:tcMar>
          </w:tcPr>
          <w:p w14:paraId="2DD88AD7"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67532A47"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7C89CD44"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4D94A3FC"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5A63E52B"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r>
      <w:tr w:rsidR="007E77F1" w:rsidRPr="000A2871" w14:paraId="26BAF167" w14:textId="77777777" w:rsidTr="00802D40">
        <w:trPr>
          <w:trHeight w:val="480"/>
        </w:trPr>
        <w:tc>
          <w:tcPr>
            <w:tcW w:w="2985" w:type="dxa"/>
            <w:shd w:val="clear" w:color="auto" w:fill="FFFFFF" w:themeFill="background1"/>
            <w:tcMar>
              <w:top w:w="80" w:type="dxa"/>
              <w:left w:w="80" w:type="dxa"/>
              <w:bottom w:w="80" w:type="dxa"/>
              <w:right w:w="80" w:type="dxa"/>
            </w:tcMar>
          </w:tcPr>
          <w:p w14:paraId="647D0D1C" w14:textId="77777777" w:rsidR="007E77F1" w:rsidRPr="00D14504" w:rsidRDefault="007E77F1" w:rsidP="000A2871">
            <w:pPr>
              <w:spacing w:line="360" w:lineRule="auto"/>
              <w:rPr>
                <w:rFonts w:ascii="Arial" w:hAnsi="Arial" w:cs="Arial"/>
                <w:sz w:val="20"/>
                <w:szCs w:val="20"/>
              </w:rPr>
            </w:pPr>
            <w:r w:rsidRPr="00D14504">
              <w:rPr>
                <w:rFonts w:ascii="Arial" w:hAnsi="Arial" w:cs="Arial"/>
                <w:sz w:val="20"/>
                <w:szCs w:val="20"/>
              </w:rPr>
              <w:t>R0096</w:t>
            </w:r>
          </w:p>
        </w:tc>
        <w:tc>
          <w:tcPr>
            <w:tcW w:w="1185" w:type="dxa"/>
            <w:shd w:val="clear" w:color="auto" w:fill="FFFFFF" w:themeFill="background1"/>
            <w:tcMar>
              <w:top w:w="80" w:type="dxa"/>
              <w:left w:w="80" w:type="dxa"/>
              <w:bottom w:w="80" w:type="dxa"/>
              <w:right w:w="80" w:type="dxa"/>
            </w:tcMar>
          </w:tcPr>
          <w:p w14:paraId="2C6CE6F4"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68E4FB2D"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3384D3B3"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09BA5884"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4CE2754D"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w:t>
            </w:r>
          </w:p>
        </w:tc>
      </w:tr>
      <w:tr w:rsidR="007E77F1" w:rsidRPr="000A2871" w14:paraId="34CB74EB" w14:textId="77777777" w:rsidTr="00802D40">
        <w:trPr>
          <w:trHeight w:val="480"/>
        </w:trPr>
        <w:tc>
          <w:tcPr>
            <w:tcW w:w="2985" w:type="dxa"/>
            <w:shd w:val="clear" w:color="auto" w:fill="FFFFFF" w:themeFill="background1"/>
            <w:tcMar>
              <w:top w:w="80" w:type="dxa"/>
              <w:left w:w="80" w:type="dxa"/>
              <w:bottom w:w="80" w:type="dxa"/>
              <w:right w:w="80" w:type="dxa"/>
            </w:tcMar>
          </w:tcPr>
          <w:p w14:paraId="6CCBBB81" w14:textId="77777777" w:rsidR="007E77F1" w:rsidRPr="00D14504" w:rsidRDefault="007E77F1" w:rsidP="000A2871">
            <w:pPr>
              <w:spacing w:line="360" w:lineRule="auto"/>
              <w:rPr>
                <w:rFonts w:ascii="Arial" w:hAnsi="Arial" w:cs="Arial"/>
                <w:sz w:val="20"/>
                <w:szCs w:val="20"/>
              </w:rPr>
            </w:pPr>
            <w:r w:rsidRPr="00D14504">
              <w:rPr>
                <w:rFonts w:ascii="Arial" w:hAnsi="Arial" w:cs="Arial"/>
                <w:sz w:val="20"/>
                <w:szCs w:val="20"/>
              </w:rPr>
              <w:t>R0058</w:t>
            </w:r>
          </w:p>
        </w:tc>
        <w:tc>
          <w:tcPr>
            <w:tcW w:w="1185" w:type="dxa"/>
            <w:shd w:val="clear" w:color="auto" w:fill="FFFFFF" w:themeFill="background1"/>
            <w:tcMar>
              <w:top w:w="80" w:type="dxa"/>
              <w:left w:w="80" w:type="dxa"/>
              <w:bottom w:w="80" w:type="dxa"/>
              <w:right w:w="80" w:type="dxa"/>
            </w:tcMar>
          </w:tcPr>
          <w:p w14:paraId="5EE541D1"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w:t>
            </w:r>
          </w:p>
        </w:tc>
        <w:tc>
          <w:tcPr>
            <w:tcW w:w="1185" w:type="dxa"/>
            <w:shd w:val="clear" w:color="auto" w:fill="FFFFFF" w:themeFill="background1"/>
            <w:tcMar>
              <w:top w:w="80" w:type="dxa"/>
              <w:left w:w="80" w:type="dxa"/>
              <w:bottom w:w="80" w:type="dxa"/>
              <w:right w:w="80" w:type="dxa"/>
            </w:tcMar>
          </w:tcPr>
          <w:p w14:paraId="1C1AD5CE"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w:t>
            </w:r>
          </w:p>
        </w:tc>
        <w:tc>
          <w:tcPr>
            <w:tcW w:w="1185" w:type="dxa"/>
            <w:shd w:val="clear" w:color="auto" w:fill="FFFFFF" w:themeFill="background1"/>
            <w:tcMar>
              <w:top w:w="80" w:type="dxa"/>
              <w:left w:w="80" w:type="dxa"/>
              <w:bottom w:w="80" w:type="dxa"/>
              <w:right w:w="80" w:type="dxa"/>
            </w:tcMar>
          </w:tcPr>
          <w:p w14:paraId="4C89025F"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3F2CDBBD"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36F6CAB6"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w:t>
            </w:r>
          </w:p>
        </w:tc>
      </w:tr>
      <w:tr w:rsidR="007E77F1" w:rsidRPr="000A2871" w14:paraId="3535C041" w14:textId="77777777" w:rsidTr="00802D40">
        <w:trPr>
          <w:trHeight w:val="480"/>
        </w:trPr>
        <w:tc>
          <w:tcPr>
            <w:tcW w:w="2985" w:type="dxa"/>
            <w:shd w:val="clear" w:color="auto" w:fill="FFFFFF" w:themeFill="background1"/>
            <w:tcMar>
              <w:top w:w="80" w:type="dxa"/>
              <w:left w:w="80" w:type="dxa"/>
              <w:bottom w:w="80" w:type="dxa"/>
              <w:right w:w="80" w:type="dxa"/>
            </w:tcMar>
          </w:tcPr>
          <w:p w14:paraId="7C513C2D" w14:textId="77777777" w:rsidR="007E77F1" w:rsidRPr="00D14504" w:rsidRDefault="007E77F1" w:rsidP="000A2871">
            <w:pPr>
              <w:spacing w:line="360" w:lineRule="auto"/>
              <w:rPr>
                <w:rFonts w:ascii="Arial" w:hAnsi="Arial" w:cs="Arial"/>
                <w:sz w:val="20"/>
                <w:szCs w:val="20"/>
              </w:rPr>
            </w:pPr>
            <w:r w:rsidRPr="00D14504">
              <w:rPr>
                <w:rFonts w:ascii="Arial" w:hAnsi="Arial" w:cs="Arial"/>
                <w:sz w:val="20"/>
                <w:szCs w:val="20"/>
              </w:rPr>
              <w:t>R0040</w:t>
            </w:r>
          </w:p>
        </w:tc>
        <w:tc>
          <w:tcPr>
            <w:tcW w:w="1185" w:type="dxa"/>
            <w:shd w:val="clear" w:color="auto" w:fill="FFFFFF" w:themeFill="background1"/>
            <w:tcMar>
              <w:top w:w="80" w:type="dxa"/>
              <w:left w:w="80" w:type="dxa"/>
              <w:bottom w:w="80" w:type="dxa"/>
              <w:right w:w="80" w:type="dxa"/>
            </w:tcMar>
          </w:tcPr>
          <w:p w14:paraId="537E7E43"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36BEAA2E"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w:t>
            </w:r>
          </w:p>
        </w:tc>
        <w:tc>
          <w:tcPr>
            <w:tcW w:w="1185" w:type="dxa"/>
            <w:shd w:val="clear" w:color="auto" w:fill="FFFFFF" w:themeFill="background1"/>
            <w:tcMar>
              <w:top w:w="80" w:type="dxa"/>
              <w:left w:w="80" w:type="dxa"/>
              <w:bottom w:w="80" w:type="dxa"/>
              <w:right w:w="80" w:type="dxa"/>
            </w:tcMar>
          </w:tcPr>
          <w:p w14:paraId="4B937862"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w:t>
            </w:r>
          </w:p>
        </w:tc>
        <w:tc>
          <w:tcPr>
            <w:tcW w:w="1185" w:type="dxa"/>
            <w:shd w:val="clear" w:color="auto" w:fill="FFFFFF" w:themeFill="background1"/>
            <w:tcMar>
              <w:top w:w="80" w:type="dxa"/>
              <w:left w:w="80" w:type="dxa"/>
              <w:bottom w:w="80" w:type="dxa"/>
              <w:right w:w="80" w:type="dxa"/>
            </w:tcMar>
          </w:tcPr>
          <w:p w14:paraId="737E20FD"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48C47E80"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r>
      <w:tr w:rsidR="007E77F1" w:rsidRPr="000A2871" w14:paraId="6C3DE426" w14:textId="77777777" w:rsidTr="00802D40">
        <w:trPr>
          <w:trHeight w:val="480"/>
        </w:trPr>
        <w:tc>
          <w:tcPr>
            <w:tcW w:w="2985" w:type="dxa"/>
            <w:shd w:val="clear" w:color="auto" w:fill="FFFFFF" w:themeFill="background1"/>
            <w:tcMar>
              <w:top w:w="80" w:type="dxa"/>
              <w:left w:w="80" w:type="dxa"/>
              <w:bottom w:w="80" w:type="dxa"/>
              <w:right w:w="80" w:type="dxa"/>
            </w:tcMar>
          </w:tcPr>
          <w:p w14:paraId="6A1D4997" w14:textId="77777777" w:rsidR="007E77F1" w:rsidRPr="00D14504" w:rsidRDefault="007E77F1" w:rsidP="000A2871">
            <w:pPr>
              <w:spacing w:line="360" w:lineRule="auto"/>
              <w:rPr>
                <w:rFonts w:ascii="Arial" w:hAnsi="Arial" w:cs="Arial"/>
                <w:sz w:val="20"/>
                <w:szCs w:val="20"/>
              </w:rPr>
            </w:pPr>
            <w:r w:rsidRPr="00D14504">
              <w:rPr>
                <w:rFonts w:ascii="Arial" w:hAnsi="Arial" w:cs="Arial"/>
                <w:sz w:val="20"/>
                <w:szCs w:val="20"/>
              </w:rPr>
              <w:t>R0097</w:t>
            </w:r>
          </w:p>
        </w:tc>
        <w:tc>
          <w:tcPr>
            <w:tcW w:w="1185" w:type="dxa"/>
            <w:shd w:val="clear" w:color="auto" w:fill="FFFFFF" w:themeFill="background1"/>
            <w:tcMar>
              <w:top w:w="80" w:type="dxa"/>
              <w:left w:w="80" w:type="dxa"/>
              <w:bottom w:w="80" w:type="dxa"/>
              <w:right w:w="80" w:type="dxa"/>
            </w:tcMar>
          </w:tcPr>
          <w:p w14:paraId="009D06BE"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2318552E"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77889B5A"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w:t>
            </w:r>
          </w:p>
        </w:tc>
        <w:tc>
          <w:tcPr>
            <w:tcW w:w="1185" w:type="dxa"/>
            <w:shd w:val="clear" w:color="auto" w:fill="FFFFFF" w:themeFill="background1"/>
            <w:tcMar>
              <w:top w:w="80" w:type="dxa"/>
              <w:left w:w="80" w:type="dxa"/>
              <w:bottom w:w="80" w:type="dxa"/>
              <w:right w:w="80" w:type="dxa"/>
            </w:tcMar>
          </w:tcPr>
          <w:p w14:paraId="4EBCC8A3"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w:t>
            </w:r>
          </w:p>
        </w:tc>
        <w:tc>
          <w:tcPr>
            <w:tcW w:w="1185" w:type="dxa"/>
            <w:shd w:val="clear" w:color="auto" w:fill="FFFFFF" w:themeFill="background1"/>
            <w:tcMar>
              <w:top w:w="80" w:type="dxa"/>
              <w:left w:w="80" w:type="dxa"/>
              <w:bottom w:w="80" w:type="dxa"/>
              <w:right w:w="80" w:type="dxa"/>
            </w:tcMar>
          </w:tcPr>
          <w:p w14:paraId="3B69FDE4"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r>
      <w:tr w:rsidR="007E77F1" w:rsidRPr="000A2871" w14:paraId="22148B83" w14:textId="77777777" w:rsidTr="00802D40">
        <w:trPr>
          <w:trHeight w:val="480"/>
        </w:trPr>
        <w:tc>
          <w:tcPr>
            <w:tcW w:w="2985" w:type="dxa"/>
            <w:shd w:val="clear" w:color="auto" w:fill="FFFFFF" w:themeFill="background1"/>
            <w:tcMar>
              <w:top w:w="80" w:type="dxa"/>
              <w:left w:w="80" w:type="dxa"/>
              <w:bottom w:w="80" w:type="dxa"/>
              <w:right w:w="80" w:type="dxa"/>
            </w:tcMar>
          </w:tcPr>
          <w:p w14:paraId="1D667B38" w14:textId="77777777" w:rsidR="007E77F1" w:rsidRPr="00D14504" w:rsidRDefault="007E77F1" w:rsidP="000A2871">
            <w:pPr>
              <w:spacing w:line="360" w:lineRule="auto"/>
              <w:rPr>
                <w:rFonts w:ascii="Arial" w:hAnsi="Arial" w:cs="Arial"/>
                <w:sz w:val="20"/>
                <w:szCs w:val="20"/>
              </w:rPr>
            </w:pPr>
            <w:r w:rsidRPr="00D14504">
              <w:rPr>
                <w:rFonts w:ascii="Arial" w:hAnsi="Arial" w:cs="Arial"/>
                <w:sz w:val="20"/>
                <w:szCs w:val="20"/>
              </w:rPr>
              <w:t>R0312</w:t>
            </w:r>
          </w:p>
        </w:tc>
        <w:tc>
          <w:tcPr>
            <w:tcW w:w="1185" w:type="dxa"/>
            <w:shd w:val="clear" w:color="auto" w:fill="FFFFFF" w:themeFill="background1"/>
            <w:tcMar>
              <w:top w:w="80" w:type="dxa"/>
              <w:left w:w="80" w:type="dxa"/>
              <w:bottom w:w="80" w:type="dxa"/>
              <w:right w:w="80" w:type="dxa"/>
            </w:tcMar>
          </w:tcPr>
          <w:p w14:paraId="7F91DF18"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w:t>
            </w:r>
          </w:p>
        </w:tc>
        <w:tc>
          <w:tcPr>
            <w:tcW w:w="1185" w:type="dxa"/>
            <w:shd w:val="clear" w:color="auto" w:fill="FFFFFF" w:themeFill="background1"/>
            <w:tcMar>
              <w:top w:w="80" w:type="dxa"/>
              <w:left w:w="80" w:type="dxa"/>
              <w:bottom w:w="80" w:type="dxa"/>
              <w:right w:w="80" w:type="dxa"/>
            </w:tcMar>
          </w:tcPr>
          <w:p w14:paraId="1A288E10"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w:t>
            </w:r>
          </w:p>
        </w:tc>
        <w:tc>
          <w:tcPr>
            <w:tcW w:w="1185" w:type="dxa"/>
            <w:shd w:val="clear" w:color="auto" w:fill="FFFFFF" w:themeFill="background1"/>
            <w:tcMar>
              <w:top w:w="80" w:type="dxa"/>
              <w:left w:w="80" w:type="dxa"/>
              <w:bottom w:w="80" w:type="dxa"/>
              <w:right w:w="80" w:type="dxa"/>
            </w:tcMar>
          </w:tcPr>
          <w:p w14:paraId="20DEB67C"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1B0B6F24"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w:t>
            </w:r>
          </w:p>
        </w:tc>
        <w:tc>
          <w:tcPr>
            <w:tcW w:w="1185" w:type="dxa"/>
            <w:shd w:val="clear" w:color="auto" w:fill="FFFFFF" w:themeFill="background1"/>
            <w:tcMar>
              <w:top w:w="80" w:type="dxa"/>
              <w:left w:w="80" w:type="dxa"/>
              <w:bottom w:w="80" w:type="dxa"/>
              <w:right w:w="80" w:type="dxa"/>
            </w:tcMar>
          </w:tcPr>
          <w:p w14:paraId="20B3857B"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r>
      <w:tr w:rsidR="007E77F1" w:rsidRPr="000A2871" w14:paraId="67459AFD" w14:textId="77777777" w:rsidTr="00802D40">
        <w:trPr>
          <w:trHeight w:val="480"/>
        </w:trPr>
        <w:tc>
          <w:tcPr>
            <w:tcW w:w="2985" w:type="dxa"/>
            <w:shd w:val="clear" w:color="auto" w:fill="FFFFFF" w:themeFill="background1"/>
            <w:tcMar>
              <w:top w:w="80" w:type="dxa"/>
              <w:left w:w="80" w:type="dxa"/>
              <w:bottom w:w="80" w:type="dxa"/>
              <w:right w:w="80" w:type="dxa"/>
            </w:tcMar>
          </w:tcPr>
          <w:p w14:paraId="0938F38A" w14:textId="77777777" w:rsidR="007E77F1" w:rsidRPr="00D14504" w:rsidRDefault="007E77F1" w:rsidP="000A2871">
            <w:pPr>
              <w:spacing w:line="360" w:lineRule="auto"/>
              <w:rPr>
                <w:rFonts w:ascii="Arial" w:hAnsi="Arial" w:cs="Arial"/>
                <w:sz w:val="20"/>
                <w:szCs w:val="20"/>
              </w:rPr>
            </w:pPr>
            <w:r w:rsidRPr="00D14504">
              <w:rPr>
                <w:rFonts w:ascii="Arial" w:hAnsi="Arial" w:cs="Arial"/>
                <w:sz w:val="20"/>
                <w:szCs w:val="20"/>
              </w:rPr>
              <w:t>S0001</w:t>
            </w:r>
          </w:p>
        </w:tc>
        <w:tc>
          <w:tcPr>
            <w:tcW w:w="1185" w:type="dxa"/>
            <w:shd w:val="clear" w:color="auto" w:fill="FFFFFF" w:themeFill="background1"/>
            <w:tcMar>
              <w:top w:w="80" w:type="dxa"/>
              <w:left w:w="80" w:type="dxa"/>
              <w:bottom w:w="80" w:type="dxa"/>
              <w:right w:w="80" w:type="dxa"/>
            </w:tcMar>
          </w:tcPr>
          <w:p w14:paraId="68E3AB87"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w:t>
            </w:r>
          </w:p>
        </w:tc>
        <w:tc>
          <w:tcPr>
            <w:tcW w:w="1185" w:type="dxa"/>
            <w:shd w:val="clear" w:color="auto" w:fill="FFFFFF" w:themeFill="background1"/>
            <w:tcMar>
              <w:top w:w="80" w:type="dxa"/>
              <w:left w:w="80" w:type="dxa"/>
              <w:bottom w:w="80" w:type="dxa"/>
              <w:right w:w="80" w:type="dxa"/>
            </w:tcMar>
          </w:tcPr>
          <w:p w14:paraId="0138554E"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692D3D18"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078D9E8F"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w:t>
            </w:r>
          </w:p>
        </w:tc>
        <w:tc>
          <w:tcPr>
            <w:tcW w:w="1185" w:type="dxa"/>
            <w:shd w:val="clear" w:color="auto" w:fill="FFFFFF" w:themeFill="background1"/>
            <w:tcMar>
              <w:top w:w="80" w:type="dxa"/>
              <w:left w:w="80" w:type="dxa"/>
              <w:bottom w:w="80" w:type="dxa"/>
              <w:right w:w="80" w:type="dxa"/>
            </w:tcMar>
          </w:tcPr>
          <w:p w14:paraId="5F0894E9"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r>
      <w:tr w:rsidR="007E77F1" w:rsidRPr="000A2871" w14:paraId="4DE27B95" w14:textId="77777777" w:rsidTr="00802D40">
        <w:trPr>
          <w:trHeight w:val="480"/>
        </w:trPr>
        <w:tc>
          <w:tcPr>
            <w:tcW w:w="2985" w:type="dxa"/>
            <w:shd w:val="clear" w:color="auto" w:fill="FFFFFF" w:themeFill="background1"/>
            <w:tcMar>
              <w:top w:w="80" w:type="dxa"/>
              <w:left w:w="80" w:type="dxa"/>
              <w:bottom w:w="80" w:type="dxa"/>
              <w:right w:w="80" w:type="dxa"/>
            </w:tcMar>
          </w:tcPr>
          <w:p w14:paraId="7457CEC6" w14:textId="77777777" w:rsidR="007E77F1" w:rsidRPr="00D14504" w:rsidRDefault="007E77F1" w:rsidP="000A2871">
            <w:pPr>
              <w:spacing w:line="360" w:lineRule="auto"/>
              <w:rPr>
                <w:rFonts w:ascii="Arial" w:hAnsi="Arial" w:cs="Arial"/>
                <w:sz w:val="20"/>
                <w:szCs w:val="20"/>
              </w:rPr>
            </w:pPr>
            <w:r w:rsidRPr="00D14504">
              <w:rPr>
                <w:rFonts w:ascii="Arial" w:hAnsi="Arial" w:cs="Arial"/>
                <w:sz w:val="20"/>
                <w:szCs w:val="20"/>
              </w:rPr>
              <w:t>S0002</w:t>
            </w:r>
          </w:p>
        </w:tc>
        <w:tc>
          <w:tcPr>
            <w:tcW w:w="1185" w:type="dxa"/>
            <w:shd w:val="clear" w:color="auto" w:fill="FFFFFF" w:themeFill="background1"/>
            <w:tcMar>
              <w:top w:w="80" w:type="dxa"/>
              <w:left w:w="80" w:type="dxa"/>
              <w:bottom w:w="80" w:type="dxa"/>
              <w:right w:w="80" w:type="dxa"/>
            </w:tcMar>
          </w:tcPr>
          <w:p w14:paraId="67A46D3A"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29FF281B"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3CB26C13"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23E8EDB2"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39F38282"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w:t>
            </w:r>
          </w:p>
        </w:tc>
      </w:tr>
      <w:tr w:rsidR="007E77F1" w:rsidRPr="000A2871" w14:paraId="2D4088CC" w14:textId="77777777" w:rsidTr="00802D40">
        <w:trPr>
          <w:trHeight w:val="480"/>
        </w:trPr>
        <w:tc>
          <w:tcPr>
            <w:tcW w:w="2985" w:type="dxa"/>
            <w:shd w:val="clear" w:color="auto" w:fill="FFFFFF" w:themeFill="background1"/>
            <w:tcMar>
              <w:top w:w="80" w:type="dxa"/>
              <w:left w:w="80" w:type="dxa"/>
              <w:bottom w:w="80" w:type="dxa"/>
              <w:right w:w="80" w:type="dxa"/>
            </w:tcMar>
          </w:tcPr>
          <w:p w14:paraId="04ABF27A" w14:textId="77777777" w:rsidR="007E77F1" w:rsidRPr="00D14504" w:rsidRDefault="007E77F1" w:rsidP="000A2871">
            <w:pPr>
              <w:spacing w:line="360" w:lineRule="auto"/>
              <w:rPr>
                <w:rFonts w:ascii="Arial" w:hAnsi="Arial" w:cs="Arial"/>
                <w:sz w:val="20"/>
                <w:szCs w:val="20"/>
              </w:rPr>
            </w:pPr>
            <w:r w:rsidRPr="00D14504">
              <w:rPr>
                <w:rFonts w:ascii="Arial" w:hAnsi="Arial" w:cs="Arial"/>
                <w:sz w:val="20"/>
                <w:szCs w:val="20"/>
              </w:rPr>
              <w:t>S0003</w:t>
            </w:r>
          </w:p>
        </w:tc>
        <w:tc>
          <w:tcPr>
            <w:tcW w:w="1185" w:type="dxa"/>
            <w:shd w:val="clear" w:color="auto" w:fill="FFFFFF" w:themeFill="background1"/>
            <w:tcMar>
              <w:top w:w="80" w:type="dxa"/>
              <w:left w:w="80" w:type="dxa"/>
              <w:bottom w:w="80" w:type="dxa"/>
              <w:right w:w="80" w:type="dxa"/>
            </w:tcMar>
          </w:tcPr>
          <w:p w14:paraId="5381E2A6"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w:t>
            </w:r>
          </w:p>
        </w:tc>
        <w:tc>
          <w:tcPr>
            <w:tcW w:w="1185" w:type="dxa"/>
            <w:shd w:val="clear" w:color="auto" w:fill="FFFFFF" w:themeFill="background1"/>
            <w:tcMar>
              <w:top w:w="80" w:type="dxa"/>
              <w:left w:w="80" w:type="dxa"/>
              <w:bottom w:w="80" w:type="dxa"/>
              <w:right w:w="80" w:type="dxa"/>
            </w:tcMar>
          </w:tcPr>
          <w:p w14:paraId="38E0DA37"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252036A4"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Yes</w:t>
            </w:r>
          </w:p>
        </w:tc>
        <w:tc>
          <w:tcPr>
            <w:tcW w:w="1185" w:type="dxa"/>
            <w:shd w:val="clear" w:color="auto" w:fill="FFFFFF" w:themeFill="background1"/>
            <w:tcMar>
              <w:top w:w="80" w:type="dxa"/>
              <w:left w:w="80" w:type="dxa"/>
              <w:bottom w:w="80" w:type="dxa"/>
              <w:right w:w="80" w:type="dxa"/>
            </w:tcMar>
          </w:tcPr>
          <w:p w14:paraId="5FDCF011"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w:t>
            </w:r>
          </w:p>
        </w:tc>
        <w:tc>
          <w:tcPr>
            <w:tcW w:w="1185" w:type="dxa"/>
            <w:shd w:val="clear" w:color="auto" w:fill="FFFFFF" w:themeFill="background1"/>
            <w:tcMar>
              <w:top w:w="80" w:type="dxa"/>
              <w:left w:w="80" w:type="dxa"/>
              <w:bottom w:w="80" w:type="dxa"/>
              <w:right w:w="80" w:type="dxa"/>
            </w:tcMar>
          </w:tcPr>
          <w:p w14:paraId="39F2A8BF" w14:textId="77777777" w:rsidR="007E77F1" w:rsidRPr="00D14504" w:rsidRDefault="007E77F1" w:rsidP="000A2871">
            <w:pPr>
              <w:spacing w:line="360" w:lineRule="auto"/>
              <w:jc w:val="center"/>
              <w:rPr>
                <w:rFonts w:ascii="Arial" w:hAnsi="Arial" w:cs="Arial"/>
                <w:sz w:val="20"/>
                <w:szCs w:val="20"/>
              </w:rPr>
            </w:pPr>
            <w:r w:rsidRPr="00D14504">
              <w:rPr>
                <w:rFonts w:ascii="Arial" w:hAnsi="Arial" w:cs="Arial"/>
                <w:sz w:val="20"/>
                <w:szCs w:val="20"/>
              </w:rPr>
              <w:t>—</w:t>
            </w:r>
          </w:p>
        </w:tc>
      </w:tr>
    </w:tbl>
    <w:p w14:paraId="1FCCB2AF"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0AEF9C60" w14:textId="574A9F56" w:rsidR="007E77F1" w:rsidRPr="000A2871" w:rsidRDefault="007E77F1" w:rsidP="000A2871">
      <w:pPr>
        <w:spacing w:after="120" w:line="360" w:lineRule="auto"/>
        <w:rPr>
          <w:rFonts w:ascii="Arial" w:hAnsi="Arial" w:cs="Arial"/>
        </w:rPr>
      </w:pPr>
      <w:r w:rsidRPr="000A2871">
        <w:rPr>
          <w:rFonts w:ascii="Arial" w:hAnsi="Arial" w:cs="Arial"/>
        </w:rPr>
        <w:t xml:space="preserve">T1 Changing priorities; T2 Practical feasibility; T3 Social belonging and credibility; T4 Emotional safety; T5 Support that fits. </w:t>
      </w:r>
      <w:r w:rsidR="00E02AEB" w:rsidRPr="000A2871">
        <w:rPr>
          <w:rFonts w:ascii="Arial" w:hAnsi="Arial" w:cs="Arial"/>
        </w:rPr>
        <w:t>Yes,</w:t>
      </w:r>
      <w:r w:rsidRPr="000A2871">
        <w:rPr>
          <w:rFonts w:ascii="Arial" w:hAnsi="Arial" w:cs="Arial"/>
        </w:rPr>
        <w:t xml:space="preserve"> denotes an identified contribution, not its frequency, strength or a participant count. A dash means no distinct contribution was assigned in this synthesis.</w:t>
      </w:r>
    </w:p>
    <w:p w14:paraId="61C1958B" w14:textId="77777777" w:rsidR="00D14504" w:rsidRDefault="00D14504">
      <w:pPr>
        <w:rPr>
          <w:rFonts w:ascii="Arial" w:eastAsia="Times New Roman" w:hAnsi="Arial" w:cs="Arial"/>
          <w:b/>
          <w:bCs/>
          <w:color w:val="000000"/>
          <w:sz w:val="34"/>
          <w:szCs w:val="34"/>
        </w:rPr>
      </w:pPr>
      <w:bookmarkStart w:id="206" w:name="_ucwo2qtcxo0p" w:colFirst="0" w:colLast="0"/>
      <w:bookmarkEnd w:id="206"/>
      <w:r>
        <w:rPr>
          <w:rFonts w:ascii="Arial" w:hAnsi="Arial" w:cs="Arial"/>
          <w:bCs/>
          <w:sz w:val="34"/>
          <w:szCs w:val="34"/>
        </w:rPr>
        <w:br w:type="page"/>
      </w:r>
    </w:p>
    <w:p w14:paraId="254EB637" w14:textId="77777777" w:rsidR="007E77F1" w:rsidRPr="000A2871" w:rsidRDefault="007E77F1" w:rsidP="00D14504">
      <w:pPr>
        <w:pStyle w:val="Heading2"/>
        <w:keepNext w:val="0"/>
        <w:keepLines w:val="0"/>
        <w:spacing w:after="80" w:line="360" w:lineRule="auto"/>
        <w:jc w:val="left"/>
        <w:rPr>
          <w:rFonts w:ascii="Arial" w:hAnsi="Arial" w:cs="Arial"/>
          <w:b w:val="0"/>
          <w:bCs/>
          <w:sz w:val="34"/>
          <w:szCs w:val="34"/>
        </w:rPr>
      </w:pPr>
      <w:bookmarkStart w:id="207" w:name="_Toc242459612"/>
      <w:r w:rsidRPr="000A2871">
        <w:rPr>
          <w:rFonts w:ascii="Arial" w:hAnsi="Arial" w:cs="Arial"/>
          <w:bCs/>
          <w:sz w:val="34"/>
          <w:szCs w:val="34"/>
        </w:rPr>
        <w:lastRenderedPageBreak/>
        <w:t>Contrasting accounts and sensitivity checks</w:t>
      </w:r>
      <w:bookmarkEnd w:id="207"/>
    </w:p>
    <w:tbl>
      <w:tblPr>
        <w:tblW w:w="8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520"/>
        <w:gridCol w:w="6375"/>
      </w:tblGrid>
      <w:tr w:rsidR="007E77F1" w:rsidRPr="000A2871" w14:paraId="6A709682" w14:textId="77777777" w:rsidTr="00802D40">
        <w:trPr>
          <w:trHeight w:val="480"/>
        </w:trPr>
        <w:tc>
          <w:tcPr>
            <w:tcW w:w="2520" w:type="dxa"/>
            <w:shd w:val="clear" w:color="auto" w:fill="FFFFFF" w:themeFill="background1"/>
            <w:tcMar>
              <w:top w:w="80" w:type="dxa"/>
              <w:left w:w="80" w:type="dxa"/>
              <w:bottom w:w="80" w:type="dxa"/>
              <w:right w:w="80" w:type="dxa"/>
            </w:tcMar>
          </w:tcPr>
          <w:p w14:paraId="57B11D51" w14:textId="77777777" w:rsidR="007E77F1" w:rsidRPr="00A14D65" w:rsidRDefault="007E77F1" w:rsidP="000A2871">
            <w:pPr>
              <w:spacing w:line="360" w:lineRule="auto"/>
              <w:rPr>
                <w:rFonts w:ascii="Arial" w:hAnsi="Arial" w:cs="Arial"/>
                <w:b/>
                <w:bCs/>
                <w:sz w:val="20"/>
                <w:szCs w:val="20"/>
              </w:rPr>
            </w:pPr>
            <w:r w:rsidRPr="00A14D65">
              <w:rPr>
                <w:rFonts w:ascii="Arial" w:hAnsi="Arial" w:cs="Arial"/>
                <w:b/>
                <w:bCs/>
                <w:sz w:val="20"/>
                <w:szCs w:val="20"/>
              </w:rPr>
              <w:t>Comparison</w:t>
            </w:r>
          </w:p>
        </w:tc>
        <w:tc>
          <w:tcPr>
            <w:tcW w:w="6375" w:type="dxa"/>
            <w:shd w:val="clear" w:color="auto" w:fill="FFFFFF" w:themeFill="background1"/>
            <w:tcMar>
              <w:top w:w="80" w:type="dxa"/>
              <w:left w:w="80" w:type="dxa"/>
              <w:bottom w:w="80" w:type="dxa"/>
              <w:right w:w="80" w:type="dxa"/>
            </w:tcMar>
          </w:tcPr>
          <w:p w14:paraId="40BE9540" w14:textId="77777777" w:rsidR="007E77F1" w:rsidRPr="00A14D65" w:rsidRDefault="007E77F1" w:rsidP="000A2871">
            <w:pPr>
              <w:spacing w:line="360" w:lineRule="auto"/>
              <w:rPr>
                <w:rFonts w:ascii="Arial" w:hAnsi="Arial" w:cs="Arial"/>
                <w:b/>
                <w:bCs/>
                <w:sz w:val="20"/>
                <w:szCs w:val="20"/>
              </w:rPr>
            </w:pPr>
            <w:r w:rsidRPr="00A14D65">
              <w:rPr>
                <w:rFonts w:ascii="Arial" w:hAnsi="Arial" w:cs="Arial"/>
                <w:b/>
                <w:bCs/>
                <w:sz w:val="20"/>
                <w:szCs w:val="20"/>
              </w:rPr>
              <w:t>Interpretation</w:t>
            </w:r>
          </w:p>
        </w:tc>
      </w:tr>
      <w:tr w:rsidR="007E77F1" w:rsidRPr="000A2871" w14:paraId="1C0D8A04" w14:textId="77777777" w:rsidTr="00802D40">
        <w:trPr>
          <w:trHeight w:val="1080"/>
        </w:trPr>
        <w:tc>
          <w:tcPr>
            <w:tcW w:w="2520" w:type="dxa"/>
            <w:shd w:val="clear" w:color="auto" w:fill="FFFFFF" w:themeFill="background1"/>
            <w:tcMar>
              <w:top w:w="80" w:type="dxa"/>
              <w:left w:w="80" w:type="dxa"/>
              <w:bottom w:w="80" w:type="dxa"/>
              <w:right w:w="80" w:type="dxa"/>
            </w:tcMar>
          </w:tcPr>
          <w:p w14:paraId="7C4AE665"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Useful information and unwanted tracking</w:t>
            </w:r>
          </w:p>
        </w:tc>
        <w:tc>
          <w:tcPr>
            <w:tcW w:w="6375" w:type="dxa"/>
            <w:shd w:val="clear" w:color="auto" w:fill="FFFFFF" w:themeFill="background1"/>
            <w:tcMar>
              <w:top w:w="80" w:type="dxa"/>
              <w:left w:w="80" w:type="dxa"/>
              <w:bottom w:w="80" w:type="dxa"/>
              <w:right w:w="80" w:type="dxa"/>
            </w:tcMar>
          </w:tcPr>
          <w:p w14:paraId="6075A37B" w14:textId="3D740E42"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 xml:space="preserve">Hawkes: Rebecca values information without wanting to log behaviour; Sophie wants control over notifications. Perceived usefulness is </w:t>
            </w:r>
            <w:r w:rsidR="00A14D65" w:rsidRPr="00A14D65">
              <w:rPr>
                <w:rFonts w:ascii="Arial" w:hAnsi="Arial" w:cs="Arial"/>
                <w:sz w:val="20"/>
                <w:szCs w:val="20"/>
              </w:rPr>
              <w:t>feature specific</w:t>
            </w:r>
            <w:r w:rsidRPr="00A14D65">
              <w:rPr>
                <w:rFonts w:ascii="Arial" w:hAnsi="Arial" w:cs="Arial"/>
                <w:sz w:val="20"/>
                <w:szCs w:val="20"/>
              </w:rPr>
              <w:t>.</w:t>
            </w:r>
          </w:p>
        </w:tc>
      </w:tr>
      <w:tr w:rsidR="007E77F1" w:rsidRPr="000A2871" w14:paraId="1F3F459B" w14:textId="77777777" w:rsidTr="00802D40">
        <w:trPr>
          <w:trHeight w:val="1080"/>
        </w:trPr>
        <w:tc>
          <w:tcPr>
            <w:tcW w:w="2520" w:type="dxa"/>
            <w:shd w:val="clear" w:color="auto" w:fill="FFFFFF" w:themeFill="background1"/>
            <w:tcMar>
              <w:top w:w="80" w:type="dxa"/>
              <w:left w:w="80" w:type="dxa"/>
              <w:bottom w:w="80" w:type="dxa"/>
              <w:right w:w="80" w:type="dxa"/>
            </w:tcMar>
          </w:tcPr>
          <w:p w14:paraId="4E74773F"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Ideas and pressure in digital content</w:t>
            </w:r>
          </w:p>
        </w:tc>
        <w:tc>
          <w:tcPr>
            <w:tcW w:w="6375" w:type="dxa"/>
            <w:shd w:val="clear" w:color="auto" w:fill="FFFFFF" w:themeFill="background1"/>
            <w:tcMar>
              <w:top w:w="80" w:type="dxa"/>
              <w:left w:w="80" w:type="dxa"/>
              <w:bottom w:w="80" w:type="dxa"/>
              <w:right w:w="80" w:type="dxa"/>
            </w:tcMar>
          </w:tcPr>
          <w:p w14:paraId="650F83C7"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Tang describes opportunities for practical ideas alongside confusion and appearance pressure. The same digital environment can have different consequences.</w:t>
            </w:r>
          </w:p>
        </w:tc>
      </w:tr>
      <w:tr w:rsidR="007E77F1" w:rsidRPr="000A2871" w14:paraId="38B871F5" w14:textId="77777777" w:rsidTr="00802D40">
        <w:trPr>
          <w:trHeight w:val="780"/>
        </w:trPr>
        <w:tc>
          <w:tcPr>
            <w:tcW w:w="2520" w:type="dxa"/>
            <w:shd w:val="clear" w:color="auto" w:fill="FFFFFF" w:themeFill="background1"/>
            <w:tcMar>
              <w:top w:w="80" w:type="dxa"/>
              <w:left w:w="80" w:type="dxa"/>
              <w:bottom w:w="80" w:type="dxa"/>
              <w:right w:w="80" w:type="dxa"/>
            </w:tcMar>
          </w:tcPr>
          <w:p w14:paraId="595E1CC1"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Concern and weight trajectories</w:t>
            </w:r>
          </w:p>
        </w:tc>
        <w:tc>
          <w:tcPr>
            <w:tcW w:w="6375" w:type="dxa"/>
            <w:shd w:val="clear" w:color="auto" w:fill="FFFFFF" w:themeFill="background1"/>
            <w:tcMar>
              <w:top w:w="80" w:type="dxa"/>
              <w:left w:w="80" w:type="dxa"/>
              <w:bottom w:w="80" w:type="dxa"/>
              <w:right w:w="80" w:type="dxa"/>
            </w:tcMar>
          </w:tcPr>
          <w:p w14:paraId="0A8202F7"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Sweeting: greater concern does not uniquely distinguish later trajectories. Concern alone is not a sufficient explanation.</w:t>
            </w:r>
          </w:p>
        </w:tc>
      </w:tr>
      <w:tr w:rsidR="007E77F1" w:rsidRPr="000A2871" w14:paraId="75E2FBA9" w14:textId="77777777" w:rsidTr="00802D40">
        <w:trPr>
          <w:trHeight w:val="1080"/>
        </w:trPr>
        <w:tc>
          <w:tcPr>
            <w:tcW w:w="2520" w:type="dxa"/>
            <w:shd w:val="clear" w:color="auto" w:fill="FFFFFF" w:themeFill="background1"/>
            <w:tcMar>
              <w:top w:w="80" w:type="dxa"/>
              <w:left w:w="80" w:type="dxa"/>
              <w:bottom w:w="80" w:type="dxa"/>
              <w:right w:w="80" w:type="dxa"/>
            </w:tcMar>
          </w:tcPr>
          <w:p w14:paraId="16F88EA3"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Knowledge and difficulty</w:t>
            </w:r>
          </w:p>
        </w:tc>
        <w:tc>
          <w:tcPr>
            <w:tcW w:w="6375" w:type="dxa"/>
            <w:shd w:val="clear" w:color="auto" w:fill="FFFFFF" w:themeFill="background1"/>
            <w:tcMar>
              <w:top w:w="80" w:type="dxa"/>
              <w:left w:w="80" w:type="dxa"/>
              <w:bottom w:w="80" w:type="dxa"/>
              <w:right w:w="80" w:type="dxa"/>
            </w:tcMar>
          </w:tcPr>
          <w:p w14:paraId="5884B364"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Trahearn: younger dietetic students describe practical and emotional pressures despite specialist knowledge. Education and opportunity remain distinct.</w:t>
            </w:r>
          </w:p>
        </w:tc>
      </w:tr>
      <w:tr w:rsidR="007E77F1" w:rsidRPr="000A2871" w14:paraId="6D2C87D6" w14:textId="77777777" w:rsidTr="00802D40">
        <w:trPr>
          <w:trHeight w:val="1080"/>
        </w:trPr>
        <w:tc>
          <w:tcPr>
            <w:tcW w:w="2520" w:type="dxa"/>
            <w:shd w:val="clear" w:color="auto" w:fill="FFFFFF" w:themeFill="background1"/>
            <w:tcMar>
              <w:top w:w="80" w:type="dxa"/>
              <w:left w:w="80" w:type="dxa"/>
              <w:bottom w:w="80" w:type="dxa"/>
              <w:right w:w="80" w:type="dxa"/>
            </w:tcMar>
          </w:tcPr>
          <w:p w14:paraId="1FDD77A9"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Whole-sample evidence only</w:t>
            </w:r>
          </w:p>
        </w:tc>
        <w:tc>
          <w:tcPr>
            <w:tcW w:w="6375" w:type="dxa"/>
            <w:shd w:val="clear" w:color="auto" w:fill="FFFFFF" w:themeFill="background1"/>
            <w:tcMar>
              <w:top w:w="80" w:type="dxa"/>
              <w:left w:w="80" w:type="dxa"/>
              <w:bottom w:w="80" w:type="dxa"/>
              <w:right w:w="80" w:type="dxa"/>
            </w:tcMar>
          </w:tcPr>
          <w:p w14:paraId="0E444C37"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The six whole-sample reports retain the five broad themes. Workplace, medication, clinical-app, dietetic-training and food-insecurity detail becomes thinner.</w:t>
            </w:r>
          </w:p>
        </w:tc>
      </w:tr>
      <w:tr w:rsidR="007E77F1" w:rsidRPr="000A2871" w14:paraId="62A5C78C" w14:textId="77777777" w:rsidTr="00802D40">
        <w:trPr>
          <w:trHeight w:val="1080"/>
        </w:trPr>
        <w:tc>
          <w:tcPr>
            <w:tcW w:w="2520" w:type="dxa"/>
            <w:shd w:val="clear" w:color="auto" w:fill="FFFFFF" w:themeFill="background1"/>
            <w:tcMar>
              <w:top w:w="80" w:type="dxa"/>
              <w:left w:w="80" w:type="dxa"/>
              <w:bottom w:w="80" w:type="dxa"/>
              <w:right w:w="80" w:type="dxa"/>
            </w:tcMar>
          </w:tcPr>
          <w:p w14:paraId="6063FCE0"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Remove Hunter</w:t>
            </w:r>
          </w:p>
        </w:tc>
        <w:tc>
          <w:tcPr>
            <w:tcW w:w="6375" w:type="dxa"/>
            <w:shd w:val="clear" w:color="auto" w:fill="FFFFFF" w:themeFill="background1"/>
            <w:tcMar>
              <w:top w:w="80" w:type="dxa"/>
              <w:left w:w="80" w:type="dxa"/>
              <w:bottom w:w="80" w:type="dxa"/>
              <w:right w:w="80" w:type="dxa"/>
            </w:tcMar>
          </w:tcPr>
          <w:p w14:paraId="76E8F902"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The practical-feasibility theme remains supported elsewhere. The directly age-labelled evidence about purchasing with obesity and food insecurity is reduced; no conclusion depends solely on Hunter.</w:t>
            </w:r>
          </w:p>
        </w:tc>
      </w:tr>
      <w:tr w:rsidR="007E77F1" w:rsidRPr="000A2871" w14:paraId="15FE483E" w14:textId="77777777" w:rsidTr="00802D40">
        <w:trPr>
          <w:trHeight w:val="780"/>
        </w:trPr>
        <w:tc>
          <w:tcPr>
            <w:tcW w:w="2520" w:type="dxa"/>
            <w:shd w:val="clear" w:color="auto" w:fill="FFFFFF" w:themeFill="background1"/>
            <w:tcMar>
              <w:top w:w="80" w:type="dxa"/>
              <w:left w:w="80" w:type="dxa"/>
              <w:bottom w:w="80" w:type="dxa"/>
              <w:right w:w="80" w:type="dxa"/>
            </w:tcMar>
          </w:tcPr>
          <w:p w14:paraId="0CE52F96"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Contextual reports</w:t>
            </w:r>
          </w:p>
        </w:tc>
        <w:tc>
          <w:tcPr>
            <w:tcW w:w="6375" w:type="dxa"/>
            <w:shd w:val="clear" w:color="auto" w:fill="FFFFFF" w:themeFill="background1"/>
            <w:tcMar>
              <w:top w:w="80" w:type="dxa"/>
              <w:left w:w="80" w:type="dxa"/>
              <w:bottom w:w="80" w:type="dxa"/>
              <w:right w:w="80" w:type="dxa"/>
            </w:tcMar>
          </w:tcPr>
          <w:p w14:paraId="4F5F4C48"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Easton, Tyrrell and Hafiz help compare interpretations but do not add eligible participant material to the eleven-article synthesis.</w:t>
            </w:r>
          </w:p>
        </w:tc>
      </w:tr>
    </w:tbl>
    <w:p w14:paraId="57261D15"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7D749C12" w14:textId="77777777" w:rsidR="00A14D65" w:rsidRDefault="00A14D65">
      <w:pPr>
        <w:rPr>
          <w:rFonts w:ascii="Arial" w:eastAsia="Times New Roman" w:hAnsi="Arial" w:cs="Arial"/>
          <w:b/>
          <w:bCs/>
          <w:color w:val="000000"/>
          <w:sz w:val="46"/>
          <w:szCs w:val="46"/>
        </w:rPr>
      </w:pPr>
      <w:bookmarkStart w:id="208" w:name="_v7uzhcpv9hwz" w:colFirst="0" w:colLast="0"/>
      <w:bookmarkEnd w:id="208"/>
      <w:r>
        <w:rPr>
          <w:rFonts w:ascii="Arial" w:hAnsi="Arial" w:cs="Arial"/>
          <w:bCs/>
          <w:sz w:val="46"/>
          <w:szCs w:val="46"/>
        </w:rPr>
        <w:br w:type="page"/>
      </w:r>
    </w:p>
    <w:p w14:paraId="6C368F0F" w14:textId="64CF8A7F" w:rsidR="007E77F1" w:rsidRPr="000A2871" w:rsidRDefault="007E77F1" w:rsidP="4CB8995B">
      <w:pPr>
        <w:pStyle w:val="Heading1"/>
        <w:keepNext w:val="0"/>
        <w:keepLines w:val="0"/>
        <w:spacing w:before="480" w:line="360" w:lineRule="auto"/>
        <w:jc w:val="left"/>
        <w:rPr>
          <w:rFonts w:ascii="Arial" w:hAnsi="Arial" w:cs="Arial"/>
          <w:b w:val="0"/>
          <w:bCs/>
          <w:sz w:val="46"/>
          <w:szCs w:val="46"/>
        </w:rPr>
      </w:pPr>
      <w:bookmarkStart w:id="209" w:name="_Toc242459613"/>
      <w:r w:rsidRPr="000A2871">
        <w:rPr>
          <w:rFonts w:ascii="Arial" w:hAnsi="Arial" w:cs="Arial"/>
          <w:bCs/>
          <w:sz w:val="46"/>
          <w:szCs w:val="46"/>
        </w:rPr>
        <w:lastRenderedPageBreak/>
        <w:t>Appendix D</w:t>
      </w:r>
      <w:r w:rsidR="00E02AEB">
        <w:rPr>
          <w:rFonts w:ascii="Arial" w:hAnsi="Arial" w:cs="Arial"/>
          <w:bCs/>
          <w:sz w:val="46"/>
          <w:szCs w:val="46"/>
        </w:rPr>
        <w:t>:</w:t>
      </w:r>
      <w:r w:rsidRPr="000A2871">
        <w:rPr>
          <w:rFonts w:ascii="Arial" w:hAnsi="Arial" w:cs="Arial"/>
          <w:bCs/>
          <w:sz w:val="46"/>
          <w:szCs w:val="46"/>
        </w:rPr>
        <w:t xml:space="preserve"> CASP appraisal rationales</w:t>
      </w:r>
      <w:bookmarkEnd w:id="209"/>
    </w:p>
    <w:p w14:paraId="041B29E4" w14:textId="4209B032" w:rsidR="007E77F1" w:rsidRPr="000A2871" w:rsidRDefault="007E77F1" w:rsidP="000A2871">
      <w:pPr>
        <w:spacing w:after="120" w:line="360" w:lineRule="auto"/>
        <w:rPr>
          <w:rFonts w:ascii="Arial" w:hAnsi="Arial" w:cs="Arial"/>
        </w:rPr>
      </w:pPr>
      <w:r w:rsidRPr="000A2871">
        <w:rPr>
          <w:rFonts w:ascii="Arial" w:hAnsi="Arial" w:cs="Arial"/>
        </w:rPr>
        <w:t xml:space="preserve">The ten CASP domains are considered at report level. </w:t>
      </w:r>
      <w:r w:rsidR="00E02AEB" w:rsidRPr="000A2871">
        <w:rPr>
          <w:rFonts w:ascii="Arial" w:hAnsi="Arial" w:cs="Arial"/>
        </w:rPr>
        <w:t>Yes,</w:t>
      </w:r>
      <w:r w:rsidRPr="000A2871">
        <w:rPr>
          <w:rFonts w:ascii="Arial" w:hAnsi="Arial" w:cs="Arial"/>
        </w:rPr>
        <w:t xml:space="preserve"> indicates adequate support for the domain; Cannot tell records insufficient reporting or unresolved uncertainty. Judgements are not summed. Sampling appropriateness is judged against the qualitative aim, and methodological value is separate from eligibility for this review (CASP, 2024; Long, French and Brooks, 2020).</w:t>
      </w:r>
    </w:p>
    <w:p w14:paraId="2122B19F" w14:textId="77777777" w:rsidR="007E77F1" w:rsidRPr="000A2871" w:rsidRDefault="007E77F1" w:rsidP="00A14D65">
      <w:pPr>
        <w:pStyle w:val="Heading2"/>
        <w:keepNext w:val="0"/>
        <w:keepLines w:val="0"/>
        <w:spacing w:after="80" w:line="360" w:lineRule="auto"/>
        <w:jc w:val="left"/>
        <w:rPr>
          <w:rFonts w:ascii="Arial" w:hAnsi="Arial" w:cs="Arial"/>
          <w:b w:val="0"/>
          <w:bCs/>
          <w:sz w:val="34"/>
          <w:szCs w:val="34"/>
        </w:rPr>
      </w:pPr>
      <w:bookmarkStart w:id="210" w:name="_t7bv1qw052om" w:colFirst="0" w:colLast="0"/>
      <w:bookmarkStart w:id="211" w:name="_Toc242459614"/>
      <w:bookmarkEnd w:id="210"/>
      <w:r w:rsidRPr="000A2871">
        <w:rPr>
          <w:rFonts w:ascii="Arial" w:hAnsi="Arial" w:cs="Arial"/>
          <w:bCs/>
          <w:sz w:val="34"/>
          <w:szCs w:val="34"/>
        </w:rPr>
        <w:t>D1 R0024 Berry et al. (2018)</w:t>
      </w:r>
      <w:bookmarkEnd w:id="211"/>
    </w:p>
    <w:p w14:paraId="4B04F787" w14:textId="77777777" w:rsidR="007E77F1" w:rsidRPr="000A2871" w:rsidRDefault="007E77F1" w:rsidP="000A2871">
      <w:pPr>
        <w:spacing w:after="120" w:line="360" w:lineRule="auto"/>
        <w:rPr>
          <w:rFonts w:ascii="Arial" w:hAnsi="Arial" w:cs="Arial"/>
        </w:rPr>
      </w:pPr>
      <w:r w:rsidRPr="000A2871">
        <w:rPr>
          <w:rFonts w:ascii="Arial" w:hAnsi="Arial" w:cs="Arial"/>
        </w:rPr>
        <w:t>Whole sample. Aberdeen, Scotland; 19 participants aged 18–25.</w:t>
      </w:r>
    </w:p>
    <w:tbl>
      <w:tblPr>
        <w:tblW w:w="8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5"/>
        <w:gridCol w:w="7170"/>
      </w:tblGrid>
      <w:tr w:rsidR="007E77F1" w:rsidRPr="000A2871" w14:paraId="6EC3984B" w14:textId="77777777" w:rsidTr="00802D40">
        <w:trPr>
          <w:trHeight w:val="780"/>
        </w:trPr>
        <w:tc>
          <w:tcPr>
            <w:tcW w:w="1725" w:type="dxa"/>
            <w:shd w:val="clear" w:color="auto" w:fill="FFFFFF" w:themeFill="background1"/>
            <w:tcMar>
              <w:top w:w="80" w:type="dxa"/>
              <w:left w:w="80" w:type="dxa"/>
              <w:bottom w:w="80" w:type="dxa"/>
              <w:right w:w="80" w:type="dxa"/>
            </w:tcMar>
          </w:tcPr>
          <w:p w14:paraId="1898DCEC" w14:textId="77777777" w:rsidR="007E77F1" w:rsidRPr="00A14D65" w:rsidRDefault="007E77F1" w:rsidP="000A2871">
            <w:pPr>
              <w:spacing w:line="360" w:lineRule="auto"/>
              <w:rPr>
                <w:rFonts w:ascii="Arial" w:hAnsi="Arial" w:cs="Arial"/>
                <w:b/>
                <w:bCs/>
                <w:sz w:val="20"/>
                <w:szCs w:val="20"/>
              </w:rPr>
            </w:pPr>
            <w:r w:rsidRPr="00A14D65">
              <w:rPr>
                <w:rFonts w:ascii="Arial" w:hAnsi="Arial" w:cs="Arial"/>
                <w:b/>
                <w:bCs/>
                <w:sz w:val="20"/>
                <w:szCs w:val="20"/>
              </w:rPr>
              <w:t>Domain and judgement</w:t>
            </w:r>
          </w:p>
        </w:tc>
        <w:tc>
          <w:tcPr>
            <w:tcW w:w="7170" w:type="dxa"/>
            <w:shd w:val="clear" w:color="auto" w:fill="FFFFFF" w:themeFill="background1"/>
            <w:tcMar>
              <w:top w:w="80" w:type="dxa"/>
              <w:left w:w="80" w:type="dxa"/>
              <w:bottom w:w="80" w:type="dxa"/>
              <w:right w:w="80" w:type="dxa"/>
            </w:tcMar>
          </w:tcPr>
          <w:p w14:paraId="3B600C45" w14:textId="77777777" w:rsidR="007E77F1" w:rsidRPr="00A14D65" w:rsidRDefault="007E77F1" w:rsidP="000A2871">
            <w:pPr>
              <w:spacing w:line="360" w:lineRule="auto"/>
              <w:rPr>
                <w:rFonts w:ascii="Arial" w:hAnsi="Arial" w:cs="Arial"/>
                <w:b/>
                <w:bCs/>
                <w:sz w:val="20"/>
                <w:szCs w:val="20"/>
              </w:rPr>
            </w:pPr>
            <w:r w:rsidRPr="00A14D65">
              <w:rPr>
                <w:rFonts w:ascii="Arial" w:hAnsi="Arial" w:cs="Arial"/>
                <w:b/>
                <w:bCs/>
                <w:sz w:val="20"/>
                <w:szCs w:val="20"/>
              </w:rPr>
              <w:t>Report-specific rationale</w:t>
            </w:r>
          </w:p>
        </w:tc>
      </w:tr>
      <w:tr w:rsidR="007E77F1" w:rsidRPr="000A2871" w14:paraId="3EA19AB2" w14:textId="77777777" w:rsidTr="00802D40">
        <w:trPr>
          <w:trHeight w:val="780"/>
        </w:trPr>
        <w:tc>
          <w:tcPr>
            <w:tcW w:w="1725" w:type="dxa"/>
            <w:shd w:val="clear" w:color="auto" w:fill="FFFFFF" w:themeFill="background1"/>
            <w:tcMar>
              <w:top w:w="80" w:type="dxa"/>
              <w:left w:w="80" w:type="dxa"/>
              <w:bottom w:w="80" w:type="dxa"/>
              <w:right w:w="80" w:type="dxa"/>
            </w:tcMar>
          </w:tcPr>
          <w:p w14:paraId="60B65E4B"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Q1</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4F4C568F"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Clear aims. The aim clearly concerns how young adults interpret diet and exercise health messages.</w:t>
            </w:r>
          </w:p>
        </w:tc>
      </w:tr>
      <w:tr w:rsidR="007E77F1" w:rsidRPr="000A2871" w14:paraId="1584111F" w14:textId="77777777" w:rsidTr="00802D40">
        <w:trPr>
          <w:trHeight w:val="780"/>
        </w:trPr>
        <w:tc>
          <w:tcPr>
            <w:tcW w:w="1725" w:type="dxa"/>
            <w:shd w:val="clear" w:color="auto" w:fill="FFFFFF" w:themeFill="background1"/>
            <w:tcMar>
              <w:top w:w="80" w:type="dxa"/>
              <w:left w:w="80" w:type="dxa"/>
              <w:bottom w:w="80" w:type="dxa"/>
              <w:right w:w="80" w:type="dxa"/>
            </w:tcMar>
          </w:tcPr>
          <w:p w14:paraId="58B863F9"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Q2</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34E021F9"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Appropriate qualitative methodology. Qualitative discussion is appropriate for meanings, barriers and preferences.</w:t>
            </w:r>
          </w:p>
        </w:tc>
      </w:tr>
      <w:tr w:rsidR="007E77F1" w:rsidRPr="000A2871" w14:paraId="23DCA411" w14:textId="77777777" w:rsidTr="00802D40">
        <w:trPr>
          <w:trHeight w:val="780"/>
        </w:trPr>
        <w:tc>
          <w:tcPr>
            <w:tcW w:w="1725" w:type="dxa"/>
            <w:shd w:val="clear" w:color="auto" w:fill="FFFFFF" w:themeFill="background1"/>
            <w:tcMar>
              <w:top w:w="80" w:type="dxa"/>
              <w:left w:w="80" w:type="dxa"/>
              <w:bottom w:w="80" w:type="dxa"/>
              <w:right w:w="80" w:type="dxa"/>
            </w:tcMar>
          </w:tcPr>
          <w:p w14:paraId="06918691"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Q3</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17E413EA"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Appropriate research design. Focus groups explore shared views; interviews accommodate groups too small for discussion.</w:t>
            </w:r>
          </w:p>
        </w:tc>
      </w:tr>
      <w:tr w:rsidR="007E77F1" w:rsidRPr="000A2871" w14:paraId="502670F3" w14:textId="77777777" w:rsidTr="00802D40">
        <w:trPr>
          <w:trHeight w:val="780"/>
        </w:trPr>
        <w:tc>
          <w:tcPr>
            <w:tcW w:w="1725" w:type="dxa"/>
            <w:shd w:val="clear" w:color="auto" w:fill="FFFFFF" w:themeFill="background1"/>
            <w:tcMar>
              <w:top w:w="80" w:type="dxa"/>
              <w:left w:w="80" w:type="dxa"/>
              <w:bottom w:w="80" w:type="dxa"/>
              <w:right w:w="80" w:type="dxa"/>
            </w:tcMar>
          </w:tcPr>
          <w:p w14:paraId="628EF285"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Q4</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20FACA0F"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Appropriate recruitment. Local groups and flyers provide relevant participants. Selection seeks varied backgrounds but remains limited in social coverage.</w:t>
            </w:r>
          </w:p>
        </w:tc>
      </w:tr>
      <w:tr w:rsidR="007E77F1" w:rsidRPr="000A2871" w14:paraId="461A3823" w14:textId="77777777" w:rsidTr="00802D40">
        <w:trPr>
          <w:trHeight w:val="780"/>
        </w:trPr>
        <w:tc>
          <w:tcPr>
            <w:tcW w:w="1725" w:type="dxa"/>
            <w:shd w:val="clear" w:color="auto" w:fill="FFFFFF" w:themeFill="background1"/>
            <w:tcMar>
              <w:top w:w="80" w:type="dxa"/>
              <w:left w:w="80" w:type="dxa"/>
              <w:bottom w:w="80" w:type="dxa"/>
              <w:right w:w="80" w:type="dxa"/>
            </w:tcMar>
          </w:tcPr>
          <w:p w14:paraId="6DC7E966"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Q5</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2951E711"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Suitable data collection. A topic guide, message prompts, recording, transcription and an additional group after initial saturation are described.</w:t>
            </w:r>
          </w:p>
        </w:tc>
      </w:tr>
      <w:tr w:rsidR="007E77F1" w:rsidRPr="000A2871" w14:paraId="734FED6F" w14:textId="77777777" w:rsidTr="00802D40">
        <w:trPr>
          <w:trHeight w:val="1080"/>
        </w:trPr>
        <w:tc>
          <w:tcPr>
            <w:tcW w:w="1725" w:type="dxa"/>
            <w:shd w:val="clear" w:color="auto" w:fill="FFFFFF" w:themeFill="background1"/>
            <w:tcMar>
              <w:top w:w="80" w:type="dxa"/>
              <w:left w:w="80" w:type="dxa"/>
              <w:bottom w:w="80" w:type="dxa"/>
              <w:right w:w="80" w:type="dxa"/>
            </w:tcMar>
          </w:tcPr>
          <w:p w14:paraId="76E8830F"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Q6</w:t>
            </w:r>
            <w:r w:rsidRPr="00A14D65">
              <w:rPr>
                <w:rFonts w:ascii="Arial" w:hAnsi="Arial" w:cs="Arial"/>
                <w:sz w:val="20"/>
                <w:szCs w:val="20"/>
              </w:rPr>
              <w:br/>
              <w:t xml:space="preserve"> Cannot tell</w:t>
            </w:r>
          </w:p>
        </w:tc>
        <w:tc>
          <w:tcPr>
            <w:tcW w:w="7170" w:type="dxa"/>
            <w:shd w:val="clear" w:color="auto" w:fill="FFFFFF" w:themeFill="background1"/>
            <w:tcMar>
              <w:top w:w="80" w:type="dxa"/>
              <w:left w:w="80" w:type="dxa"/>
              <w:bottom w:w="80" w:type="dxa"/>
              <w:right w:w="80" w:type="dxa"/>
            </w:tcMar>
          </w:tcPr>
          <w:p w14:paraId="50F8C950"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Researcher–participant relationship and reflexivity. Analyst discussion is reported, but the interviewer’s assumptions and relationship with participants are insufficiently explored.</w:t>
            </w:r>
          </w:p>
        </w:tc>
      </w:tr>
      <w:tr w:rsidR="007E77F1" w:rsidRPr="000A2871" w14:paraId="11AF4E90" w14:textId="77777777" w:rsidTr="00802D40">
        <w:trPr>
          <w:trHeight w:val="780"/>
        </w:trPr>
        <w:tc>
          <w:tcPr>
            <w:tcW w:w="1725" w:type="dxa"/>
            <w:shd w:val="clear" w:color="auto" w:fill="FFFFFF" w:themeFill="background1"/>
            <w:tcMar>
              <w:top w:w="80" w:type="dxa"/>
              <w:left w:w="80" w:type="dxa"/>
              <w:bottom w:w="80" w:type="dxa"/>
              <w:right w:w="80" w:type="dxa"/>
            </w:tcMar>
          </w:tcPr>
          <w:p w14:paraId="5C54A053"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Q7</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35978AA9"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Ethical considerations. Aberdeen ethics approval, voluntary participation and informed consent are reported.</w:t>
            </w:r>
          </w:p>
        </w:tc>
      </w:tr>
      <w:tr w:rsidR="007E77F1" w:rsidRPr="000A2871" w14:paraId="2545D5F3" w14:textId="77777777" w:rsidTr="00802D40">
        <w:trPr>
          <w:trHeight w:val="780"/>
        </w:trPr>
        <w:tc>
          <w:tcPr>
            <w:tcW w:w="1725" w:type="dxa"/>
            <w:shd w:val="clear" w:color="auto" w:fill="FFFFFF" w:themeFill="background1"/>
            <w:tcMar>
              <w:top w:w="80" w:type="dxa"/>
              <w:left w:w="80" w:type="dxa"/>
              <w:bottom w:w="80" w:type="dxa"/>
              <w:right w:w="80" w:type="dxa"/>
            </w:tcMar>
          </w:tcPr>
          <w:p w14:paraId="0D65A3A3"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Q8</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0F4355F8"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Rigorous analysis. Repeated reading, coding, category development and researcher discussion provide a traceable analytic process.</w:t>
            </w:r>
          </w:p>
        </w:tc>
      </w:tr>
      <w:tr w:rsidR="007E77F1" w:rsidRPr="000A2871" w14:paraId="7CC3C3B7" w14:textId="77777777" w:rsidTr="00802D40">
        <w:trPr>
          <w:trHeight w:val="780"/>
        </w:trPr>
        <w:tc>
          <w:tcPr>
            <w:tcW w:w="1725" w:type="dxa"/>
            <w:shd w:val="clear" w:color="auto" w:fill="FFFFFF" w:themeFill="background1"/>
            <w:tcMar>
              <w:top w:w="80" w:type="dxa"/>
              <w:left w:w="80" w:type="dxa"/>
              <w:bottom w:w="80" w:type="dxa"/>
              <w:right w:w="80" w:type="dxa"/>
            </w:tcMar>
          </w:tcPr>
          <w:p w14:paraId="032D905E"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lastRenderedPageBreak/>
              <w:t>Q9</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06080566"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Clear findings. Themes and illustrative accounts clearly address the research question.</w:t>
            </w:r>
          </w:p>
        </w:tc>
      </w:tr>
      <w:tr w:rsidR="007E77F1" w:rsidRPr="000A2871" w14:paraId="064A4FC3" w14:textId="77777777" w:rsidTr="00802D40">
        <w:trPr>
          <w:trHeight w:val="780"/>
        </w:trPr>
        <w:tc>
          <w:tcPr>
            <w:tcW w:w="1725" w:type="dxa"/>
            <w:shd w:val="clear" w:color="auto" w:fill="FFFFFF" w:themeFill="background1"/>
            <w:tcMar>
              <w:top w:w="80" w:type="dxa"/>
              <w:left w:w="80" w:type="dxa"/>
              <w:bottom w:w="80" w:type="dxa"/>
              <w:right w:w="80" w:type="dxa"/>
            </w:tcMar>
          </w:tcPr>
          <w:p w14:paraId="7D383403"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Q10</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70304169"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Value of the research. Findings inform communication design; the local volunteer sample limits transferability.</w:t>
            </w:r>
          </w:p>
        </w:tc>
      </w:tr>
    </w:tbl>
    <w:p w14:paraId="6BE28DA1"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6D60569E" w14:textId="77777777" w:rsidR="007E77F1" w:rsidRPr="000A2871" w:rsidRDefault="007E77F1" w:rsidP="000A2871">
      <w:pPr>
        <w:spacing w:after="120" w:line="360" w:lineRule="auto"/>
        <w:rPr>
          <w:rFonts w:ascii="Arial" w:hAnsi="Arial" w:cs="Arial"/>
        </w:rPr>
      </w:pPr>
      <w:r w:rsidRPr="000A2871">
        <w:rPr>
          <w:rFonts w:ascii="Arial" w:hAnsi="Arial" w:cs="Arial"/>
        </w:rPr>
        <w:t>Source locations: Methods: sampling, collection and analysis; Results: participant demographics and five themes; Table 1; ethics declarations.</w:t>
      </w:r>
    </w:p>
    <w:p w14:paraId="23E7D26D" w14:textId="77777777" w:rsidR="007E77F1" w:rsidRPr="000A2871" w:rsidRDefault="007E77F1" w:rsidP="000A2871">
      <w:pPr>
        <w:spacing w:after="120" w:line="360" w:lineRule="auto"/>
        <w:rPr>
          <w:rFonts w:ascii="Arial" w:hAnsi="Arial" w:cs="Arial"/>
        </w:rPr>
      </w:pPr>
      <w:r w:rsidRPr="000A2871">
        <w:rPr>
          <w:rFonts w:ascii="Arial" w:hAnsi="Arial" w:cs="Arial"/>
        </w:rPr>
        <w:t>https://doi.org/10.1007/s10389-018-0905-9</w:t>
      </w:r>
    </w:p>
    <w:p w14:paraId="0F807026" w14:textId="77777777" w:rsidR="007E77F1" w:rsidRPr="000A2871" w:rsidRDefault="007E77F1" w:rsidP="00A14D65">
      <w:pPr>
        <w:pStyle w:val="Heading2"/>
        <w:keepNext w:val="0"/>
        <w:keepLines w:val="0"/>
        <w:spacing w:after="80" w:line="360" w:lineRule="auto"/>
        <w:jc w:val="left"/>
        <w:rPr>
          <w:rFonts w:ascii="Arial" w:hAnsi="Arial" w:cs="Arial"/>
          <w:b w:val="0"/>
          <w:bCs/>
          <w:sz w:val="34"/>
          <w:szCs w:val="34"/>
        </w:rPr>
      </w:pPr>
      <w:bookmarkStart w:id="212" w:name="_xlt6t9vf413d" w:colFirst="0" w:colLast="0"/>
      <w:bookmarkStart w:id="213" w:name="_Toc242459615"/>
      <w:bookmarkEnd w:id="212"/>
      <w:r w:rsidRPr="000A2871">
        <w:rPr>
          <w:rFonts w:ascii="Arial" w:hAnsi="Arial" w:cs="Arial"/>
          <w:bCs/>
          <w:sz w:val="34"/>
          <w:szCs w:val="34"/>
        </w:rPr>
        <w:t>D2 R0046 Sweeting et al. (2016)</w:t>
      </w:r>
      <w:bookmarkEnd w:id="213"/>
    </w:p>
    <w:p w14:paraId="4D5B1F65" w14:textId="77777777" w:rsidR="007E77F1" w:rsidRPr="000A2871" w:rsidRDefault="007E77F1" w:rsidP="000A2871">
      <w:pPr>
        <w:spacing w:after="120" w:line="360" w:lineRule="auto"/>
        <w:rPr>
          <w:rFonts w:ascii="Arial" w:hAnsi="Arial" w:cs="Arial"/>
        </w:rPr>
      </w:pPr>
      <w:r w:rsidRPr="000A2871">
        <w:rPr>
          <w:rFonts w:ascii="Arial" w:hAnsi="Arial" w:cs="Arial"/>
        </w:rPr>
        <w:t>Whole sample. West of Scotland; 35 participants interviewed at age 24, with adolescent BMI above the 95th centile.</w:t>
      </w:r>
    </w:p>
    <w:tbl>
      <w:tblPr>
        <w:tblW w:w="8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5"/>
        <w:gridCol w:w="7170"/>
      </w:tblGrid>
      <w:tr w:rsidR="007E77F1" w:rsidRPr="000A2871" w14:paraId="292B3162" w14:textId="77777777" w:rsidTr="00802D40">
        <w:trPr>
          <w:trHeight w:val="780"/>
        </w:trPr>
        <w:tc>
          <w:tcPr>
            <w:tcW w:w="1725" w:type="dxa"/>
            <w:shd w:val="clear" w:color="auto" w:fill="FFFFFF" w:themeFill="background1"/>
            <w:tcMar>
              <w:top w:w="80" w:type="dxa"/>
              <w:left w:w="80" w:type="dxa"/>
              <w:bottom w:w="80" w:type="dxa"/>
              <w:right w:w="80" w:type="dxa"/>
            </w:tcMar>
          </w:tcPr>
          <w:p w14:paraId="3BD04B5F" w14:textId="77777777" w:rsidR="007E77F1" w:rsidRPr="00A14D65" w:rsidRDefault="007E77F1" w:rsidP="000A2871">
            <w:pPr>
              <w:spacing w:line="360" w:lineRule="auto"/>
              <w:rPr>
                <w:rFonts w:ascii="Arial" w:hAnsi="Arial" w:cs="Arial"/>
                <w:b/>
                <w:bCs/>
                <w:sz w:val="20"/>
                <w:szCs w:val="20"/>
              </w:rPr>
            </w:pPr>
            <w:r w:rsidRPr="00A14D65">
              <w:rPr>
                <w:rFonts w:ascii="Arial" w:hAnsi="Arial" w:cs="Arial"/>
                <w:b/>
                <w:bCs/>
                <w:sz w:val="20"/>
                <w:szCs w:val="20"/>
              </w:rPr>
              <w:t>Domain and judgement</w:t>
            </w:r>
          </w:p>
        </w:tc>
        <w:tc>
          <w:tcPr>
            <w:tcW w:w="7170" w:type="dxa"/>
            <w:shd w:val="clear" w:color="auto" w:fill="FFFFFF" w:themeFill="background1"/>
            <w:tcMar>
              <w:top w:w="80" w:type="dxa"/>
              <w:left w:w="80" w:type="dxa"/>
              <w:bottom w:w="80" w:type="dxa"/>
              <w:right w:w="80" w:type="dxa"/>
            </w:tcMar>
          </w:tcPr>
          <w:p w14:paraId="40E841A5" w14:textId="77777777" w:rsidR="007E77F1" w:rsidRPr="00A14D65" w:rsidRDefault="007E77F1" w:rsidP="000A2871">
            <w:pPr>
              <w:spacing w:line="360" w:lineRule="auto"/>
              <w:rPr>
                <w:rFonts w:ascii="Arial" w:hAnsi="Arial" w:cs="Arial"/>
                <w:b/>
                <w:bCs/>
                <w:sz w:val="20"/>
                <w:szCs w:val="20"/>
              </w:rPr>
            </w:pPr>
            <w:r w:rsidRPr="00A14D65">
              <w:rPr>
                <w:rFonts w:ascii="Arial" w:hAnsi="Arial" w:cs="Arial"/>
                <w:b/>
                <w:bCs/>
                <w:sz w:val="20"/>
                <w:szCs w:val="20"/>
              </w:rPr>
              <w:t>Report-specific rationale</w:t>
            </w:r>
          </w:p>
        </w:tc>
      </w:tr>
      <w:tr w:rsidR="007E77F1" w:rsidRPr="000A2871" w14:paraId="115BF135" w14:textId="77777777" w:rsidTr="00802D40">
        <w:trPr>
          <w:trHeight w:val="780"/>
        </w:trPr>
        <w:tc>
          <w:tcPr>
            <w:tcW w:w="1725" w:type="dxa"/>
            <w:shd w:val="clear" w:color="auto" w:fill="FFFFFF" w:themeFill="background1"/>
            <w:tcMar>
              <w:top w:w="80" w:type="dxa"/>
              <w:left w:w="80" w:type="dxa"/>
              <w:bottom w:w="80" w:type="dxa"/>
              <w:right w:w="80" w:type="dxa"/>
            </w:tcMar>
          </w:tcPr>
          <w:p w14:paraId="7912394A"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Q1</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4B2CD108"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Clear aims. The aim concerns managing weight during the transition from adolescent overweight to adulthood.</w:t>
            </w:r>
          </w:p>
        </w:tc>
      </w:tr>
      <w:tr w:rsidR="007E77F1" w:rsidRPr="000A2871" w14:paraId="5C879D37" w14:textId="77777777" w:rsidTr="00802D40">
        <w:trPr>
          <w:trHeight w:val="780"/>
        </w:trPr>
        <w:tc>
          <w:tcPr>
            <w:tcW w:w="1725" w:type="dxa"/>
            <w:shd w:val="clear" w:color="auto" w:fill="FFFFFF" w:themeFill="background1"/>
            <w:tcMar>
              <w:top w:w="80" w:type="dxa"/>
              <w:left w:w="80" w:type="dxa"/>
              <w:bottom w:w="80" w:type="dxa"/>
              <w:right w:w="80" w:type="dxa"/>
            </w:tcMar>
          </w:tcPr>
          <w:p w14:paraId="0F4134CE"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Q2</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53937F4D"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Appropriate qualitative methodology. Qualitative accounts suit the examination of priorities, decisions and recalled experiences.</w:t>
            </w:r>
          </w:p>
        </w:tc>
      </w:tr>
      <w:tr w:rsidR="007E77F1" w:rsidRPr="000A2871" w14:paraId="3DB70A4A" w14:textId="77777777" w:rsidTr="00802D40">
        <w:trPr>
          <w:trHeight w:val="780"/>
        </w:trPr>
        <w:tc>
          <w:tcPr>
            <w:tcW w:w="1725" w:type="dxa"/>
            <w:shd w:val="clear" w:color="auto" w:fill="FFFFFF" w:themeFill="background1"/>
            <w:tcMar>
              <w:top w:w="80" w:type="dxa"/>
              <w:left w:w="80" w:type="dxa"/>
              <w:bottom w:w="80" w:type="dxa"/>
              <w:right w:w="80" w:type="dxa"/>
            </w:tcMar>
          </w:tcPr>
          <w:p w14:paraId="59A72491"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Q3</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7C32A37E"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Appropriate research design. Life-history interviews and cohort information permit comparison of experiences across weight trajectories.</w:t>
            </w:r>
          </w:p>
        </w:tc>
      </w:tr>
      <w:tr w:rsidR="007E77F1" w:rsidRPr="000A2871" w14:paraId="4C2B0AA2" w14:textId="77777777" w:rsidTr="00802D40">
        <w:trPr>
          <w:trHeight w:val="780"/>
        </w:trPr>
        <w:tc>
          <w:tcPr>
            <w:tcW w:w="1725" w:type="dxa"/>
            <w:shd w:val="clear" w:color="auto" w:fill="FFFFFF" w:themeFill="background1"/>
            <w:tcMar>
              <w:top w:w="80" w:type="dxa"/>
              <w:left w:w="80" w:type="dxa"/>
              <w:bottom w:w="80" w:type="dxa"/>
              <w:right w:w="80" w:type="dxa"/>
            </w:tcMar>
          </w:tcPr>
          <w:p w14:paraId="321299EB"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Q4</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0EA78878"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Appropriate recruitment. The cohort selection and adolescent weight criterion are explained; follow-up participation may select particular experiences.</w:t>
            </w:r>
          </w:p>
        </w:tc>
      </w:tr>
      <w:tr w:rsidR="007E77F1" w:rsidRPr="000A2871" w14:paraId="3564BD4B" w14:textId="77777777" w:rsidTr="00802D40">
        <w:trPr>
          <w:trHeight w:val="780"/>
        </w:trPr>
        <w:tc>
          <w:tcPr>
            <w:tcW w:w="1725" w:type="dxa"/>
            <w:shd w:val="clear" w:color="auto" w:fill="FFFFFF" w:themeFill="background1"/>
            <w:tcMar>
              <w:top w:w="80" w:type="dxa"/>
              <w:left w:w="80" w:type="dxa"/>
              <w:bottom w:w="80" w:type="dxa"/>
              <w:right w:w="80" w:type="dxa"/>
            </w:tcMar>
          </w:tcPr>
          <w:p w14:paraId="2A43B4AE"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Q5</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02774A29"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Suitable data collection. Interview topics, recording and comparison with life-course information are reported.</w:t>
            </w:r>
          </w:p>
        </w:tc>
      </w:tr>
      <w:tr w:rsidR="007E77F1" w:rsidRPr="000A2871" w14:paraId="271EC7BD" w14:textId="77777777" w:rsidTr="00802D40">
        <w:trPr>
          <w:trHeight w:val="1080"/>
        </w:trPr>
        <w:tc>
          <w:tcPr>
            <w:tcW w:w="1725" w:type="dxa"/>
            <w:shd w:val="clear" w:color="auto" w:fill="FFFFFF" w:themeFill="background1"/>
            <w:tcMar>
              <w:top w:w="80" w:type="dxa"/>
              <w:left w:w="80" w:type="dxa"/>
              <w:bottom w:w="80" w:type="dxa"/>
              <w:right w:w="80" w:type="dxa"/>
            </w:tcMar>
          </w:tcPr>
          <w:p w14:paraId="74BEBB24"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Q6</w:t>
            </w:r>
            <w:r w:rsidRPr="00A14D65">
              <w:rPr>
                <w:rFonts w:ascii="Arial" w:hAnsi="Arial" w:cs="Arial"/>
                <w:sz w:val="20"/>
                <w:szCs w:val="20"/>
              </w:rPr>
              <w:br/>
              <w:t xml:space="preserve"> Cannot tell</w:t>
            </w:r>
          </w:p>
        </w:tc>
        <w:tc>
          <w:tcPr>
            <w:tcW w:w="7170" w:type="dxa"/>
            <w:shd w:val="clear" w:color="auto" w:fill="FFFFFF" w:themeFill="background1"/>
            <w:tcMar>
              <w:top w:w="80" w:type="dxa"/>
              <w:left w:w="80" w:type="dxa"/>
              <w:bottom w:w="80" w:type="dxa"/>
              <w:right w:w="80" w:type="dxa"/>
            </w:tcMar>
          </w:tcPr>
          <w:p w14:paraId="541E3D34"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Researcher–participant relationship and reflexivity. Researcher roles are identified, but the influence of the interview relationship and analytic assumptions is not sufficiently developed.</w:t>
            </w:r>
          </w:p>
        </w:tc>
      </w:tr>
      <w:tr w:rsidR="007E77F1" w:rsidRPr="000A2871" w14:paraId="77C94807" w14:textId="77777777" w:rsidTr="00802D40">
        <w:trPr>
          <w:trHeight w:val="780"/>
        </w:trPr>
        <w:tc>
          <w:tcPr>
            <w:tcW w:w="1725" w:type="dxa"/>
            <w:shd w:val="clear" w:color="auto" w:fill="FFFFFF" w:themeFill="background1"/>
            <w:tcMar>
              <w:top w:w="80" w:type="dxa"/>
              <w:left w:w="80" w:type="dxa"/>
              <w:bottom w:w="80" w:type="dxa"/>
              <w:right w:w="80" w:type="dxa"/>
            </w:tcMar>
          </w:tcPr>
          <w:p w14:paraId="62E15AF3"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Q7</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7A6B0C71"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Ethical considerations. The study reports ethical approval and participant consent within the research programme.</w:t>
            </w:r>
          </w:p>
        </w:tc>
      </w:tr>
      <w:tr w:rsidR="007E77F1" w:rsidRPr="000A2871" w14:paraId="74AAE318" w14:textId="77777777" w:rsidTr="00802D40">
        <w:trPr>
          <w:trHeight w:val="780"/>
        </w:trPr>
        <w:tc>
          <w:tcPr>
            <w:tcW w:w="1725" w:type="dxa"/>
            <w:shd w:val="clear" w:color="auto" w:fill="FFFFFF" w:themeFill="background1"/>
            <w:tcMar>
              <w:top w:w="80" w:type="dxa"/>
              <w:left w:w="80" w:type="dxa"/>
              <w:bottom w:w="80" w:type="dxa"/>
              <w:right w:w="80" w:type="dxa"/>
            </w:tcMar>
          </w:tcPr>
          <w:p w14:paraId="7FDD33D8"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lastRenderedPageBreak/>
              <w:t>Q8</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641AD6AF"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Rigorous analysis. Systematic comparison of accounts and trajectories supports interpretation while retaining variation.</w:t>
            </w:r>
          </w:p>
        </w:tc>
      </w:tr>
      <w:tr w:rsidR="007E77F1" w:rsidRPr="000A2871" w14:paraId="2DDBD244" w14:textId="77777777" w:rsidTr="00802D40">
        <w:trPr>
          <w:trHeight w:val="780"/>
        </w:trPr>
        <w:tc>
          <w:tcPr>
            <w:tcW w:w="1725" w:type="dxa"/>
            <w:shd w:val="clear" w:color="auto" w:fill="FFFFFF" w:themeFill="background1"/>
            <w:tcMar>
              <w:top w:w="80" w:type="dxa"/>
              <w:left w:w="80" w:type="dxa"/>
              <w:bottom w:w="80" w:type="dxa"/>
              <w:right w:w="80" w:type="dxa"/>
            </w:tcMar>
          </w:tcPr>
          <w:p w14:paraId="5AD702A8"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Q9</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058DD973"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Clear findings. Findings distinguish concern about weight from the circumstances surrounding management.</w:t>
            </w:r>
          </w:p>
        </w:tc>
      </w:tr>
      <w:tr w:rsidR="007E77F1" w:rsidRPr="000A2871" w14:paraId="231C6ECA" w14:textId="77777777" w:rsidTr="00802D40">
        <w:trPr>
          <w:trHeight w:val="780"/>
        </w:trPr>
        <w:tc>
          <w:tcPr>
            <w:tcW w:w="1725" w:type="dxa"/>
            <w:shd w:val="clear" w:color="auto" w:fill="FFFFFF" w:themeFill="background1"/>
            <w:tcMar>
              <w:top w:w="80" w:type="dxa"/>
              <w:left w:w="80" w:type="dxa"/>
              <w:bottom w:w="80" w:type="dxa"/>
              <w:right w:w="80" w:type="dxa"/>
            </w:tcMar>
          </w:tcPr>
          <w:p w14:paraId="651E4B19"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Q10</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5633FA76"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Value of the research. The life-course contribution is valuable; recall and a specific regional cohort limit transferability.</w:t>
            </w:r>
          </w:p>
        </w:tc>
      </w:tr>
    </w:tbl>
    <w:p w14:paraId="14D300C5"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7DD140AE" w14:textId="77777777" w:rsidR="007E77F1" w:rsidRPr="000A2871" w:rsidRDefault="007E77F1" w:rsidP="000A2871">
      <w:pPr>
        <w:spacing w:after="120" w:line="360" w:lineRule="auto"/>
        <w:rPr>
          <w:rFonts w:ascii="Arial" w:hAnsi="Arial" w:cs="Arial"/>
        </w:rPr>
      </w:pPr>
      <w:r w:rsidRPr="000A2871">
        <w:rPr>
          <w:rFonts w:ascii="Arial" w:hAnsi="Arial" w:cs="Arial"/>
        </w:rPr>
        <w:t>Source locations: Methods and participant selection; Results: changing concern, weight management and adult circumstances.</w:t>
      </w:r>
    </w:p>
    <w:p w14:paraId="5FAB5F7A" w14:textId="77777777" w:rsidR="007E77F1" w:rsidRPr="000A2871" w:rsidRDefault="007E77F1" w:rsidP="000A2871">
      <w:pPr>
        <w:spacing w:after="120" w:line="360" w:lineRule="auto"/>
        <w:rPr>
          <w:rFonts w:ascii="Arial" w:hAnsi="Arial" w:cs="Arial"/>
        </w:rPr>
      </w:pPr>
      <w:r w:rsidRPr="000A2871">
        <w:rPr>
          <w:rFonts w:ascii="Arial" w:hAnsi="Arial" w:cs="Arial"/>
        </w:rPr>
        <w:t>https://doi.org/10.1136/bmjopen-2015-010774</w:t>
      </w:r>
    </w:p>
    <w:p w14:paraId="4C7AA65C" w14:textId="77777777" w:rsidR="007E77F1" w:rsidRPr="000A2871" w:rsidRDefault="007E77F1" w:rsidP="00A14D65">
      <w:pPr>
        <w:pStyle w:val="Heading2"/>
        <w:keepNext w:val="0"/>
        <w:keepLines w:val="0"/>
        <w:spacing w:after="80" w:line="360" w:lineRule="auto"/>
        <w:jc w:val="left"/>
        <w:rPr>
          <w:rFonts w:ascii="Arial" w:hAnsi="Arial" w:cs="Arial"/>
          <w:b w:val="0"/>
          <w:bCs/>
          <w:sz w:val="34"/>
          <w:szCs w:val="34"/>
        </w:rPr>
      </w:pPr>
      <w:bookmarkStart w:id="214" w:name="_mrjf24gtzrmd" w:colFirst="0" w:colLast="0"/>
      <w:bookmarkStart w:id="215" w:name="_Toc242459616"/>
      <w:bookmarkEnd w:id="214"/>
      <w:r w:rsidRPr="000A2871">
        <w:rPr>
          <w:rFonts w:ascii="Arial" w:hAnsi="Arial" w:cs="Arial"/>
          <w:bCs/>
          <w:sz w:val="34"/>
          <w:szCs w:val="34"/>
        </w:rPr>
        <w:t>D3 R0132 Tang et al. (2026)</w:t>
      </w:r>
      <w:bookmarkEnd w:id="215"/>
    </w:p>
    <w:p w14:paraId="184CE580" w14:textId="77777777" w:rsidR="007E77F1" w:rsidRPr="000A2871" w:rsidRDefault="007E77F1" w:rsidP="000A2871">
      <w:pPr>
        <w:spacing w:after="120" w:line="360" w:lineRule="auto"/>
        <w:rPr>
          <w:rFonts w:ascii="Arial" w:hAnsi="Arial" w:cs="Arial"/>
        </w:rPr>
      </w:pPr>
      <w:r w:rsidRPr="000A2871">
        <w:rPr>
          <w:rFonts w:ascii="Arial" w:hAnsi="Arial" w:cs="Arial"/>
        </w:rPr>
        <w:t>Whole sample. UK residents; 25 participants aged 18–25; online interviews conducted in 2024.</w:t>
      </w:r>
    </w:p>
    <w:tbl>
      <w:tblPr>
        <w:tblW w:w="8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5"/>
        <w:gridCol w:w="7170"/>
      </w:tblGrid>
      <w:tr w:rsidR="007E77F1" w:rsidRPr="000A2871" w14:paraId="64961A13" w14:textId="77777777" w:rsidTr="00802D40">
        <w:trPr>
          <w:trHeight w:val="780"/>
        </w:trPr>
        <w:tc>
          <w:tcPr>
            <w:tcW w:w="1725" w:type="dxa"/>
            <w:shd w:val="clear" w:color="auto" w:fill="FFFFFF" w:themeFill="background1"/>
            <w:tcMar>
              <w:top w:w="80" w:type="dxa"/>
              <w:left w:w="80" w:type="dxa"/>
              <w:bottom w:w="80" w:type="dxa"/>
              <w:right w:w="80" w:type="dxa"/>
            </w:tcMar>
          </w:tcPr>
          <w:p w14:paraId="590D1D51" w14:textId="77777777" w:rsidR="007E77F1" w:rsidRPr="00A14D65" w:rsidRDefault="007E77F1" w:rsidP="000A2871">
            <w:pPr>
              <w:spacing w:line="360" w:lineRule="auto"/>
              <w:rPr>
                <w:rFonts w:ascii="Arial" w:hAnsi="Arial" w:cs="Arial"/>
                <w:b/>
                <w:bCs/>
                <w:sz w:val="20"/>
                <w:szCs w:val="20"/>
              </w:rPr>
            </w:pPr>
            <w:r w:rsidRPr="00A14D65">
              <w:rPr>
                <w:rFonts w:ascii="Arial" w:hAnsi="Arial" w:cs="Arial"/>
                <w:b/>
                <w:bCs/>
                <w:sz w:val="20"/>
                <w:szCs w:val="20"/>
              </w:rPr>
              <w:t>Domain and judgement</w:t>
            </w:r>
          </w:p>
        </w:tc>
        <w:tc>
          <w:tcPr>
            <w:tcW w:w="7170" w:type="dxa"/>
            <w:shd w:val="clear" w:color="auto" w:fill="FFFFFF" w:themeFill="background1"/>
            <w:tcMar>
              <w:top w:w="80" w:type="dxa"/>
              <w:left w:w="80" w:type="dxa"/>
              <w:bottom w:w="80" w:type="dxa"/>
              <w:right w:w="80" w:type="dxa"/>
            </w:tcMar>
          </w:tcPr>
          <w:p w14:paraId="672A80A5" w14:textId="77777777" w:rsidR="007E77F1" w:rsidRPr="00A14D65" w:rsidRDefault="007E77F1" w:rsidP="000A2871">
            <w:pPr>
              <w:spacing w:line="360" w:lineRule="auto"/>
              <w:rPr>
                <w:rFonts w:ascii="Arial" w:hAnsi="Arial" w:cs="Arial"/>
                <w:b/>
                <w:bCs/>
                <w:sz w:val="20"/>
                <w:szCs w:val="20"/>
              </w:rPr>
            </w:pPr>
            <w:r w:rsidRPr="00A14D65">
              <w:rPr>
                <w:rFonts w:ascii="Arial" w:hAnsi="Arial" w:cs="Arial"/>
                <w:b/>
                <w:bCs/>
                <w:sz w:val="20"/>
                <w:szCs w:val="20"/>
              </w:rPr>
              <w:t>Report-specific rationale</w:t>
            </w:r>
          </w:p>
        </w:tc>
      </w:tr>
      <w:tr w:rsidR="007E77F1" w:rsidRPr="000A2871" w14:paraId="4F722F9D" w14:textId="77777777" w:rsidTr="00802D40">
        <w:trPr>
          <w:trHeight w:val="780"/>
        </w:trPr>
        <w:tc>
          <w:tcPr>
            <w:tcW w:w="1725" w:type="dxa"/>
            <w:shd w:val="clear" w:color="auto" w:fill="FFFFFF" w:themeFill="background1"/>
            <w:tcMar>
              <w:top w:w="80" w:type="dxa"/>
              <w:left w:w="80" w:type="dxa"/>
              <w:bottom w:w="80" w:type="dxa"/>
              <w:right w:w="80" w:type="dxa"/>
            </w:tcMar>
          </w:tcPr>
          <w:p w14:paraId="6D732676"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Q1</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75977BB8"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Clear aims. The aim specifies interactions with food and nutrition content and implications for intervention design.</w:t>
            </w:r>
          </w:p>
        </w:tc>
      </w:tr>
      <w:tr w:rsidR="007E77F1" w:rsidRPr="000A2871" w14:paraId="69D73DD8" w14:textId="77777777" w:rsidTr="00802D40">
        <w:trPr>
          <w:trHeight w:val="780"/>
        </w:trPr>
        <w:tc>
          <w:tcPr>
            <w:tcW w:w="1725" w:type="dxa"/>
            <w:shd w:val="clear" w:color="auto" w:fill="FFFFFF" w:themeFill="background1"/>
            <w:tcMar>
              <w:top w:w="80" w:type="dxa"/>
              <w:left w:w="80" w:type="dxa"/>
              <w:bottom w:w="80" w:type="dxa"/>
              <w:right w:w="80" w:type="dxa"/>
            </w:tcMar>
          </w:tcPr>
          <w:p w14:paraId="6A9977EB"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Q2</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1C9A6311"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Appropriate qualitative methodology. Interviews are appropriate for personal interpretation and experiences of online content.</w:t>
            </w:r>
          </w:p>
        </w:tc>
      </w:tr>
      <w:tr w:rsidR="007E77F1" w:rsidRPr="000A2871" w14:paraId="2656D855" w14:textId="77777777" w:rsidTr="00802D40">
        <w:trPr>
          <w:trHeight w:val="780"/>
        </w:trPr>
        <w:tc>
          <w:tcPr>
            <w:tcW w:w="1725" w:type="dxa"/>
            <w:shd w:val="clear" w:color="auto" w:fill="FFFFFF" w:themeFill="background1"/>
            <w:tcMar>
              <w:top w:w="80" w:type="dxa"/>
              <w:left w:w="80" w:type="dxa"/>
              <w:bottom w:w="80" w:type="dxa"/>
              <w:right w:w="80" w:type="dxa"/>
            </w:tcMar>
          </w:tcPr>
          <w:p w14:paraId="016C69EE"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Q3</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37287680"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Appropriate research design. The design connects open accounts with later behavioural-framework interpretation.</w:t>
            </w:r>
          </w:p>
        </w:tc>
      </w:tr>
      <w:tr w:rsidR="007E77F1" w:rsidRPr="000A2871" w14:paraId="66DF66BA" w14:textId="77777777" w:rsidTr="00802D40">
        <w:trPr>
          <w:trHeight w:val="780"/>
        </w:trPr>
        <w:tc>
          <w:tcPr>
            <w:tcW w:w="1725" w:type="dxa"/>
            <w:shd w:val="clear" w:color="auto" w:fill="FFFFFF" w:themeFill="background1"/>
            <w:tcMar>
              <w:top w:w="80" w:type="dxa"/>
              <w:left w:w="80" w:type="dxa"/>
              <w:bottom w:w="80" w:type="dxa"/>
              <w:right w:w="80" w:type="dxa"/>
            </w:tcMar>
          </w:tcPr>
          <w:p w14:paraId="6CB5ECEC"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Q4</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1A4F14D8"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Appropriate recruitment. Eligibility includes age, UK residence and regular social-media use; diverse recruitment and information power are discussed.</w:t>
            </w:r>
          </w:p>
        </w:tc>
      </w:tr>
      <w:tr w:rsidR="007E77F1" w:rsidRPr="000A2871" w14:paraId="64EB26BF" w14:textId="77777777" w:rsidTr="00802D40">
        <w:trPr>
          <w:trHeight w:val="780"/>
        </w:trPr>
        <w:tc>
          <w:tcPr>
            <w:tcW w:w="1725" w:type="dxa"/>
            <w:shd w:val="clear" w:color="auto" w:fill="FFFFFF" w:themeFill="background1"/>
            <w:tcMar>
              <w:top w:w="80" w:type="dxa"/>
              <w:left w:w="80" w:type="dxa"/>
              <w:bottom w:w="80" w:type="dxa"/>
              <w:right w:w="80" w:type="dxa"/>
            </w:tcMar>
          </w:tcPr>
          <w:p w14:paraId="2374D99E"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Q5</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54CD5964"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Suitable data collection. A semistructured guide, public involvement, recordings, transcription and field notes are described.</w:t>
            </w:r>
          </w:p>
        </w:tc>
      </w:tr>
      <w:tr w:rsidR="007E77F1" w:rsidRPr="000A2871" w14:paraId="5E592F7A" w14:textId="77777777" w:rsidTr="00802D40">
        <w:trPr>
          <w:trHeight w:val="780"/>
        </w:trPr>
        <w:tc>
          <w:tcPr>
            <w:tcW w:w="1725" w:type="dxa"/>
            <w:shd w:val="clear" w:color="auto" w:fill="FFFFFF" w:themeFill="background1"/>
            <w:tcMar>
              <w:top w:w="80" w:type="dxa"/>
              <w:left w:w="80" w:type="dxa"/>
              <w:bottom w:w="80" w:type="dxa"/>
              <w:right w:w="80" w:type="dxa"/>
            </w:tcMar>
          </w:tcPr>
          <w:p w14:paraId="2C3A49ED"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Q6</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5332C916"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Researcher–participant relationship and reflexivity. The interviewer reflects on nutrition expertise, lived experience, age proximity and possible assumptions.</w:t>
            </w:r>
          </w:p>
        </w:tc>
      </w:tr>
      <w:tr w:rsidR="007E77F1" w:rsidRPr="000A2871" w14:paraId="6D6BE654" w14:textId="77777777" w:rsidTr="00802D40">
        <w:trPr>
          <w:trHeight w:val="780"/>
        </w:trPr>
        <w:tc>
          <w:tcPr>
            <w:tcW w:w="1725" w:type="dxa"/>
            <w:shd w:val="clear" w:color="auto" w:fill="FFFFFF" w:themeFill="background1"/>
            <w:tcMar>
              <w:top w:w="80" w:type="dxa"/>
              <w:left w:w="80" w:type="dxa"/>
              <w:bottom w:w="80" w:type="dxa"/>
              <w:right w:w="80" w:type="dxa"/>
            </w:tcMar>
          </w:tcPr>
          <w:p w14:paraId="1E7F3709"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lastRenderedPageBreak/>
              <w:t>Q7</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116F1456"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Ethical considerations. Cambridge approval, consent, confidentiality and sensitivity to distressing topics are reported.</w:t>
            </w:r>
          </w:p>
        </w:tc>
      </w:tr>
      <w:tr w:rsidR="007E77F1" w:rsidRPr="000A2871" w14:paraId="2107B07F" w14:textId="77777777" w:rsidTr="00802D40">
        <w:trPr>
          <w:trHeight w:val="780"/>
        </w:trPr>
        <w:tc>
          <w:tcPr>
            <w:tcW w:w="1725" w:type="dxa"/>
            <w:shd w:val="clear" w:color="auto" w:fill="FFFFFF" w:themeFill="background1"/>
            <w:tcMar>
              <w:top w:w="80" w:type="dxa"/>
              <w:left w:w="80" w:type="dxa"/>
              <w:bottom w:w="80" w:type="dxa"/>
              <w:right w:w="80" w:type="dxa"/>
            </w:tcMar>
          </w:tcPr>
          <w:p w14:paraId="5F702278"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Q8</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6BE73C78"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Rigorous analysis. Inductive coding, reflexive discussion and subsequent framework mapping are distinguished.</w:t>
            </w:r>
          </w:p>
        </w:tc>
      </w:tr>
      <w:tr w:rsidR="007E77F1" w:rsidRPr="000A2871" w14:paraId="4ADA1386" w14:textId="77777777" w:rsidTr="00802D40">
        <w:trPr>
          <w:trHeight w:val="780"/>
        </w:trPr>
        <w:tc>
          <w:tcPr>
            <w:tcW w:w="1725" w:type="dxa"/>
            <w:shd w:val="clear" w:color="auto" w:fill="FFFFFF" w:themeFill="background1"/>
            <w:tcMar>
              <w:top w:w="80" w:type="dxa"/>
              <w:left w:w="80" w:type="dxa"/>
              <w:bottom w:w="80" w:type="dxa"/>
              <w:right w:w="80" w:type="dxa"/>
            </w:tcMar>
          </w:tcPr>
          <w:p w14:paraId="3F0AB700"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Q9</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191B640D"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Clear findings. Themes are illustrated with age-labelled accounts and include both benefits and harms.</w:t>
            </w:r>
          </w:p>
        </w:tc>
      </w:tr>
      <w:tr w:rsidR="007E77F1" w:rsidRPr="000A2871" w14:paraId="0EB1DB22" w14:textId="77777777" w:rsidTr="00802D40">
        <w:trPr>
          <w:trHeight w:val="780"/>
        </w:trPr>
        <w:tc>
          <w:tcPr>
            <w:tcW w:w="1725" w:type="dxa"/>
            <w:shd w:val="clear" w:color="auto" w:fill="FFFFFF" w:themeFill="background1"/>
            <w:tcMar>
              <w:top w:w="80" w:type="dxa"/>
              <w:left w:w="80" w:type="dxa"/>
              <w:bottom w:w="80" w:type="dxa"/>
              <w:right w:w="80" w:type="dxa"/>
            </w:tcMar>
          </w:tcPr>
          <w:p w14:paraId="2B2BDC7D"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Q10</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4CB674F6"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Value of the research. Useful design insights are offered; self-selection and active social-media use limit broader applicability.</w:t>
            </w:r>
          </w:p>
        </w:tc>
      </w:tr>
    </w:tbl>
    <w:p w14:paraId="5830720E"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55946098" w14:textId="77777777" w:rsidR="007E77F1" w:rsidRPr="000A2871" w:rsidRDefault="007E77F1" w:rsidP="000A2871">
      <w:pPr>
        <w:spacing w:after="120" w:line="360" w:lineRule="auto"/>
        <w:rPr>
          <w:rFonts w:ascii="Arial" w:hAnsi="Arial" w:cs="Arial"/>
        </w:rPr>
      </w:pPr>
      <w:r w:rsidRPr="000A2871">
        <w:rPr>
          <w:rFonts w:ascii="Arial" w:hAnsi="Arial" w:cs="Arial"/>
        </w:rPr>
        <w:t>Source locations: Methods: recruitment, reflexivity and two-stage analysis; Results: five themes; ethics section.</w:t>
      </w:r>
    </w:p>
    <w:p w14:paraId="384A9B6F" w14:textId="77777777" w:rsidR="007E77F1" w:rsidRPr="000A2871" w:rsidRDefault="007E77F1" w:rsidP="000A2871">
      <w:pPr>
        <w:spacing w:after="120" w:line="360" w:lineRule="auto"/>
        <w:rPr>
          <w:rFonts w:ascii="Arial" w:hAnsi="Arial" w:cs="Arial"/>
        </w:rPr>
      </w:pPr>
      <w:r w:rsidRPr="000A2871">
        <w:rPr>
          <w:rFonts w:ascii="Arial" w:hAnsi="Arial" w:cs="Arial"/>
        </w:rPr>
        <w:t>https://doi.org/10.2196/89344</w:t>
      </w:r>
    </w:p>
    <w:p w14:paraId="2139C09A" w14:textId="77777777" w:rsidR="007E77F1" w:rsidRPr="000A2871" w:rsidRDefault="007E77F1" w:rsidP="00A14D65">
      <w:pPr>
        <w:pStyle w:val="Heading2"/>
        <w:keepNext w:val="0"/>
        <w:keepLines w:val="0"/>
        <w:spacing w:after="80" w:line="360" w:lineRule="auto"/>
        <w:jc w:val="left"/>
        <w:rPr>
          <w:rFonts w:ascii="Arial" w:hAnsi="Arial" w:cs="Arial"/>
          <w:b w:val="0"/>
          <w:bCs/>
          <w:sz w:val="34"/>
          <w:szCs w:val="34"/>
        </w:rPr>
      </w:pPr>
      <w:bookmarkStart w:id="216" w:name="_p9i022f3gsxx" w:colFirst="0" w:colLast="0"/>
      <w:bookmarkStart w:id="217" w:name="_Toc242459617"/>
      <w:bookmarkEnd w:id="216"/>
      <w:r w:rsidRPr="000A2871">
        <w:rPr>
          <w:rFonts w:ascii="Arial" w:hAnsi="Arial" w:cs="Arial"/>
          <w:bCs/>
          <w:sz w:val="34"/>
          <w:szCs w:val="34"/>
        </w:rPr>
        <w:t>D4 R0096 Scott et al. (2020)</w:t>
      </w:r>
      <w:bookmarkEnd w:id="217"/>
    </w:p>
    <w:p w14:paraId="3F9E8E2A" w14:textId="77777777" w:rsidR="007E77F1" w:rsidRPr="000A2871" w:rsidRDefault="007E77F1" w:rsidP="000A2871">
      <w:pPr>
        <w:spacing w:after="120" w:line="360" w:lineRule="auto"/>
        <w:rPr>
          <w:rFonts w:ascii="Arial" w:hAnsi="Arial" w:cs="Arial"/>
        </w:rPr>
      </w:pPr>
      <w:r w:rsidRPr="000A2871">
        <w:rPr>
          <w:rFonts w:ascii="Arial" w:hAnsi="Arial" w:cs="Arial"/>
        </w:rPr>
        <w:t>Whole sample. North-East England; 45 participants aged 18–25, including three aged 25.</w:t>
      </w:r>
    </w:p>
    <w:tbl>
      <w:tblPr>
        <w:tblW w:w="8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5"/>
        <w:gridCol w:w="7170"/>
      </w:tblGrid>
      <w:tr w:rsidR="007E77F1" w:rsidRPr="000A2871" w14:paraId="44EA72F5" w14:textId="77777777" w:rsidTr="00802D40">
        <w:trPr>
          <w:trHeight w:val="780"/>
        </w:trPr>
        <w:tc>
          <w:tcPr>
            <w:tcW w:w="1725" w:type="dxa"/>
            <w:shd w:val="clear" w:color="auto" w:fill="FFFFFF" w:themeFill="background1"/>
            <w:tcMar>
              <w:top w:w="80" w:type="dxa"/>
              <w:left w:w="80" w:type="dxa"/>
              <w:bottom w:w="80" w:type="dxa"/>
              <w:right w:w="80" w:type="dxa"/>
            </w:tcMar>
          </w:tcPr>
          <w:p w14:paraId="40C0C044" w14:textId="77777777" w:rsidR="007E77F1" w:rsidRPr="00A14D65" w:rsidRDefault="007E77F1" w:rsidP="000A2871">
            <w:pPr>
              <w:spacing w:line="360" w:lineRule="auto"/>
              <w:rPr>
                <w:rFonts w:ascii="Arial" w:hAnsi="Arial" w:cs="Arial"/>
                <w:b/>
                <w:bCs/>
                <w:sz w:val="20"/>
                <w:szCs w:val="20"/>
              </w:rPr>
            </w:pPr>
            <w:r w:rsidRPr="00A14D65">
              <w:rPr>
                <w:rFonts w:ascii="Arial" w:hAnsi="Arial" w:cs="Arial"/>
                <w:b/>
                <w:bCs/>
                <w:sz w:val="20"/>
                <w:szCs w:val="20"/>
              </w:rPr>
              <w:t>Domain and judgement</w:t>
            </w:r>
          </w:p>
        </w:tc>
        <w:tc>
          <w:tcPr>
            <w:tcW w:w="7170" w:type="dxa"/>
            <w:shd w:val="clear" w:color="auto" w:fill="FFFFFF" w:themeFill="background1"/>
            <w:tcMar>
              <w:top w:w="80" w:type="dxa"/>
              <w:left w:w="80" w:type="dxa"/>
              <w:bottom w:w="80" w:type="dxa"/>
              <w:right w:w="80" w:type="dxa"/>
            </w:tcMar>
          </w:tcPr>
          <w:p w14:paraId="3D9CD6D5" w14:textId="77777777" w:rsidR="007E77F1" w:rsidRPr="00A14D65" w:rsidRDefault="007E77F1" w:rsidP="000A2871">
            <w:pPr>
              <w:spacing w:line="360" w:lineRule="auto"/>
              <w:rPr>
                <w:rFonts w:ascii="Arial" w:hAnsi="Arial" w:cs="Arial"/>
                <w:b/>
                <w:bCs/>
                <w:sz w:val="20"/>
                <w:szCs w:val="20"/>
              </w:rPr>
            </w:pPr>
            <w:r w:rsidRPr="00A14D65">
              <w:rPr>
                <w:rFonts w:ascii="Arial" w:hAnsi="Arial" w:cs="Arial"/>
                <w:b/>
                <w:bCs/>
                <w:sz w:val="20"/>
                <w:szCs w:val="20"/>
              </w:rPr>
              <w:t>Report-specific rationale</w:t>
            </w:r>
          </w:p>
        </w:tc>
      </w:tr>
      <w:tr w:rsidR="007E77F1" w:rsidRPr="000A2871" w14:paraId="60BD8FB1" w14:textId="77777777" w:rsidTr="00802D40">
        <w:trPr>
          <w:trHeight w:val="780"/>
        </w:trPr>
        <w:tc>
          <w:tcPr>
            <w:tcW w:w="1725" w:type="dxa"/>
            <w:shd w:val="clear" w:color="auto" w:fill="FFFFFF" w:themeFill="background1"/>
            <w:tcMar>
              <w:top w:w="80" w:type="dxa"/>
              <w:left w:w="80" w:type="dxa"/>
              <w:bottom w:w="80" w:type="dxa"/>
              <w:right w:w="80" w:type="dxa"/>
            </w:tcMar>
          </w:tcPr>
          <w:p w14:paraId="71490914"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Q1</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19EE2992"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Clear aims. The aim specifies the relationship between eating and alcohol in young adults’ social lives.</w:t>
            </w:r>
          </w:p>
        </w:tc>
      </w:tr>
      <w:tr w:rsidR="007E77F1" w:rsidRPr="000A2871" w14:paraId="68D87732" w14:textId="77777777" w:rsidTr="00802D40">
        <w:trPr>
          <w:trHeight w:val="780"/>
        </w:trPr>
        <w:tc>
          <w:tcPr>
            <w:tcW w:w="1725" w:type="dxa"/>
            <w:shd w:val="clear" w:color="auto" w:fill="FFFFFF" w:themeFill="background1"/>
            <w:tcMar>
              <w:top w:w="80" w:type="dxa"/>
              <w:left w:w="80" w:type="dxa"/>
              <w:bottom w:w="80" w:type="dxa"/>
              <w:right w:w="80" w:type="dxa"/>
            </w:tcMar>
          </w:tcPr>
          <w:p w14:paraId="633E6858"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Q2</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6C35D926"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Appropriate qualitative methodology. Qualitative enquiry suits the examination of meanings, routines and perceived risks.</w:t>
            </w:r>
          </w:p>
        </w:tc>
      </w:tr>
      <w:tr w:rsidR="007E77F1" w:rsidRPr="000A2871" w14:paraId="32A153DB" w14:textId="77777777" w:rsidTr="00802D40">
        <w:trPr>
          <w:trHeight w:val="780"/>
        </w:trPr>
        <w:tc>
          <w:tcPr>
            <w:tcW w:w="1725" w:type="dxa"/>
            <w:shd w:val="clear" w:color="auto" w:fill="FFFFFF" w:themeFill="background1"/>
            <w:tcMar>
              <w:top w:w="80" w:type="dxa"/>
              <w:left w:w="80" w:type="dxa"/>
              <w:bottom w:w="80" w:type="dxa"/>
              <w:right w:w="80" w:type="dxa"/>
            </w:tcMar>
          </w:tcPr>
          <w:p w14:paraId="5361A4AF"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Q3</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63F7C083"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Appropriate research design. Interviews and iterative analysis provide detail about connected practices.</w:t>
            </w:r>
          </w:p>
        </w:tc>
      </w:tr>
      <w:tr w:rsidR="007E77F1" w:rsidRPr="000A2871" w14:paraId="209976ED" w14:textId="77777777" w:rsidTr="00802D40">
        <w:trPr>
          <w:trHeight w:val="1080"/>
        </w:trPr>
        <w:tc>
          <w:tcPr>
            <w:tcW w:w="1725" w:type="dxa"/>
            <w:shd w:val="clear" w:color="auto" w:fill="FFFFFF" w:themeFill="background1"/>
            <w:tcMar>
              <w:top w:w="80" w:type="dxa"/>
              <w:left w:w="80" w:type="dxa"/>
              <w:bottom w:w="80" w:type="dxa"/>
              <w:right w:w="80" w:type="dxa"/>
            </w:tcMar>
          </w:tcPr>
          <w:p w14:paraId="721AD278"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Q4</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0A09449A"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Appropriate recruitment. Recruitment through community, employment and education settings deliberately includes different circumstances; the sample is predominantly White British.</w:t>
            </w:r>
          </w:p>
        </w:tc>
      </w:tr>
      <w:tr w:rsidR="007E77F1" w:rsidRPr="000A2871" w14:paraId="65BA388B" w14:textId="77777777" w:rsidTr="00802D40">
        <w:trPr>
          <w:trHeight w:val="780"/>
        </w:trPr>
        <w:tc>
          <w:tcPr>
            <w:tcW w:w="1725" w:type="dxa"/>
            <w:shd w:val="clear" w:color="auto" w:fill="FFFFFF" w:themeFill="background1"/>
            <w:tcMar>
              <w:top w:w="80" w:type="dxa"/>
              <w:left w:w="80" w:type="dxa"/>
              <w:bottom w:w="80" w:type="dxa"/>
              <w:right w:w="80" w:type="dxa"/>
            </w:tcMar>
          </w:tcPr>
          <w:p w14:paraId="3A7437AB"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Q5</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17885F3C"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Suitable data collection. The guide, interview process, recordings and observational field notes are described.</w:t>
            </w:r>
          </w:p>
        </w:tc>
      </w:tr>
      <w:tr w:rsidR="007E77F1" w:rsidRPr="000A2871" w14:paraId="6556CC86" w14:textId="77777777" w:rsidTr="00802D40">
        <w:trPr>
          <w:trHeight w:val="1080"/>
        </w:trPr>
        <w:tc>
          <w:tcPr>
            <w:tcW w:w="1725" w:type="dxa"/>
            <w:shd w:val="clear" w:color="auto" w:fill="FFFFFF" w:themeFill="background1"/>
            <w:tcMar>
              <w:top w:w="80" w:type="dxa"/>
              <w:left w:w="80" w:type="dxa"/>
              <w:bottom w:w="80" w:type="dxa"/>
              <w:right w:w="80" w:type="dxa"/>
            </w:tcMar>
          </w:tcPr>
          <w:p w14:paraId="34180BBB"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lastRenderedPageBreak/>
              <w:t>Q6</w:t>
            </w:r>
            <w:r w:rsidRPr="00A14D65">
              <w:rPr>
                <w:rFonts w:ascii="Arial" w:hAnsi="Arial" w:cs="Arial"/>
                <w:sz w:val="20"/>
                <w:szCs w:val="20"/>
              </w:rPr>
              <w:br/>
              <w:t xml:space="preserve"> Cannot tell</w:t>
            </w:r>
          </w:p>
        </w:tc>
        <w:tc>
          <w:tcPr>
            <w:tcW w:w="7170" w:type="dxa"/>
            <w:shd w:val="clear" w:color="auto" w:fill="FFFFFF" w:themeFill="background1"/>
            <w:tcMar>
              <w:top w:w="80" w:type="dxa"/>
              <w:left w:w="80" w:type="dxa"/>
              <w:bottom w:w="80" w:type="dxa"/>
              <w:right w:w="80" w:type="dxa"/>
            </w:tcMar>
          </w:tcPr>
          <w:p w14:paraId="1986D99B"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Researcher–participant relationship and reflexivity. Interviewer characteristics and absence of prior relationships are reported, but critical discussion of their influence is limited.</w:t>
            </w:r>
          </w:p>
        </w:tc>
      </w:tr>
      <w:tr w:rsidR="007E77F1" w:rsidRPr="000A2871" w14:paraId="3D77CBE3" w14:textId="77777777" w:rsidTr="00802D40">
        <w:trPr>
          <w:trHeight w:val="780"/>
        </w:trPr>
        <w:tc>
          <w:tcPr>
            <w:tcW w:w="1725" w:type="dxa"/>
            <w:shd w:val="clear" w:color="auto" w:fill="FFFFFF" w:themeFill="background1"/>
            <w:tcMar>
              <w:top w:w="80" w:type="dxa"/>
              <w:left w:w="80" w:type="dxa"/>
              <w:bottom w:w="80" w:type="dxa"/>
              <w:right w:w="80" w:type="dxa"/>
            </w:tcMar>
          </w:tcPr>
          <w:p w14:paraId="4DF119E1"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Q7</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357AA77A"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Ethical considerations. Newcastle approval, information sheets, written consent and anonymity are reported.</w:t>
            </w:r>
          </w:p>
        </w:tc>
      </w:tr>
      <w:tr w:rsidR="007E77F1" w:rsidRPr="000A2871" w14:paraId="6E85F1F4" w14:textId="77777777" w:rsidTr="00802D40">
        <w:trPr>
          <w:trHeight w:val="780"/>
        </w:trPr>
        <w:tc>
          <w:tcPr>
            <w:tcW w:w="1725" w:type="dxa"/>
            <w:shd w:val="clear" w:color="auto" w:fill="FFFFFF" w:themeFill="background1"/>
            <w:tcMar>
              <w:top w:w="80" w:type="dxa"/>
              <w:left w:w="80" w:type="dxa"/>
              <w:bottom w:w="80" w:type="dxa"/>
              <w:right w:w="80" w:type="dxa"/>
            </w:tcMar>
          </w:tcPr>
          <w:p w14:paraId="37D591C4"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Q8</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1745DEED"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Rigorous analysis. Line-by-line coding, comparison, analytic tables and challenge within the team support the analysis.</w:t>
            </w:r>
          </w:p>
        </w:tc>
      </w:tr>
      <w:tr w:rsidR="007E77F1" w:rsidRPr="000A2871" w14:paraId="19295E5E" w14:textId="77777777" w:rsidTr="00802D40">
        <w:trPr>
          <w:trHeight w:val="780"/>
        </w:trPr>
        <w:tc>
          <w:tcPr>
            <w:tcW w:w="1725" w:type="dxa"/>
            <w:shd w:val="clear" w:color="auto" w:fill="FFFFFF" w:themeFill="background1"/>
            <w:tcMar>
              <w:top w:w="80" w:type="dxa"/>
              <w:left w:w="80" w:type="dxa"/>
              <w:bottom w:w="80" w:type="dxa"/>
              <w:right w:w="80" w:type="dxa"/>
            </w:tcMar>
          </w:tcPr>
          <w:p w14:paraId="239FFEE6"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Q9</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4C028EB4"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Clear findings. Clear themes and quotations explain the links between eating and drinking.</w:t>
            </w:r>
          </w:p>
        </w:tc>
      </w:tr>
      <w:tr w:rsidR="007E77F1" w:rsidRPr="000A2871" w14:paraId="4F99F45A" w14:textId="77777777" w:rsidTr="00802D40">
        <w:trPr>
          <w:trHeight w:val="780"/>
        </w:trPr>
        <w:tc>
          <w:tcPr>
            <w:tcW w:w="1725" w:type="dxa"/>
            <w:shd w:val="clear" w:color="auto" w:fill="FFFFFF" w:themeFill="background1"/>
            <w:tcMar>
              <w:top w:w="80" w:type="dxa"/>
              <w:left w:w="80" w:type="dxa"/>
              <w:bottom w:w="80" w:type="dxa"/>
              <w:right w:w="80" w:type="dxa"/>
            </w:tcMar>
          </w:tcPr>
          <w:p w14:paraId="631600DB"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Q10</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5E2BC10D"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Value of the research. The work informs combined prevention questions; retrospective accounts do not measure behavioural effects.</w:t>
            </w:r>
          </w:p>
        </w:tc>
      </w:tr>
    </w:tbl>
    <w:p w14:paraId="603FF85C"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1127CF32" w14:textId="77777777" w:rsidR="007E77F1" w:rsidRPr="000A2871" w:rsidRDefault="007E77F1" w:rsidP="000A2871">
      <w:pPr>
        <w:spacing w:after="120" w:line="360" w:lineRule="auto"/>
        <w:rPr>
          <w:rFonts w:ascii="Arial" w:hAnsi="Arial" w:cs="Arial"/>
        </w:rPr>
      </w:pPr>
      <w:r w:rsidRPr="000A2871">
        <w:rPr>
          <w:rFonts w:ascii="Arial" w:hAnsi="Arial" w:cs="Arial"/>
        </w:rPr>
        <w:t>Source locations: Methods sections 2.1–2.3; Table 1; Results and study limitations.</w:t>
      </w:r>
    </w:p>
    <w:p w14:paraId="3F44689D" w14:textId="77777777" w:rsidR="007E77F1" w:rsidRPr="000A2871" w:rsidRDefault="007E77F1" w:rsidP="000A2871">
      <w:pPr>
        <w:spacing w:after="120" w:line="360" w:lineRule="auto"/>
        <w:rPr>
          <w:rFonts w:ascii="Arial" w:hAnsi="Arial" w:cs="Arial"/>
        </w:rPr>
      </w:pPr>
      <w:r w:rsidRPr="000A2871">
        <w:rPr>
          <w:rFonts w:ascii="Arial" w:hAnsi="Arial" w:cs="Arial"/>
        </w:rPr>
        <w:t>https://doi.org/10.1016/j.appet.2019.104449</w:t>
      </w:r>
    </w:p>
    <w:p w14:paraId="3E6E1265" w14:textId="77777777" w:rsidR="007E77F1" w:rsidRPr="000A2871" w:rsidRDefault="007E77F1" w:rsidP="00A14D65">
      <w:pPr>
        <w:pStyle w:val="Heading2"/>
        <w:keepNext w:val="0"/>
        <w:keepLines w:val="0"/>
        <w:spacing w:after="80" w:line="360" w:lineRule="auto"/>
        <w:jc w:val="left"/>
        <w:rPr>
          <w:rFonts w:ascii="Arial" w:hAnsi="Arial" w:cs="Arial"/>
          <w:b w:val="0"/>
          <w:bCs/>
          <w:sz w:val="34"/>
          <w:szCs w:val="34"/>
        </w:rPr>
      </w:pPr>
      <w:bookmarkStart w:id="218" w:name="_ch63q7lo692x" w:colFirst="0" w:colLast="0"/>
      <w:bookmarkStart w:id="219" w:name="_Toc242459618"/>
      <w:bookmarkEnd w:id="218"/>
      <w:r w:rsidRPr="000A2871">
        <w:rPr>
          <w:rFonts w:ascii="Arial" w:hAnsi="Arial" w:cs="Arial"/>
          <w:bCs/>
          <w:sz w:val="34"/>
          <w:szCs w:val="34"/>
        </w:rPr>
        <w:t>D5 R0058 Canzini and Langdon-Daly (2025)</w:t>
      </w:r>
      <w:bookmarkEnd w:id="219"/>
    </w:p>
    <w:p w14:paraId="1FC491D9" w14:textId="77777777" w:rsidR="007E77F1" w:rsidRPr="000A2871" w:rsidRDefault="007E77F1" w:rsidP="000A2871">
      <w:pPr>
        <w:spacing w:after="120" w:line="360" w:lineRule="auto"/>
        <w:rPr>
          <w:rFonts w:ascii="Arial" w:hAnsi="Arial" w:cs="Arial"/>
        </w:rPr>
      </w:pPr>
      <w:r w:rsidRPr="000A2871">
        <w:rPr>
          <w:rFonts w:ascii="Arial" w:hAnsi="Arial" w:cs="Arial"/>
        </w:rPr>
        <w:t>Whole sample. UK residents; eight White British women aged 18–25, all expressing negative views of menu calorie labelling.</w:t>
      </w:r>
    </w:p>
    <w:tbl>
      <w:tblPr>
        <w:tblW w:w="8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5"/>
        <w:gridCol w:w="7170"/>
      </w:tblGrid>
      <w:tr w:rsidR="007E77F1" w:rsidRPr="000A2871" w14:paraId="32396AE0" w14:textId="77777777" w:rsidTr="00802D40">
        <w:trPr>
          <w:trHeight w:val="780"/>
        </w:trPr>
        <w:tc>
          <w:tcPr>
            <w:tcW w:w="1725" w:type="dxa"/>
            <w:shd w:val="clear" w:color="auto" w:fill="FFFFFF" w:themeFill="background1"/>
            <w:tcMar>
              <w:top w:w="80" w:type="dxa"/>
              <w:left w:w="80" w:type="dxa"/>
              <w:bottom w:w="80" w:type="dxa"/>
              <w:right w:w="80" w:type="dxa"/>
            </w:tcMar>
          </w:tcPr>
          <w:p w14:paraId="531BED8D" w14:textId="77777777" w:rsidR="007E77F1" w:rsidRPr="00A14D65" w:rsidRDefault="007E77F1" w:rsidP="000A2871">
            <w:pPr>
              <w:spacing w:line="360" w:lineRule="auto"/>
              <w:rPr>
                <w:rFonts w:ascii="Arial" w:hAnsi="Arial" w:cs="Arial"/>
                <w:b/>
                <w:bCs/>
                <w:sz w:val="20"/>
                <w:szCs w:val="20"/>
              </w:rPr>
            </w:pPr>
            <w:r w:rsidRPr="00A14D65">
              <w:rPr>
                <w:rFonts w:ascii="Arial" w:hAnsi="Arial" w:cs="Arial"/>
                <w:b/>
                <w:bCs/>
                <w:sz w:val="20"/>
                <w:szCs w:val="20"/>
              </w:rPr>
              <w:t>Domain and judgement</w:t>
            </w:r>
          </w:p>
        </w:tc>
        <w:tc>
          <w:tcPr>
            <w:tcW w:w="7170" w:type="dxa"/>
            <w:shd w:val="clear" w:color="auto" w:fill="FFFFFF" w:themeFill="background1"/>
            <w:tcMar>
              <w:top w:w="80" w:type="dxa"/>
              <w:left w:w="80" w:type="dxa"/>
              <w:bottom w:w="80" w:type="dxa"/>
              <w:right w:w="80" w:type="dxa"/>
            </w:tcMar>
          </w:tcPr>
          <w:p w14:paraId="71750B24" w14:textId="77777777" w:rsidR="007E77F1" w:rsidRPr="00A14D65" w:rsidRDefault="007E77F1" w:rsidP="000A2871">
            <w:pPr>
              <w:spacing w:line="360" w:lineRule="auto"/>
              <w:rPr>
                <w:rFonts w:ascii="Arial" w:hAnsi="Arial" w:cs="Arial"/>
                <w:b/>
                <w:bCs/>
                <w:sz w:val="20"/>
                <w:szCs w:val="20"/>
              </w:rPr>
            </w:pPr>
            <w:r w:rsidRPr="00A14D65">
              <w:rPr>
                <w:rFonts w:ascii="Arial" w:hAnsi="Arial" w:cs="Arial"/>
                <w:b/>
                <w:bCs/>
                <w:sz w:val="20"/>
                <w:szCs w:val="20"/>
              </w:rPr>
              <w:t>Report-specific rationale</w:t>
            </w:r>
          </w:p>
        </w:tc>
      </w:tr>
      <w:tr w:rsidR="007E77F1" w:rsidRPr="000A2871" w14:paraId="3F7E6CBE" w14:textId="77777777" w:rsidTr="00802D40">
        <w:trPr>
          <w:trHeight w:val="780"/>
        </w:trPr>
        <w:tc>
          <w:tcPr>
            <w:tcW w:w="1725" w:type="dxa"/>
            <w:shd w:val="clear" w:color="auto" w:fill="FFFFFF" w:themeFill="background1"/>
            <w:tcMar>
              <w:top w:w="80" w:type="dxa"/>
              <w:left w:w="80" w:type="dxa"/>
              <w:bottom w:w="80" w:type="dxa"/>
              <w:right w:w="80" w:type="dxa"/>
            </w:tcMar>
          </w:tcPr>
          <w:p w14:paraId="5FC5E485"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Q1</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45DCB7A7"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Clear aims. The aim clearly concerns young women’s experiences and views of calorie information.</w:t>
            </w:r>
          </w:p>
        </w:tc>
      </w:tr>
      <w:tr w:rsidR="007E77F1" w:rsidRPr="000A2871" w14:paraId="45D8A3DA" w14:textId="77777777" w:rsidTr="00802D40">
        <w:trPr>
          <w:trHeight w:val="780"/>
        </w:trPr>
        <w:tc>
          <w:tcPr>
            <w:tcW w:w="1725" w:type="dxa"/>
            <w:shd w:val="clear" w:color="auto" w:fill="FFFFFF" w:themeFill="background1"/>
            <w:tcMar>
              <w:top w:w="80" w:type="dxa"/>
              <w:left w:w="80" w:type="dxa"/>
              <w:bottom w:w="80" w:type="dxa"/>
              <w:right w:w="80" w:type="dxa"/>
            </w:tcMar>
          </w:tcPr>
          <w:p w14:paraId="701E7E27"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Q2</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5CDA82CC"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Appropriate qualitative methodology. Qualitative interviews are appropriate for emotional responses and interpretations.</w:t>
            </w:r>
          </w:p>
        </w:tc>
      </w:tr>
      <w:tr w:rsidR="007E77F1" w:rsidRPr="000A2871" w14:paraId="43FE8BAB" w14:textId="77777777" w:rsidTr="00802D40">
        <w:trPr>
          <w:trHeight w:val="780"/>
        </w:trPr>
        <w:tc>
          <w:tcPr>
            <w:tcW w:w="1725" w:type="dxa"/>
            <w:shd w:val="clear" w:color="auto" w:fill="FFFFFF" w:themeFill="background1"/>
            <w:tcMar>
              <w:top w:w="80" w:type="dxa"/>
              <w:left w:w="80" w:type="dxa"/>
              <w:bottom w:w="80" w:type="dxa"/>
              <w:right w:w="80" w:type="dxa"/>
            </w:tcMar>
          </w:tcPr>
          <w:p w14:paraId="2312B093"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Q3</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1F0CAABB"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Appropriate research design. The design permits detailed accounts and coherent interpretive analysis.</w:t>
            </w:r>
          </w:p>
        </w:tc>
      </w:tr>
      <w:tr w:rsidR="007E77F1" w:rsidRPr="000A2871" w14:paraId="69CAA8A6" w14:textId="77777777" w:rsidTr="00802D40">
        <w:trPr>
          <w:trHeight w:val="780"/>
        </w:trPr>
        <w:tc>
          <w:tcPr>
            <w:tcW w:w="1725" w:type="dxa"/>
            <w:shd w:val="clear" w:color="auto" w:fill="FFFFFF" w:themeFill="background1"/>
            <w:tcMar>
              <w:top w:w="80" w:type="dxa"/>
              <w:left w:w="80" w:type="dxa"/>
              <w:bottom w:w="80" w:type="dxa"/>
              <w:right w:w="80" w:type="dxa"/>
            </w:tcMar>
          </w:tcPr>
          <w:p w14:paraId="174100C1"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Q4</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33C6B997"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Appropriate recruitment. Volunteer recruitment is explained and relevant; the uniformly negative, demographically narrow sample limits diversity of views.</w:t>
            </w:r>
          </w:p>
        </w:tc>
      </w:tr>
      <w:tr w:rsidR="007E77F1" w:rsidRPr="000A2871" w14:paraId="32164705" w14:textId="77777777" w:rsidTr="00802D40">
        <w:trPr>
          <w:trHeight w:val="780"/>
        </w:trPr>
        <w:tc>
          <w:tcPr>
            <w:tcW w:w="1725" w:type="dxa"/>
            <w:shd w:val="clear" w:color="auto" w:fill="FFFFFF" w:themeFill="background1"/>
            <w:tcMar>
              <w:top w:w="80" w:type="dxa"/>
              <w:left w:w="80" w:type="dxa"/>
              <w:bottom w:w="80" w:type="dxa"/>
              <w:right w:w="80" w:type="dxa"/>
            </w:tcMar>
          </w:tcPr>
          <w:p w14:paraId="1EB4DD7F"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lastRenderedPageBreak/>
              <w:t>Q5</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1BA207E9"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Suitable data collection. Interview procedures and prompts provide a clear basis for data generation.</w:t>
            </w:r>
          </w:p>
        </w:tc>
      </w:tr>
      <w:tr w:rsidR="007E77F1" w:rsidRPr="000A2871" w14:paraId="1D3A421D" w14:textId="77777777" w:rsidTr="00802D40">
        <w:trPr>
          <w:trHeight w:val="780"/>
        </w:trPr>
        <w:tc>
          <w:tcPr>
            <w:tcW w:w="1725" w:type="dxa"/>
            <w:shd w:val="clear" w:color="auto" w:fill="FFFFFF" w:themeFill="background1"/>
            <w:tcMar>
              <w:top w:w="80" w:type="dxa"/>
              <w:left w:w="80" w:type="dxa"/>
              <w:bottom w:w="80" w:type="dxa"/>
              <w:right w:w="80" w:type="dxa"/>
            </w:tcMar>
          </w:tcPr>
          <w:p w14:paraId="1BAF4856"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Q6</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2E76C397"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Researcher–participant relationship and reflexivity. The researchers discuss personal and clinical perspectives and the risk of influencing interviews.</w:t>
            </w:r>
          </w:p>
        </w:tc>
      </w:tr>
      <w:tr w:rsidR="007E77F1" w:rsidRPr="000A2871" w14:paraId="77D8B9E6" w14:textId="77777777" w:rsidTr="00802D40">
        <w:trPr>
          <w:trHeight w:val="780"/>
        </w:trPr>
        <w:tc>
          <w:tcPr>
            <w:tcW w:w="1725" w:type="dxa"/>
            <w:shd w:val="clear" w:color="auto" w:fill="FFFFFF" w:themeFill="background1"/>
            <w:tcMar>
              <w:top w:w="80" w:type="dxa"/>
              <w:left w:w="80" w:type="dxa"/>
              <w:bottom w:w="80" w:type="dxa"/>
              <w:right w:w="80" w:type="dxa"/>
            </w:tcMar>
          </w:tcPr>
          <w:p w14:paraId="5F07063C"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Q7</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2B871260"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Ethical considerations. Bath ethics approval, consent and attention to participants’ psychological comfort are reported.</w:t>
            </w:r>
          </w:p>
        </w:tc>
      </w:tr>
      <w:tr w:rsidR="007E77F1" w:rsidRPr="000A2871" w14:paraId="31866260" w14:textId="77777777" w:rsidTr="00802D40">
        <w:trPr>
          <w:trHeight w:val="780"/>
        </w:trPr>
        <w:tc>
          <w:tcPr>
            <w:tcW w:w="1725" w:type="dxa"/>
            <w:shd w:val="clear" w:color="auto" w:fill="FFFFFF" w:themeFill="background1"/>
            <w:tcMar>
              <w:top w:w="80" w:type="dxa"/>
              <w:left w:w="80" w:type="dxa"/>
              <w:bottom w:w="80" w:type="dxa"/>
              <w:right w:w="80" w:type="dxa"/>
            </w:tcMar>
          </w:tcPr>
          <w:p w14:paraId="5060A244"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Q8</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263DF255"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Rigorous analysis. The reflexive approach and development of themes are described and illustrated.</w:t>
            </w:r>
          </w:p>
        </w:tc>
      </w:tr>
      <w:tr w:rsidR="007E77F1" w:rsidRPr="000A2871" w14:paraId="624A9D12" w14:textId="77777777" w:rsidTr="00802D40">
        <w:trPr>
          <w:trHeight w:val="780"/>
        </w:trPr>
        <w:tc>
          <w:tcPr>
            <w:tcW w:w="1725" w:type="dxa"/>
            <w:shd w:val="clear" w:color="auto" w:fill="FFFFFF" w:themeFill="background1"/>
            <w:tcMar>
              <w:top w:w="80" w:type="dxa"/>
              <w:left w:w="80" w:type="dxa"/>
              <w:bottom w:w="80" w:type="dxa"/>
              <w:right w:w="80" w:type="dxa"/>
            </w:tcMar>
          </w:tcPr>
          <w:p w14:paraId="0B78B8E5"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Q9</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3159EFA0"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Clear findings. Three themes clearly communicate the experiences in this particular sample.</w:t>
            </w:r>
          </w:p>
        </w:tc>
      </w:tr>
      <w:tr w:rsidR="007E77F1" w:rsidRPr="000A2871" w14:paraId="124F1BAA" w14:textId="77777777" w:rsidTr="00802D40">
        <w:trPr>
          <w:trHeight w:val="780"/>
        </w:trPr>
        <w:tc>
          <w:tcPr>
            <w:tcW w:w="1725" w:type="dxa"/>
            <w:shd w:val="clear" w:color="auto" w:fill="FFFFFF" w:themeFill="background1"/>
            <w:tcMar>
              <w:top w:w="80" w:type="dxa"/>
              <w:left w:w="80" w:type="dxa"/>
              <w:bottom w:w="80" w:type="dxa"/>
              <w:right w:w="80" w:type="dxa"/>
            </w:tcMar>
          </w:tcPr>
          <w:p w14:paraId="6378B479"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Q10</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28B0663E"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Value of the research. Potential unintended consequences are valuable for evaluation; no causal or prevalence estimate follows.</w:t>
            </w:r>
          </w:p>
        </w:tc>
      </w:tr>
    </w:tbl>
    <w:p w14:paraId="7FE4F2A4"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0D3D6C07" w14:textId="77777777" w:rsidR="007E77F1" w:rsidRPr="000A2871" w:rsidRDefault="007E77F1" w:rsidP="000A2871">
      <w:pPr>
        <w:spacing w:after="120" w:line="360" w:lineRule="auto"/>
        <w:rPr>
          <w:rFonts w:ascii="Arial" w:hAnsi="Arial" w:cs="Arial"/>
        </w:rPr>
      </w:pPr>
      <w:r w:rsidRPr="000A2871">
        <w:rPr>
          <w:rFonts w:ascii="Arial" w:hAnsi="Arial" w:cs="Arial"/>
        </w:rPr>
        <w:t>Source locations: Methods: participants, procedure, analysis and reflexivity; Results: three themes; discussion of sampling.</w:t>
      </w:r>
    </w:p>
    <w:p w14:paraId="0865F222" w14:textId="77777777" w:rsidR="007E77F1" w:rsidRPr="000A2871" w:rsidRDefault="007E77F1" w:rsidP="000A2871">
      <w:pPr>
        <w:spacing w:after="120" w:line="360" w:lineRule="auto"/>
        <w:rPr>
          <w:rFonts w:ascii="Arial" w:hAnsi="Arial" w:cs="Arial"/>
        </w:rPr>
      </w:pPr>
      <w:r w:rsidRPr="000A2871">
        <w:rPr>
          <w:rFonts w:ascii="Arial" w:hAnsi="Arial" w:cs="Arial"/>
        </w:rPr>
        <w:t>https://doi.org/10.1177/13591053251318192</w:t>
      </w:r>
    </w:p>
    <w:p w14:paraId="4A06AE8F" w14:textId="77777777" w:rsidR="007E77F1" w:rsidRPr="000A2871" w:rsidRDefault="007E77F1" w:rsidP="00A14D65">
      <w:pPr>
        <w:pStyle w:val="Heading2"/>
        <w:keepNext w:val="0"/>
        <w:keepLines w:val="0"/>
        <w:spacing w:after="80" w:line="360" w:lineRule="auto"/>
        <w:jc w:val="left"/>
        <w:rPr>
          <w:rFonts w:ascii="Arial" w:hAnsi="Arial" w:cs="Arial"/>
          <w:b w:val="0"/>
          <w:bCs/>
          <w:sz w:val="34"/>
          <w:szCs w:val="34"/>
        </w:rPr>
      </w:pPr>
      <w:bookmarkStart w:id="220" w:name="_xev4o24igi8u" w:colFirst="0" w:colLast="0"/>
      <w:bookmarkStart w:id="221" w:name="_Toc242459619"/>
      <w:bookmarkEnd w:id="220"/>
      <w:r w:rsidRPr="000A2871">
        <w:rPr>
          <w:rFonts w:ascii="Arial" w:hAnsi="Arial" w:cs="Arial"/>
          <w:bCs/>
          <w:sz w:val="34"/>
          <w:szCs w:val="34"/>
        </w:rPr>
        <w:t>D6 R0040 Rodrigues et al. (2025)</w:t>
      </w:r>
      <w:bookmarkEnd w:id="221"/>
    </w:p>
    <w:p w14:paraId="7D63843B" w14:textId="77777777" w:rsidR="007E77F1" w:rsidRPr="000A2871" w:rsidRDefault="007E77F1" w:rsidP="000A2871">
      <w:pPr>
        <w:spacing w:after="120" w:line="360" w:lineRule="auto"/>
        <w:rPr>
          <w:rFonts w:ascii="Arial" w:hAnsi="Arial" w:cs="Arial"/>
        </w:rPr>
      </w:pPr>
      <w:r w:rsidRPr="000A2871">
        <w:rPr>
          <w:rFonts w:ascii="Arial" w:hAnsi="Arial" w:cs="Arial"/>
        </w:rPr>
        <w:t>Restricted accounts. UK antidepressant users; 13 participants. Table 1 reports ages 19–62 and two unreported ages.</w:t>
      </w:r>
    </w:p>
    <w:tbl>
      <w:tblPr>
        <w:tblW w:w="8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5"/>
        <w:gridCol w:w="7170"/>
      </w:tblGrid>
      <w:tr w:rsidR="007E77F1" w:rsidRPr="000A2871" w14:paraId="4485720F" w14:textId="77777777" w:rsidTr="001A2D87">
        <w:trPr>
          <w:trHeight w:val="780"/>
        </w:trPr>
        <w:tc>
          <w:tcPr>
            <w:tcW w:w="1725" w:type="dxa"/>
            <w:shd w:val="clear" w:color="auto" w:fill="FFFFFF" w:themeFill="background1"/>
            <w:tcMar>
              <w:top w:w="80" w:type="dxa"/>
              <w:left w:w="80" w:type="dxa"/>
              <w:bottom w:w="80" w:type="dxa"/>
              <w:right w:w="80" w:type="dxa"/>
            </w:tcMar>
          </w:tcPr>
          <w:p w14:paraId="6DD4B4EE" w14:textId="77777777" w:rsidR="007E77F1" w:rsidRPr="00A14D65" w:rsidRDefault="007E77F1" w:rsidP="000A2871">
            <w:pPr>
              <w:spacing w:line="360" w:lineRule="auto"/>
              <w:rPr>
                <w:rFonts w:ascii="Arial" w:hAnsi="Arial" w:cs="Arial"/>
                <w:b/>
                <w:bCs/>
                <w:sz w:val="20"/>
                <w:szCs w:val="20"/>
              </w:rPr>
            </w:pPr>
            <w:r w:rsidRPr="00A14D65">
              <w:rPr>
                <w:rFonts w:ascii="Arial" w:hAnsi="Arial" w:cs="Arial"/>
                <w:b/>
                <w:bCs/>
                <w:sz w:val="20"/>
                <w:szCs w:val="20"/>
              </w:rPr>
              <w:t>Domain and judgement</w:t>
            </w:r>
          </w:p>
        </w:tc>
        <w:tc>
          <w:tcPr>
            <w:tcW w:w="7170" w:type="dxa"/>
            <w:shd w:val="clear" w:color="auto" w:fill="FFFFFF" w:themeFill="background1"/>
            <w:tcMar>
              <w:top w:w="80" w:type="dxa"/>
              <w:left w:w="80" w:type="dxa"/>
              <w:bottom w:w="80" w:type="dxa"/>
              <w:right w:w="80" w:type="dxa"/>
            </w:tcMar>
          </w:tcPr>
          <w:p w14:paraId="142E0513" w14:textId="77777777" w:rsidR="007E77F1" w:rsidRPr="00A14D65" w:rsidRDefault="007E77F1" w:rsidP="000A2871">
            <w:pPr>
              <w:spacing w:line="360" w:lineRule="auto"/>
              <w:rPr>
                <w:rFonts w:ascii="Arial" w:hAnsi="Arial" w:cs="Arial"/>
                <w:b/>
                <w:bCs/>
                <w:sz w:val="20"/>
                <w:szCs w:val="20"/>
              </w:rPr>
            </w:pPr>
            <w:r w:rsidRPr="00A14D65">
              <w:rPr>
                <w:rFonts w:ascii="Arial" w:hAnsi="Arial" w:cs="Arial"/>
                <w:b/>
                <w:bCs/>
                <w:sz w:val="20"/>
                <w:szCs w:val="20"/>
              </w:rPr>
              <w:t>Report-specific rationale</w:t>
            </w:r>
          </w:p>
        </w:tc>
      </w:tr>
      <w:tr w:rsidR="007E77F1" w:rsidRPr="000A2871" w14:paraId="6EF54E75" w14:textId="77777777" w:rsidTr="001A2D87">
        <w:trPr>
          <w:trHeight w:val="780"/>
        </w:trPr>
        <w:tc>
          <w:tcPr>
            <w:tcW w:w="1725" w:type="dxa"/>
            <w:shd w:val="clear" w:color="auto" w:fill="FFFFFF" w:themeFill="background1"/>
            <w:tcMar>
              <w:top w:w="80" w:type="dxa"/>
              <w:left w:w="80" w:type="dxa"/>
              <w:bottom w:w="80" w:type="dxa"/>
              <w:right w:w="80" w:type="dxa"/>
            </w:tcMar>
          </w:tcPr>
          <w:p w14:paraId="4E758037"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Q1</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0CC4A4DC"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Clear aims. The aim concerns experiences of weight-management advice while prescribed antidepressants.</w:t>
            </w:r>
          </w:p>
        </w:tc>
      </w:tr>
      <w:tr w:rsidR="007E77F1" w:rsidRPr="000A2871" w14:paraId="3A7F0138" w14:textId="77777777" w:rsidTr="001A2D87">
        <w:trPr>
          <w:trHeight w:val="780"/>
        </w:trPr>
        <w:tc>
          <w:tcPr>
            <w:tcW w:w="1725" w:type="dxa"/>
            <w:shd w:val="clear" w:color="auto" w:fill="FFFFFF" w:themeFill="background1"/>
            <w:tcMar>
              <w:top w:w="80" w:type="dxa"/>
              <w:left w:w="80" w:type="dxa"/>
              <w:bottom w:w="80" w:type="dxa"/>
              <w:right w:w="80" w:type="dxa"/>
            </w:tcMar>
          </w:tcPr>
          <w:p w14:paraId="53CFC3BB"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Q2</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6494C60E"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Appropriate qualitative methodology. Qualitative interviewing is suited to sensitive treatment and weight concerns.</w:t>
            </w:r>
          </w:p>
        </w:tc>
      </w:tr>
      <w:tr w:rsidR="007E77F1" w:rsidRPr="000A2871" w14:paraId="2732CFA0" w14:textId="77777777" w:rsidTr="001A2D87">
        <w:trPr>
          <w:trHeight w:val="780"/>
        </w:trPr>
        <w:tc>
          <w:tcPr>
            <w:tcW w:w="1725" w:type="dxa"/>
            <w:shd w:val="clear" w:color="auto" w:fill="FFFFFF" w:themeFill="background1"/>
            <w:tcMar>
              <w:top w:w="80" w:type="dxa"/>
              <w:left w:w="80" w:type="dxa"/>
              <w:bottom w:w="80" w:type="dxa"/>
              <w:right w:w="80" w:type="dxa"/>
            </w:tcMar>
          </w:tcPr>
          <w:p w14:paraId="355E9E08"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Q3</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09E166D6"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Appropriate research design. The critical-realist interview design is explained in relation to the question.</w:t>
            </w:r>
          </w:p>
        </w:tc>
      </w:tr>
      <w:tr w:rsidR="007E77F1" w:rsidRPr="000A2871" w14:paraId="680811F5" w14:textId="77777777" w:rsidTr="001A2D87">
        <w:trPr>
          <w:trHeight w:val="780"/>
        </w:trPr>
        <w:tc>
          <w:tcPr>
            <w:tcW w:w="1725" w:type="dxa"/>
            <w:shd w:val="clear" w:color="auto" w:fill="FFFFFF" w:themeFill="background1"/>
            <w:tcMar>
              <w:top w:w="80" w:type="dxa"/>
              <w:left w:w="80" w:type="dxa"/>
              <w:bottom w:w="80" w:type="dxa"/>
              <w:right w:w="80" w:type="dxa"/>
            </w:tcMar>
          </w:tcPr>
          <w:p w14:paraId="6353E339"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lastRenderedPageBreak/>
              <w:t>Q4</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2440E118"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Appropriate recruitment. Convenience recruitment through online and community routes is described; volunteers may differ from non-participants.</w:t>
            </w:r>
          </w:p>
        </w:tc>
      </w:tr>
      <w:tr w:rsidR="007E77F1" w:rsidRPr="000A2871" w14:paraId="139B214E" w14:textId="77777777" w:rsidTr="001A2D87">
        <w:trPr>
          <w:trHeight w:val="780"/>
        </w:trPr>
        <w:tc>
          <w:tcPr>
            <w:tcW w:w="1725" w:type="dxa"/>
            <w:shd w:val="clear" w:color="auto" w:fill="FFFFFF" w:themeFill="background1"/>
            <w:tcMar>
              <w:top w:w="80" w:type="dxa"/>
              <w:left w:w="80" w:type="dxa"/>
              <w:bottom w:w="80" w:type="dxa"/>
              <w:right w:w="80" w:type="dxa"/>
            </w:tcMar>
          </w:tcPr>
          <w:p w14:paraId="18A5E5B5"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Q5</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2F6A1457"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Suitable data collection. The guide, online interviews, recordings and collection periods are reported.</w:t>
            </w:r>
          </w:p>
        </w:tc>
      </w:tr>
      <w:tr w:rsidR="007E77F1" w:rsidRPr="000A2871" w14:paraId="3B8A6033" w14:textId="77777777" w:rsidTr="001A2D87">
        <w:trPr>
          <w:trHeight w:val="780"/>
        </w:trPr>
        <w:tc>
          <w:tcPr>
            <w:tcW w:w="1725" w:type="dxa"/>
            <w:shd w:val="clear" w:color="auto" w:fill="FFFFFF" w:themeFill="background1"/>
            <w:tcMar>
              <w:top w:w="80" w:type="dxa"/>
              <w:left w:w="80" w:type="dxa"/>
              <w:bottom w:w="80" w:type="dxa"/>
              <w:right w:w="80" w:type="dxa"/>
            </w:tcMar>
          </w:tcPr>
          <w:p w14:paraId="41595CB1"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Q6</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1C45C45A"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Researcher–participant relationship and reflexivity. A partial-insider position and lived experience are explicitly considered.</w:t>
            </w:r>
          </w:p>
        </w:tc>
      </w:tr>
      <w:tr w:rsidR="007E77F1" w:rsidRPr="000A2871" w14:paraId="0F9AF5B7" w14:textId="77777777" w:rsidTr="001A2D87">
        <w:trPr>
          <w:trHeight w:val="780"/>
        </w:trPr>
        <w:tc>
          <w:tcPr>
            <w:tcW w:w="1725" w:type="dxa"/>
            <w:shd w:val="clear" w:color="auto" w:fill="FFFFFF" w:themeFill="background1"/>
            <w:tcMar>
              <w:top w:w="80" w:type="dxa"/>
              <w:left w:w="80" w:type="dxa"/>
              <w:bottom w:w="80" w:type="dxa"/>
              <w:right w:w="80" w:type="dxa"/>
            </w:tcMar>
          </w:tcPr>
          <w:p w14:paraId="46996483"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Q7</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05B1C338"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Ethical considerations. Northumbria approval, consent, anonymisation and handling of transcripts are described.</w:t>
            </w:r>
          </w:p>
        </w:tc>
      </w:tr>
      <w:tr w:rsidR="007E77F1" w:rsidRPr="000A2871" w14:paraId="0D4AC85C" w14:textId="77777777" w:rsidTr="001A2D87">
        <w:trPr>
          <w:trHeight w:val="780"/>
        </w:trPr>
        <w:tc>
          <w:tcPr>
            <w:tcW w:w="1725" w:type="dxa"/>
            <w:shd w:val="clear" w:color="auto" w:fill="FFFFFF" w:themeFill="background1"/>
            <w:tcMar>
              <w:top w:w="80" w:type="dxa"/>
              <w:left w:w="80" w:type="dxa"/>
              <w:bottom w:w="80" w:type="dxa"/>
              <w:right w:w="80" w:type="dxa"/>
            </w:tcMar>
          </w:tcPr>
          <w:p w14:paraId="46D13410"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Q8</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62C727B2"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Rigorous analysis. Iterative reflexive analysis and discussion support the development of themes.</w:t>
            </w:r>
          </w:p>
        </w:tc>
      </w:tr>
      <w:tr w:rsidR="007E77F1" w:rsidRPr="000A2871" w14:paraId="3A8E08F7" w14:textId="77777777" w:rsidTr="001A2D87">
        <w:trPr>
          <w:trHeight w:val="780"/>
        </w:trPr>
        <w:tc>
          <w:tcPr>
            <w:tcW w:w="1725" w:type="dxa"/>
            <w:shd w:val="clear" w:color="auto" w:fill="FFFFFF" w:themeFill="background1"/>
            <w:tcMar>
              <w:top w:w="80" w:type="dxa"/>
              <w:left w:w="80" w:type="dxa"/>
              <w:bottom w:w="80" w:type="dxa"/>
              <w:right w:w="80" w:type="dxa"/>
            </w:tcMar>
          </w:tcPr>
          <w:p w14:paraId="08F52C18"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Q9</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40A950D0"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Clear findings. Quotations support clear findings; variation in interview period and interviewer warrants caution.</w:t>
            </w:r>
          </w:p>
        </w:tc>
      </w:tr>
      <w:tr w:rsidR="007E77F1" w:rsidRPr="000A2871" w14:paraId="50151D07" w14:textId="77777777" w:rsidTr="001A2D87">
        <w:trPr>
          <w:trHeight w:val="780"/>
        </w:trPr>
        <w:tc>
          <w:tcPr>
            <w:tcW w:w="1725" w:type="dxa"/>
            <w:shd w:val="clear" w:color="auto" w:fill="FFFFFF" w:themeFill="background1"/>
            <w:tcMar>
              <w:top w:w="80" w:type="dxa"/>
              <w:left w:w="80" w:type="dxa"/>
              <w:bottom w:w="80" w:type="dxa"/>
              <w:right w:w="80" w:type="dxa"/>
            </w:tcMar>
          </w:tcPr>
          <w:p w14:paraId="75FAB78E"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Q10</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2E60BBE5"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Value of the research. Useful implications for sensitive care are identified, but the young-adult synthesis relies on only four published contributors.</w:t>
            </w:r>
          </w:p>
        </w:tc>
      </w:tr>
    </w:tbl>
    <w:p w14:paraId="55077167"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199670C9" w14:textId="77777777" w:rsidR="007E77F1" w:rsidRPr="000A2871" w:rsidRDefault="007E77F1" w:rsidP="000A2871">
      <w:pPr>
        <w:spacing w:after="120" w:line="360" w:lineRule="auto"/>
        <w:rPr>
          <w:rFonts w:ascii="Arial" w:hAnsi="Arial" w:cs="Arial"/>
        </w:rPr>
      </w:pPr>
      <w:r w:rsidRPr="000A2871">
        <w:rPr>
          <w:rFonts w:ascii="Arial" w:hAnsi="Arial" w:cs="Arial"/>
        </w:rPr>
        <w:t>Source locations: Table 1; Methods including reflexivity; Results quotations labelled P3, P7, P9 and P11.</w:t>
      </w:r>
    </w:p>
    <w:p w14:paraId="3B7185DE" w14:textId="77777777" w:rsidR="007E77F1" w:rsidRPr="000A2871" w:rsidRDefault="007E77F1" w:rsidP="000A2871">
      <w:pPr>
        <w:spacing w:after="120" w:line="360" w:lineRule="auto"/>
        <w:rPr>
          <w:rFonts w:ascii="Arial" w:hAnsi="Arial" w:cs="Arial"/>
        </w:rPr>
      </w:pPr>
      <w:r w:rsidRPr="000A2871">
        <w:rPr>
          <w:rFonts w:ascii="Arial" w:hAnsi="Arial" w:cs="Arial"/>
        </w:rPr>
        <w:t>https://doi.org/10.1111/inm.70068</w:t>
      </w:r>
    </w:p>
    <w:p w14:paraId="0D296DFE" w14:textId="77777777" w:rsidR="007E77F1" w:rsidRPr="000A2871" w:rsidRDefault="007E77F1" w:rsidP="00A14D65">
      <w:pPr>
        <w:pStyle w:val="Heading2"/>
        <w:keepNext w:val="0"/>
        <w:keepLines w:val="0"/>
        <w:spacing w:after="80" w:line="360" w:lineRule="auto"/>
        <w:jc w:val="left"/>
        <w:rPr>
          <w:rFonts w:ascii="Arial" w:hAnsi="Arial" w:cs="Arial"/>
          <w:b w:val="0"/>
          <w:bCs/>
          <w:sz w:val="34"/>
          <w:szCs w:val="34"/>
        </w:rPr>
      </w:pPr>
      <w:bookmarkStart w:id="222" w:name="_i7m2hgk5vwjy" w:colFirst="0" w:colLast="0"/>
      <w:bookmarkStart w:id="223" w:name="_Toc242459620"/>
      <w:bookmarkEnd w:id="222"/>
      <w:r w:rsidRPr="000A2871">
        <w:rPr>
          <w:rFonts w:ascii="Arial" w:hAnsi="Arial" w:cs="Arial"/>
          <w:bCs/>
          <w:sz w:val="34"/>
          <w:szCs w:val="34"/>
        </w:rPr>
        <w:t>D7 R0097 Orlando et al. (2025)</w:t>
      </w:r>
      <w:bookmarkEnd w:id="223"/>
    </w:p>
    <w:p w14:paraId="096D62AC" w14:textId="77777777" w:rsidR="007E77F1" w:rsidRPr="000A2871" w:rsidRDefault="007E77F1" w:rsidP="000A2871">
      <w:pPr>
        <w:spacing w:after="120" w:line="360" w:lineRule="auto"/>
        <w:rPr>
          <w:rFonts w:ascii="Arial" w:hAnsi="Arial" w:cs="Arial"/>
        </w:rPr>
      </w:pPr>
      <w:r w:rsidRPr="000A2871">
        <w:rPr>
          <w:rFonts w:ascii="Arial" w:hAnsi="Arial" w:cs="Arial"/>
        </w:rPr>
        <w:t>Young-employee findings. UK workers in four industries; 23 young employees and 28 employers. Employee ages: 19–21 (n=5) and 22–25 (n=18).</w:t>
      </w:r>
    </w:p>
    <w:tbl>
      <w:tblPr>
        <w:tblW w:w="8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5"/>
        <w:gridCol w:w="7170"/>
      </w:tblGrid>
      <w:tr w:rsidR="007E77F1" w:rsidRPr="000A2871" w14:paraId="6C92CB5E" w14:textId="77777777" w:rsidTr="001A2D87">
        <w:trPr>
          <w:trHeight w:val="780"/>
        </w:trPr>
        <w:tc>
          <w:tcPr>
            <w:tcW w:w="1725" w:type="dxa"/>
            <w:shd w:val="clear" w:color="auto" w:fill="FFFFFF" w:themeFill="background1"/>
            <w:tcMar>
              <w:top w:w="80" w:type="dxa"/>
              <w:left w:w="80" w:type="dxa"/>
              <w:bottom w:w="80" w:type="dxa"/>
              <w:right w:w="80" w:type="dxa"/>
            </w:tcMar>
          </w:tcPr>
          <w:p w14:paraId="446F1935" w14:textId="77777777" w:rsidR="007E77F1" w:rsidRPr="00A14D65" w:rsidRDefault="007E77F1" w:rsidP="000A2871">
            <w:pPr>
              <w:spacing w:line="360" w:lineRule="auto"/>
              <w:rPr>
                <w:rFonts w:ascii="Arial" w:hAnsi="Arial" w:cs="Arial"/>
                <w:b/>
                <w:bCs/>
                <w:sz w:val="20"/>
                <w:szCs w:val="20"/>
              </w:rPr>
            </w:pPr>
            <w:r w:rsidRPr="00A14D65">
              <w:rPr>
                <w:rFonts w:ascii="Arial" w:hAnsi="Arial" w:cs="Arial"/>
                <w:b/>
                <w:bCs/>
                <w:sz w:val="20"/>
                <w:szCs w:val="20"/>
              </w:rPr>
              <w:t>Domain and judgement</w:t>
            </w:r>
          </w:p>
        </w:tc>
        <w:tc>
          <w:tcPr>
            <w:tcW w:w="7170" w:type="dxa"/>
            <w:shd w:val="clear" w:color="auto" w:fill="FFFFFF" w:themeFill="background1"/>
            <w:tcMar>
              <w:top w:w="80" w:type="dxa"/>
              <w:left w:w="80" w:type="dxa"/>
              <w:bottom w:w="80" w:type="dxa"/>
              <w:right w:w="80" w:type="dxa"/>
            </w:tcMar>
          </w:tcPr>
          <w:p w14:paraId="7526CCFC" w14:textId="77777777" w:rsidR="007E77F1" w:rsidRPr="00A14D65" w:rsidRDefault="007E77F1" w:rsidP="000A2871">
            <w:pPr>
              <w:spacing w:line="360" w:lineRule="auto"/>
              <w:rPr>
                <w:rFonts w:ascii="Arial" w:hAnsi="Arial" w:cs="Arial"/>
                <w:b/>
                <w:bCs/>
                <w:sz w:val="20"/>
                <w:szCs w:val="20"/>
              </w:rPr>
            </w:pPr>
            <w:r w:rsidRPr="00A14D65">
              <w:rPr>
                <w:rFonts w:ascii="Arial" w:hAnsi="Arial" w:cs="Arial"/>
                <w:b/>
                <w:bCs/>
                <w:sz w:val="20"/>
                <w:szCs w:val="20"/>
              </w:rPr>
              <w:t>Report-specific rationale</w:t>
            </w:r>
          </w:p>
        </w:tc>
      </w:tr>
      <w:tr w:rsidR="007E77F1" w:rsidRPr="000A2871" w14:paraId="0C4DACF6" w14:textId="77777777" w:rsidTr="001A2D87">
        <w:trPr>
          <w:trHeight w:val="780"/>
        </w:trPr>
        <w:tc>
          <w:tcPr>
            <w:tcW w:w="1725" w:type="dxa"/>
            <w:shd w:val="clear" w:color="auto" w:fill="FFFFFF" w:themeFill="background1"/>
            <w:tcMar>
              <w:top w:w="80" w:type="dxa"/>
              <w:left w:w="80" w:type="dxa"/>
              <w:bottom w:w="80" w:type="dxa"/>
              <w:right w:w="80" w:type="dxa"/>
            </w:tcMar>
          </w:tcPr>
          <w:p w14:paraId="5690BDAC"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Q1</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09C95850"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Clear aims. The aim identifies how workplaces might support diet, activity and sleep in young adults.</w:t>
            </w:r>
          </w:p>
        </w:tc>
      </w:tr>
      <w:tr w:rsidR="007E77F1" w:rsidRPr="000A2871" w14:paraId="63B1D242" w14:textId="77777777" w:rsidTr="001A2D87">
        <w:trPr>
          <w:trHeight w:val="780"/>
        </w:trPr>
        <w:tc>
          <w:tcPr>
            <w:tcW w:w="1725" w:type="dxa"/>
            <w:shd w:val="clear" w:color="auto" w:fill="FFFFFF" w:themeFill="background1"/>
            <w:tcMar>
              <w:top w:w="80" w:type="dxa"/>
              <w:left w:w="80" w:type="dxa"/>
              <w:bottom w:w="80" w:type="dxa"/>
              <w:right w:w="80" w:type="dxa"/>
            </w:tcMar>
          </w:tcPr>
          <w:p w14:paraId="1AF1202D"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Q2</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2F6C2AC7"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Appropriate qualitative methodology. Qualitative groups suit discussion of practices and potential workplace support.</w:t>
            </w:r>
          </w:p>
        </w:tc>
      </w:tr>
      <w:tr w:rsidR="007E77F1" w:rsidRPr="000A2871" w14:paraId="5DD2E6D5" w14:textId="77777777" w:rsidTr="001A2D87">
        <w:trPr>
          <w:trHeight w:val="780"/>
        </w:trPr>
        <w:tc>
          <w:tcPr>
            <w:tcW w:w="1725" w:type="dxa"/>
            <w:shd w:val="clear" w:color="auto" w:fill="FFFFFF" w:themeFill="background1"/>
            <w:tcMar>
              <w:top w:w="80" w:type="dxa"/>
              <w:left w:w="80" w:type="dxa"/>
              <w:bottom w:w="80" w:type="dxa"/>
              <w:right w:w="80" w:type="dxa"/>
            </w:tcMar>
          </w:tcPr>
          <w:p w14:paraId="37DC1022"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lastRenderedPageBreak/>
              <w:t>Q3</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1063C03F"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Appropriate research design. Separate employee and employer groups permit comparison of perspectives.</w:t>
            </w:r>
          </w:p>
        </w:tc>
      </w:tr>
      <w:tr w:rsidR="007E77F1" w:rsidRPr="000A2871" w14:paraId="6F31B041" w14:textId="77777777" w:rsidTr="001A2D87">
        <w:trPr>
          <w:trHeight w:val="780"/>
        </w:trPr>
        <w:tc>
          <w:tcPr>
            <w:tcW w:w="1725" w:type="dxa"/>
            <w:shd w:val="clear" w:color="auto" w:fill="FFFFFF" w:themeFill="background1"/>
            <w:tcMar>
              <w:top w:w="80" w:type="dxa"/>
              <w:left w:w="80" w:type="dxa"/>
              <w:bottom w:w="80" w:type="dxa"/>
              <w:right w:w="80" w:type="dxa"/>
            </w:tcMar>
          </w:tcPr>
          <w:p w14:paraId="7EEE7130"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Q4</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1C79294A"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Appropriate recruitment. Sampling by industry and characteristics is described; the recruitment-age statement differs from actual age bands.</w:t>
            </w:r>
          </w:p>
        </w:tc>
      </w:tr>
      <w:tr w:rsidR="007E77F1" w:rsidRPr="000A2871" w14:paraId="53930A92" w14:textId="77777777" w:rsidTr="001A2D87">
        <w:trPr>
          <w:trHeight w:val="780"/>
        </w:trPr>
        <w:tc>
          <w:tcPr>
            <w:tcW w:w="1725" w:type="dxa"/>
            <w:shd w:val="clear" w:color="auto" w:fill="FFFFFF" w:themeFill="background1"/>
            <w:tcMar>
              <w:top w:w="80" w:type="dxa"/>
              <w:left w:w="80" w:type="dxa"/>
              <w:bottom w:w="80" w:type="dxa"/>
              <w:right w:w="80" w:type="dxa"/>
            </w:tcMar>
          </w:tcPr>
          <w:p w14:paraId="6043AC8A"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Q5</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1F3F1EF3"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Suitable data collection. Online facilitation, topic coverage, recording and transcription are reported.</w:t>
            </w:r>
          </w:p>
        </w:tc>
      </w:tr>
      <w:tr w:rsidR="007E77F1" w:rsidRPr="000A2871" w14:paraId="232E98D3" w14:textId="77777777" w:rsidTr="001A2D87">
        <w:trPr>
          <w:trHeight w:val="1080"/>
        </w:trPr>
        <w:tc>
          <w:tcPr>
            <w:tcW w:w="1725" w:type="dxa"/>
            <w:shd w:val="clear" w:color="auto" w:fill="FFFFFF" w:themeFill="background1"/>
            <w:tcMar>
              <w:top w:w="80" w:type="dxa"/>
              <w:left w:w="80" w:type="dxa"/>
              <w:bottom w:w="80" w:type="dxa"/>
              <w:right w:w="80" w:type="dxa"/>
            </w:tcMar>
          </w:tcPr>
          <w:p w14:paraId="4B096904"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Q6</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430EA076"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Researcher–participant relationship and reflexivity. Team discussion considers different professional backgrounds; facilitators had no prior participant relationships.</w:t>
            </w:r>
          </w:p>
        </w:tc>
      </w:tr>
      <w:tr w:rsidR="007E77F1" w:rsidRPr="000A2871" w14:paraId="47E08426" w14:textId="77777777" w:rsidTr="001A2D87">
        <w:trPr>
          <w:trHeight w:val="780"/>
        </w:trPr>
        <w:tc>
          <w:tcPr>
            <w:tcW w:w="1725" w:type="dxa"/>
            <w:shd w:val="clear" w:color="auto" w:fill="FFFFFF" w:themeFill="background1"/>
            <w:tcMar>
              <w:top w:w="80" w:type="dxa"/>
              <w:left w:w="80" w:type="dxa"/>
              <w:bottom w:w="80" w:type="dxa"/>
              <w:right w:w="80" w:type="dxa"/>
            </w:tcMar>
          </w:tcPr>
          <w:p w14:paraId="4DA994D8"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Q7</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7DBFF32A"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Ethical considerations. Cambridge ethics approval, informed consent and confidentiality procedures are reported.</w:t>
            </w:r>
          </w:p>
        </w:tc>
      </w:tr>
      <w:tr w:rsidR="007E77F1" w:rsidRPr="000A2871" w14:paraId="794E712C" w14:textId="77777777" w:rsidTr="001A2D87">
        <w:trPr>
          <w:trHeight w:val="780"/>
        </w:trPr>
        <w:tc>
          <w:tcPr>
            <w:tcW w:w="1725" w:type="dxa"/>
            <w:shd w:val="clear" w:color="auto" w:fill="FFFFFF" w:themeFill="background1"/>
            <w:tcMar>
              <w:top w:w="80" w:type="dxa"/>
              <w:left w:w="80" w:type="dxa"/>
              <w:bottom w:w="80" w:type="dxa"/>
              <w:right w:w="80" w:type="dxa"/>
            </w:tcMar>
          </w:tcPr>
          <w:p w14:paraId="0B3A833E"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Q8</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5EC9A867"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Rigorous analysis. The five framework-analysis stages and roles of researchers are described.</w:t>
            </w:r>
          </w:p>
        </w:tc>
      </w:tr>
      <w:tr w:rsidR="007E77F1" w:rsidRPr="000A2871" w14:paraId="7293D844" w14:textId="77777777" w:rsidTr="001A2D87">
        <w:trPr>
          <w:trHeight w:val="780"/>
        </w:trPr>
        <w:tc>
          <w:tcPr>
            <w:tcW w:w="1725" w:type="dxa"/>
            <w:shd w:val="clear" w:color="auto" w:fill="FFFFFF" w:themeFill="background1"/>
            <w:tcMar>
              <w:top w:w="80" w:type="dxa"/>
              <w:left w:w="80" w:type="dxa"/>
              <w:bottom w:w="80" w:type="dxa"/>
              <w:right w:w="80" w:type="dxa"/>
            </w:tcMar>
          </w:tcPr>
          <w:p w14:paraId="5158AB8E"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Q9</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51BA491E"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Clear findings. Findings are clear, but some interpretations combine stakeholders and require careful extraction.</w:t>
            </w:r>
          </w:p>
        </w:tc>
      </w:tr>
      <w:tr w:rsidR="007E77F1" w:rsidRPr="000A2871" w14:paraId="4653395C" w14:textId="77777777" w:rsidTr="001A2D87">
        <w:trPr>
          <w:trHeight w:val="780"/>
        </w:trPr>
        <w:tc>
          <w:tcPr>
            <w:tcW w:w="1725" w:type="dxa"/>
            <w:shd w:val="clear" w:color="auto" w:fill="FFFFFF" w:themeFill="background1"/>
            <w:tcMar>
              <w:top w:w="80" w:type="dxa"/>
              <w:left w:w="80" w:type="dxa"/>
              <w:bottom w:w="80" w:type="dxa"/>
              <w:right w:w="80" w:type="dxa"/>
            </w:tcMar>
          </w:tcPr>
          <w:p w14:paraId="2CDC96C6"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Q10</w:t>
            </w:r>
            <w:r w:rsidRPr="00A14D65">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2590FD54" w14:textId="77777777" w:rsidR="007E77F1" w:rsidRPr="00A14D65" w:rsidRDefault="007E77F1" w:rsidP="000A2871">
            <w:pPr>
              <w:spacing w:line="360" w:lineRule="auto"/>
              <w:rPr>
                <w:rFonts w:ascii="Arial" w:hAnsi="Arial" w:cs="Arial"/>
                <w:sz w:val="20"/>
                <w:szCs w:val="20"/>
              </w:rPr>
            </w:pPr>
            <w:r w:rsidRPr="00A14D65">
              <w:rPr>
                <w:rFonts w:ascii="Arial" w:hAnsi="Arial" w:cs="Arial"/>
                <w:sz w:val="20"/>
                <w:szCs w:val="20"/>
              </w:rPr>
              <w:t>Value of the research. Workplace opportunities are a valuable contribution; employee-only conclusions must remain separate from employer opinion.</w:t>
            </w:r>
          </w:p>
        </w:tc>
      </w:tr>
    </w:tbl>
    <w:p w14:paraId="01CC60F5"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18B04503" w14:textId="77777777" w:rsidR="007E77F1" w:rsidRPr="000A2871" w:rsidRDefault="007E77F1" w:rsidP="000A2871">
      <w:pPr>
        <w:spacing w:after="120" w:line="360" w:lineRule="auto"/>
        <w:rPr>
          <w:rFonts w:ascii="Arial" w:hAnsi="Arial" w:cs="Arial"/>
        </w:rPr>
      </w:pPr>
      <w:r w:rsidRPr="000A2871">
        <w:rPr>
          <w:rFonts w:ascii="Arial" w:hAnsi="Arial" w:cs="Arial"/>
        </w:rPr>
        <w:t>Source locations: Methods: sampling, ethics and framework analysis; Table 1; Results clearly attributed to young people.</w:t>
      </w:r>
    </w:p>
    <w:p w14:paraId="3D544BCD" w14:textId="77777777" w:rsidR="007E77F1" w:rsidRPr="000A2871" w:rsidRDefault="007E77F1" w:rsidP="000A2871">
      <w:pPr>
        <w:spacing w:after="120" w:line="360" w:lineRule="auto"/>
        <w:rPr>
          <w:rFonts w:ascii="Arial" w:hAnsi="Arial" w:cs="Arial"/>
        </w:rPr>
      </w:pPr>
      <w:r w:rsidRPr="000A2871">
        <w:rPr>
          <w:rFonts w:ascii="Arial" w:hAnsi="Arial" w:cs="Arial"/>
        </w:rPr>
        <w:t>https://doi.org/10.1186/s12889-025-25595-8</w:t>
      </w:r>
    </w:p>
    <w:p w14:paraId="65ECBB6E" w14:textId="77777777" w:rsidR="007E77F1" w:rsidRPr="000A2871" w:rsidRDefault="007E77F1" w:rsidP="00A14D65">
      <w:pPr>
        <w:pStyle w:val="Heading2"/>
        <w:keepNext w:val="0"/>
        <w:keepLines w:val="0"/>
        <w:spacing w:after="80" w:line="360" w:lineRule="auto"/>
        <w:jc w:val="left"/>
        <w:rPr>
          <w:rFonts w:ascii="Arial" w:hAnsi="Arial" w:cs="Arial"/>
          <w:b w:val="0"/>
          <w:bCs/>
          <w:sz w:val="34"/>
          <w:szCs w:val="34"/>
        </w:rPr>
      </w:pPr>
      <w:bookmarkStart w:id="224" w:name="_97n4fsrkzisz" w:colFirst="0" w:colLast="0"/>
      <w:bookmarkStart w:id="225" w:name="_Toc242459621"/>
      <w:bookmarkEnd w:id="224"/>
      <w:r w:rsidRPr="000A2871">
        <w:rPr>
          <w:rFonts w:ascii="Arial" w:hAnsi="Arial" w:cs="Arial"/>
          <w:bCs/>
          <w:sz w:val="34"/>
          <w:szCs w:val="34"/>
        </w:rPr>
        <w:t>D8 R0312 Hawkes et al. (2024)</w:t>
      </w:r>
      <w:bookmarkEnd w:id="225"/>
    </w:p>
    <w:p w14:paraId="45DF617F" w14:textId="77777777" w:rsidR="007E77F1" w:rsidRPr="000A2871" w:rsidRDefault="007E77F1" w:rsidP="000A2871">
      <w:pPr>
        <w:spacing w:after="120" w:line="360" w:lineRule="auto"/>
        <w:rPr>
          <w:rFonts w:ascii="Arial" w:hAnsi="Arial" w:cs="Arial"/>
        </w:rPr>
      </w:pPr>
      <w:r w:rsidRPr="000A2871">
        <w:rPr>
          <w:rFonts w:ascii="Arial" w:hAnsi="Arial" w:cs="Arial"/>
        </w:rPr>
        <w:t>Restricted accounts. UK women at increased breast-cancer risk; 20 interviewees, with published quoted ages 23–35.</w:t>
      </w:r>
    </w:p>
    <w:tbl>
      <w:tblPr>
        <w:tblW w:w="8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5"/>
        <w:gridCol w:w="7170"/>
      </w:tblGrid>
      <w:tr w:rsidR="007E77F1" w:rsidRPr="000A2871" w14:paraId="616CB943" w14:textId="77777777" w:rsidTr="001A2D87">
        <w:trPr>
          <w:trHeight w:val="780"/>
        </w:trPr>
        <w:tc>
          <w:tcPr>
            <w:tcW w:w="1725" w:type="dxa"/>
            <w:shd w:val="clear" w:color="auto" w:fill="FFFFFF" w:themeFill="background1"/>
            <w:tcMar>
              <w:top w:w="80" w:type="dxa"/>
              <w:left w:w="80" w:type="dxa"/>
              <w:bottom w:w="80" w:type="dxa"/>
              <w:right w:w="80" w:type="dxa"/>
            </w:tcMar>
          </w:tcPr>
          <w:p w14:paraId="25AC2C9D" w14:textId="77777777" w:rsidR="007E77F1" w:rsidRPr="00FC1DFE" w:rsidRDefault="007E77F1" w:rsidP="000A2871">
            <w:pPr>
              <w:spacing w:line="360" w:lineRule="auto"/>
              <w:rPr>
                <w:rFonts w:ascii="Arial" w:hAnsi="Arial" w:cs="Arial"/>
                <w:b/>
                <w:bCs/>
                <w:sz w:val="20"/>
                <w:szCs w:val="20"/>
              </w:rPr>
            </w:pPr>
            <w:r w:rsidRPr="00FC1DFE">
              <w:rPr>
                <w:rFonts w:ascii="Arial" w:hAnsi="Arial" w:cs="Arial"/>
                <w:b/>
                <w:bCs/>
                <w:sz w:val="20"/>
                <w:szCs w:val="20"/>
              </w:rPr>
              <w:t>Domain and judgement</w:t>
            </w:r>
          </w:p>
        </w:tc>
        <w:tc>
          <w:tcPr>
            <w:tcW w:w="7170" w:type="dxa"/>
            <w:shd w:val="clear" w:color="auto" w:fill="FFFFFF" w:themeFill="background1"/>
            <w:tcMar>
              <w:top w:w="80" w:type="dxa"/>
              <w:left w:w="80" w:type="dxa"/>
              <w:bottom w:w="80" w:type="dxa"/>
              <w:right w:w="80" w:type="dxa"/>
            </w:tcMar>
          </w:tcPr>
          <w:p w14:paraId="593856F4" w14:textId="77777777" w:rsidR="007E77F1" w:rsidRPr="00FC1DFE" w:rsidRDefault="007E77F1" w:rsidP="000A2871">
            <w:pPr>
              <w:spacing w:line="360" w:lineRule="auto"/>
              <w:rPr>
                <w:rFonts w:ascii="Arial" w:hAnsi="Arial" w:cs="Arial"/>
                <w:b/>
                <w:bCs/>
                <w:sz w:val="20"/>
                <w:szCs w:val="20"/>
              </w:rPr>
            </w:pPr>
            <w:r w:rsidRPr="00FC1DFE">
              <w:rPr>
                <w:rFonts w:ascii="Arial" w:hAnsi="Arial" w:cs="Arial"/>
                <w:b/>
                <w:bCs/>
                <w:sz w:val="20"/>
                <w:szCs w:val="20"/>
              </w:rPr>
              <w:t>Report-specific rationale</w:t>
            </w:r>
          </w:p>
        </w:tc>
      </w:tr>
      <w:tr w:rsidR="007E77F1" w:rsidRPr="000A2871" w14:paraId="2513CB6D" w14:textId="77777777" w:rsidTr="001A2D87">
        <w:trPr>
          <w:trHeight w:val="780"/>
        </w:trPr>
        <w:tc>
          <w:tcPr>
            <w:tcW w:w="1725" w:type="dxa"/>
            <w:shd w:val="clear" w:color="auto" w:fill="FFFFFF" w:themeFill="background1"/>
            <w:tcMar>
              <w:top w:w="80" w:type="dxa"/>
              <w:left w:w="80" w:type="dxa"/>
              <w:bottom w:w="80" w:type="dxa"/>
              <w:right w:w="80" w:type="dxa"/>
            </w:tcMar>
          </w:tcPr>
          <w:p w14:paraId="230C2B63"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Q1</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24E94BF5"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Clear aims. The aim addresses experiences of a digital risk-reduction intervention.</w:t>
            </w:r>
          </w:p>
        </w:tc>
      </w:tr>
      <w:tr w:rsidR="007E77F1" w:rsidRPr="000A2871" w14:paraId="36628EDB" w14:textId="77777777" w:rsidTr="001A2D87">
        <w:trPr>
          <w:trHeight w:val="780"/>
        </w:trPr>
        <w:tc>
          <w:tcPr>
            <w:tcW w:w="1725" w:type="dxa"/>
            <w:shd w:val="clear" w:color="auto" w:fill="FFFFFF" w:themeFill="background1"/>
            <w:tcMar>
              <w:top w:w="80" w:type="dxa"/>
              <w:left w:w="80" w:type="dxa"/>
              <w:bottom w:w="80" w:type="dxa"/>
              <w:right w:w="80" w:type="dxa"/>
            </w:tcMar>
          </w:tcPr>
          <w:p w14:paraId="036FCAC6"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lastRenderedPageBreak/>
              <w:t>Q2</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72C2CDEA"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Appropriate qualitative methodology. Qualitative interviews are appropriate for perceived use, benefits and difficulties.</w:t>
            </w:r>
          </w:p>
        </w:tc>
      </w:tr>
      <w:tr w:rsidR="007E77F1" w:rsidRPr="000A2871" w14:paraId="0F57F51F" w14:textId="77777777" w:rsidTr="001A2D87">
        <w:trPr>
          <w:trHeight w:val="780"/>
        </w:trPr>
        <w:tc>
          <w:tcPr>
            <w:tcW w:w="1725" w:type="dxa"/>
            <w:shd w:val="clear" w:color="auto" w:fill="FFFFFF" w:themeFill="background1"/>
            <w:tcMar>
              <w:top w:w="80" w:type="dxa"/>
              <w:left w:w="80" w:type="dxa"/>
              <w:bottom w:w="80" w:type="dxa"/>
              <w:right w:w="80" w:type="dxa"/>
            </w:tcMar>
          </w:tcPr>
          <w:p w14:paraId="7E0F4358"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Q3</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2A97745E"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Appropriate research design. Interviews close to intervention completion support reflection on actual participation.</w:t>
            </w:r>
          </w:p>
        </w:tc>
      </w:tr>
      <w:tr w:rsidR="007E77F1" w:rsidRPr="000A2871" w14:paraId="79393400" w14:textId="77777777" w:rsidTr="001A2D87">
        <w:trPr>
          <w:trHeight w:val="780"/>
        </w:trPr>
        <w:tc>
          <w:tcPr>
            <w:tcW w:w="1725" w:type="dxa"/>
            <w:shd w:val="clear" w:color="auto" w:fill="FFFFFF" w:themeFill="background1"/>
            <w:tcMar>
              <w:top w:w="80" w:type="dxa"/>
              <w:left w:w="80" w:type="dxa"/>
              <w:bottom w:w="80" w:type="dxa"/>
              <w:right w:w="80" w:type="dxa"/>
            </w:tcMar>
          </w:tcPr>
          <w:p w14:paraId="3C6357DD"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Q4</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4A2E9C91"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Appropriate recruitment. Recruitment sought differing engagement levels; a highly educated, clinically specific volunteer sample limits transferability.</w:t>
            </w:r>
          </w:p>
        </w:tc>
      </w:tr>
      <w:tr w:rsidR="007E77F1" w:rsidRPr="000A2871" w14:paraId="24B92C30" w14:textId="77777777" w:rsidTr="001A2D87">
        <w:trPr>
          <w:trHeight w:val="780"/>
        </w:trPr>
        <w:tc>
          <w:tcPr>
            <w:tcW w:w="1725" w:type="dxa"/>
            <w:shd w:val="clear" w:color="auto" w:fill="FFFFFF" w:themeFill="background1"/>
            <w:tcMar>
              <w:top w:w="80" w:type="dxa"/>
              <w:left w:w="80" w:type="dxa"/>
              <w:bottom w:w="80" w:type="dxa"/>
              <w:right w:w="80" w:type="dxa"/>
            </w:tcMar>
          </w:tcPr>
          <w:p w14:paraId="228CCF39"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Q5</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0EF694DA"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Suitable data collection. Interview timing, guide, recording and transcription are described.</w:t>
            </w:r>
          </w:p>
        </w:tc>
      </w:tr>
      <w:tr w:rsidR="007E77F1" w:rsidRPr="000A2871" w14:paraId="778112B5" w14:textId="77777777" w:rsidTr="001A2D87">
        <w:trPr>
          <w:trHeight w:val="1080"/>
        </w:trPr>
        <w:tc>
          <w:tcPr>
            <w:tcW w:w="1725" w:type="dxa"/>
            <w:shd w:val="clear" w:color="auto" w:fill="FFFFFF" w:themeFill="background1"/>
            <w:tcMar>
              <w:top w:w="80" w:type="dxa"/>
              <w:left w:w="80" w:type="dxa"/>
              <w:bottom w:w="80" w:type="dxa"/>
              <w:right w:w="80" w:type="dxa"/>
            </w:tcMar>
          </w:tcPr>
          <w:p w14:paraId="6EE101BB"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Q6</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490C4A09"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Researcher–participant relationship and reflexivity. The team reflects on professional backgrounds and their possible influence; lead analysis was independent of earlier development.</w:t>
            </w:r>
          </w:p>
        </w:tc>
      </w:tr>
      <w:tr w:rsidR="007E77F1" w:rsidRPr="000A2871" w14:paraId="50C03E66" w14:textId="77777777" w:rsidTr="001A2D87">
        <w:trPr>
          <w:trHeight w:val="780"/>
        </w:trPr>
        <w:tc>
          <w:tcPr>
            <w:tcW w:w="1725" w:type="dxa"/>
            <w:shd w:val="clear" w:color="auto" w:fill="FFFFFF" w:themeFill="background1"/>
            <w:tcMar>
              <w:top w:w="80" w:type="dxa"/>
              <w:left w:w="80" w:type="dxa"/>
              <w:bottom w:w="80" w:type="dxa"/>
              <w:right w:w="80" w:type="dxa"/>
            </w:tcMar>
          </w:tcPr>
          <w:p w14:paraId="2DB7A8FC"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Q7</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79DA8F81"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Ethical considerations. Wales REC approval, consent and pseudonymisation are reported.</w:t>
            </w:r>
          </w:p>
        </w:tc>
      </w:tr>
      <w:tr w:rsidR="007E77F1" w:rsidRPr="000A2871" w14:paraId="075755B6" w14:textId="77777777" w:rsidTr="001A2D87">
        <w:trPr>
          <w:trHeight w:val="780"/>
        </w:trPr>
        <w:tc>
          <w:tcPr>
            <w:tcW w:w="1725" w:type="dxa"/>
            <w:shd w:val="clear" w:color="auto" w:fill="FFFFFF" w:themeFill="background1"/>
            <w:tcMar>
              <w:top w:w="80" w:type="dxa"/>
              <w:left w:w="80" w:type="dxa"/>
              <w:bottom w:w="80" w:type="dxa"/>
              <w:right w:w="80" w:type="dxa"/>
            </w:tcMar>
          </w:tcPr>
          <w:p w14:paraId="7A26B6AD"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Q8</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3A3B1311"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Rigorous analysis. Inductive coding, framework organisation and team discussion are described.</w:t>
            </w:r>
          </w:p>
        </w:tc>
      </w:tr>
      <w:tr w:rsidR="007E77F1" w:rsidRPr="000A2871" w14:paraId="57ED3433" w14:textId="77777777" w:rsidTr="001A2D87">
        <w:trPr>
          <w:trHeight w:val="780"/>
        </w:trPr>
        <w:tc>
          <w:tcPr>
            <w:tcW w:w="1725" w:type="dxa"/>
            <w:shd w:val="clear" w:color="auto" w:fill="FFFFFF" w:themeFill="background1"/>
            <w:tcMar>
              <w:top w:w="80" w:type="dxa"/>
              <w:left w:w="80" w:type="dxa"/>
              <w:bottom w:w="80" w:type="dxa"/>
              <w:right w:w="80" w:type="dxa"/>
            </w:tcMar>
          </w:tcPr>
          <w:p w14:paraId="3C7FD520"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Q9</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0F1FF456"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Clear findings. Age-labelled accounts support clear findings and enable restricted extraction.</w:t>
            </w:r>
          </w:p>
        </w:tc>
      </w:tr>
      <w:tr w:rsidR="007E77F1" w:rsidRPr="000A2871" w14:paraId="4A67DF8E" w14:textId="77777777" w:rsidTr="001A2D87">
        <w:trPr>
          <w:trHeight w:val="780"/>
        </w:trPr>
        <w:tc>
          <w:tcPr>
            <w:tcW w:w="1725" w:type="dxa"/>
            <w:shd w:val="clear" w:color="auto" w:fill="FFFFFF" w:themeFill="background1"/>
            <w:tcMar>
              <w:top w:w="80" w:type="dxa"/>
              <w:left w:w="80" w:type="dxa"/>
              <w:bottom w:w="80" w:type="dxa"/>
              <w:right w:w="80" w:type="dxa"/>
            </w:tcMar>
          </w:tcPr>
          <w:p w14:paraId="41F861C4"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Q10</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70CB82DA"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Value of the research. The study informs design within a specific risk context; three younger contributors cannot establish all young women’s preferences.</w:t>
            </w:r>
          </w:p>
        </w:tc>
      </w:tr>
    </w:tbl>
    <w:p w14:paraId="0DF815E4"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016C945D" w14:textId="77777777" w:rsidR="007E77F1" w:rsidRPr="000A2871" w:rsidRDefault="007E77F1" w:rsidP="000A2871">
      <w:pPr>
        <w:spacing w:after="120" w:line="360" w:lineRule="auto"/>
        <w:rPr>
          <w:rFonts w:ascii="Arial" w:hAnsi="Arial" w:cs="Arial"/>
        </w:rPr>
      </w:pPr>
      <w:r w:rsidRPr="000A2871">
        <w:rPr>
          <w:rFonts w:ascii="Arial" w:hAnsi="Arial" w:cs="Arial"/>
        </w:rPr>
        <w:t>Source locations: Methods and participant table; Results themes 2–4, quotations explicitly labelled with names and ages.</w:t>
      </w:r>
    </w:p>
    <w:p w14:paraId="3D8460AB" w14:textId="77777777" w:rsidR="007E77F1" w:rsidRPr="000A2871" w:rsidRDefault="007E77F1" w:rsidP="000A2871">
      <w:pPr>
        <w:spacing w:after="120" w:line="360" w:lineRule="auto"/>
        <w:rPr>
          <w:rFonts w:ascii="Arial" w:hAnsi="Arial" w:cs="Arial"/>
        </w:rPr>
      </w:pPr>
      <w:r w:rsidRPr="000A2871">
        <w:rPr>
          <w:rFonts w:ascii="Arial" w:hAnsi="Arial" w:cs="Arial"/>
        </w:rPr>
        <w:t>https://doi.org/10.2196/57964</w:t>
      </w:r>
    </w:p>
    <w:p w14:paraId="71E9D158" w14:textId="77777777" w:rsidR="00911724" w:rsidRDefault="00911724">
      <w:pPr>
        <w:rPr>
          <w:rFonts w:ascii="Arial" w:eastAsia="Times New Roman" w:hAnsi="Arial" w:cs="Arial"/>
          <w:b/>
          <w:bCs/>
          <w:color w:val="000000"/>
          <w:sz w:val="34"/>
          <w:szCs w:val="34"/>
        </w:rPr>
      </w:pPr>
      <w:bookmarkStart w:id="226" w:name="_wpedko3e8n45" w:colFirst="0" w:colLast="0"/>
      <w:bookmarkEnd w:id="226"/>
      <w:r>
        <w:rPr>
          <w:rFonts w:ascii="Arial" w:hAnsi="Arial" w:cs="Arial"/>
          <w:bCs/>
          <w:sz w:val="34"/>
          <w:szCs w:val="34"/>
        </w:rPr>
        <w:br w:type="page"/>
      </w:r>
    </w:p>
    <w:p w14:paraId="1A7D5265" w14:textId="1DF5988B" w:rsidR="007E77F1" w:rsidRPr="000A2871" w:rsidRDefault="007E77F1" w:rsidP="00FC1DFE">
      <w:pPr>
        <w:pStyle w:val="Heading2"/>
        <w:keepNext w:val="0"/>
        <w:keepLines w:val="0"/>
        <w:spacing w:after="80" w:line="360" w:lineRule="auto"/>
        <w:jc w:val="left"/>
        <w:rPr>
          <w:rFonts w:ascii="Arial" w:hAnsi="Arial" w:cs="Arial"/>
          <w:b w:val="0"/>
          <w:bCs/>
          <w:sz w:val="34"/>
          <w:szCs w:val="34"/>
        </w:rPr>
      </w:pPr>
      <w:bookmarkStart w:id="227" w:name="_Toc242459622"/>
      <w:r w:rsidRPr="000A2871">
        <w:rPr>
          <w:rFonts w:ascii="Arial" w:hAnsi="Arial" w:cs="Arial"/>
          <w:bCs/>
          <w:sz w:val="34"/>
          <w:szCs w:val="34"/>
        </w:rPr>
        <w:lastRenderedPageBreak/>
        <w:t>D9 S0001 Howard Wilsher, Fearne and Panagiotaki (2019)</w:t>
      </w:r>
      <w:bookmarkEnd w:id="227"/>
    </w:p>
    <w:p w14:paraId="54CEBC90" w14:textId="77777777" w:rsidR="007E77F1" w:rsidRPr="000A2871" w:rsidRDefault="007E77F1" w:rsidP="000A2871">
      <w:pPr>
        <w:spacing w:after="120" w:line="360" w:lineRule="auto"/>
        <w:rPr>
          <w:rFonts w:ascii="Arial" w:hAnsi="Arial" w:cs="Arial"/>
        </w:rPr>
      </w:pPr>
      <w:r w:rsidRPr="000A2871">
        <w:rPr>
          <w:rFonts w:ascii="Arial" w:hAnsi="Arial" w:cs="Arial"/>
        </w:rPr>
        <w:t>Whole sample. London and Norfolk, England; 34 men aged 18–24; eight focus groups.</w:t>
      </w:r>
    </w:p>
    <w:tbl>
      <w:tblPr>
        <w:tblW w:w="8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5"/>
        <w:gridCol w:w="7170"/>
      </w:tblGrid>
      <w:tr w:rsidR="007E77F1" w:rsidRPr="000A2871" w14:paraId="54C3B14A" w14:textId="77777777" w:rsidTr="001A2D87">
        <w:trPr>
          <w:trHeight w:val="780"/>
        </w:trPr>
        <w:tc>
          <w:tcPr>
            <w:tcW w:w="1725" w:type="dxa"/>
            <w:shd w:val="clear" w:color="auto" w:fill="FFFFFF" w:themeFill="background1"/>
            <w:tcMar>
              <w:top w:w="80" w:type="dxa"/>
              <w:left w:w="80" w:type="dxa"/>
              <w:bottom w:w="80" w:type="dxa"/>
              <w:right w:w="80" w:type="dxa"/>
            </w:tcMar>
          </w:tcPr>
          <w:p w14:paraId="1A24D248" w14:textId="77777777" w:rsidR="007E77F1" w:rsidRPr="00FC1DFE" w:rsidRDefault="007E77F1" w:rsidP="000A2871">
            <w:pPr>
              <w:spacing w:line="360" w:lineRule="auto"/>
              <w:rPr>
                <w:rFonts w:ascii="Arial" w:hAnsi="Arial" w:cs="Arial"/>
                <w:b/>
                <w:bCs/>
                <w:sz w:val="20"/>
                <w:szCs w:val="20"/>
              </w:rPr>
            </w:pPr>
            <w:r w:rsidRPr="00FC1DFE">
              <w:rPr>
                <w:rFonts w:ascii="Arial" w:hAnsi="Arial" w:cs="Arial"/>
                <w:b/>
                <w:bCs/>
                <w:sz w:val="20"/>
                <w:szCs w:val="20"/>
              </w:rPr>
              <w:t>Domain and judgement</w:t>
            </w:r>
          </w:p>
        </w:tc>
        <w:tc>
          <w:tcPr>
            <w:tcW w:w="7170" w:type="dxa"/>
            <w:shd w:val="clear" w:color="auto" w:fill="FFFFFF" w:themeFill="background1"/>
            <w:tcMar>
              <w:top w:w="80" w:type="dxa"/>
              <w:left w:w="80" w:type="dxa"/>
              <w:bottom w:w="80" w:type="dxa"/>
              <w:right w:w="80" w:type="dxa"/>
            </w:tcMar>
          </w:tcPr>
          <w:p w14:paraId="11A3D233" w14:textId="77777777" w:rsidR="007E77F1" w:rsidRPr="00FC1DFE" w:rsidRDefault="007E77F1" w:rsidP="000A2871">
            <w:pPr>
              <w:spacing w:line="360" w:lineRule="auto"/>
              <w:rPr>
                <w:rFonts w:ascii="Arial" w:hAnsi="Arial" w:cs="Arial"/>
                <w:b/>
                <w:bCs/>
                <w:sz w:val="20"/>
                <w:szCs w:val="20"/>
              </w:rPr>
            </w:pPr>
            <w:r w:rsidRPr="00FC1DFE">
              <w:rPr>
                <w:rFonts w:ascii="Arial" w:hAnsi="Arial" w:cs="Arial"/>
                <w:b/>
                <w:bCs/>
                <w:sz w:val="20"/>
                <w:szCs w:val="20"/>
              </w:rPr>
              <w:t>Report-specific rationale</w:t>
            </w:r>
          </w:p>
        </w:tc>
      </w:tr>
      <w:tr w:rsidR="007E77F1" w:rsidRPr="000A2871" w14:paraId="08331710" w14:textId="77777777" w:rsidTr="001A2D87">
        <w:trPr>
          <w:trHeight w:val="780"/>
        </w:trPr>
        <w:tc>
          <w:tcPr>
            <w:tcW w:w="1725" w:type="dxa"/>
            <w:shd w:val="clear" w:color="auto" w:fill="FFFFFF" w:themeFill="background1"/>
            <w:tcMar>
              <w:top w:w="80" w:type="dxa"/>
              <w:left w:w="80" w:type="dxa"/>
              <w:bottom w:w="80" w:type="dxa"/>
              <w:right w:w="80" w:type="dxa"/>
            </w:tcMar>
          </w:tcPr>
          <w:p w14:paraId="727537A6"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Q1</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15E4DE5B"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Clear aims. The aim clearly concerns motivations for fruit and vegetable consumption in young men.</w:t>
            </w:r>
          </w:p>
        </w:tc>
      </w:tr>
      <w:tr w:rsidR="007E77F1" w:rsidRPr="000A2871" w14:paraId="74E91A0D" w14:textId="77777777" w:rsidTr="001A2D87">
        <w:trPr>
          <w:trHeight w:val="780"/>
        </w:trPr>
        <w:tc>
          <w:tcPr>
            <w:tcW w:w="1725" w:type="dxa"/>
            <w:shd w:val="clear" w:color="auto" w:fill="FFFFFF" w:themeFill="background1"/>
            <w:tcMar>
              <w:top w:w="80" w:type="dxa"/>
              <w:left w:w="80" w:type="dxa"/>
              <w:bottom w:w="80" w:type="dxa"/>
              <w:right w:w="80" w:type="dxa"/>
            </w:tcMar>
          </w:tcPr>
          <w:p w14:paraId="2B0877A9"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Q2</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7EE366BB"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Appropriate qualitative methodology. Qualitative groups and visual activities suit food meanings and message interpretation.</w:t>
            </w:r>
          </w:p>
        </w:tc>
      </w:tr>
      <w:tr w:rsidR="007E77F1" w:rsidRPr="000A2871" w14:paraId="546B6BF4" w14:textId="77777777" w:rsidTr="001A2D87">
        <w:trPr>
          <w:trHeight w:val="780"/>
        </w:trPr>
        <w:tc>
          <w:tcPr>
            <w:tcW w:w="1725" w:type="dxa"/>
            <w:shd w:val="clear" w:color="auto" w:fill="FFFFFF" w:themeFill="background1"/>
            <w:tcMar>
              <w:top w:w="80" w:type="dxa"/>
              <w:left w:w="80" w:type="dxa"/>
              <w:bottom w:w="80" w:type="dxa"/>
              <w:right w:w="80" w:type="dxa"/>
            </w:tcMar>
          </w:tcPr>
          <w:p w14:paraId="2D996A52"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Q3</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7190A088"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Appropriate research design. The design connects contextual discussion with dietary information and a conceptual framework.</w:t>
            </w:r>
          </w:p>
        </w:tc>
      </w:tr>
      <w:tr w:rsidR="007E77F1" w:rsidRPr="000A2871" w14:paraId="4082ECD4" w14:textId="77777777" w:rsidTr="001A2D87">
        <w:trPr>
          <w:trHeight w:val="780"/>
        </w:trPr>
        <w:tc>
          <w:tcPr>
            <w:tcW w:w="1725" w:type="dxa"/>
            <w:shd w:val="clear" w:color="auto" w:fill="FFFFFF" w:themeFill="background1"/>
            <w:tcMar>
              <w:top w:w="80" w:type="dxa"/>
              <w:left w:w="80" w:type="dxa"/>
              <w:bottom w:w="80" w:type="dxa"/>
              <w:right w:w="80" w:type="dxa"/>
            </w:tcMar>
          </w:tcPr>
          <w:p w14:paraId="381954DF"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Q4</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3ED9B1B3"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Appropriate recruitment. Public-space recruitment in two English locations is described; high unrecorded refusal and volunteer selection limit coverage.</w:t>
            </w:r>
          </w:p>
        </w:tc>
      </w:tr>
      <w:tr w:rsidR="007E77F1" w:rsidRPr="000A2871" w14:paraId="080D09BC" w14:textId="77777777" w:rsidTr="001A2D87">
        <w:trPr>
          <w:trHeight w:val="780"/>
        </w:trPr>
        <w:tc>
          <w:tcPr>
            <w:tcW w:w="1725" w:type="dxa"/>
            <w:shd w:val="clear" w:color="auto" w:fill="FFFFFF" w:themeFill="background1"/>
            <w:tcMar>
              <w:top w:w="80" w:type="dxa"/>
              <w:left w:w="80" w:type="dxa"/>
              <w:bottom w:w="80" w:type="dxa"/>
              <w:right w:w="80" w:type="dxa"/>
            </w:tcMar>
          </w:tcPr>
          <w:p w14:paraId="79C461D2"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Q5</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7DE9A933"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Suitable data collection. Piloted prompts, visual materials, diaries/recalls and recorded discussion are detailed.</w:t>
            </w:r>
          </w:p>
        </w:tc>
      </w:tr>
      <w:tr w:rsidR="007E77F1" w:rsidRPr="000A2871" w14:paraId="656FEE4B" w14:textId="77777777" w:rsidTr="001A2D87">
        <w:trPr>
          <w:trHeight w:val="1080"/>
        </w:trPr>
        <w:tc>
          <w:tcPr>
            <w:tcW w:w="1725" w:type="dxa"/>
            <w:shd w:val="clear" w:color="auto" w:fill="FFFFFF" w:themeFill="background1"/>
            <w:tcMar>
              <w:top w:w="80" w:type="dxa"/>
              <w:left w:w="80" w:type="dxa"/>
              <w:bottom w:w="80" w:type="dxa"/>
              <w:right w:w="80" w:type="dxa"/>
            </w:tcMar>
          </w:tcPr>
          <w:p w14:paraId="773B1CAD"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Q6</w:t>
            </w:r>
            <w:r w:rsidRPr="00FC1DFE">
              <w:rPr>
                <w:rFonts w:ascii="Arial" w:hAnsi="Arial" w:cs="Arial"/>
                <w:sz w:val="20"/>
                <w:szCs w:val="20"/>
              </w:rPr>
              <w:br/>
              <w:t xml:space="preserve"> Cannot tell</w:t>
            </w:r>
          </w:p>
        </w:tc>
        <w:tc>
          <w:tcPr>
            <w:tcW w:w="7170" w:type="dxa"/>
            <w:shd w:val="clear" w:color="auto" w:fill="FFFFFF" w:themeFill="background1"/>
            <w:tcMar>
              <w:top w:w="80" w:type="dxa"/>
              <w:left w:w="80" w:type="dxa"/>
              <w:bottom w:w="80" w:type="dxa"/>
              <w:right w:w="80" w:type="dxa"/>
            </w:tcMar>
          </w:tcPr>
          <w:p w14:paraId="31C81F92"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Researcher–participant relationship and reflexivity. Researcher coding roles are reported, but relationships, assumptions and possible influence receive limited attention.</w:t>
            </w:r>
          </w:p>
        </w:tc>
      </w:tr>
      <w:tr w:rsidR="007E77F1" w:rsidRPr="000A2871" w14:paraId="6E26CED1" w14:textId="77777777" w:rsidTr="001A2D87">
        <w:trPr>
          <w:trHeight w:val="780"/>
        </w:trPr>
        <w:tc>
          <w:tcPr>
            <w:tcW w:w="1725" w:type="dxa"/>
            <w:shd w:val="clear" w:color="auto" w:fill="FFFFFF" w:themeFill="background1"/>
            <w:tcMar>
              <w:top w:w="80" w:type="dxa"/>
              <w:left w:w="80" w:type="dxa"/>
              <w:bottom w:w="80" w:type="dxa"/>
              <w:right w:w="80" w:type="dxa"/>
            </w:tcMar>
          </w:tcPr>
          <w:p w14:paraId="12158D50"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Q7</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5FDAF646"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Ethical considerations. University of Kent approval, consent, withdrawal and secure handling are reported.</w:t>
            </w:r>
          </w:p>
        </w:tc>
      </w:tr>
      <w:tr w:rsidR="007E77F1" w:rsidRPr="000A2871" w14:paraId="431562F6" w14:textId="77777777" w:rsidTr="001A2D87">
        <w:trPr>
          <w:trHeight w:val="780"/>
        </w:trPr>
        <w:tc>
          <w:tcPr>
            <w:tcW w:w="1725" w:type="dxa"/>
            <w:shd w:val="clear" w:color="auto" w:fill="FFFFFF" w:themeFill="background1"/>
            <w:tcMar>
              <w:top w:w="80" w:type="dxa"/>
              <w:left w:w="80" w:type="dxa"/>
              <w:bottom w:w="80" w:type="dxa"/>
              <w:right w:w="80" w:type="dxa"/>
            </w:tcMar>
          </w:tcPr>
          <w:p w14:paraId="61D91DA3"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Q8</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6152DDD7"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Rigorous analysis. Line-by-line coding, iterative comparison, new-theme identification and researcher discussion are described.</w:t>
            </w:r>
          </w:p>
        </w:tc>
      </w:tr>
      <w:tr w:rsidR="007E77F1" w:rsidRPr="000A2871" w14:paraId="03009807" w14:textId="77777777" w:rsidTr="001A2D87">
        <w:trPr>
          <w:trHeight w:val="780"/>
        </w:trPr>
        <w:tc>
          <w:tcPr>
            <w:tcW w:w="1725" w:type="dxa"/>
            <w:shd w:val="clear" w:color="auto" w:fill="FFFFFF" w:themeFill="background1"/>
            <w:tcMar>
              <w:top w:w="80" w:type="dxa"/>
              <w:left w:w="80" w:type="dxa"/>
              <w:bottom w:w="80" w:type="dxa"/>
              <w:right w:w="80" w:type="dxa"/>
            </w:tcMar>
          </w:tcPr>
          <w:p w14:paraId="268259C0"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Q9</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71B9E12E"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Clear findings. Findings are clear and illustrated with locality, group and age labels.</w:t>
            </w:r>
          </w:p>
        </w:tc>
      </w:tr>
      <w:tr w:rsidR="007E77F1" w:rsidRPr="000A2871" w14:paraId="0A7A5B4D" w14:textId="77777777" w:rsidTr="001A2D87">
        <w:trPr>
          <w:trHeight w:val="780"/>
        </w:trPr>
        <w:tc>
          <w:tcPr>
            <w:tcW w:w="1725" w:type="dxa"/>
            <w:shd w:val="clear" w:color="auto" w:fill="FFFFFF" w:themeFill="background1"/>
            <w:tcMar>
              <w:top w:w="80" w:type="dxa"/>
              <w:left w:w="80" w:type="dxa"/>
              <w:bottom w:w="80" w:type="dxa"/>
              <w:right w:w="80" w:type="dxa"/>
            </w:tcMar>
          </w:tcPr>
          <w:p w14:paraId="48D4F0D3"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Q10</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2C27B5E8"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Value of the research. The male-specific comparison informs messaging; small qualitative groups cannot establish causal effects of identity on diet.</w:t>
            </w:r>
          </w:p>
        </w:tc>
      </w:tr>
    </w:tbl>
    <w:p w14:paraId="130D6088"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033D06CB" w14:textId="77777777" w:rsidR="007E77F1" w:rsidRPr="000A2871" w:rsidRDefault="007E77F1" w:rsidP="000A2871">
      <w:pPr>
        <w:spacing w:after="120" w:line="360" w:lineRule="auto"/>
        <w:rPr>
          <w:rFonts w:ascii="Arial" w:hAnsi="Arial" w:cs="Arial"/>
        </w:rPr>
      </w:pPr>
      <w:r w:rsidRPr="000A2871">
        <w:rPr>
          <w:rFonts w:ascii="Arial" w:hAnsi="Arial" w:cs="Arial"/>
        </w:rPr>
        <w:lastRenderedPageBreak/>
        <w:t>Source locations: Methods sections 2.1–2.3; Tables 1–2; Results sections on control, social influences, identity and risk.</w:t>
      </w:r>
    </w:p>
    <w:p w14:paraId="573A54DD" w14:textId="77777777" w:rsidR="007E77F1" w:rsidRPr="000A2871" w:rsidRDefault="007E77F1" w:rsidP="000A2871">
      <w:pPr>
        <w:spacing w:after="120" w:line="360" w:lineRule="auto"/>
        <w:rPr>
          <w:rFonts w:ascii="Arial" w:hAnsi="Arial" w:cs="Arial"/>
        </w:rPr>
      </w:pPr>
      <w:r w:rsidRPr="000A2871">
        <w:rPr>
          <w:rFonts w:ascii="Arial" w:hAnsi="Arial" w:cs="Arial"/>
        </w:rPr>
        <w:t>https://doi.org/10.3390/nu11081893</w:t>
      </w:r>
    </w:p>
    <w:p w14:paraId="1F1EAD58" w14:textId="77777777" w:rsidR="00FC1DFE" w:rsidRDefault="00FC1DFE">
      <w:pPr>
        <w:rPr>
          <w:rFonts w:ascii="Arial" w:eastAsia="Times New Roman" w:hAnsi="Arial" w:cs="Arial"/>
          <w:b/>
          <w:bCs/>
          <w:color w:val="000000"/>
          <w:sz w:val="34"/>
          <w:szCs w:val="34"/>
        </w:rPr>
      </w:pPr>
      <w:bookmarkStart w:id="228" w:name="_usjptv36vdv" w:colFirst="0" w:colLast="0"/>
      <w:bookmarkEnd w:id="228"/>
      <w:r>
        <w:rPr>
          <w:rFonts w:ascii="Arial" w:hAnsi="Arial" w:cs="Arial"/>
          <w:bCs/>
          <w:sz w:val="34"/>
          <w:szCs w:val="34"/>
        </w:rPr>
        <w:br w:type="page"/>
      </w:r>
    </w:p>
    <w:p w14:paraId="73D68830" w14:textId="4D966E9F" w:rsidR="007E77F1" w:rsidRPr="000A2871" w:rsidRDefault="007E77F1" w:rsidP="00FC1DFE">
      <w:pPr>
        <w:pStyle w:val="Heading2"/>
        <w:keepNext w:val="0"/>
        <w:keepLines w:val="0"/>
        <w:spacing w:after="80" w:line="360" w:lineRule="auto"/>
        <w:jc w:val="left"/>
        <w:rPr>
          <w:rFonts w:ascii="Arial" w:hAnsi="Arial" w:cs="Arial"/>
          <w:b w:val="0"/>
          <w:bCs/>
          <w:sz w:val="34"/>
          <w:szCs w:val="34"/>
        </w:rPr>
      </w:pPr>
      <w:bookmarkStart w:id="229" w:name="_Toc242459623"/>
      <w:r w:rsidRPr="000A2871">
        <w:rPr>
          <w:rFonts w:ascii="Arial" w:hAnsi="Arial" w:cs="Arial"/>
          <w:bCs/>
          <w:sz w:val="34"/>
          <w:szCs w:val="34"/>
        </w:rPr>
        <w:lastRenderedPageBreak/>
        <w:t>D10 S0002 Trahearn et al. (2021)</w:t>
      </w:r>
      <w:bookmarkEnd w:id="229"/>
    </w:p>
    <w:p w14:paraId="08338B7B" w14:textId="130BFA85" w:rsidR="007E77F1" w:rsidRPr="000A2871" w:rsidRDefault="007E77F1" w:rsidP="000A2871">
      <w:pPr>
        <w:spacing w:after="120" w:line="360" w:lineRule="auto"/>
        <w:rPr>
          <w:rFonts w:ascii="Arial" w:hAnsi="Arial" w:cs="Arial"/>
        </w:rPr>
      </w:pPr>
      <w:r w:rsidRPr="000A2871">
        <w:rPr>
          <w:rFonts w:ascii="Arial" w:hAnsi="Arial" w:cs="Arial"/>
        </w:rPr>
        <w:t xml:space="preserve">Restricted accounts. UK </w:t>
      </w:r>
      <w:r w:rsidR="00FC1DFE" w:rsidRPr="000A2871">
        <w:rPr>
          <w:rFonts w:ascii="Arial" w:hAnsi="Arial" w:cs="Arial"/>
        </w:rPr>
        <w:t>University</w:t>
      </w:r>
      <w:r w:rsidRPr="000A2871">
        <w:rPr>
          <w:rFonts w:ascii="Arial" w:hAnsi="Arial" w:cs="Arial"/>
        </w:rPr>
        <w:t>; six final-year dietetic students. A=23, B=22, C=23, D=34, E=22, F=23.</w:t>
      </w:r>
    </w:p>
    <w:tbl>
      <w:tblPr>
        <w:tblW w:w="8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5"/>
        <w:gridCol w:w="7170"/>
      </w:tblGrid>
      <w:tr w:rsidR="007E77F1" w:rsidRPr="000A2871" w14:paraId="0E98F944" w14:textId="77777777" w:rsidTr="001A2D87">
        <w:trPr>
          <w:trHeight w:val="780"/>
        </w:trPr>
        <w:tc>
          <w:tcPr>
            <w:tcW w:w="1725" w:type="dxa"/>
            <w:shd w:val="clear" w:color="auto" w:fill="FFFFFF" w:themeFill="background1"/>
            <w:tcMar>
              <w:top w:w="80" w:type="dxa"/>
              <w:left w:w="80" w:type="dxa"/>
              <w:bottom w:w="80" w:type="dxa"/>
              <w:right w:w="80" w:type="dxa"/>
            </w:tcMar>
          </w:tcPr>
          <w:p w14:paraId="3C7AB2D8" w14:textId="77777777" w:rsidR="007E77F1" w:rsidRPr="00FC1DFE" w:rsidRDefault="007E77F1" w:rsidP="000A2871">
            <w:pPr>
              <w:spacing w:line="360" w:lineRule="auto"/>
              <w:rPr>
                <w:rFonts w:ascii="Arial" w:hAnsi="Arial" w:cs="Arial"/>
                <w:b/>
                <w:bCs/>
                <w:sz w:val="20"/>
                <w:szCs w:val="20"/>
              </w:rPr>
            </w:pPr>
            <w:r w:rsidRPr="00FC1DFE">
              <w:rPr>
                <w:rFonts w:ascii="Arial" w:hAnsi="Arial" w:cs="Arial"/>
                <w:b/>
                <w:bCs/>
                <w:sz w:val="20"/>
                <w:szCs w:val="20"/>
              </w:rPr>
              <w:t>Domain and judgement</w:t>
            </w:r>
          </w:p>
        </w:tc>
        <w:tc>
          <w:tcPr>
            <w:tcW w:w="7170" w:type="dxa"/>
            <w:shd w:val="clear" w:color="auto" w:fill="FFFFFF" w:themeFill="background1"/>
            <w:tcMar>
              <w:top w:w="80" w:type="dxa"/>
              <w:left w:w="80" w:type="dxa"/>
              <w:bottom w:w="80" w:type="dxa"/>
              <w:right w:w="80" w:type="dxa"/>
            </w:tcMar>
          </w:tcPr>
          <w:p w14:paraId="4A2BD50C" w14:textId="77777777" w:rsidR="007E77F1" w:rsidRPr="00FC1DFE" w:rsidRDefault="007E77F1" w:rsidP="000A2871">
            <w:pPr>
              <w:spacing w:line="360" w:lineRule="auto"/>
              <w:rPr>
                <w:rFonts w:ascii="Arial" w:hAnsi="Arial" w:cs="Arial"/>
                <w:b/>
                <w:bCs/>
                <w:sz w:val="20"/>
                <w:szCs w:val="20"/>
              </w:rPr>
            </w:pPr>
            <w:r w:rsidRPr="00FC1DFE">
              <w:rPr>
                <w:rFonts w:ascii="Arial" w:hAnsi="Arial" w:cs="Arial"/>
                <w:b/>
                <w:bCs/>
                <w:sz w:val="20"/>
                <w:szCs w:val="20"/>
              </w:rPr>
              <w:t>Report-specific rationale</w:t>
            </w:r>
          </w:p>
        </w:tc>
      </w:tr>
      <w:tr w:rsidR="007E77F1" w:rsidRPr="000A2871" w14:paraId="1A60F1E2" w14:textId="77777777" w:rsidTr="001A2D87">
        <w:trPr>
          <w:trHeight w:val="780"/>
        </w:trPr>
        <w:tc>
          <w:tcPr>
            <w:tcW w:w="1725" w:type="dxa"/>
            <w:shd w:val="clear" w:color="auto" w:fill="FFFFFF" w:themeFill="background1"/>
            <w:tcMar>
              <w:top w:w="80" w:type="dxa"/>
              <w:left w:w="80" w:type="dxa"/>
              <w:bottom w:w="80" w:type="dxa"/>
              <w:right w:w="80" w:type="dxa"/>
            </w:tcMar>
          </w:tcPr>
          <w:p w14:paraId="1D9F5942"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Q1</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052FEB42"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Clear aims. The pilot aim specifies dietetic students’ drivers and barriers to healthy eating.</w:t>
            </w:r>
          </w:p>
        </w:tc>
      </w:tr>
      <w:tr w:rsidR="007E77F1" w:rsidRPr="000A2871" w14:paraId="63098F7F" w14:textId="77777777" w:rsidTr="001A2D87">
        <w:trPr>
          <w:trHeight w:val="780"/>
        </w:trPr>
        <w:tc>
          <w:tcPr>
            <w:tcW w:w="1725" w:type="dxa"/>
            <w:shd w:val="clear" w:color="auto" w:fill="FFFFFF" w:themeFill="background1"/>
            <w:tcMar>
              <w:top w:w="80" w:type="dxa"/>
              <w:left w:w="80" w:type="dxa"/>
              <w:bottom w:w="80" w:type="dxa"/>
              <w:right w:w="80" w:type="dxa"/>
            </w:tcMar>
          </w:tcPr>
          <w:p w14:paraId="142C39B4"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Q2</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7FAE769E"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Appropriate qualitative methodology. Qualitative interviews are appropriate for lived experience and food decisions.</w:t>
            </w:r>
          </w:p>
        </w:tc>
      </w:tr>
      <w:tr w:rsidR="007E77F1" w:rsidRPr="000A2871" w14:paraId="1C21FA0C" w14:textId="77777777" w:rsidTr="001A2D87">
        <w:trPr>
          <w:trHeight w:val="1080"/>
        </w:trPr>
        <w:tc>
          <w:tcPr>
            <w:tcW w:w="1725" w:type="dxa"/>
            <w:shd w:val="clear" w:color="auto" w:fill="FFFFFF" w:themeFill="background1"/>
            <w:tcMar>
              <w:top w:w="80" w:type="dxa"/>
              <w:left w:w="80" w:type="dxa"/>
              <w:bottom w:w="80" w:type="dxa"/>
              <w:right w:w="80" w:type="dxa"/>
            </w:tcMar>
          </w:tcPr>
          <w:p w14:paraId="00D2DDF9"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Q3</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349A3CF9"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Appropriate research design. A phenomenological orientation is explained, although the reported analysis is thematic rather than a distinctive phenomenological procedure.</w:t>
            </w:r>
          </w:p>
        </w:tc>
      </w:tr>
      <w:tr w:rsidR="007E77F1" w:rsidRPr="000A2871" w14:paraId="4006937A" w14:textId="77777777" w:rsidTr="001A2D87">
        <w:trPr>
          <w:trHeight w:val="780"/>
        </w:trPr>
        <w:tc>
          <w:tcPr>
            <w:tcW w:w="1725" w:type="dxa"/>
            <w:shd w:val="clear" w:color="auto" w:fill="FFFFFF" w:themeFill="background1"/>
            <w:tcMar>
              <w:top w:w="80" w:type="dxa"/>
              <w:left w:w="80" w:type="dxa"/>
              <w:bottom w:w="80" w:type="dxa"/>
              <w:right w:w="80" w:type="dxa"/>
            </w:tcMar>
          </w:tcPr>
          <w:p w14:paraId="5E825851"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Q4</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4982F53A"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Appropriate recruitment. Final-year students were purposively approached; six of thirty-four volunteered, giving a narrow exploratory sample.</w:t>
            </w:r>
          </w:p>
        </w:tc>
      </w:tr>
      <w:tr w:rsidR="007E77F1" w:rsidRPr="000A2871" w14:paraId="3DC2A3A1" w14:textId="77777777" w:rsidTr="001A2D87">
        <w:trPr>
          <w:trHeight w:val="780"/>
        </w:trPr>
        <w:tc>
          <w:tcPr>
            <w:tcW w:w="1725" w:type="dxa"/>
            <w:shd w:val="clear" w:color="auto" w:fill="FFFFFF" w:themeFill="background1"/>
            <w:tcMar>
              <w:top w:w="80" w:type="dxa"/>
              <w:left w:w="80" w:type="dxa"/>
              <w:bottom w:w="80" w:type="dxa"/>
              <w:right w:w="80" w:type="dxa"/>
            </w:tcMar>
          </w:tcPr>
          <w:p w14:paraId="57548E41"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Q5</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61E232C5"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Suitable data collection. A developed and piloted topic guide, familiar interview setting and recordings are reported.</w:t>
            </w:r>
          </w:p>
        </w:tc>
      </w:tr>
      <w:tr w:rsidR="007E77F1" w:rsidRPr="000A2871" w14:paraId="2960D1AD" w14:textId="77777777" w:rsidTr="001A2D87">
        <w:trPr>
          <w:trHeight w:val="1080"/>
        </w:trPr>
        <w:tc>
          <w:tcPr>
            <w:tcW w:w="1725" w:type="dxa"/>
            <w:shd w:val="clear" w:color="auto" w:fill="FFFFFF" w:themeFill="background1"/>
            <w:tcMar>
              <w:top w:w="80" w:type="dxa"/>
              <w:left w:w="80" w:type="dxa"/>
              <w:bottom w:w="80" w:type="dxa"/>
              <w:right w:w="80" w:type="dxa"/>
            </w:tcMar>
          </w:tcPr>
          <w:p w14:paraId="6F0C3F30"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Q6</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43E0FD43"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Researcher–participant relationship and reflexivity. The interviewer considered prior assumptions and used open, consistent questions; critical self-scrutiny is discussed.</w:t>
            </w:r>
          </w:p>
        </w:tc>
      </w:tr>
      <w:tr w:rsidR="007E77F1" w:rsidRPr="000A2871" w14:paraId="5029F9AB" w14:textId="77777777" w:rsidTr="001A2D87">
        <w:trPr>
          <w:trHeight w:val="780"/>
        </w:trPr>
        <w:tc>
          <w:tcPr>
            <w:tcW w:w="1725" w:type="dxa"/>
            <w:shd w:val="clear" w:color="auto" w:fill="FFFFFF" w:themeFill="background1"/>
            <w:tcMar>
              <w:top w:w="80" w:type="dxa"/>
              <w:left w:w="80" w:type="dxa"/>
              <w:bottom w:w="80" w:type="dxa"/>
              <w:right w:w="80" w:type="dxa"/>
            </w:tcMar>
          </w:tcPr>
          <w:p w14:paraId="0258A7A1"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Q7</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1E236D6F"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Ethical considerations. Coventry University ethics approval, information sheets and consent are reported.</w:t>
            </w:r>
          </w:p>
        </w:tc>
      </w:tr>
      <w:tr w:rsidR="007E77F1" w:rsidRPr="000A2871" w14:paraId="35307784" w14:textId="77777777" w:rsidTr="001A2D87">
        <w:trPr>
          <w:trHeight w:val="780"/>
        </w:trPr>
        <w:tc>
          <w:tcPr>
            <w:tcW w:w="1725" w:type="dxa"/>
            <w:shd w:val="clear" w:color="auto" w:fill="FFFFFF" w:themeFill="background1"/>
            <w:tcMar>
              <w:top w:w="80" w:type="dxa"/>
              <w:left w:w="80" w:type="dxa"/>
              <w:bottom w:w="80" w:type="dxa"/>
              <w:right w:w="80" w:type="dxa"/>
            </w:tcMar>
          </w:tcPr>
          <w:p w14:paraId="755BE464"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Q8</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6155D746"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Rigorous analysis. Repeated reading, thematic grouping and comparison with team review provide an understandable analytic account.</w:t>
            </w:r>
          </w:p>
        </w:tc>
      </w:tr>
      <w:tr w:rsidR="007E77F1" w:rsidRPr="000A2871" w14:paraId="0B224D25" w14:textId="77777777" w:rsidTr="001A2D87">
        <w:trPr>
          <w:trHeight w:val="780"/>
        </w:trPr>
        <w:tc>
          <w:tcPr>
            <w:tcW w:w="1725" w:type="dxa"/>
            <w:shd w:val="clear" w:color="auto" w:fill="FFFFFF" w:themeFill="background1"/>
            <w:tcMar>
              <w:top w:w="80" w:type="dxa"/>
              <w:left w:w="80" w:type="dxa"/>
              <w:bottom w:w="80" w:type="dxa"/>
              <w:right w:w="80" w:type="dxa"/>
            </w:tcMar>
          </w:tcPr>
          <w:p w14:paraId="1F65C9B0"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Q9</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1EF72A66"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Clear findings. Age-linked participant letters and quotation line numbers support transparent restricted extraction.</w:t>
            </w:r>
          </w:p>
        </w:tc>
      </w:tr>
      <w:tr w:rsidR="007E77F1" w:rsidRPr="000A2871" w14:paraId="3BEBCBCC" w14:textId="77777777" w:rsidTr="001A2D87">
        <w:trPr>
          <w:trHeight w:val="780"/>
        </w:trPr>
        <w:tc>
          <w:tcPr>
            <w:tcW w:w="1725" w:type="dxa"/>
            <w:shd w:val="clear" w:color="auto" w:fill="FFFFFF" w:themeFill="background1"/>
            <w:tcMar>
              <w:top w:w="80" w:type="dxa"/>
              <w:left w:w="80" w:type="dxa"/>
              <w:bottom w:w="80" w:type="dxa"/>
              <w:right w:w="80" w:type="dxa"/>
            </w:tcMar>
          </w:tcPr>
          <w:p w14:paraId="3DF63FDC"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Q10</w:t>
            </w:r>
            <w:r w:rsidRPr="00FC1DFE">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2AFCB656" w14:textId="77777777" w:rsidR="007E77F1" w:rsidRPr="00FC1DFE" w:rsidRDefault="007E77F1" w:rsidP="000A2871">
            <w:pPr>
              <w:spacing w:line="360" w:lineRule="auto"/>
              <w:rPr>
                <w:rFonts w:ascii="Arial" w:hAnsi="Arial" w:cs="Arial"/>
                <w:sz w:val="20"/>
                <w:szCs w:val="20"/>
              </w:rPr>
            </w:pPr>
            <w:r w:rsidRPr="00FC1DFE">
              <w:rPr>
                <w:rFonts w:ascii="Arial" w:hAnsi="Arial" w:cs="Arial"/>
                <w:sz w:val="20"/>
                <w:szCs w:val="20"/>
              </w:rPr>
              <w:t>Value of the research. The study shows why knowledge need not resolve practical or emotional barriers; it remains a small specialist pilot.</w:t>
            </w:r>
          </w:p>
        </w:tc>
      </w:tr>
    </w:tbl>
    <w:p w14:paraId="5FF620AE"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0050AFAC" w14:textId="77777777" w:rsidR="007E77F1" w:rsidRPr="000A2871" w:rsidRDefault="007E77F1" w:rsidP="000A2871">
      <w:pPr>
        <w:spacing w:after="120" w:line="360" w:lineRule="auto"/>
        <w:rPr>
          <w:rFonts w:ascii="Arial" w:hAnsi="Arial" w:cs="Arial"/>
        </w:rPr>
      </w:pPr>
      <w:r w:rsidRPr="000A2871">
        <w:rPr>
          <w:rFonts w:ascii="Arial" w:hAnsi="Arial" w:cs="Arial"/>
        </w:rPr>
        <w:lastRenderedPageBreak/>
        <w:t>Source locations: Methods 2.1–2.5; Table 2 (ages); Table 3 and Results quotations with letter/line identifiers; limitations/reflexivity.</w:t>
      </w:r>
    </w:p>
    <w:p w14:paraId="327001A6" w14:textId="77777777" w:rsidR="007E77F1" w:rsidRPr="000A2871" w:rsidRDefault="007E77F1" w:rsidP="000A2871">
      <w:pPr>
        <w:spacing w:after="120" w:line="360" w:lineRule="auto"/>
        <w:rPr>
          <w:rFonts w:ascii="Arial" w:hAnsi="Arial" w:cs="Arial"/>
        </w:rPr>
      </w:pPr>
      <w:r w:rsidRPr="000A2871">
        <w:rPr>
          <w:rFonts w:ascii="Arial" w:hAnsi="Arial" w:cs="Arial"/>
        </w:rPr>
        <w:t>https://doi.org/10.3390/healthcare9050579</w:t>
      </w:r>
    </w:p>
    <w:p w14:paraId="0DFBFE92" w14:textId="77777777" w:rsidR="007E77F1" w:rsidRPr="000A2871" w:rsidRDefault="007E77F1" w:rsidP="00FC1DFE">
      <w:pPr>
        <w:pStyle w:val="Heading2"/>
        <w:keepNext w:val="0"/>
        <w:keepLines w:val="0"/>
        <w:spacing w:after="80" w:line="360" w:lineRule="auto"/>
        <w:jc w:val="left"/>
        <w:rPr>
          <w:rFonts w:ascii="Arial" w:hAnsi="Arial" w:cs="Arial"/>
          <w:b w:val="0"/>
          <w:bCs/>
          <w:sz w:val="34"/>
          <w:szCs w:val="34"/>
        </w:rPr>
      </w:pPr>
      <w:bookmarkStart w:id="230" w:name="_6bak1tyqdsdw" w:colFirst="0" w:colLast="0"/>
      <w:bookmarkStart w:id="231" w:name="_Toc242459624"/>
      <w:bookmarkEnd w:id="230"/>
      <w:r w:rsidRPr="000A2871">
        <w:rPr>
          <w:rFonts w:ascii="Arial" w:hAnsi="Arial" w:cs="Arial"/>
          <w:bCs/>
          <w:sz w:val="34"/>
          <w:szCs w:val="34"/>
        </w:rPr>
        <w:t>D11 S0003 Hunter et al. (2025)</w:t>
      </w:r>
      <w:bookmarkEnd w:id="231"/>
    </w:p>
    <w:p w14:paraId="1761F0EC" w14:textId="77777777" w:rsidR="007E77F1" w:rsidRPr="000A2871" w:rsidRDefault="007E77F1" w:rsidP="000A2871">
      <w:pPr>
        <w:spacing w:after="120" w:line="360" w:lineRule="auto"/>
        <w:rPr>
          <w:rFonts w:ascii="Arial" w:hAnsi="Arial" w:cs="Arial"/>
        </w:rPr>
      </w:pPr>
      <w:r w:rsidRPr="000A2871">
        <w:rPr>
          <w:rFonts w:ascii="Arial" w:hAnsi="Arial" w:cs="Arial"/>
        </w:rPr>
        <w:t>Restricted accounts; reporting caveat. England (20) and Scotland (12); 32 adults living with obesity and food insecurity, across age bands 18–24 to 65+.</w:t>
      </w:r>
    </w:p>
    <w:tbl>
      <w:tblPr>
        <w:tblW w:w="8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5"/>
        <w:gridCol w:w="7170"/>
      </w:tblGrid>
      <w:tr w:rsidR="007E77F1" w:rsidRPr="000A2871" w14:paraId="62BB4CCE" w14:textId="77777777" w:rsidTr="001A2D87">
        <w:trPr>
          <w:trHeight w:val="780"/>
        </w:trPr>
        <w:tc>
          <w:tcPr>
            <w:tcW w:w="1725" w:type="dxa"/>
            <w:shd w:val="clear" w:color="auto" w:fill="FFFFFF" w:themeFill="background1"/>
            <w:tcMar>
              <w:top w:w="80" w:type="dxa"/>
              <w:left w:w="80" w:type="dxa"/>
              <w:bottom w:w="80" w:type="dxa"/>
              <w:right w:w="80" w:type="dxa"/>
            </w:tcMar>
          </w:tcPr>
          <w:p w14:paraId="236444F5" w14:textId="77777777" w:rsidR="007E77F1" w:rsidRPr="00DC1B28" w:rsidRDefault="007E77F1" w:rsidP="000A2871">
            <w:pPr>
              <w:spacing w:line="360" w:lineRule="auto"/>
              <w:rPr>
                <w:rFonts w:ascii="Arial" w:hAnsi="Arial" w:cs="Arial"/>
                <w:b/>
                <w:bCs/>
                <w:sz w:val="20"/>
                <w:szCs w:val="20"/>
              </w:rPr>
            </w:pPr>
            <w:r w:rsidRPr="00DC1B28">
              <w:rPr>
                <w:rFonts w:ascii="Arial" w:hAnsi="Arial" w:cs="Arial"/>
                <w:b/>
                <w:bCs/>
                <w:sz w:val="20"/>
                <w:szCs w:val="20"/>
              </w:rPr>
              <w:t>Domain and judgement</w:t>
            </w:r>
          </w:p>
        </w:tc>
        <w:tc>
          <w:tcPr>
            <w:tcW w:w="7170" w:type="dxa"/>
            <w:shd w:val="clear" w:color="auto" w:fill="FFFFFF" w:themeFill="background1"/>
            <w:tcMar>
              <w:top w:w="80" w:type="dxa"/>
              <w:left w:w="80" w:type="dxa"/>
              <w:bottom w:w="80" w:type="dxa"/>
              <w:right w:w="80" w:type="dxa"/>
            </w:tcMar>
          </w:tcPr>
          <w:p w14:paraId="58B63FD2" w14:textId="77777777" w:rsidR="007E77F1" w:rsidRPr="00DC1B28" w:rsidRDefault="007E77F1" w:rsidP="000A2871">
            <w:pPr>
              <w:spacing w:line="360" w:lineRule="auto"/>
              <w:rPr>
                <w:rFonts w:ascii="Arial" w:hAnsi="Arial" w:cs="Arial"/>
                <w:b/>
                <w:bCs/>
                <w:sz w:val="20"/>
                <w:szCs w:val="20"/>
              </w:rPr>
            </w:pPr>
            <w:r w:rsidRPr="00DC1B28">
              <w:rPr>
                <w:rFonts w:ascii="Arial" w:hAnsi="Arial" w:cs="Arial"/>
                <w:b/>
                <w:bCs/>
                <w:sz w:val="20"/>
                <w:szCs w:val="20"/>
              </w:rPr>
              <w:t>Report-specific rationale</w:t>
            </w:r>
          </w:p>
        </w:tc>
      </w:tr>
      <w:tr w:rsidR="007E77F1" w:rsidRPr="000A2871" w14:paraId="6DBD0D51" w14:textId="77777777" w:rsidTr="001A2D87">
        <w:trPr>
          <w:trHeight w:val="780"/>
        </w:trPr>
        <w:tc>
          <w:tcPr>
            <w:tcW w:w="1725" w:type="dxa"/>
            <w:shd w:val="clear" w:color="auto" w:fill="FFFFFF" w:themeFill="background1"/>
            <w:tcMar>
              <w:top w:w="80" w:type="dxa"/>
              <w:left w:w="80" w:type="dxa"/>
              <w:bottom w:w="80" w:type="dxa"/>
              <w:right w:w="80" w:type="dxa"/>
            </w:tcMar>
          </w:tcPr>
          <w:p w14:paraId="467E5BCB" w14:textId="77777777" w:rsidR="007E77F1" w:rsidRPr="00DC1B28" w:rsidRDefault="007E77F1" w:rsidP="000A2871">
            <w:pPr>
              <w:spacing w:line="360" w:lineRule="auto"/>
              <w:rPr>
                <w:rFonts w:ascii="Arial" w:hAnsi="Arial" w:cs="Arial"/>
                <w:sz w:val="20"/>
                <w:szCs w:val="20"/>
              </w:rPr>
            </w:pPr>
            <w:r w:rsidRPr="00DC1B28">
              <w:rPr>
                <w:rFonts w:ascii="Arial" w:hAnsi="Arial" w:cs="Arial"/>
                <w:sz w:val="20"/>
                <w:szCs w:val="20"/>
              </w:rPr>
              <w:t>Q1</w:t>
            </w:r>
            <w:r w:rsidRPr="00DC1B28">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7894563B" w14:textId="77777777" w:rsidR="007E77F1" w:rsidRPr="00DC1B28" w:rsidRDefault="007E77F1" w:rsidP="000A2871">
            <w:pPr>
              <w:spacing w:line="360" w:lineRule="auto"/>
              <w:rPr>
                <w:rFonts w:ascii="Arial" w:hAnsi="Arial" w:cs="Arial"/>
                <w:sz w:val="20"/>
                <w:szCs w:val="20"/>
              </w:rPr>
            </w:pPr>
            <w:r w:rsidRPr="00DC1B28">
              <w:rPr>
                <w:rFonts w:ascii="Arial" w:hAnsi="Arial" w:cs="Arial"/>
                <w:sz w:val="20"/>
                <w:szCs w:val="20"/>
              </w:rPr>
              <w:t>Clear aims. The aim clearly concerns factors helping or hindering healthy, sustainable purchases under obesity and food insecurity.</w:t>
            </w:r>
          </w:p>
        </w:tc>
      </w:tr>
      <w:tr w:rsidR="007E77F1" w:rsidRPr="000A2871" w14:paraId="3F0B1926" w14:textId="77777777" w:rsidTr="001A2D87">
        <w:trPr>
          <w:trHeight w:val="780"/>
        </w:trPr>
        <w:tc>
          <w:tcPr>
            <w:tcW w:w="1725" w:type="dxa"/>
            <w:shd w:val="clear" w:color="auto" w:fill="FFFFFF" w:themeFill="background1"/>
            <w:tcMar>
              <w:top w:w="80" w:type="dxa"/>
              <w:left w:w="80" w:type="dxa"/>
              <w:bottom w:w="80" w:type="dxa"/>
              <w:right w:w="80" w:type="dxa"/>
            </w:tcMar>
          </w:tcPr>
          <w:p w14:paraId="08B4CE3F" w14:textId="77777777" w:rsidR="007E77F1" w:rsidRPr="00DC1B28" w:rsidRDefault="007E77F1" w:rsidP="000A2871">
            <w:pPr>
              <w:spacing w:line="360" w:lineRule="auto"/>
              <w:rPr>
                <w:rFonts w:ascii="Arial" w:hAnsi="Arial" w:cs="Arial"/>
                <w:sz w:val="20"/>
                <w:szCs w:val="20"/>
              </w:rPr>
            </w:pPr>
            <w:r w:rsidRPr="00DC1B28">
              <w:rPr>
                <w:rFonts w:ascii="Arial" w:hAnsi="Arial" w:cs="Arial"/>
                <w:sz w:val="20"/>
                <w:szCs w:val="20"/>
              </w:rPr>
              <w:t>Q2</w:t>
            </w:r>
            <w:r w:rsidRPr="00DC1B28">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1B58F711" w14:textId="77777777" w:rsidR="007E77F1" w:rsidRPr="00DC1B28" w:rsidRDefault="007E77F1" w:rsidP="000A2871">
            <w:pPr>
              <w:spacing w:line="360" w:lineRule="auto"/>
              <w:rPr>
                <w:rFonts w:ascii="Arial" w:hAnsi="Arial" w:cs="Arial"/>
                <w:sz w:val="20"/>
                <w:szCs w:val="20"/>
              </w:rPr>
            </w:pPr>
            <w:r w:rsidRPr="00DC1B28">
              <w:rPr>
                <w:rFonts w:ascii="Arial" w:hAnsi="Arial" w:cs="Arial"/>
                <w:sz w:val="20"/>
                <w:szCs w:val="20"/>
              </w:rPr>
              <w:t>Appropriate qualitative methodology. Qualitative accounts suit practical constraints and purchasing meanings.</w:t>
            </w:r>
          </w:p>
        </w:tc>
      </w:tr>
      <w:tr w:rsidR="007E77F1" w:rsidRPr="000A2871" w14:paraId="4F2F1B63" w14:textId="77777777" w:rsidTr="001A2D87">
        <w:trPr>
          <w:trHeight w:val="780"/>
        </w:trPr>
        <w:tc>
          <w:tcPr>
            <w:tcW w:w="1725" w:type="dxa"/>
            <w:shd w:val="clear" w:color="auto" w:fill="FFFFFF" w:themeFill="background1"/>
            <w:tcMar>
              <w:top w:w="80" w:type="dxa"/>
              <w:left w:w="80" w:type="dxa"/>
              <w:bottom w:w="80" w:type="dxa"/>
              <w:right w:w="80" w:type="dxa"/>
            </w:tcMar>
          </w:tcPr>
          <w:p w14:paraId="27D095B5" w14:textId="77777777" w:rsidR="007E77F1" w:rsidRPr="00DC1B28" w:rsidRDefault="007E77F1" w:rsidP="000A2871">
            <w:pPr>
              <w:spacing w:line="360" w:lineRule="auto"/>
              <w:rPr>
                <w:rFonts w:ascii="Arial" w:hAnsi="Arial" w:cs="Arial"/>
                <w:sz w:val="20"/>
                <w:szCs w:val="20"/>
              </w:rPr>
            </w:pPr>
            <w:r w:rsidRPr="00DC1B28">
              <w:rPr>
                <w:rFonts w:ascii="Arial" w:hAnsi="Arial" w:cs="Arial"/>
                <w:sz w:val="20"/>
                <w:szCs w:val="20"/>
              </w:rPr>
              <w:t>Q3</w:t>
            </w:r>
            <w:r w:rsidRPr="00DC1B28">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080BFE80" w14:textId="77777777" w:rsidR="007E77F1" w:rsidRPr="00DC1B28" w:rsidRDefault="007E77F1" w:rsidP="000A2871">
            <w:pPr>
              <w:spacing w:line="360" w:lineRule="auto"/>
              <w:rPr>
                <w:rFonts w:ascii="Arial" w:hAnsi="Arial" w:cs="Arial"/>
                <w:sz w:val="20"/>
                <w:szCs w:val="20"/>
              </w:rPr>
            </w:pPr>
            <w:r w:rsidRPr="00DC1B28">
              <w:rPr>
                <w:rFonts w:ascii="Arial" w:hAnsi="Arial" w:cs="Arial"/>
                <w:sz w:val="20"/>
                <w:szCs w:val="20"/>
              </w:rPr>
              <w:t>Appropriate research design. Interviews and groups permit detailed accounts across recruitment routes.</w:t>
            </w:r>
          </w:p>
        </w:tc>
      </w:tr>
      <w:tr w:rsidR="007E77F1" w:rsidRPr="000A2871" w14:paraId="3A4DB16B" w14:textId="77777777" w:rsidTr="001A2D87">
        <w:trPr>
          <w:trHeight w:val="1080"/>
        </w:trPr>
        <w:tc>
          <w:tcPr>
            <w:tcW w:w="1725" w:type="dxa"/>
            <w:shd w:val="clear" w:color="auto" w:fill="FFFFFF" w:themeFill="background1"/>
            <w:tcMar>
              <w:top w:w="80" w:type="dxa"/>
              <w:left w:w="80" w:type="dxa"/>
              <w:bottom w:w="80" w:type="dxa"/>
              <w:right w:w="80" w:type="dxa"/>
            </w:tcMar>
          </w:tcPr>
          <w:p w14:paraId="5D3A8938" w14:textId="77777777" w:rsidR="007E77F1" w:rsidRPr="00DC1B28" w:rsidRDefault="007E77F1" w:rsidP="000A2871">
            <w:pPr>
              <w:spacing w:line="360" w:lineRule="auto"/>
              <w:rPr>
                <w:rFonts w:ascii="Arial" w:hAnsi="Arial" w:cs="Arial"/>
                <w:sz w:val="20"/>
                <w:szCs w:val="20"/>
              </w:rPr>
            </w:pPr>
            <w:r w:rsidRPr="00DC1B28">
              <w:rPr>
                <w:rFonts w:ascii="Arial" w:hAnsi="Arial" w:cs="Arial"/>
                <w:sz w:val="20"/>
                <w:szCs w:val="20"/>
              </w:rPr>
              <w:t>Q4</w:t>
            </w:r>
            <w:r w:rsidRPr="00DC1B28">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29AF0488" w14:textId="77777777" w:rsidR="007E77F1" w:rsidRPr="00DC1B28" w:rsidRDefault="007E77F1" w:rsidP="000A2871">
            <w:pPr>
              <w:spacing w:line="360" w:lineRule="auto"/>
              <w:rPr>
                <w:rFonts w:ascii="Arial" w:hAnsi="Arial" w:cs="Arial"/>
                <w:sz w:val="20"/>
                <w:szCs w:val="20"/>
              </w:rPr>
            </w:pPr>
            <w:r w:rsidRPr="00DC1B28">
              <w:rPr>
                <w:rFonts w:ascii="Arial" w:hAnsi="Arial" w:cs="Arial"/>
                <w:sz w:val="20"/>
                <w:szCs w:val="20"/>
              </w:rPr>
              <w:t>Appropriate recruitment. Maximum-variation sampling, screening and community recruitment are described; financial insecurity and weight are self-reported.</w:t>
            </w:r>
          </w:p>
        </w:tc>
      </w:tr>
      <w:tr w:rsidR="007E77F1" w:rsidRPr="000A2871" w14:paraId="6F2CF5B5" w14:textId="77777777" w:rsidTr="001A2D87">
        <w:trPr>
          <w:trHeight w:val="780"/>
        </w:trPr>
        <w:tc>
          <w:tcPr>
            <w:tcW w:w="1725" w:type="dxa"/>
            <w:shd w:val="clear" w:color="auto" w:fill="FFFFFF" w:themeFill="background1"/>
            <w:tcMar>
              <w:top w:w="80" w:type="dxa"/>
              <w:left w:w="80" w:type="dxa"/>
              <w:bottom w:w="80" w:type="dxa"/>
              <w:right w:w="80" w:type="dxa"/>
            </w:tcMar>
          </w:tcPr>
          <w:p w14:paraId="519C31CF" w14:textId="77777777" w:rsidR="007E77F1" w:rsidRPr="00DC1B28" w:rsidRDefault="007E77F1" w:rsidP="000A2871">
            <w:pPr>
              <w:spacing w:line="360" w:lineRule="auto"/>
              <w:rPr>
                <w:rFonts w:ascii="Arial" w:hAnsi="Arial" w:cs="Arial"/>
                <w:sz w:val="20"/>
                <w:szCs w:val="20"/>
              </w:rPr>
            </w:pPr>
            <w:r w:rsidRPr="00DC1B28">
              <w:rPr>
                <w:rFonts w:ascii="Arial" w:hAnsi="Arial" w:cs="Arial"/>
                <w:sz w:val="20"/>
                <w:szCs w:val="20"/>
              </w:rPr>
              <w:t>Q5</w:t>
            </w:r>
            <w:r w:rsidRPr="00DC1B28">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702FA72A" w14:textId="77777777" w:rsidR="007E77F1" w:rsidRPr="00DC1B28" w:rsidRDefault="007E77F1" w:rsidP="000A2871">
            <w:pPr>
              <w:spacing w:line="360" w:lineRule="auto"/>
              <w:rPr>
                <w:rFonts w:ascii="Arial" w:hAnsi="Arial" w:cs="Arial"/>
                <w:sz w:val="20"/>
                <w:szCs w:val="20"/>
              </w:rPr>
            </w:pPr>
            <w:r w:rsidRPr="00DC1B28">
              <w:rPr>
                <w:rFonts w:ascii="Arial" w:hAnsi="Arial" w:cs="Arial"/>
                <w:sz w:val="20"/>
                <w:szCs w:val="20"/>
              </w:rPr>
              <w:t>Suitable data collection. Topic development, interview/group durations, recording, transcription and field notes are reported.</w:t>
            </w:r>
          </w:p>
        </w:tc>
      </w:tr>
      <w:tr w:rsidR="007E77F1" w:rsidRPr="000A2871" w14:paraId="1B2A63A4" w14:textId="77777777" w:rsidTr="001A2D87">
        <w:trPr>
          <w:trHeight w:val="1080"/>
        </w:trPr>
        <w:tc>
          <w:tcPr>
            <w:tcW w:w="1725" w:type="dxa"/>
            <w:shd w:val="clear" w:color="auto" w:fill="FFFFFF" w:themeFill="background1"/>
            <w:tcMar>
              <w:top w:w="80" w:type="dxa"/>
              <w:left w:w="80" w:type="dxa"/>
              <w:bottom w:w="80" w:type="dxa"/>
              <w:right w:w="80" w:type="dxa"/>
            </w:tcMar>
          </w:tcPr>
          <w:p w14:paraId="2ADB1FE9" w14:textId="77777777" w:rsidR="007E77F1" w:rsidRPr="00DC1B28" w:rsidRDefault="007E77F1" w:rsidP="000A2871">
            <w:pPr>
              <w:spacing w:line="360" w:lineRule="auto"/>
              <w:rPr>
                <w:rFonts w:ascii="Arial" w:hAnsi="Arial" w:cs="Arial"/>
                <w:sz w:val="20"/>
                <w:szCs w:val="20"/>
              </w:rPr>
            </w:pPr>
            <w:r w:rsidRPr="00DC1B28">
              <w:rPr>
                <w:rFonts w:ascii="Arial" w:hAnsi="Arial" w:cs="Arial"/>
                <w:sz w:val="20"/>
                <w:szCs w:val="20"/>
              </w:rPr>
              <w:t>Q6</w:t>
            </w:r>
            <w:r w:rsidRPr="00DC1B28">
              <w:rPr>
                <w:rFonts w:ascii="Arial" w:hAnsi="Arial" w:cs="Arial"/>
                <w:sz w:val="20"/>
                <w:szCs w:val="20"/>
              </w:rPr>
              <w:br/>
              <w:t xml:space="preserve"> Cannot tell</w:t>
            </w:r>
          </w:p>
        </w:tc>
        <w:tc>
          <w:tcPr>
            <w:tcW w:w="7170" w:type="dxa"/>
            <w:shd w:val="clear" w:color="auto" w:fill="FFFFFF" w:themeFill="background1"/>
            <w:tcMar>
              <w:top w:w="80" w:type="dxa"/>
              <w:left w:w="80" w:type="dxa"/>
              <w:bottom w:w="80" w:type="dxa"/>
              <w:right w:w="80" w:type="dxa"/>
            </w:tcMar>
          </w:tcPr>
          <w:p w14:paraId="3363EA90" w14:textId="77777777" w:rsidR="007E77F1" w:rsidRPr="00DC1B28" w:rsidRDefault="007E77F1" w:rsidP="000A2871">
            <w:pPr>
              <w:spacing w:line="360" w:lineRule="auto"/>
              <w:rPr>
                <w:rFonts w:ascii="Arial" w:hAnsi="Arial" w:cs="Arial"/>
                <w:sz w:val="20"/>
                <w:szCs w:val="20"/>
              </w:rPr>
            </w:pPr>
            <w:r w:rsidRPr="00DC1B28">
              <w:rPr>
                <w:rFonts w:ascii="Arial" w:hAnsi="Arial" w:cs="Arial"/>
                <w:sz w:val="20"/>
                <w:szCs w:val="20"/>
              </w:rPr>
              <w:t>Researcher–participant relationship and reflexivity. Team and public involvement are described, but researcher positionality and its influence on data generation are insufficiently detailed.</w:t>
            </w:r>
          </w:p>
        </w:tc>
      </w:tr>
      <w:tr w:rsidR="007E77F1" w:rsidRPr="000A2871" w14:paraId="22FC9281" w14:textId="77777777" w:rsidTr="001A2D87">
        <w:trPr>
          <w:trHeight w:val="780"/>
        </w:trPr>
        <w:tc>
          <w:tcPr>
            <w:tcW w:w="1725" w:type="dxa"/>
            <w:shd w:val="clear" w:color="auto" w:fill="FFFFFF" w:themeFill="background1"/>
            <w:tcMar>
              <w:top w:w="80" w:type="dxa"/>
              <w:left w:w="80" w:type="dxa"/>
              <w:bottom w:w="80" w:type="dxa"/>
              <w:right w:w="80" w:type="dxa"/>
            </w:tcMar>
          </w:tcPr>
          <w:p w14:paraId="443D4F70" w14:textId="77777777" w:rsidR="007E77F1" w:rsidRPr="00DC1B28" w:rsidRDefault="007E77F1" w:rsidP="000A2871">
            <w:pPr>
              <w:spacing w:line="360" w:lineRule="auto"/>
              <w:rPr>
                <w:rFonts w:ascii="Arial" w:hAnsi="Arial" w:cs="Arial"/>
                <w:sz w:val="20"/>
                <w:szCs w:val="20"/>
              </w:rPr>
            </w:pPr>
            <w:r w:rsidRPr="00DC1B28">
              <w:rPr>
                <w:rFonts w:ascii="Arial" w:hAnsi="Arial" w:cs="Arial"/>
                <w:sz w:val="20"/>
                <w:szCs w:val="20"/>
              </w:rPr>
              <w:t>Q7</w:t>
            </w:r>
            <w:r w:rsidRPr="00DC1B28">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7F1D52C0" w14:textId="77777777" w:rsidR="007E77F1" w:rsidRPr="00DC1B28" w:rsidRDefault="007E77F1" w:rsidP="000A2871">
            <w:pPr>
              <w:spacing w:line="360" w:lineRule="auto"/>
              <w:rPr>
                <w:rFonts w:ascii="Arial" w:hAnsi="Arial" w:cs="Arial"/>
                <w:sz w:val="20"/>
                <w:szCs w:val="20"/>
              </w:rPr>
            </w:pPr>
            <w:r w:rsidRPr="00DC1B28">
              <w:rPr>
                <w:rFonts w:ascii="Arial" w:hAnsi="Arial" w:cs="Arial"/>
                <w:sz w:val="20"/>
                <w:szCs w:val="20"/>
              </w:rPr>
              <w:t>Ethical considerations. Robert Gordon University approval, written or recorded consent, withdrawal and anonymity are reported.</w:t>
            </w:r>
          </w:p>
        </w:tc>
      </w:tr>
      <w:tr w:rsidR="007E77F1" w:rsidRPr="000A2871" w14:paraId="4A17BC26" w14:textId="77777777" w:rsidTr="001A2D87">
        <w:trPr>
          <w:trHeight w:val="780"/>
        </w:trPr>
        <w:tc>
          <w:tcPr>
            <w:tcW w:w="1725" w:type="dxa"/>
            <w:shd w:val="clear" w:color="auto" w:fill="FFFFFF" w:themeFill="background1"/>
            <w:tcMar>
              <w:top w:w="80" w:type="dxa"/>
              <w:left w:w="80" w:type="dxa"/>
              <w:bottom w:w="80" w:type="dxa"/>
              <w:right w:w="80" w:type="dxa"/>
            </w:tcMar>
          </w:tcPr>
          <w:p w14:paraId="4E8D10FD" w14:textId="77777777" w:rsidR="007E77F1" w:rsidRPr="00DC1B28" w:rsidRDefault="007E77F1" w:rsidP="000A2871">
            <w:pPr>
              <w:spacing w:line="360" w:lineRule="auto"/>
              <w:rPr>
                <w:rFonts w:ascii="Arial" w:hAnsi="Arial" w:cs="Arial"/>
                <w:sz w:val="20"/>
                <w:szCs w:val="20"/>
              </w:rPr>
            </w:pPr>
            <w:r w:rsidRPr="00DC1B28">
              <w:rPr>
                <w:rFonts w:ascii="Arial" w:hAnsi="Arial" w:cs="Arial"/>
                <w:sz w:val="20"/>
                <w:szCs w:val="20"/>
              </w:rPr>
              <w:t>Q8</w:t>
            </w:r>
            <w:r w:rsidRPr="00DC1B28">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14D1A79C" w14:textId="77777777" w:rsidR="007E77F1" w:rsidRPr="00DC1B28" w:rsidRDefault="007E77F1" w:rsidP="000A2871">
            <w:pPr>
              <w:spacing w:line="360" w:lineRule="auto"/>
              <w:rPr>
                <w:rFonts w:ascii="Arial" w:hAnsi="Arial" w:cs="Arial"/>
                <w:sz w:val="20"/>
                <w:szCs w:val="20"/>
              </w:rPr>
            </w:pPr>
            <w:r w:rsidRPr="00DC1B28">
              <w:rPr>
                <w:rFonts w:ascii="Arial" w:hAnsi="Arial" w:cs="Arial"/>
                <w:sz w:val="20"/>
                <w:szCs w:val="20"/>
              </w:rPr>
              <w:t>Rigorous analysis. Thematic stages, coding review, team discussion and data management are explained.</w:t>
            </w:r>
          </w:p>
        </w:tc>
      </w:tr>
      <w:tr w:rsidR="007E77F1" w:rsidRPr="000A2871" w14:paraId="265F1F3C" w14:textId="77777777" w:rsidTr="001A2D87">
        <w:trPr>
          <w:trHeight w:val="1080"/>
        </w:trPr>
        <w:tc>
          <w:tcPr>
            <w:tcW w:w="1725" w:type="dxa"/>
            <w:shd w:val="clear" w:color="auto" w:fill="FFFFFF" w:themeFill="background1"/>
            <w:tcMar>
              <w:top w:w="80" w:type="dxa"/>
              <w:left w:w="80" w:type="dxa"/>
              <w:bottom w:w="80" w:type="dxa"/>
              <w:right w:w="80" w:type="dxa"/>
            </w:tcMar>
          </w:tcPr>
          <w:p w14:paraId="0B99EBA7" w14:textId="77777777" w:rsidR="007E77F1" w:rsidRPr="00DC1B28" w:rsidRDefault="007E77F1" w:rsidP="000A2871">
            <w:pPr>
              <w:spacing w:line="360" w:lineRule="auto"/>
              <w:rPr>
                <w:rFonts w:ascii="Arial" w:hAnsi="Arial" w:cs="Arial"/>
                <w:sz w:val="20"/>
                <w:szCs w:val="20"/>
              </w:rPr>
            </w:pPr>
            <w:r w:rsidRPr="00DC1B28">
              <w:rPr>
                <w:rFonts w:ascii="Arial" w:hAnsi="Arial" w:cs="Arial"/>
                <w:sz w:val="20"/>
                <w:szCs w:val="20"/>
              </w:rPr>
              <w:t>Q9</w:t>
            </w:r>
            <w:r w:rsidRPr="00DC1B28">
              <w:rPr>
                <w:rFonts w:ascii="Arial" w:hAnsi="Arial" w:cs="Arial"/>
                <w:sz w:val="20"/>
                <w:szCs w:val="20"/>
              </w:rPr>
              <w:br/>
              <w:t xml:space="preserve"> Cannot tell</w:t>
            </w:r>
          </w:p>
        </w:tc>
        <w:tc>
          <w:tcPr>
            <w:tcW w:w="7170" w:type="dxa"/>
            <w:shd w:val="clear" w:color="auto" w:fill="FFFFFF" w:themeFill="background1"/>
            <w:tcMar>
              <w:top w:w="80" w:type="dxa"/>
              <w:left w:w="80" w:type="dxa"/>
              <w:bottom w:w="80" w:type="dxa"/>
              <w:right w:w="80" w:type="dxa"/>
            </w:tcMar>
          </w:tcPr>
          <w:p w14:paraId="2AF22416" w14:textId="77777777" w:rsidR="007E77F1" w:rsidRPr="00DC1B28" w:rsidRDefault="007E77F1" w:rsidP="000A2871">
            <w:pPr>
              <w:spacing w:line="360" w:lineRule="auto"/>
              <w:rPr>
                <w:rFonts w:ascii="Arial" w:hAnsi="Arial" w:cs="Arial"/>
                <w:sz w:val="20"/>
                <w:szCs w:val="20"/>
              </w:rPr>
            </w:pPr>
            <w:r w:rsidRPr="00DC1B28">
              <w:rPr>
                <w:rFonts w:ascii="Arial" w:hAnsi="Arial" w:cs="Arial"/>
                <w:sz w:val="20"/>
                <w:szCs w:val="20"/>
              </w:rPr>
              <w:t>Clear findings. Clear substantive themes are presented, but age-specific attribution is weakened by the conflict between the two-person demographic total and three age-labelled IDs.</w:t>
            </w:r>
          </w:p>
        </w:tc>
      </w:tr>
      <w:tr w:rsidR="007E77F1" w:rsidRPr="000A2871" w14:paraId="0EF38CC8" w14:textId="77777777" w:rsidTr="001A2D87">
        <w:trPr>
          <w:trHeight w:val="780"/>
        </w:trPr>
        <w:tc>
          <w:tcPr>
            <w:tcW w:w="1725" w:type="dxa"/>
            <w:shd w:val="clear" w:color="auto" w:fill="FFFFFF" w:themeFill="background1"/>
            <w:tcMar>
              <w:top w:w="80" w:type="dxa"/>
              <w:left w:w="80" w:type="dxa"/>
              <w:bottom w:w="80" w:type="dxa"/>
              <w:right w:w="80" w:type="dxa"/>
            </w:tcMar>
          </w:tcPr>
          <w:p w14:paraId="2A3DFFF7" w14:textId="77777777" w:rsidR="007E77F1" w:rsidRPr="00DC1B28" w:rsidRDefault="007E77F1" w:rsidP="000A2871">
            <w:pPr>
              <w:spacing w:line="360" w:lineRule="auto"/>
              <w:rPr>
                <w:rFonts w:ascii="Arial" w:hAnsi="Arial" w:cs="Arial"/>
                <w:sz w:val="20"/>
                <w:szCs w:val="20"/>
              </w:rPr>
            </w:pPr>
            <w:r w:rsidRPr="00DC1B28">
              <w:rPr>
                <w:rFonts w:ascii="Arial" w:hAnsi="Arial" w:cs="Arial"/>
                <w:sz w:val="20"/>
                <w:szCs w:val="20"/>
              </w:rPr>
              <w:lastRenderedPageBreak/>
              <w:t>Q10</w:t>
            </w:r>
            <w:r w:rsidRPr="00DC1B28">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27915EEE" w14:textId="77777777" w:rsidR="007E77F1" w:rsidRPr="00DC1B28" w:rsidRDefault="007E77F1" w:rsidP="000A2871">
            <w:pPr>
              <w:spacing w:line="360" w:lineRule="auto"/>
              <w:rPr>
                <w:rFonts w:ascii="Arial" w:hAnsi="Arial" w:cs="Arial"/>
                <w:sz w:val="20"/>
                <w:szCs w:val="20"/>
              </w:rPr>
            </w:pPr>
            <w:r w:rsidRPr="00DC1B28">
              <w:rPr>
                <w:rFonts w:ascii="Arial" w:hAnsi="Arial" w:cs="Arial"/>
                <w:sz w:val="20"/>
                <w:szCs w:val="20"/>
              </w:rPr>
              <w:t>Value of the research. The purchasing accounts add a relevant perspective; unresolved demographic reporting makes the restricted contribution tentative.</w:t>
            </w:r>
          </w:p>
        </w:tc>
      </w:tr>
    </w:tbl>
    <w:p w14:paraId="306C909A"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4FF42369" w14:textId="77777777" w:rsidR="007E77F1" w:rsidRPr="000A2871" w:rsidRDefault="007E77F1" w:rsidP="000A2871">
      <w:pPr>
        <w:spacing w:after="120" w:line="360" w:lineRule="auto"/>
        <w:rPr>
          <w:rFonts w:ascii="Arial" w:hAnsi="Arial" w:cs="Arial"/>
        </w:rPr>
      </w:pPr>
      <w:r w:rsidRPr="000A2871">
        <w:rPr>
          <w:rFonts w:ascii="Arial" w:hAnsi="Arial" w:cs="Arial"/>
        </w:rPr>
        <w:t>Source locations: Methods 2.1–2.5; Table 1; Results 3.3.1 and 3.3.3 (P05), Table 2 and Results 3.5 (P10); P17 labels in Results 3.3.2 and 3.8.</w:t>
      </w:r>
    </w:p>
    <w:p w14:paraId="63FF4736" w14:textId="77777777" w:rsidR="007E77F1" w:rsidRPr="000A2871" w:rsidRDefault="007E77F1" w:rsidP="000A2871">
      <w:pPr>
        <w:spacing w:after="120" w:line="360" w:lineRule="auto"/>
        <w:rPr>
          <w:rFonts w:ascii="Arial" w:hAnsi="Arial" w:cs="Arial"/>
        </w:rPr>
      </w:pPr>
      <w:r w:rsidRPr="000A2871">
        <w:rPr>
          <w:rFonts w:ascii="Arial" w:hAnsi="Arial" w:cs="Arial"/>
        </w:rPr>
        <w:t>https://doi.org/10.3389/fnut.2025.1646056</w:t>
      </w:r>
    </w:p>
    <w:p w14:paraId="535BDB2D" w14:textId="77777777" w:rsidR="007E77F1" w:rsidRPr="000A2871" w:rsidRDefault="007E77F1" w:rsidP="00DC1B28">
      <w:pPr>
        <w:pStyle w:val="Heading2"/>
        <w:keepNext w:val="0"/>
        <w:keepLines w:val="0"/>
        <w:spacing w:after="80" w:line="360" w:lineRule="auto"/>
        <w:jc w:val="left"/>
        <w:rPr>
          <w:rFonts w:ascii="Arial" w:hAnsi="Arial" w:cs="Arial"/>
          <w:b w:val="0"/>
          <w:bCs/>
          <w:sz w:val="34"/>
          <w:szCs w:val="34"/>
        </w:rPr>
      </w:pPr>
      <w:bookmarkStart w:id="232" w:name="_lklhsco2isj" w:colFirst="0" w:colLast="0"/>
      <w:bookmarkStart w:id="233" w:name="_Toc242459625"/>
      <w:bookmarkEnd w:id="232"/>
      <w:r w:rsidRPr="000A2871">
        <w:rPr>
          <w:rFonts w:ascii="Arial" w:hAnsi="Arial" w:cs="Arial"/>
          <w:bCs/>
          <w:sz w:val="34"/>
          <w:szCs w:val="34"/>
        </w:rPr>
        <w:t>D12 R0465 Easton et al. (2018)</w:t>
      </w:r>
      <w:bookmarkEnd w:id="233"/>
    </w:p>
    <w:p w14:paraId="05F43128" w14:textId="77777777" w:rsidR="007E77F1" w:rsidRPr="000A2871" w:rsidRDefault="007E77F1" w:rsidP="000A2871">
      <w:pPr>
        <w:spacing w:after="120" w:line="360" w:lineRule="auto"/>
        <w:rPr>
          <w:rFonts w:ascii="Arial" w:hAnsi="Arial" w:cs="Arial"/>
        </w:rPr>
      </w:pPr>
      <w:r w:rsidRPr="000A2871">
        <w:rPr>
          <w:rFonts w:ascii="Arial" w:hAnsi="Arial" w:cs="Arial"/>
        </w:rPr>
        <w:t>Contextual: UK location unconfirmed. 20 participants aged 18–25; Southampton research and ethics context, but exclusive UK participant location is not explicitly established.</w:t>
      </w:r>
    </w:p>
    <w:tbl>
      <w:tblPr>
        <w:tblW w:w="8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5"/>
        <w:gridCol w:w="7185"/>
      </w:tblGrid>
      <w:tr w:rsidR="007E77F1" w:rsidRPr="000A2871" w14:paraId="75C52A81" w14:textId="77777777" w:rsidTr="001A2D87">
        <w:trPr>
          <w:trHeight w:val="780"/>
        </w:trPr>
        <w:tc>
          <w:tcPr>
            <w:tcW w:w="1725" w:type="dxa"/>
            <w:shd w:val="clear" w:color="auto" w:fill="FFFFFF" w:themeFill="background1"/>
            <w:tcMar>
              <w:top w:w="80" w:type="dxa"/>
              <w:left w:w="80" w:type="dxa"/>
              <w:bottom w:w="80" w:type="dxa"/>
              <w:right w:w="80" w:type="dxa"/>
            </w:tcMar>
          </w:tcPr>
          <w:p w14:paraId="040E7CEA" w14:textId="77777777" w:rsidR="007E77F1" w:rsidRPr="009C0A61" w:rsidRDefault="007E77F1" w:rsidP="000A2871">
            <w:pPr>
              <w:spacing w:line="360" w:lineRule="auto"/>
              <w:rPr>
                <w:rFonts w:ascii="Arial" w:hAnsi="Arial" w:cs="Arial"/>
                <w:b/>
                <w:bCs/>
                <w:sz w:val="20"/>
                <w:szCs w:val="20"/>
              </w:rPr>
            </w:pPr>
            <w:r w:rsidRPr="009C0A61">
              <w:rPr>
                <w:rFonts w:ascii="Arial" w:hAnsi="Arial" w:cs="Arial"/>
                <w:b/>
                <w:bCs/>
                <w:sz w:val="20"/>
                <w:szCs w:val="20"/>
              </w:rPr>
              <w:t>Domain and judgement</w:t>
            </w:r>
          </w:p>
        </w:tc>
        <w:tc>
          <w:tcPr>
            <w:tcW w:w="7185" w:type="dxa"/>
            <w:shd w:val="clear" w:color="auto" w:fill="FFFFFF" w:themeFill="background1"/>
            <w:tcMar>
              <w:top w:w="80" w:type="dxa"/>
              <w:left w:w="80" w:type="dxa"/>
              <w:bottom w:w="80" w:type="dxa"/>
              <w:right w:w="80" w:type="dxa"/>
            </w:tcMar>
          </w:tcPr>
          <w:p w14:paraId="3ADAC505" w14:textId="77777777" w:rsidR="007E77F1" w:rsidRPr="009C0A61" w:rsidRDefault="007E77F1" w:rsidP="000A2871">
            <w:pPr>
              <w:spacing w:line="360" w:lineRule="auto"/>
              <w:rPr>
                <w:rFonts w:ascii="Arial" w:hAnsi="Arial" w:cs="Arial"/>
                <w:b/>
                <w:bCs/>
                <w:sz w:val="20"/>
                <w:szCs w:val="20"/>
              </w:rPr>
            </w:pPr>
            <w:r w:rsidRPr="009C0A61">
              <w:rPr>
                <w:rFonts w:ascii="Arial" w:hAnsi="Arial" w:cs="Arial"/>
                <w:b/>
                <w:bCs/>
                <w:sz w:val="20"/>
                <w:szCs w:val="20"/>
              </w:rPr>
              <w:t>Report-specific rationale</w:t>
            </w:r>
          </w:p>
        </w:tc>
      </w:tr>
      <w:tr w:rsidR="007E77F1" w:rsidRPr="000A2871" w14:paraId="2E39B07A" w14:textId="77777777" w:rsidTr="001A2D87">
        <w:trPr>
          <w:trHeight w:val="780"/>
        </w:trPr>
        <w:tc>
          <w:tcPr>
            <w:tcW w:w="1725" w:type="dxa"/>
            <w:shd w:val="clear" w:color="auto" w:fill="FFFFFF" w:themeFill="background1"/>
            <w:tcMar>
              <w:top w:w="80" w:type="dxa"/>
              <w:left w:w="80" w:type="dxa"/>
              <w:bottom w:w="80" w:type="dxa"/>
              <w:right w:w="80" w:type="dxa"/>
            </w:tcMar>
          </w:tcPr>
          <w:p w14:paraId="27FC80F7" w14:textId="77777777" w:rsidR="007E77F1" w:rsidRPr="009C0A61" w:rsidRDefault="007E77F1" w:rsidP="000A2871">
            <w:pPr>
              <w:spacing w:line="360" w:lineRule="auto"/>
              <w:rPr>
                <w:rFonts w:ascii="Arial" w:hAnsi="Arial" w:cs="Arial"/>
                <w:sz w:val="20"/>
                <w:szCs w:val="20"/>
              </w:rPr>
            </w:pPr>
            <w:r w:rsidRPr="009C0A61">
              <w:rPr>
                <w:rFonts w:ascii="Arial" w:hAnsi="Arial" w:cs="Arial"/>
                <w:sz w:val="20"/>
                <w:szCs w:val="20"/>
              </w:rPr>
              <w:t>Q1</w:t>
            </w:r>
            <w:r w:rsidRPr="009C0A61">
              <w:rPr>
                <w:rFonts w:ascii="Arial" w:hAnsi="Arial" w:cs="Arial"/>
                <w:sz w:val="20"/>
                <w:szCs w:val="20"/>
              </w:rPr>
              <w:br/>
              <w:t xml:space="preserve"> Yes</w:t>
            </w:r>
          </w:p>
        </w:tc>
        <w:tc>
          <w:tcPr>
            <w:tcW w:w="7185" w:type="dxa"/>
            <w:shd w:val="clear" w:color="auto" w:fill="FFFFFF" w:themeFill="background1"/>
            <w:tcMar>
              <w:top w:w="80" w:type="dxa"/>
              <w:left w:w="80" w:type="dxa"/>
              <w:bottom w:w="80" w:type="dxa"/>
              <w:right w:w="80" w:type="dxa"/>
            </w:tcMar>
          </w:tcPr>
          <w:p w14:paraId="1CEC3F00" w14:textId="77777777" w:rsidR="007E77F1" w:rsidRPr="009C0A61" w:rsidRDefault="007E77F1" w:rsidP="000A2871">
            <w:pPr>
              <w:spacing w:line="360" w:lineRule="auto"/>
              <w:rPr>
                <w:rFonts w:ascii="Arial" w:hAnsi="Arial" w:cs="Arial"/>
                <w:sz w:val="20"/>
                <w:szCs w:val="20"/>
              </w:rPr>
            </w:pPr>
            <w:r w:rsidRPr="009C0A61">
              <w:rPr>
                <w:rFonts w:ascii="Arial" w:hAnsi="Arial" w:cs="Arial"/>
                <w:sz w:val="20"/>
                <w:szCs w:val="20"/>
              </w:rPr>
              <w:t>Clear aims. The aim clearly concerns experiences of viewing fitspiration.</w:t>
            </w:r>
          </w:p>
        </w:tc>
      </w:tr>
      <w:tr w:rsidR="007E77F1" w:rsidRPr="000A2871" w14:paraId="71DB3257" w14:textId="77777777" w:rsidTr="001A2D87">
        <w:trPr>
          <w:trHeight w:val="780"/>
        </w:trPr>
        <w:tc>
          <w:tcPr>
            <w:tcW w:w="1725" w:type="dxa"/>
            <w:shd w:val="clear" w:color="auto" w:fill="FFFFFF" w:themeFill="background1"/>
            <w:tcMar>
              <w:top w:w="80" w:type="dxa"/>
              <w:left w:w="80" w:type="dxa"/>
              <w:bottom w:w="80" w:type="dxa"/>
              <w:right w:w="80" w:type="dxa"/>
            </w:tcMar>
          </w:tcPr>
          <w:p w14:paraId="76340B1D" w14:textId="77777777" w:rsidR="007E77F1" w:rsidRPr="009C0A61" w:rsidRDefault="007E77F1" w:rsidP="000A2871">
            <w:pPr>
              <w:spacing w:line="360" w:lineRule="auto"/>
              <w:rPr>
                <w:rFonts w:ascii="Arial" w:hAnsi="Arial" w:cs="Arial"/>
                <w:sz w:val="20"/>
                <w:szCs w:val="20"/>
              </w:rPr>
            </w:pPr>
            <w:r w:rsidRPr="009C0A61">
              <w:rPr>
                <w:rFonts w:ascii="Arial" w:hAnsi="Arial" w:cs="Arial"/>
                <w:sz w:val="20"/>
                <w:szCs w:val="20"/>
              </w:rPr>
              <w:t>Q2</w:t>
            </w:r>
            <w:r w:rsidRPr="009C0A61">
              <w:rPr>
                <w:rFonts w:ascii="Arial" w:hAnsi="Arial" w:cs="Arial"/>
                <w:sz w:val="20"/>
                <w:szCs w:val="20"/>
              </w:rPr>
              <w:br/>
              <w:t xml:space="preserve"> Yes</w:t>
            </w:r>
          </w:p>
        </w:tc>
        <w:tc>
          <w:tcPr>
            <w:tcW w:w="7185" w:type="dxa"/>
            <w:shd w:val="clear" w:color="auto" w:fill="FFFFFF" w:themeFill="background1"/>
            <w:tcMar>
              <w:top w:w="80" w:type="dxa"/>
              <w:left w:w="80" w:type="dxa"/>
              <w:bottom w:w="80" w:type="dxa"/>
              <w:right w:w="80" w:type="dxa"/>
            </w:tcMar>
          </w:tcPr>
          <w:p w14:paraId="459B4CB9" w14:textId="77777777" w:rsidR="007E77F1" w:rsidRPr="009C0A61" w:rsidRDefault="007E77F1" w:rsidP="000A2871">
            <w:pPr>
              <w:spacing w:line="360" w:lineRule="auto"/>
              <w:rPr>
                <w:rFonts w:ascii="Arial" w:hAnsi="Arial" w:cs="Arial"/>
                <w:sz w:val="20"/>
                <w:szCs w:val="20"/>
              </w:rPr>
            </w:pPr>
            <w:r w:rsidRPr="009C0A61">
              <w:rPr>
                <w:rFonts w:ascii="Arial" w:hAnsi="Arial" w:cs="Arial"/>
                <w:sz w:val="20"/>
                <w:szCs w:val="20"/>
              </w:rPr>
              <w:t>Appropriate qualitative methodology. Qualitative methods suit motivations, interpretations and perceived consequences.</w:t>
            </w:r>
          </w:p>
        </w:tc>
      </w:tr>
      <w:tr w:rsidR="007E77F1" w:rsidRPr="000A2871" w14:paraId="343E0F80" w14:textId="77777777" w:rsidTr="001A2D87">
        <w:trPr>
          <w:trHeight w:val="780"/>
        </w:trPr>
        <w:tc>
          <w:tcPr>
            <w:tcW w:w="1725" w:type="dxa"/>
            <w:shd w:val="clear" w:color="auto" w:fill="FFFFFF" w:themeFill="background1"/>
            <w:tcMar>
              <w:top w:w="80" w:type="dxa"/>
              <w:left w:w="80" w:type="dxa"/>
              <w:bottom w:w="80" w:type="dxa"/>
              <w:right w:w="80" w:type="dxa"/>
            </w:tcMar>
          </w:tcPr>
          <w:p w14:paraId="01272B58" w14:textId="77777777" w:rsidR="007E77F1" w:rsidRPr="009C0A61" w:rsidRDefault="007E77F1" w:rsidP="000A2871">
            <w:pPr>
              <w:spacing w:line="360" w:lineRule="auto"/>
              <w:rPr>
                <w:rFonts w:ascii="Arial" w:hAnsi="Arial" w:cs="Arial"/>
                <w:sz w:val="20"/>
                <w:szCs w:val="20"/>
              </w:rPr>
            </w:pPr>
            <w:r w:rsidRPr="009C0A61">
              <w:rPr>
                <w:rFonts w:ascii="Arial" w:hAnsi="Arial" w:cs="Arial"/>
                <w:sz w:val="20"/>
                <w:szCs w:val="20"/>
              </w:rPr>
              <w:t>Q3</w:t>
            </w:r>
            <w:r w:rsidRPr="009C0A61">
              <w:rPr>
                <w:rFonts w:ascii="Arial" w:hAnsi="Arial" w:cs="Arial"/>
                <w:sz w:val="20"/>
                <w:szCs w:val="20"/>
              </w:rPr>
              <w:br/>
              <w:t xml:space="preserve"> Yes</w:t>
            </w:r>
          </w:p>
        </w:tc>
        <w:tc>
          <w:tcPr>
            <w:tcW w:w="7185" w:type="dxa"/>
            <w:shd w:val="clear" w:color="auto" w:fill="FFFFFF" w:themeFill="background1"/>
            <w:tcMar>
              <w:top w:w="80" w:type="dxa"/>
              <w:left w:w="80" w:type="dxa"/>
              <w:bottom w:w="80" w:type="dxa"/>
              <w:right w:w="80" w:type="dxa"/>
            </w:tcMar>
          </w:tcPr>
          <w:p w14:paraId="56B68CA2" w14:textId="77777777" w:rsidR="007E77F1" w:rsidRPr="009C0A61" w:rsidRDefault="007E77F1" w:rsidP="000A2871">
            <w:pPr>
              <w:spacing w:line="360" w:lineRule="auto"/>
              <w:rPr>
                <w:rFonts w:ascii="Arial" w:hAnsi="Arial" w:cs="Arial"/>
                <w:sz w:val="20"/>
                <w:szCs w:val="20"/>
              </w:rPr>
            </w:pPr>
            <w:r w:rsidRPr="009C0A61">
              <w:rPr>
                <w:rFonts w:ascii="Arial" w:hAnsi="Arial" w:cs="Arial"/>
                <w:sz w:val="20"/>
                <w:szCs w:val="20"/>
              </w:rPr>
              <w:t>Appropriate research design. Groups permit interaction; individual interviews accommodate participant availability.</w:t>
            </w:r>
          </w:p>
        </w:tc>
      </w:tr>
      <w:tr w:rsidR="007E77F1" w:rsidRPr="000A2871" w14:paraId="7E985F38" w14:textId="77777777" w:rsidTr="001A2D87">
        <w:trPr>
          <w:trHeight w:val="780"/>
        </w:trPr>
        <w:tc>
          <w:tcPr>
            <w:tcW w:w="1725" w:type="dxa"/>
            <w:shd w:val="clear" w:color="auto" w:fill="FFFFFF" w:themeFill="background1"/>
            <w:tcMar>
              <w:top w:w="80" w:type="dxa"/>
              <w:left w:w="80" w:type="dxa"/>
              <w:bottom w:w="80" w:type="dxa"/>
              <w:right w:w="80" w:type="dxa"/>
            </w:tcMar>
          </w:tcPr>
          <w:p w14:paraId="4BE56EFA" w14:textId="77777777" w:rsidR="007E77F1" w:rsidRPr="009C0A61" w:rsidRDefault="007E77F1" w:rsidP="000A2871">
            <w:pPr>
              <w:spacing w:line="360" w:lineRule="auto"/>
              <w:rPr>
                <w:rFonts w:ascii="Arial" w:hAnsi="Arial" w:cs="Arial"/>
                <w:sz w:val="20"/>
                <w:szCs w:val="20"/>
              </w:rPr>
            </w:pPr>
            <w:r w:rsidRPr="009C0A61">
              <w:rPr>
                <w:rFonts w:ascii="Arial" w:hAnsi="Arial" w:cs="Arial"/>
                <w:sz w:val="20"/>
                <w:szCs w:val="20"/>
              </w:rPr>
              <w:t>Q4</w:t>
            </w:r>
            <w:r w:rsidRPr="009C0A61">
              <w:rPr>
                <w:rFonts w:ascii="Arial" w:hAnsi="Arial" w:cs="Arial"/>
                <w:sz w:val="20"/>
                <w:szCs w:val="20"/>
              </w:rPr>
              <w:br/>
              <w:t xml:space="preserve"> Yes</w:t>
            </w:r>
          </w:p>
        </w:tc>
        <w:tc>
          <w:tcPr>
            <w:tcW w:w="7185" w:type="dxa"/>
            <w:shd w:val="clear" w:color="auto" w:fill="FFFFFF" w:themeFill="background1"/>
            <w:tcMar>
              <w:top w:w="80" w:type="dxa"/>
              <w:left w:w="80" w:type="dxa"/>
              <w:bottom w:w="80" w:type="dxa"/>
              <w:right w:w="80" w:type="dxa"/>
            </w:tcMar>
          </w:tcPr>
          <w:p w14:paraId="3BDF3F9E" w14:textId="77777777" w:rsidR="007E77F1" w:rsidRPr="009C0A61" w:rsidRDefault="007E77F1" w:rsidP="000A2871">
            <w:pPr>
              <w:spacing w:line="360" w:lineRule="auto"/>
              <w:rPr>
                <w:rFonts w:ascii="Arial" w:hAnsi="Arial" w:cs="Arial"/>
                <w:sz w:val="20"/>
                <w:szCs w:val="20"/>
              </w:rPr>
            </w:pPr>
            <w:r w:rsidRPr="009C0A61">
              <w:rPr>
                <w:rFonts w:ascii="Arial" w:hAnsi="Arial" w:cs="Arial"/>
                <w:sz w:val="20"/>
                <w:szCs w:val="20"/>
              </w:rPr>
              <w:t>Appropriate recruitment. Opportunistic recruitment and later efforts to recruit men are explained; psychology students dominate.</w:t>
            </w:r>
          </w:p>
        </w:tc>
      </w:tr>
      <w:tr w:rsidR="007E77F1" w:rsidRPr="000A2871" w14:paraId="699EC8DA" w14:textId="77777777" w:rsidTr="001A2D87">
        <w:trPr>
          <w:trHeight w:val="780"/>
        </w:trPr>
        <w:tc>
          <w:tcPr>
            <w:tcW w:w="1725" w:type="dxa"/>
            <w:shd w:val="clear" w:color="auto" w:fill="FFFFFF" w:themeFill="background1"/>
            <w:tcMar>
              <w:top w:w="80" w:type="dxa"/>
              <w:left w:w="80" w:type="dxa"/>
              <w:bottom w:w="80" w:type="dxa"/>
              <w:right w:w="80" w:type="dxa"/>
            </w:tcMar>
          </w:tcPr>
          <w:p w14:paraId="3689EAD8" w14:textId="77777777" w:rsidR="007E77F1" w:rsidRPr="009C0A61" w:rsidRDefault="007E77F1" w:rsidP="000A2871">
            <w:pPr>
              <w:spacing w:line="360" w:lineRule="auto"/>
              <w:rPr>
                <w:rFonts w:ascii="Arial" w:hAnsi="Arial" w:cs="Arial"/>
                <w:sz w:val="20"/>
                <w:szCs w:val="20"/>
              </w:rPr>
            </w:pPr>
            <w:r w:rsidRPr="009C0A61">
              <w:rPr>
                <w:rFonts w:ascii="Arial" w:hAnsi="Arial" w:cs="Arial"/>
                <w:sz w:val="20"/>
                <w:szCs w:val="20"/>
              </w:rPr>
              <w:t>Q5</w:t>
            </w:r>
            <w:r w:rsidRPr="009C0A61">
              <w:rPr>
                <w:rFonts w:ascii="Arial" w:hAnsi="Arial" w:cs="Arial"/>
                <w:sz w:val="20"/>
                <w:szCs w:val="20"/>
              </w:rPr>
              <w:br/>
              <w:t xml:space="preserve"> Yes</w:t>
            </w:r>
          </w:p>
        </w:tc>
        <w:tc>
          <w:tcPr>
            <w:tcW w:w="7185" w:type="dxa"/>
            <w:shd w:val="clear" w:color="auto" w:fill="FFFFFF" w:themeFill="background1"/>
            <w:tcMar>
              <w:top w:w="80" w:type="dxa"/>
              <w:left w:w="80" w:type="dxa"/>
              <w:bottom w:w="80" w:type="dxa"/>
              <w:right w:w="80" w:type="dxa"/>
            </w:tcMar>
          </w:tcPr>
          <w:p w14:paraId="640331EA" w14:textId="77777777" w:rsidR="007E77F1" w:rsidRPr="009C0A61" w:rsidRDefault="007E77F1" w:rsidP="000A2871">
            <w:pPr>
              <w:spacing w:line="360" w:lineRule="auto"/>
              <w:rPr>
                <w:rFonts w:ascii="Arial" w:hAnsi="Arial" w:cs="Arial"/>
                <w:sz w:val="20"/>
                <w:szCs w:val="20"/>
              </w:rPr>
            </w:pPr>
            <w:r w:rsidRPr="009C0A61">
              <w:rPr>
                <w:rFonts w:ascii="Arial" w:hAnsi="Arial" w:cs="Arial"/>
                <w:sz w:val="20"/>
                <w:szCs w:val="20"/>
              </w:rPr>
              <w:t>Suitable data collection. Stimulus materials, open questions, recording and transcript checks are described.</w:t>
            </w:r>
          </w:p>
        </w:tc>
      </w:tr>
      <w:tr w:rsidR="007E77F1" w:rsidRPr="000A2871" w14:paraId="066E78DF" w14:textId="77777777" w:rsidTr="001A2D87">
        <w:trPr>
          <w:trHeight w:val="1080"/>
        </w:trPr>
        <w:tc>
          <w:tcPr>
            <w:tcW w:w="1725" w:type="dxa"/>
            <w:shd w:val="clear" w:color="auto" w:fill="FFFFFF" w:themeFill="background1"/>
            <w:tcMar>
              <w:top w:w="80" w:type="dxa"/>
              <w:left w:w="80" w:type="dxa"/>
              <w:bottom w:w="80" w:type="dxa"/>
              <w:right w:w="80" w:type="dxa"/>
            </w:tcMar>
          </w:tcPr>
          <w:p w14:paraId="0B8C5427" w14:textId="77777777" w:rsidR="007E77F1" w:rsidRPr="009C0A61" w:rsidRDefault="007E77F1" w:rsidP="000A2871">
            <w:pPr>
              <w:spacing w:line="360" w:lineRule="auto"/>
              <w:rPr>
                <w:rFonts w:ascii="Arial" w:hAnsi="Arial" w:cs="Arial"/>
                <w:sz w:val="20"/>
                <w:szCs w:val="20"/>
              </w:rPr>
            </w:pPr>
            <w:r w:rsidRPr="009C0A61">
              <w:rPr>
                <w:rFonts w:ascii="Arial" w:hAnsi="Arial" w:cs="Arial"/>
                <w:sz w:val="20"/>
                <w:szCs w:val="20"/>
              </w:rPr>
              <w:t>Q6</w:t>
            </w:r>
            <w:r w:rsidRPr="009C0A61">
              <w:rPr>
                <w:rFonts w:ascii="Arial" w:hAnsi="Arial" w:cs="Arial"/>
                <w:sz w:val="20"/>
                <w:szCs w:val="20"/>
              </w:rPr>
              <w:br/>
              <w:t xml:space="preserve"> Yes</w:t>
            </w:r>
          </w:p>
        </w:tc>
        <w:tc>
          <w:tcPr>
            <w:tcW w:w="7185" w:type="dxa"/>
            <w:shd w:val="clear" w:color="auto" w:fill="FFFFFF" w:themeFill="background1"/>
            <w:tcMar>
              <w:top w:w="80" w:type="dxa"/>
              <w:left w:w="80" w:type="dxa"/>
              <w:bottom w:w="80" w:type="dxa"/>
              <w:right w:w="80" w:type="dxa"/>
            </w:tcMar>
          </w:tcPr>
          <w:p w14:paraId="2185006F" w14:textId="77777777" w:rsidR="007E77F1" w:rsidRPr="009C0A61" w:rsidRDefault="007E77F1" w:rsidP="000A2871">
            <w:pPr>
              <w:spacing w:line="360" w:lineRule="auto"/>
              <w:rPr>
                <w:rFonts w:ascii="Arial" w:hAnsi="Arial" w:cs="Arial"/>
                <w:sz w:val="20"/>
                <w:szCs w:val="20"/>
              </w:rPr>
            </w:pPr>
            <w:r w:rsidRPr="009C0A61">
              <w:rPr>
                <w:rFonts w:ascii="Arial" w:hAnsi="Arial" w:cs="Arial"/>
                <w:sz w:val="20"/>
                <w:szCs w:val="20"/>
              </w:rPr>
              <w:t>Researcher–participant relationship and reflexivity. Lead researcher’s position as a student and fitspiration user is stated; potential effects of researcher/participant characteristics are discussed.</w:t>
            </w:r>
          </w:p>
        </w:tc>
      </w:tr>
      <w:tr w:rsidR="007E77F1" w:rsidRPr="000A2871" w14:paraId="04D6AF81" w14:textId="77777777" w:rsidTr="001A2D87">
        <w:trPr>
          <w:trHeight w:val="780"/>
        </w:trPr>
        <w:tc>
          <w:tcPr>
            <w:tcW w:w="1725" w:type="dxa"/>
            <w:shd w:val="clear" w:color="auto" w:fill="FFFFFF" w:themeFill="background1"/>
            <w:tcMar>
              <w:top w:w="80" w:type="dxa"/>
              <w:left w:w="80" w:type="dxa"/>
              <w:bottom w:w="80" w:type="dxa"/>
              <w:right w:w="80" w:type="dxa"/>
            </w:tcMar>
          </w:tcPr>
          <w:p w14:paraId="571FAE9E" w14:textId="77777777" w:rsidR="007E77F1" w:rsidRPr="009C0A61" w:rsidRDefault="007E77F1" w:rsidP="000A2871">
            <w:pPr>
              <w:spacing w:line="360" w:lineRule="auto"/>
              <w:rPr>
                <w:rFonts w:ascii="Arial" w:hAnsi="Arial" w:cs="Arial"/>
                <w:sz w:val="20"/>
                <w:szCs w:val="20"/>
              </w:rPr>
            </w:pPr>
            <w:r w:rsidRPr="009C0A61">
              <w:rPr>
                <w:rFonts w:ascii="Arial" w:hAnsi="Arial" w:cs="Arial"/>
                <w:sz w:val="20"/>
                <w:szCs w:val="20"/>
              </w:rPr>
              <w:t>Q7</w:t>
            </w:r>
            <w:r w:rsidRPr="009C0A61">
              <w:rPr>
                <w:rFonts w:ascii="Arial" w:hAnsi="Arial" w:cs="Arial"/>
                <w:sz w:val="20"/>
                <w:szCs w:val="20"/>
              </w:rPr>
              <w:br/>
              <w:t xml:space="preserve"> Yes</w:t>
            </w:r>
          </w:p>
        </w:tc>
        <w:tc>
          <w:tcPr>
            <w:tcW w:w="7185" w:type="dxa"/>
            <w:shd w:val="clear" w:color="auto" w:fill="FFFFFF" w:themeFill="background1"/>
            <w:tcMar>
              <w:top w:w="80" w:type="dxa"/>
              <w:left w:w="80" w:type="dxa"/>
              <w:bottom w:w="80" w:type="dxa"/>
              <w:right w:w="80" w:type="dxa"/>
            </w:tcMar>
          </w:tcPr>
          <w:p w14:paraId="757AD8A9" w14:textId="77777777" w:rsidR="007E77F1" w:rsidRPr="009C0A61" w:rsidRDefault="007E77F1" w:rsidP="000A2871">
            <w:pPr>
              <w:spacing w:line="360" w:lineRule="auto"/>
              <w:rPr>
                <w:rFonts w:ascii="Arial" w:hAnsi="Arial" w:cs="Arial"/>
                <w:sz w:val="20"/>
                <w:szCs w:val="20"/>
              </w:rPr>
            </w:pPr>
            <w:r w:rsidRPr="009C0A61">
              <w:rPr>
                <w:rFonts w:ascii="Arial" w:hAnsi="Arial" w:cs="Arial"/>
                <w:sz w:val="20"/>
                <w:szCs w:val="20"/>
              </w:rPr>
              <w:t>Ethical considerations. Southampton ethics approval, information, consent and pseudonyms are reported.</w:t>
            </w:r>
          </w:p>
        </w:tc>
      </w:tr>
      <w:tr w:rsidR="007E77F1" w:rsidRPr="000A2871" w14:paraId="63C0418D" w14:textId="77777777" w:rsidTr="001A2D87">
        <w:trPr>
          <w:trHeight w:val="780"/>
        </w:trPr>
        <w:tc>
          <w:tcPr>
            <w:tcW w:w="1725" w:type="dxa"/>
            <w:shd w:val="clear" w:color="auto" w:fill="FFFFFF" w:themeFill="background1"/>
            <w:tcMar>
              <w:top w:w="80" w:type="dxa"/>
              <w:left w:w="80" w:type="dxa"/>
              <w:bottom w:w="80" w:type="dxa"/>
              <w:right w:w="80" w:type="dxa"/>
            </w:tcMar>
          </w:tcPr>
          <w:p w14:paraId="3B178EC0" w14:textId="77777777" w:rsidR="007E77F1" w:rsidRPr="009C0A61" w:rsidRDefault="007E77F1" w:rsidP="000A2871">
            <w:pPr>
              <w:spacing w:line="360" w:lineRule="auto"/>
              <w:rPr>
                <w:rFonts w:ascii="Arial" w:hAnsi="Arial" w:cs="Arial"/>
                <w:sz w:val="20"/>
                <w:szCs w:val="20"/>
              </w:rPr>
            </w:pPr>
            <w:r w:rsidRPr="009C0A61">
              <w:rPr>
                <w:rFonts w:ascii="Arial" w:hAnsi="Arial" w:cs="Arial"/>
                <w:sz w:val="20"/>
                <w:szCs w:val="20"/>
              </w:rPr>
              <w:t>Q8</w:t>
            </w:r>
            <w:r w:rsidRPr="009C0A61">
              <w:rPr>
                <w:rFonts w:ascii="Arial" w:hAnsi="Arial" w:cs="Arial"/>
                <w:sz w:val="20"/>
                <w:szCs w:val="20"/>
              </w:rPr>
              <w:br/>
              <w:t xml:space="preserve"> Yes</w:t>
            </w:r>
          </w:p>
        </w:tc>
        <w:tc>
          <w:tcPr>
            <w:tcW w:w="7185" w:type="dxa"/>
            <w:shd w:val="clear" w:color="auto" w:fill="FFFFFF" w:themeFill="background1"/>
            <w:tcMar>
              <w:top w:w="80" w:type="dxa"/>
              <w:left w:w="80" w:type="dxa"/>
              <w:bottom w:w="80" w:type="dxa"/>
              <w:right w:w="80" w:type="dxa"/>
            </w:tcMar>
          </w:tcPr>
          <w:p w14:paraId="11CC4002" w14:textId="77777777" w:rsidR="007E77F1" w:rsidRPr="009C0A61" w:rsidRDefault="007E77F1" w:rsidP="000A2871">
            <w:pPr>
              <w:spacing w:line="360" w:lineRule="auto"/>
              <w:rPr>
                <w:rFonts w:ascii="Arial" w:hAnsi="Arial" w:cs="Arial"/>
                <w:sz w:val="20"/>
                <w:szCs w:val="20"/>
              </w:rPr>
            </w:pPr>
            <w:r w:rsidRPr="009C0A61">
              <w:rPr>
                <w:rFonts w:ascii="Arial" w:hAnsi="Arial" w:cs="Arial"/>
                <w:sz w:val="20"/>
                <w:szCs w:val="20"/>
              </w:rPr>
              <w:t>Rigorous analysis. Inductive coding, constant comparison, iterative refinement and team input are detailed.</w:t>
            </w:r>
          </w:p>
        </w:tc>
      </w:tr>
      <w:tr w:rsidR="007E77F1" w:rsidRPr="000A2871" w14:paraId="1150C045" w14:textId="77777777" w:rsidTr="001A2D87">
        <w:trPr>
          <w:trHeight w:val="780"/>
        </w:trPr>
        <w:tc>
          <w:tcPr>
            <w:tcW w:w="1725" w:type="dxa"/>
            <w:shd w:val="clear" w:color="auto" w:fill="FFFFFF" w:themeFill="background1"/>
            <w:tcMar>
              <w:top w:w="80" w:type="dxa"/>
              <w:left w:w="80" w:type="dxa"/>
              <w:bottom w:w="80" w:type="dxa"/>
              <w:right w:w="80" w:type="dxa"/>
            </w:tcMar>
          </w:tcPr>
          <w:p w14:paraId="619F9A3C" w14:textId="77777777" w:rsidR="007E77F1" w:rsidRPr="009C0A61" w:rsidRDefault="007E77F1" w:rsidP="000A2871">
            <w:pPr>
              <w:spacing w:line="360" w:lineRule="auto"/>
              <w:rPr>
                <w:rFonts w:ascii="Arial" w:hAnsi="Arial" w:cs="Arial"/>
                <w:sz w:val="20"/>
                <w:szCs w:val="20"/>
              </w:rPr>
            </w:pPr>
            <w:r w:rsidRPr="009C0A61">
              <w:rPr>
                <w:rFonts w:ascii="Arial" w:hAnsi="Arial" w:cs="Arial"/>
                <w:sz w:val="20"/>
                <w:szCs w:val="20"/>
              </w:rPr>
              <w:lastRenderedPageBreak/>
              <w:t>Q9</w:t>
            </w:r>
            <w:r w:rsidRPr="009C0A61">
              <w:rPr>
                <w:rFonts w:ascii="Arial" w:hAnsi="Arial" w:cs="Arial"/>
                <w:sz w:val="20"/>
                <w:szCs w:val="20"/>
              </w:rPr>
              <w:br/>
              <w:t xml:space="preserve"> Yes</w:t>
            </w:r>
          </w:p>
        </w:tc>
        <w:tc>
          <w:tcPr>
            <w:tcW w:w="7185" w:type="dxa"/>
            <w:shd w:val="clear" w:color="auto" w:fill="FFFFFF" w:themeFill="background1"/>
            <w:tcMar>
              <w:top w:w="80" w:type="dxa"/>
              <w:left w:w="80" w:type="dxa"/>
              <w:bottom w:w="80" w:type="dxa"/>
              <w:right w:w="80" w:type="dxa"/>
            </w:tcMar>
          </w:tcPr>
          <w:p w14:paraId="42ECCBBC" w14:textId="77777777" w:rsidR="007E77F1" w:rsidRPr="009C0A61" w:rsidRDefault="007E77F1" w:rsidP="000A2871">
            <w:pPr>
              <w:spacing w:line="360" w:lineRule="auto"/>
              <w:rPr>
                <w:rFonts w:ascii="Arial" w:hAnsi="Arial" w:cs="Arial"/>
                <w:sz w:val="20"/>
                <w:szCs w:val="20"/>
              </w:rPr>
            </w:pPr>
            <w:r w:rsidRPr="009C0A61">
              <w:rPr>
                <w:rFonts w:ascii="Arial" w:hAnsi="Arial" w:cs="Arial"/>
                <w:sz w:val="20"/>
                <w:szCs w:val="20"/>
              </w:rPr>
              <w:t>Clear findings. Clear themes illustrate both useful and harmful experiences.</w:t>
            </w:r>
          </w:p>
        </w:tc>
      </w:tr>
      <w:tr w:rsidR="007E77F1" w:rsidRPr="000A2871" w14:paraId="103D101B" w14:textId="77777777" w:rsidTr="001A2D87">
        <w:trPr>
          <w:trHeight w:val="780"/>
        </w:trPr>
        <w:tc>
          <w:tcPr>
            <w:tcW w:w="1725" w:type="dxa"/>
            <w:shd w:val="clear" w:color="auto" w:fill="FFFFFF" w:themeFill="background1"/>
            <w:tcMar>
              <w:top w:w="80" w:type="dxa"/>
              <w:left w:w="80" w:type="dxa"/>
              <w:bottom w:w="80" w:type="dxa"/>
              <w:right w:w="80" w:type="dxa"/>
            </w:tcMar>
          </w:tcPr>
          <w:p w14:paraId="61ECC9CB" w14:textId="77777777" w:rsidR="007E77F1" w:rsidRPr="009C0A61" w:rsidRDefault="007E77F1" w:rsidP="000A2871">
            <w:pPr>
              <w:spacing w:line="360" w:lineRule="auto"/>
              <w:rPr>
                <w:rFonts w:ascii="Arial" w:hAnsi="Arial" w:cs="Arial"/>
                <w:sz w:val="20"/>
                <w:szCs w:val="20"/>
              </w:rPr>
            </w:pPr>
            <w:r w:rsidRPr="009C0A61">
              <w:rPr>
                <w:rFonts w:ascii="Arial" w:hAnsi="Arial" w:cs="Arial"/>
                <w:sz w:val="20"/>
                <w:szCs w:val="20"/>
              </w:rPr>
              <w:t>Q10</w:t>
            </w:r>
            <w:r w:rsidRPr="009C0A61">
              <w:rPr>
                <w:rFonts w:ascii="Arial" w:hAnsi="Arial" w:cs="Arial"/>
                <w:sz w:val="20"/>
                <w:szCs w:val="20"/>
              </w:rPr>
              <w:br/>
              <w:t xml:space="preserve"> Yes</w:t>
            </w:r>
          </w:p>
        </w:tc>
        <w:tc>
          <w:tcPr>
            <w:tcW w:w="7185" w:type="dxa"/>
            <w:shd w:val="clear" w:color="auto" w:fill="FFFFFF" w:themeFill="background1"/>
            <w:tcMar>
              <w:top w:w="80" w:type="dxa"/>
              <w:left w:w="80" w:type="dxa"/>
              <w:bottom w:w="80" w:type="dxa"/>
              <w:right w:w="80" w:type="dxa"/>
            </w:tcMar>
          </w:tcPr>
          <w:p w14:paraId="54064976" w14:textId="77777777" w:rsidR="007E77F1" w:rsidRPr="009C0A61" w:rsidRDefault="007E77F1" w:rsidP="000A2871">
            <w:pPr>
              <w:spacing w:line="360" w:lineRule="auto"/>
              <w:rPr>
                <w:rFonts w:ascii="Arial" w:hAnsi="Arial" w:cs="Arial"/>
                <w:sz w:val="20"/>
                <w:szCs w:val="20"/>
              </w:rPr>
            </w:pPr>
            <w:r w:rsidRPr="009C0A61">
              <w:rPr>
                <w:rFonts w:ascii="Arial" w:hAnsi="Arial" w:cs="Arial"/>
                <w:sz w:val="20"/>
                <w:szCs w:val="20"/>
              </w:rPr>
              <w:t>Value of the research. Useful contextual insight is provided; location uncertainty is an eligibility issue separate from qualitative value.</w:t>
            </w:r>
          </w:p>
        </w:tc>
      </w:tr>
    </w:tbl>
    <w:p w14:paraId="119FA64A"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34BB2D7D" w14:textId="77777777" w:rsidR="007E77F1" w:rsidRPr="000A2871" w:rsidRDefault="007E77F1" w:rsidP="000A2871">
      <w:pPr>
        <w:spacing w:after="120" w:line="360" w:lineRule="auto"/>
        <w:rPr>
          <w:rFonts w:ascii="Arial" w:hAnsi="Arial" w:cs="Arial"/>
        </w:rPr>
      </w:pPr>
      <w:r w:rsidRPr="000A2871">
        <w:rPr>
          <w:rFonts w:ascii="Arial" w:hAnsi="Arial" w:cs="Arial"/>
        </w:rPr>
        <w:t>Source locations: Methods: sampling, recruitment, collection and analysis; participant table; limitations.</w:t>
      </w:r>
    </w:p>
    <w:p w14:paraId="0BCCEEA1" w14:textId="77777777" w:rsidR="007E77F1" w:rsidRPr="000A2871" w:rsidRDefault="007E77F1" w:rsidP="000A2871">
      <w:pPr>
        <w:spacing w:after="120" w:line="360" w:lineRule="auto"/>
        <w:rPr>
          <w:rFonts w:ascii="Arial" w:hAnsi="Arial" w:cs="Arial"/>
        </w:rPr>
      </w:pPr>
      <w:r w:rsidRPr="000A2871">
        <w:rPr>
          <w:rFonts w:ascii="Arial" w:hAnsi="Arial" w:cs="Arial"/>
        </w:rPr>
        <w:t>https://doi.org/10.2196/jmir.9156</w:t>
      </w:r>
    </w:p>
    <w:p w14:paraId="4FEB3E46" w14:textId="77777777" w:rsidR="007E77F1" w:rsidRPr="000A2871" w:rsidRDefault="007E77F1" w:rsidP="00567487">
      <w:pPr>
        <w:pStyle w:val="Heading2"/>
        <w:keepNext w:val="0"/>
        <w:keepLines w:val="0"/>
        <w:shd w:val="clear" w:color="auto" w:fill="FFFFFF" w:themeFill="background1"/>
        <w:spacing w:after="80" w:line="360" w:lineRule="auto"/>
        <w:jc w:val="left"/>
        <w:rPr>
          <w:rFonts w:ascii="Arial" w:hAnsi="Arial" w:cs="Arial"/>
          <w:b w:val="0"/>
          <w:bCs/>
          <w:sz w:val="34"/>
          <w:szCs w:val="34"/>
        </w:rPr>
      </w:pPr>
      <w:bookmarkStart w:id="234" w:name="_d00yct176b8h" w:colFirst="0" w:colLast="0"/>
      <w:bookmarkStart w:id="235" w:name="_Toc242459626"/>
      <w:bookmarkEnd w:id="234"/>
      <w:r w:rsidRPr="000A2871">
        <w:rPr>
          <w:rFonts w:ascii="Arial" w:hAnsi="Arial" w:cs="Arial"/>
          <w:bCs/>
          <w:sz w:val="34"/>
          <w:szCs w:val="34"/>
        </w:rPr>
        <w:t>D13 R0045 Tyrrell et al. (2016)</w:t>
      </w:r>
      <w:bookmarkEnd w:id="235"/>
    </w:p>
    <w:p w14:paraId="0EC0EE95" w14:textId="77777777" w:rsidR="007E77F1" w:rsidRPr="000A2871" w:rsidRDefault="007E77F1" w:rsidP="000A2871">
      <w:pPr>
        <w:spacing w:after="120" w:line="360" w:lineRule="auto"/>
        <w:rPr>
          <w:rFonts w:ascii="Arial" w:hAnsi="Arial" w:cs="Arial"/>
        </w:rPr>
      </w:pPr>
      <w:r w:rsidRPr="000A2871">
        <w:rPr>
          <w:rFonts w:ascii="Arial" w:hAnsi="Arial" w:cs="Arial"/>
        </w:rPr>
        <w:t>Contextual: inseparable younger ages. North-East England; 40 participants aged 16–20 in four groups. Fieldwork: 2006–2007; issue: 2016; online: 2015.</w:t>
      </w:r>
    </w:p>
    <w:tbl>
      <w:tblPr>
        <w:tblW w:w="8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5"/>
        <w:gridCol w:w="7170"/>
      </w:tblGrid>
      <w:tr w:rsidR="007E77F1" w:rsidRPr="000A2871" w14:paraId="628AD4C9" w14:textId="77777777" w:rsidTr="001A2D87">
        <w:trPr>
          <w:trHeight w:val="780"/>
        </w:trPr>
        <w:tc>
          <w:tcPr>
            <w:tcW w:w="1725" w:type="dxa"/>
            <w:shd w:val="clear" w:color="auto" w:fill="FFFFFF" w:themeFill="background1"/>
            <w:tcMar>
              <w:top w:w="80" w:type="dxa"/>
              <w:left w:w="80" w:type="dxa"/>
              <w:bottom w:w="80" w:type="dxa"/>
              <w:right w:w="80" w:type="dxa"/>
            </w:tcMar>
          </w:tcPr>
          <w:p w14:paraId="1A8D73DE" w14:textId="77777777" w:rsidR="007E77F1" w:rsidRPr="00567487" w:rsidRDefault="007E77F1" w:rsidP="000A2871">
            <w:pPr>
              <w:spacing w:line="360" w:lineRule="auto"/>
              <w:rPr>
                <w:rFonts w:ascii="Arial" w:hAnsi="Arial" w:cs="Arial"/>
                <w:b/>
                <w:bCs/>
                <w:sz w:val="20"/>
                <w:szCs w:val="20"/>
              </w:rPr>
            </w:pPr>
            <w:r w:rsidRPr="00567487">
              <w:rPr>
                <w:rFonts w:ascii="Arial" w:hAnsi="Arial" w:cs="Arial"/>
                <w:b/>
                <w:bCs/>
                <w:sz w:val="20"/>
                <w:szCs w:val="20"/>
              </w:rPr>
              <w:t>Domain and judgement</w:t>
            </w:r>
          </w:p>
        </w:tc>
        <w:tc>
          <w:tcPr>
            <w:tcW w:w="7170" w:type="dxa"/>
            <w:shd w:val="clear" w:color="auto" w:fill="FFFFFF" w:themeFill="background1"/>
            <w:tcMar>
              <w:top w:w="80" w:type="dxa"/>
              <w:left w:w="80" w:type="dxa"/>
              <w:bottom w:w="80" w:type="dxa"/>
              <w:right w:w="80" w:type="dxa"/>
            </w:tcMar>
          </w:tcPr>
          <w:p w14:paraId="3FA2C5CB" w14:textId="77777777" w:rsidR="007E77F1" w:rsidRPr="00567487" w:rsidRDefault="007E77F1" w:rsidP="000A2871">
            <w:pPr>
              <w:spacing w:line="360" w:lineRule="auto"/>
              <w:rPr>
                <w:rFonts w:ascii="Arial" w:hAnsi="Arial" w:cs="Arial"/>
                <w:b/>
                <w:bCs/>
                <w:sz w:val="20"/>
                <w:szCs w:val="20"/>
              </w:rPr>
            </w:pPr>
            <w:r w:rsidRPr="00567487">
              <w:rPr>
                <w:rFonts w:ascii="Arial" w:hAnsi="Arial" w:cs="Arial"/>
                <w:b/>
                <w:bCs/>
                <w:sz w:val="20"/>
                <w:szCs w:val="20"/>
              </w:rPr>
              <w:t>Report-specific rationale</w:t>
            </w:r>
          </w:p>
        </w:tc>
      </w:tr>
      <w:tr w:rsidR="007E77F1" w:rsidRPr="000A2871" w14:paraId="510317AA" w14:textId="77777777" w:rsidTr="001A2D87">
        <w:trPr>
          <w:trHeight w:val="780"/>
        </w:trPr>
        <w:tc>
          <w:tcPr>
            <w:tcW w:w="1725" w:type="dxa"/>
            <w:shd w:val="clear" w:color="auto" w:fill="FFFFFF" w:themeFill="background1"/>
            <w:tcMar>
              <w:top w:w="80" w:type="dxa"/>
              <w:left w:w="80" w:type="dxa"/>
              <w:bottom w:w="80" w:type="dxa"/>
              <w:right w:w="80" w:type="dxa"/>
            </w:tcMar>
          </w:tcPr>
          <w:p w14:paraId="03120D46"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Q1</w:t>
            </w:r>
            <w:r w:rsidRPr="00567487">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6693D945"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Clear aims. The aim specifies relationships between food environments and behaviour.</w:t>
            </w:r>
          </w:p>
        </w:tc>
      </w:tr>
      <w:tr w:rsidR="007E77F1" w:rsidRPr="000A2871" w14:paraId="5228D5B2" w14:textId="77777777" w:rsidTr="001A2D87">
        <w:trPr>
          <w:trHeight w:val="780"/>
        </w:trPr>
        <w:tc>
          <w:tcPr>
            <w:tcW w:w="1725" w:type="dxa"/>
            <w:shd w:val="clear" w:color="auto" w:fill="FFFFFF" w:themeFill="background1"/>
            <w:tcMar>
              <w:top w:w="80" w:type="dxa"/>
              <w:left w:w="80" w:type="dxa"/>
              <w:bottom w:w="80" w:type="dxa"/>
              <w:right w:w="80" w:type="dxa"/>
            </w:tcMar>
          </w:tcPr>
          <w:p w14:paraId="7EAFBF4D"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Q2</w:t>
            </w:r>
            <w:r w:rsidRPr="00567487">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374AF86A"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Appropriate qualitative methodology. Qualitative discussion is appropriate for practical and social meanings.</w:t>
            </w:r>
          </w:p>
        </w:tc>
      </w:tr>
      <w:tr w:rsidR="007E77F1" w:rsidRPr="000A2871" w14:paraId="43978CFD" w14:textId="77777777" w:rsidTr="001A2D87">
        <w:trPr>
          <w:trHeight w:val="780"/>
        </w:trPr>
        <w:tc>
          <w:tcPr>
            <w:tcW w:w="1725" w:type="dxa"/>
            <w:shd w:val="clear" w:color="auto" w:fill="FFFFFF" w:themeFill="background1"/>
            <w:tcMar>
              <w:top w:w="80" w:type="dxa"/>
              <w:left w:w="80" w:type="dxa"/>
              <w:bottom w:w="80" w:type="dxa"/>
              <w:right w:w="80" w:type="dxa"/>
            </w:tcMar>
          </w:tcPr>
          <w:p w14:paraId="039AE9AE"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Q3</w:t>
            </w:r>
            <w:r w:rsidRPr="00567487">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69036DC8"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Appropriate research design. Focus groups suit the exploration of shared settings and food practices.</w:t>
            </w:r>
          </w:p>
        </w:tc>
      </w:tr>
      <w:tr w:rsidR="007E77F1" w:rsidRPr="000A2871" w14:paraId="440A97B8" w14:textId="77777777" w:rsidTr="001A2D87">
        <w:trPr>
          <w:trHeight w:val="780"/>
        </w:trPr>
        <w:tc>
          <w:tcPr>
            <w:tcW w:w="1725" w:type="dxa"/>
            <w:shd w:val="clear" w:color="auto" w:fill="FFFFFF" w:themeFill="background1"/>
            <w:tcMar>
              <w:top w:w="80" w:type="dxa"/>
              <w:left w:w="80" w:type="dxa"/>
              <w:bottom w:w="80" w:type="dxa"/>
              <w:right w:w="80" w:type="dxa"/>
            </w:tcMar>
          </w:tcPr>
          <w:p w14:paraId="28089F00"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Q4</w:t>
            </w:r>
            <w:r w:rsidRPr="00567487">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6DC89BB6"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Appropriate recruitment. Recruitment attempts and access problems are reported, including inability to recruit workplaces.</w:t>
            </w:r>
          </w:p>
        </w:tc>
      </w:tr>
      <w:tr w:rsidR="007E77F1" w:rsidRPr="000A2871" w14:paraId="3170A695" w14:textId="77777777" w:rsidTr="001A2D87">
        <w:trPr>
          <w:trHeight w:val="780"/>
        </w:trPr>
        <w:tc>
          <w:tcPr>
            <w:tcW w:w="1725" w:type="dxa"/>
            <w:shd w:val="clear" w:color="auto" w:fill="FFFFFF" w:themeFill="background1"/>
            <w:tcMar>
              <w:top w:w="80" w:type="dxa"/>
              <w:left w:w="80" w:type="dxa"/>
              <w:bottom w:w="80" w:type="dxa"/>
              <w:right w:w="80" w:type="dxa"/>
            </w:tcMar>
          </w:tcPr>
          <w:p w14:paraId="656B3865"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Q5</w:t>
            </w:r>
            <w:r w:rsidRPr="00567487">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5D5F70A1"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Suitable data collection. The guide, recording, anonymisation and transcription checks are described.</w:t>
            </w:r>
          </w:p>
        </w:tc>
      </w:tr>
      <w:tr w:rsidR="007E77F1" w:rsidRPr="000A2871" w14:paraId="00C6851B" w14:textId="77777777" w:rsidTr="001A2D87">
        <w:trPr>
          <w:trHeight w:val="780"/>
        </w:trPr>
        <w:tc>
          <w:tcPr>
            <w:tcW w:w="1725" w:type="dxa"/>
            <w:shd w:val="clear" w:color="auto" w:fill="FFFFFF" w:themeFill="background1"/>
            <w:tcMar>
              <w:top w:w="80" w:type="dxa"/>
              <w:left w:w="80" w:type="dxa"/>
              <w:bottom w:w="80" w:type="dxa"/>
              <w:right w:w="80" w:type="dxa"/>
            </w:tcMar>
          </w:tcPr>
          <w:p w14:paraId="49B370A7"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Q6</w:t>
            </w:r>
            <w:r w:rsidRPr="00567487">
              <w:rPr>
                <w:rFonts w:ascii="Arial" w:hAnsi="Arial" w:cs="Arial"/>
                <w:sz w:val="20"/>
                <w:szCs w:val="20"/>
              </w:rPr>
              <w:br/>
              <w:t xml:space="preserve"> Cannot tell</w:t>
            </w:r>
          </w:p>
        </w:tc>
        <w:tc>
          <w:tcPr>
            <w:tcW w:w="7170" w:type="dxa"/>
            <w:shd w:val="clear" w:color="auto" w:fill="FFFFFF" w:themeFill="background1"/>
            <w:tcMar>
              <w:top w:w="80" w:type="dxa"/>
              <w:left w:w="80" w:type="dxa"/>
              <w:bottom w:w="80" w:type="dxa"/>
              <w:right w:w="80" w:type="dxa"/>
            </w:tcMar>
          </w:tcPr>
          <w:p w14:paraId="03F59E4C"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Researcher–participant relationship and reflexivity. Researcher roles are given, but influence on participants and interpretation is not sufficiently examined.</w:t>
            </w:r>
          </w:p>
        </w:tc>
      </w:tr>
      <w:tr w:rsidR="007E77F1" w:rsidRPr="000A2871" w14:paraId="6DCE6E30" w14:textId="77777777" w:rsidTr="001A2D87">
        <w:trPr>
          <w:trHeight w:val="780"/>
        </w:trPr>
        <w:tc>
          <w:tcPr>
            <w:tcW w:w="1725" w:type="dxa"/>
            <w:shd w:val="clear" w:color="auto" w:fill="FFFFFF" w:themeFill="background1"/>
            <w:tcMar>
              <w:top w:w="80" w:type="dxa"/>
              <w:left w:w="80" w:type="dxa"/>
              <w:bottom w:w="80" w:type="dxa"/>
              <w:right w:w="80" w:type="dxa"/>
            </w:tcMar>
          </w:tcPr>
          <w:p w14:paraId="5AED18D3"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Q7</w:t>
            </w:r>
            <w:r w:rsidRPr="00567487">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54DE4373"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Ethical considerations. Newcastle ethics approval, written information and consent are reported.</w:t>
            </w:r>
          </w:p>
        </w:tc>
      </w:tr>
      <w:tr w:rsidR="007E77F1" w:rsidRPr="000A2871" w14:paraId="73903ED0" w14:textId="77777777" w:rsidTr="001A2D87">
        <w:trPr>
          <w:trHeight w:val="780"/>
        </w:trPr>
        <w:tc>
          <w:tcPr>
            <w:tcW w:w="1725" w:type="dxa"/>
            <w:shd w:val="clear" w:color="auto" w:fill="FFFFFF" w:themeFill="background1"/>
            <w:tcMar>
              <w:top w:w="80" w:type="dxa"/>
              <w:left w:w="80" w:type="dxa"/>
              <w:bottom w:w="80" w:type="dxa"/>
              <w:right w:w="80" w:type="dxa"/>
            </w:tcMar>
          </w:tcPr>
          <w:p w14:paraId="2366185B"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lastRenderedPageBreak/>
              <w:t>Q8</w:t>
            </w:r>
            <w:r w:rsidRPr="00567487">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1EC12AB6"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Rigorous analysis. Independent transcript reading, comparison and an evolving coding framework are described.</w:t>
            </w:r>
          </w:p>
        </w:tc>
      </w:tr>
      <w:tr w:rsidR="007E77F1" w:rsidRPr="000A2871" w14:paraId="12A97E3D" w14:textId="77777777" w:rsidTr="001A2D87">
        <w:trPr>
          <w:trHeight w:val="780"/>
        </w:trPr>
        <w:tc>
          <w:tcPr>
            <w:tcW w:w="1725" w:type="dxa"/>
            <w:shd w:val="clear" w:color="auto" w:fill="FFFFFF" w:themeFill="background1"/>
            <w:tcMar>
              <w:top w:w="80" w:type="dxa"/>
              <w:left w:w="80" w:type="dxa"/>
              <w:bottom w:w="80" w:type="dxa"/>
              <w:right w:w="80" w:type="dxa"/>
            </w:tcMar>
          </w:tcPr>
          <w:p w14:paraId="7FC6A253"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Q9</w:t>
            </w:r>
            <w:r w:rsidRPr="00567487">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024E5898"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Clear findings. Findings clearly address practical constraints and family environments.</w:t>
            </w:r>
          </w:p>
        </w:tc>
      </w:tr>
      <w:tr w:rsidR="007E77F1" w:rsidRPr="000A2871" w14:paraId="75284099" w14:textId="77777777" w:rsidTr="001A2D87">
        <w:trPr>
          <w:trHeight w:val="780"/>
        </w:trPr>
        <w:tc>
          <w:tcPr>
            <w:tcW w:w="1725" w:type="dxa"/>
            <w:shd w:val="clear" w:color="auto" w:fill="FFFFFF" w:themeFill="background1"/>
            <w:tcMar>
              <w:top w:w="80" w:type="dxa"/>
              <w:left w:w="80" w:type="dxa"/>
              <w:bottom w:w="80" w:type="dxa"/>
              <w:right w:w="80" w:type="dxa"/>
            </w:tcMar>
          </w:tcPr>
          <w:p w14:paraId="0B5C946D"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Q10</w:t>
            </w:r>
            <w:r w:rsidRPr="00567487">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79B6CECB"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Value of the research. Useful developmental context; mixed ages and older fieldwork limit direct relevance to the present adult synthesis.</w:t>
            </w:r>
          </w:p>
        </w:tc>
      </w:tr>
    </w:tbl>
    <w:p w14:paraId="24431B5B"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3D7D2995" w14:textId="77777777" w:rsidR="007E77F1" w:rsidRPr="000A2871" w:rsidRDefault="007E77F1" w:rsidP="000A2871">
      <w:pPr>
        <w:spacing w:after="120" w:line="360" w:lineRule="auto"/>
        <w:rPr>
          <w:rFonts w:ascii="Arial" w:hAnsi="Arial" w:cs="Arial"/>
        </w:rPr>
      </w:pPr>
      <w:r w:rsidRPr="000A2871">
        <w:rPr>
          <w:rFonts w:ascii="Arial" w:hAnsi="Arial" w:cs="Arial"/>
        </w:rPr>
        <w:t>Source locations: Methods; Table 1 group ages; Results group-labelled quotations; discussion of recruitment.</w:t>
      </w:r>
    </w:p>
    <w:p w14:paraId="05B10376" w14:textId="77777777" w:rsidR="007E77F1" w:rsidRPr="000A2871" w:rsidRDefault="007E77F1" w:rsidP="000A2871">
      <w:pPr>
        <w:spacing w:after="120" w:line="360" w:lineRule="auto"/>
        <w:rPr>
          <w:rFonts w:ascii="Arial" w:hAnsi="Arial" w:cs="Arial"/>
        </w:rPr>
      </w:pPr>
      <w:r w:rsidRPr="000A2871">
        <w:rPr>
          <w:rFonts w:ascii="Arial" w:hAnsi="Arial" w:cs="Arial"/>
        </w:rPr>
        <w:t>https://doi.org/10.1093/pubmed/fdv030</w:t>
      </w:r>
    </w:p>
    <w:p w14:paraId="72DE8089" w14:textId="77777777" w:rsidR="007E77F1" w:rsidRPr="000A2871" w:rsidRDefault="007E77F1" w:rsidP="00567487">
      <w:pPr>
        <w:pStyle w:val="Heading2"/>
        <w:keepNext w:val="0"/>
        <w:keepLines w:val="0"/>
        <w:spacing w:after="80" w:line="360" w:lineRule="auto"/>
        <w:jc w:val="left"/>
        <w:rPr>
          <w:rFonts w:ascii="Arial" w:hAnsi="Arial" w:cs="Arial"/>
          <w:b w:val="0"/>
          <w:bCs/>
          <w:sz w:val="34"/>
          <w:szCs w:val="34"/>
        </w:rPr>
      </w:pPr>
      <w:bookmarkStart w:id="236" w:name="_y7s2e6y0bixd" w:colFirst="0" w:colLast="0"/>
      <w:bookmarkStart w:id="237" w:name="_Toc242459627"/>
      <w:bookmarkEnd w:id="236"/>
      <w:r w:rsidRPr="000A2871">
        <w:rPr>
          <w:rFonts w:ascii="Arial" w:hAnsi="Arial" w:cs="Arial"/>
          <w:bCs/>
          <w:sz w:val="34"/>
          <w:szCs w:val="34"/>
        </w:rPr>
        <w:t>D14 R0974 Hafiz et al. (2023)</w:t>
      </w:r>
      <w:bookmarkEnd w:id="237"/>
    </w:p>
    <w:p w14:paraId="5CF5EA39" w14:textId="77777777" w:rsidR="007E77F1" w:rsidRPr="000A2871" w:rsidRDefault="007E77F1" w:rsidP="000A2871">
      <w:pPr>
        <w:spacing w:after="120" w:line="360" w:lineRule="auto"/>
        <w:rPr>
          <w:rFonts w:ascii="Arial" w:hAnsi="Arial" w:cs="Arial"/>
        </w:rPr>
      </w:pPr>
      <w:r w:rsidRPr="000A2871">
        <w:rPr>
          <w:rFonts w:ascii="Arial" w:hAnsi="Arial" w:cs="Arial"/>
        </w:rPr>
        <w:t>Contextual: age range unresolved. Ulster University, Northern Ireland; 42 students; mean age 23, SD 5.3. Recruitment required age over 18.</w:t>
      </w:r>
    </w:p>
    <w:tbl>
      <w:tblPr>
        <w:tblW w:w="8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5"/>
        <w:gridCol w:w="7170"/>
      </w:tblGrid>
      <w:tr w:rsidR="007E77F1" w:rsidRPr="000A2871" w14:paraId="5AA55EBF" w14:textId="77777777" w:rsidTr="001A2D87">
        <w:trPr>
          <w:trHeight w:val="780"/>
        </w:trPr>
        <w:tc>
          <w:tcPr>
            <w:tcW w:w="1725" w:type="dxa"/>
            <w:shd w:val="clear" w:color="auto" w:fill="FFFFFF" w:themeFill="background1"/>
            <w:tcMar>
              <w:top w:w="80" w:type="dxa"/>
              <w:left w:w="80" w:type="dxa"/>
              <w:bottom w:w="80" w:type="dxa"/>
              <w:right w:w="80" w:type="dxa"/>
            </w:tcMar>
          </w:tcPr>
          <w:p w14:paraId="6127809F" w14:textId="77777777" w:rsidR="007E77F1" w:rsidRPr="00567487" w:rsidRDefault="007E77F1" w:rsidP="000A2871">
            <w:pPr>
              <w:spacing w:line="360" w:lineRule="auto"/>
              <w:rPr>
                <w:rFonts w:ascii="Arial" w:hAnsi="Arial" w:cs="Arial"/>
                <w:b/>
                <w:bCs/>
                <w:sz w:val="20"/>
                <w:szCs w:val="20"/>
              </w:rPr>
            </w:pPr>
            <w:r w:rsidRPr="00567487">
              <w:rPr>
                <w:rFonts w:ascii="Arial" w:hAnsi="Arial" w:cs="Arial"/>
                <w:b/>
                <w:bCs/>
                <w:sz w:val="20"/>
                <w:szCs w:val="20"/>
              </w:rPr>
              <w:t>Domain and judgement</w:t>
            </w:r>
          </w:p>
        </w:tc>
        <w:tc>
          <w:tcPr>
            <w:tcW w:w="7170" w:type="dxa"/>
            <w:shd w:val="clear" w:color="auto" w:fill="FFFFFF" w:themeFill="background1"/>
            <w:tcMar>
              <w:top w:w="80" w:type="dxa"/>
              <w:left w:w="80" w:type="dxa"/>
              <w:bottom w:w="80" w:type="dxa"/>
              <w:right w:w="80" w:type="dxa"/>
            </w:tcMar>
          </w:tcPr>
          <w:p w14:paraId="437E2D87" w14:textId="77777777" w:rsidR="007E77F1" w:rsidRPr="00567487" w:rsidRDefault="007E77F1" w:rsidP="000A2871">
            <w:pPr>
              <w:spacing w:line="360" w:lineRule="auto"/>
              <w:rPr>
                <w:rFonts w:ascii="Arial" w:hAnsi="Arial" w:cs="Arial"/>
                <w:b/>
                <w:bCs/>
                <w:sz w:val="20"/>
                <w:szCs w:val="20"/>
              </w:rPr>
            </w:pPr>
            <w:r w:rsidRPr="00567487">
              <w:rPr>
                <w:rFonts w:ascii="Arial" w:hAnsi="Arial" w:cs="Arial"/>
                <w:b/>
                <w:bCs/>
                <w:sz w:val="20"/>
                <w:szCs w:val="20"/>
              </w:rPr>
              <w:t>Report-specific rationale</w:t>
            </w:r>
          </w:p>
        </w:tc>
      </w:tr>
      <w:tr w:rsidR="007E77F1" w:rsidRPr="000A2871" w14:paraId="684FA80E" w14:textId="77777777" w:rsidTr="001A2D87">
        <w:trPr>
          <w:trHeight w:val="780"/>
        </w:trPr>
        <w:tc>
          <w:tcPr>
            <w:tcW w:w="1725" w:type="dxa"/>
            <w:shd w:val="clear" w:color="auto" w:fill="FFFFFF" w:themeFill="background1"/>
            <w:tcMar>
              <w:top w:w="80" w:type="dxa"/>
              <w:left w:w="80" w:type="dxa"/>
              <w:bottom w:w="80" w:type="dxa"/>
              <w:right w:w="80" w:type="dxa"/>
            </w:tcMar>
          </w:tcPr>
          <w:p w14:paraId="1530A2E6"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Q1</w:t>
            </w:r>
            <w:r w:rsidRPr="00567487">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05E61F69"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Clear aims. The aim identifies influences on university students’ eating while living away from home.</w:t>
            </w:r>
          </w:p>
        </w:tc>
      </w:tr>
      <w:tr w:rsidR="007E77F1" w:rsidRPr="000A2871" w14:paraId="7F4CC41D" w14:textId="77777777" w:rsidTr="001A2D87">
        <w:trPr>
          <w:trHeight w:val="780"/>
        </w:trPr>
        <w:tc>
          <w:tcPr>
            <w:tcW w:w="1725" w:type="dxa"/>
            <w:shd w:val="clear" w:color="auto" w:fill="FFFFFF" w:themeFill="background1"/>
            <w:tcMar>
              <w:top w:w="80" w:type="dxa"/>
              <w:left w:w="80" w:type="dxa"/>
              <w:bottom w:w="80" w:type="dxa"/>
              <w:right w:w="80" w:type="dxa"/>
            </w:tcMar>
          </w:tcPr>
          <w:p w14:paraId="52EF01AB"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Q2</w:t>
            </w:r>
            <w:r w:rsidRPr="00567487">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361FDC22"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Appropriate qualitative methodology. Qualitative groups are suited to discussing shared barriers and practices.</w:t>
            </w:r>
          </w:p>
        </w:tc>
      </w:tr>
      <w:tr w:rsidR="007E77F1" w:rsidRPr="000A2871" w14:paraId="52EF93BC" w14:textId="77777777" w:rsidTr="001A2D87">
        <w:trPr>
          <w:trHeight w:val="780"/>
        </w:trPr>
        <w:tc>
          <w:tcPr>
            <w:tcW w:w="1725" w:type="dxa"/>
            <w:shd w:val="clear" w:color="auto" w:fill="FFFFFF" w:themeFill="background1"/>
            <w:tcMar>
              <w:top w:w="80" w:type="dxa"/>
              <w:left w:w="80" w:type="dxa"/>
              <w:bottom w:w="80" w:type="dxa"/>
              <w:right w:w="80" w:type="dxa"/>
            </w:tcMar>
          </w:tcPr>
          <w:p w14:paraId="3F0C7C7A"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Q3</w:t>
            </w:r>
            <w:r w:rsidRPr="00567487">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5D103C8B"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Appropriate research design. A campus-based focus-group design fits the exploratory question.</w:t>
            </w:r>
          </w:p>
        </w:tc>
      </w:tr>
      <w:tr w:rsidR="007E77F1" w:rsidRPr="000A2871" w14:paraId="475E0404" w14:textId="77777777" w:rsidTr="001A2D87">
        <w:trPr>
          <w:trHeight w:val="780"/>
        </w:trPr>
        <w:tc>
          <w:tcPr>
            <w:tcW w:w="1725" w:type="dxa"/>
            <w:shd w:val="clear" w:color="auto" w:fill="FFFFFF" w:themeFill="background1"/>
            <w:tcMar>
              <w:top w:w="80" w:type="dxa"/>
              <w:left w:w="80" w:type="dxa"/>
              <w:bottom w:w="80" w:type="dxa"/>
              <w:right w:w="80" w:type="dxa"/>
            </w:tcMar>
          </w:tcPr>
          <w:p w14:paraId="4C037B12"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Q4</w:t>
            </w:r>
            <w:r w:rsidRPr="00567487">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3C955155"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Appropriate recruitment. Recruitment across campuses and disciplines is explained; volunteers and mixed student groups limit transferability.</w:t>
            </w:r>
          </w:p>
        </w:tc>
      </w:tr>
      <w:tr w:rsidR="007E77F1" w:rsidRPr="000A2871" w14:paraId="6BC44F14" w14:textId="77777777" w:rsidTr="001A2D87">
        <w:trPr>
          <w:trHeight w:val="780"/>
        </w:trPr>
        <w:tc>
          <w:tcPr>
            <w:tcW w:w="1725" w:type="dxa"/>
            <w:shd w:val="clear" w:color="auto" w:fill="FFFFFF" w:themeFill="background1"/>
            <w:tcMar>
              <w:top w:w="80" w:type="dxa"/>
              <w:left w:w="80" w:type="dxa"/>
              <w:bottom w:w="80" w:type="dxa"/>
              <w:right w:w="80" w:type="dxa"/>
            </w:tcMar>
          </w:tcPr>
          <w:p w14:paraId="7CCCFAFF"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Q5</w:t>
            </w:r>
            <w:r w:rsidRPr="00567487">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5EC5F7E7"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Suitable data collection. A piloted guide, co-facilitator notes, recordings and transcription are described.</w:t>
            </w:r>
          </w:p>
        </w:tc>
      </w:tr>
      <w:tr w:rsidR="007E77F1" w:rsidRPr="000A2871" w14:paraId="053E360A" w14:textId="77777777" w:rsidTr="001A2D87">
        <w:trPr>
          <w:trHeight w:val="1080"/>
        </w:trPr>
        <w:tc>
          <w:tcPr>
            <w:tcW w:w="1725" w:type="dxa"/>
            <w:shd w:val="clear" w:color="auto" w:fill="FFFFFF" w:themeFill="background1"/>
            <w:tcMar>
              <w:top w:w="80" w:type="dxa"/>
              <w:left w:w="80" w:type="dxa"/>
              <w:bottom w:w="80" w:type="dxa"/>
              <w:right w:w="80" w:type="dxa"/>
            </w:tcMar>
          </w:tcPr>
          <w:p w14:paraId="651A9D43"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Q6</w:t>
            </w:r>
            <w:r w:rsidRPr="00567487">
              <w:rPr>
                <w:rFonts w:ascii="Arial" w:hAnsi="Arial" w:cs="Arial"/>
                <w:sz w:val="20"/>
                <w:szCs w:val="20"/>
              </w:rPr>
              <w:br/>
              <w:t xml:space="preserve"> Cannot tell</w:t>
            </w:r>
          </w:p>
        </w:tc>
        <w:tc>
          <w:tcPr>
            <w:tcW w:w="7170" w:type="dxa"/>
            <w:shd w:val="clear" w:color="auto" w:fill="FFFFFF" w:themeFill="background1"/>
            <w:tcMar>
              <w:top w:w="80" w:type="dxa"/>
              <w:left w:w="80" w:type="dxa"/>
              <w:bottom w:w="80" w:type="dxa"/>
              <w:right w:w="80" w:type="dxa"/>
            </w:tcMar>
          </w:tcPr>
          <w:p w14:paraId="490FFBDD"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Researcher–participant relationship and reflexivity. Researcher training is reported, but assumptions and researcher–participant influence are not sufficiently examined.</w:t>
            </w:r>
          </w:p>
        </w:tc>
      </w:tr>
      <w:tr w:rsidR="007E77F1" w:rsidRPr="000A2871" w14:paraId="4EA75793" w14:textId="77777777" w:rsidTr="001A2D87">
        <w:trPr>
          <w:trHeight w:val="780"/>
        </w:trPr>
        <w:tc>
          <w:tcPr>
            <w:tcW w:w="1725" w:type="dxa"/>
            <w:shd w:val="clear" w:color="auto" w:fill="FFFFFF" w:themeFill="background1"/>
            <w:tcMar>
              <w:top w:w="80" w:type="dxa"/>
              <w:left w:w="80" w:type="dxa"/>
              <w:bottom w:w="80" w:type="dxa"/>
              <w:right w:w="80" w:type="dxa"/>
            </w:tcMar>
          </w:tcPr>
          <w:p w14:paraId="3EABCE90"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lastRenderedPageBreak/>
              <w:t>Q7</w:t>
            </w:r>
            <w:r w:rsidRPr="00567487">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6020353D"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Ethical considerations. Ulster ethics approval, consent, withdrawal and secure data handling are reported.</w:t>
            </w:r>
          </w:p>
        </w:tc>
      </w:tr>
      <w:tr w:rsidR="007E77F1" w:rsidRPr="000A2871" w14:paraId="2F70391C" w14:textId="77777777" w:rsidTr="001A2D87">
        <w:trPr>
          <w:trHeight w:val="1080"/>
        </w:trPr>
        <w:tc>
          <w:tcPr>
            <w:tcW w:w="1725" w:type="dxa"/>
            <w:shd w:val="clear" w:color="auto" w:fill="FFFFFF" w:themeFill="background1"/>
            <w:tcMar>
              <w:top w:w="80" w:type="dxa"/>
              <w:left w:w="80" w:type="dxa"/>
              <w:bottom w:w="80" w:type="dxa"/>
              <w:right w:w="80" w:type="dxa"/>
            </w:tcMar>
          </w:tcPr>
          <w:p w14:paraId="04D78A42"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Q8</w:t>
            </w:r>
            <w:r w:rsidRPr="00567487">
              <w:rPr>
                <w:rFonts w:ascii="Arial" w:hAnsi="Arial" w:cs="Arial"/>
                <w:sz w:val="20"/>
                <w:szCs w:val="20"/>
              </w:rPr>
              <w:br/>
              <w:t xml:space="preserve"> Cannot tell</w:t>
            </w:r>
          </w:p>
        </w:tc>
        <w:tc>
          <w:tcPr>
            <w:tcW w:w="7170" w:type="dxa"/>
            <w:shd w:val="clear" w:color="auto" w:fill="FFFFFF" w:themeFill="background1"/>
            <w:tcMar>
              <w:top w:w="80" w:type="dxa"/>
              <w:left w:w="80" w:type="dxa"/>
              <w:bottom w:w="80" w:type="dxa"/>
              <w:right w:w="80" w:type="dxa"/>
            </w:tcMar>
          </w:tcPr>
          <w:p w14:paraId="5BDFB003"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Rigorous analysis. Thematic stages are outlined, but a three-participant threshold may suppress minority views and the agreement statistic is insufficiently explained.</w:t>
            </w:r>
          </w:p>
        </w:tc>
      </w:tr>
      <w:tr w:rsidR="007E77F1" w:rsidRPr="000A2871" w14:paraId="2AEE620F" w14:textId="77777777" w:rsidTr="001A2D87">
        <w:trPr>
          <w:trHeight w:val="780"/>
        </w:trPr>
        <w:tc>
          <w:tcPr>
            <w:tcW w:w="1725" w:type="dxa"/>
            <w:shd w:val="clear" w:color="auto" w:fill="FFFFFF" w:themeFill="background1"/>
            <w:tcMar>
              <w:top w:w="80" w:type="dxa"/>
              <w:left w:w="80" w:type="dxa"/>
              <w:bottom w:w="80" w:type="dxa"/>
              <w:right w:w="80" w:type="dxa"/>
            </w:tcMar>
          </w:tcPr>
          <w:p w14:paraId="7F4BAEBA"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Q9</w:t>
            </w:r>
            <w:r w:rsidRPr="00567487">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157B0152"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Clear findings. Themes are clear and illustrated; inconsistent demographic reporting requires caution.</w:t>
            </w:r>
          </w:p>
        </w:tc>
      </w:tr>
      <w:tr w:rsidR="007E77F1" w:rsidRPr="000A2871" w14:paraId="5066B404" w14:textId="77777777" w:rsidTr="001A2D87">
        <w:trPr>
          <w:trHeight w:val="780"/>
        </w:trPr>
        <w:tc>
          <w:tcPr>
            <w:tcW w:w="1725" w:type="dxa"/>
            <w:shd w:val="clear" w:color="auto" w:fill="FFFFFF" w:themeFill="background1"/>
            <w:tcMar>
              <w:top w:w="80" w:type="dxa"/>
              <w:left w:w="80" w:type="dxa"/>
              <w:bottom w:w="80" w:type="dxa"/>
              <w:right w:w="80" w:type="dxa"/>
            </w:tcMar>
          </w:tcPr>
          <w:p w14:paraId="1634A6EE"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Q10</w:t>
            </w:r>
            <w:r w:rsidRPr="00567487">
              <w:rPr>
                <w:rFonts w:ascii="Arial" w:hAnsi="Arial" w:cs="Arial"/>
                <w:sz w:val="20"/>
                <w:szCs w:val="20"/>
              </w:rPr>
              <w:br/>
              <w:t xml:space="preserve"> Yes</w:t>
            </w:r>
          </w:p>
        </w:tc>
        <w:tc>
          <w:tcPr>
            <w:tcW w:w="7170" w:type="dxa"/>
            <w:shd w:val="clear" w:color="auto" w:fill="FFFFFF" w:themeFill="background1"/>
            <w:tcMar>
              <w:top w:w="80" w:type="dxa"/>
              <w:left w:w="80" w:type="dxa"/>
              <w:bottom w:w="80" w:type="dxa"/>
              <w:right w:w="80" w:type="dxa"/>
            </w:tcMar>
          </w:tcPr>
          <w:p w14:paraId="7CF4A4E4" w14:textId="77777777" w:rsidR="007E77F1" w:rsidRPr="00567487" w:rsidRDefault="007E77F1" w:rsidP="000A2871">
            <w:pPr>
              <w:spacing w:line="360" w:lineRule="auto"/>
              <w:rPr>
                <w:rFonts w:ascii="Arial" w:hAnsi="Arial" w:cs="Arial"/>
                <w:sz w:val="20"/>
                <w:szCs w:val="20"/>
              </w:rPr>
            </w:pPr>
            <w:r w:rsidRPr="00567487">
              <w:rPr>
                <w:rFonts w:ascii="Arial" w:hAnsi="Arial" w:cs="Arial"/>
                <w:sz w:val="20"/>
                <w:szCs w:val="20"/>
              </w:rPr>
              <w:t>Value of the research. The university food-environment insights are useful context, but exact target-age findings cannot be extracted.</w:t>
            </w:r>
          </w:p>
        </w:tc>
      </w:tr>
    </w:tbl>
    <w:p w14:paraId="0F14DA98"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2E12A43B" w14:textId="77777777" w:rsidR="007E77F1" w:rsidRPr="000A2871" w:rsidRDefault="007E77F1" w:rsidP="000A2871">
      <w:pPr>
        <w:spacing w:after="120" w:line="360" w:lineRule="auto"/>
        <w:rPr>
          <w:rFonts w:ascii="Arial" w:hAnsi="Arial" w:cs="Arial"/>
        </w:rPr>
      </w:pPr>
      <w:r w:rsidRPr="000A2871">
        <w:rPr>
          <w:rFonts w:ascii="Arial" w:hAnsi="Arial" w:cs="Arial"/>
        </w:rPr>
        <w:t>Source locations: Methods 2.1–2.4; Results 3.1 and 3.2; participant tables and quotation labels.</w:t>
      </w:r>
    </w:p>
    <w:p w14:paraId="1C3328F4" w14:textId="77777777" w:rsidR="007E77F1" w:rsidRPr="000A2871" w:rsidRDefault="007E77F1" w:rsidP="000A2871">
      <w:pPr>
        <w:spacing w:after="120" w:line="360" w:lineRule="auto"/>
        <w:rPr>
          <w:rFonts w:ascii="Arial" w:hAnsi="Arial" w:cs="Arial"/>
        </w:rPr>
      </w:pPr>
      <w:r w:rsidRPr="000A2871">
        <w:rPr>
          <w:rFonts w:ascii="Arial" w:hAnsi="Arial" w:cs="Arial"/>
        </w:rPr>
        <w:t>https://doi.org/10.1016/j.ijer.2022.102133</w:t>
      </w:r>
    </w:p>
    <w:p w14:paraId="0245608A" w14:textId="77777777" w:rsidR="00741A4F" w:rsidRDefault="00741A4F">
      <w:pPr>
        <w:rPr>
          <w:rFonts w:ascii="Arial" w:eastAsia="Times New Roman" w:hAnsi="Arial" w:cs="Arial"/>
          <w:b/>
          <w:bCs/>
          <w:color w:val="000000"/>
          <w:sz w:val="46"/>
          <w:szCs w:val="46"/>
        </w:rPr>
      </w:pPr>
      <w:bookmarkStart w:id="238" w:name="_nritlysuk36b" w:colFirst="0" w:colLast="0"/>
      <w:bookmarkEnd w:id="238"/>
      <w:r>
        <w:rPr>
          <w:rFonts w:ascii="Arial" w:hAnsi="Arial" w:cs="Arial"/>
          <w:bCs/>
          <w:sz w:val="46"/>
          <w:szCs w:val="46"/>
        </w:rPr>
        <w:br w:type="page"/>
      </w:r>
    </w:p>
    <w:p w14:paraId="71B6D0FC" w14:textId="08B94323" w:rsidR="007E77F1" w:rsidRPr="000A2871" w:rsidRDefault="007E77F1" w:rsidP="29B0219F">
      <w:pPr>
        <w:pStyle w:val="Heading1"/>
        <w:keepNext w:val="0"/>
        <w:keepLines w:val="0"/>
        <w:spacing w:before="480" w:line="360" w:lineRule="auto"/>
        <w:jc w:val="left"/>
        <w:rPr>
          <w:rFonts w:ascii="Arial" w:hAnsi="Arial" w:cs="Arial"/>
          <w:b w:val="0"/>
          <w:bCs/>
          <w:sz w:val="46"/>
          <w:szCs w:val="46"/>
        </w:rPr>
      </w:pPr>
      <w:bookmarkStart w:id="239" w:name="_Toc242459628"/>
      <w:r w:rsidRPr="000A2871">
        <w:rPr>
          <w:rFonts w:ascii="Arial" w:hAnsi="Arial" w:cs="Arial"/>
          <w:bCs/>
          <w:sz w:val="46"/>
          <w:szCs w:val="46"/>
        </w:rPr>
        <w:lastRenderedPageBreak/>
        <w:t>Appendix E</w:t>
      </w:r>
      <w:r w:rsidR="00E02AEB">
        <w:rPr>
          <w:rFonts w:ascii="Arial" w:hAnsi="Arial" w:cs="Arial"/>
          <w:bCs/>
          <w:sz w:val="46"/>
          <w:szCs w:val="46"/>
        </w:rPr>
        <w:t>:</w:t>
      </w:r>
      <w:r w:rsidRPr="000A2871">
        <w:rPr>
          <w:rFonts w:ascii="Arial" w:hAnsi="Arial" w:cs="Arial"/>
          <w:bCs/>
          <w:sz w:val="46"/>
          <w:szCs w:val="46"/>
        </w:rPr>
        <w:t xml:space="preserve"> Chapter word counts</w:t>
      </w:r>
      <w:bookmarkEnd w:id="239"/>
    </w:p>
    <w:p w14:paraId="0D7C442B" w14:textId="77777777" w:rsidR="007E77F1" w:rsidRPr="000A2871" w:rsidRDefault="007E77F1" w:rsidP="000A2871">
      <w:pPr>
        <w:spacing w:after="120" w:line="360" w:lineRule="auto"/>
        <w:rPr>
          <w:rFonts w:ascii="Arial" w:hAnsi="Arial" w:cs="Arial"/>
        </w:rPr>
      </w:pPr>
      <w:r w:rsidRPr="000A2871">
        <w:rPr>
          <w:rFonts w:ascii="Arial" w:hAnsi="Arial" w:cs="Arial"/>
        </w:rPr>
        <w:t>The counts below cover chapter prose, including chapter titles, subsection headings and in-text citations. Tables, table captions, diagrams, figure captions and figure notes are excluded, together with front matter, appendices and the reference list. Counts use whitespace-separated words. Each chapter meets its stated allocation under this convention; word-processing applications may treat a small number of compound terms differently.</w:t>
      </w:r>
    </w:p>
    <w:tbl>
      <w:tblPr>
        <w:tblW w:w="7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305"/>
        <w:gridCol w:w="1485"/>
        <w:gridCol w:w="1545"/>
      </w:tblGrid>
      <w:tr w:rsidR="00741A4F" w:rsidRPr="000A2871" w14:paraId="638DCC5E" w14:textId="77777777" w:rsidTr="001A2D87">
        <w:trPr>
          <w:trHeight w:val="495"/>
          <w:jc w:val="center"/>
        </w:trPr>
        <w:tc>
          <w:tcPr>
            <w:tcW w:w="4305" w:type="dxa"/>
            <w:shd w:val="clear" w:color="auto" w:fill="FFFFFF" w:themeFill="background1"/>
            <w:tcMar>
              <w:top w:w="80" w:type="dxa"/>
              <w:left w:w="80" w:type="dxa"/>
              <w:bottom w:w="80" w:type="dxa"/>
              <w:right w:w="80" w:type="dxa"/>
            </w:tcMar>
          </w:tcPr>
          <w:p w14:paraId="734FD965" w14:textId="77777777" w:rsidR="00741A4F" w:rsidRPr="00F53C2A" w:rsidRDefault="00741A4F" w:rsidP="001A2D87">
            <w:pPr>
              <w:spacing w:line="360" w:lineRule="auto"/>
              <w:jc w:val="center"/>
              <w:rPr>
                <w:rFonts w:ascii="Arial" w:hAnsi="Arial" w:cs="Arial"/>
                <w:b/>
                <w:bCs/>
                <w:sz w:val="21"/>
                <w:szCs w:val="21"/>
              </w:rPr>
            </w:pPr>
            <w:r w:rsidRPr="00F53C2A">
              <w:rPr>
                <w:rFonts w:ascii="Arial" w:hAnsi="Arial" w:cs="Arial"/>
                <w:b/>
                <w:bCs/>
                <w:sz w:val="21"/>
                <w:szCs w:val="21"/>
              </w:rPr>
              <w:t>Chapter</w:t>
            </w:r>
          </w:p>
        </w:tc>
        <w:tc>
          <w:tcPr>
            <w:tcW w:w="1485" w:type="dxa"/>
            <w:shd w:val="clear" w:color="auto" w:fill="FFFFFF" w:themeFill="background1"/>
            <w:tcMar>
              <w:top w:w="80" w:type="dxa"/>
              <w:left w:w="80" w:type="dxa"/>
              <w:bottom w:w="80" w:type="dxa"/>
              <w:right w:w="80" w:type="dxa"/>
            </w:tcMar>
          </w:tcPr>
          <w:p w14:paraId="5953E53C" w14:textId="77777777" w:rsidR="00741A4F" w:rsidRPr="00F53C2A" w:rsidRDefault="00741A4F" w:rsidP="001A2D87">
            <w:pPr>
              <w:spacing w:line="360" w:lineRule="auto"/>
              <w:jc w:val="center"/>
              <w:rPr>
                <w:rFonts w:ascii="Arial" w:hAnsi="Arial" w:cs="Arial"/>
                <w:b/>
                <w:bCs/>
                <w:sz w:val="21"/>
                <w:szCs w:val="21"/>
              </w:rPr>
            </w:pPr>
            <w:r w:rsidRPr="00F53C2A">
              <w:rPr>
                <w:rFonts w:ascii="Arial" w:hAnsi="Arial" w:cs="Arial"/>
                <w:b/>
                <w:bCs/>
                <w:sz w:val="21"/>
                <w:szCs w:val="21"/>
              </w:rPr>
              <w:t>Prose words</w:t>
            </w:r>
          </w:p>
        </w:tc>
        <w:tc>
          <w:tcPr>
            <w:tcW w:w="1545" w:type="dxa"/>
            <w:shd w:val="clear" w:color="auto" w:fill="FFFFFF" w:themeFill="background1"/>
            <w:tcMar>
              <w:top w:w="80" w:type="dxa"/>
              <w:left w:w="80" w:type="dxa"/>
              <w:bottom w:w="80" w:type="dxa"/>
              <w:right w:w="80" w:type="dxa"/>
            </w:tcMar>
          </w:tcPr>
          <w:p w14:paraId="028E1E38" w14:textId="77777777" w:rsidR="00741A4F" w:rsidRPr="00F53C2A" w:rsidRDefault="00741A4F" w:rsidP="001A2D87">
            <w:pPr>
              <w:spacing w:line="360" w:lineRule="auto"/>
              <w:jc w:val="center"/>
              <w:rPr>
                <w:rFonts w:ascii="Arial" w:hAnsi="Arial" w:cs="Arial"/>
                <w:b/>
                <w:bCs/>
                <w:sz w:val="21"/>
                <w:szCs w:val="21"/>
              </w:rPr>
            </w:pPr>
            <w:r w:rsidRPr="00F53C2A">
              <w:rPr>
                <w:rFonts w:ascii="Arial" w:hAnsi="Arial" w:cs="Arial"/>
                <w:b/>
                <w:bCs/>
                <w:sz w:val="21"/>
                <w:szCs w:val="21"/>
              </w:rPr>
              <w:t>Allocation</w:t>
            </w:r>
          </w:p>
        </w:tc>
      </w:tr>
      <w:tr w:rsidR="00741A4F" w:rsidRPr="000A2871" w14:paraId="354616FE" w14:textId="77777777" w:rsidTr="001A2D87">
        <w:trPr>
          <w:trHeight w:val="495"/>
          <w:jc w:val="center"/>
        </w:trPr>
        <w:tc>
          <w:tcPr>
            <w:tcW w:w="4305" w:type="dxa"/>
            <w:shd w:val="clear" w:color="auto" w:fill="FFFFFF" w:themeFill="background1"/>
            <w:tcMar>
              <w:top w:w="80" w:type="dxa"/>
              <w:left w:w="80" w:type="dxa"/>
              <w:bottom w:w="80" w:type="dxa"/>
              <w:right w:w="80" w:type="dxa"/>
            </w:tcMar>
          </w:tcPr>
          <w:p w14:paraId="51E6102F" w14:textId="77777777" w:rsidR="00741A4F" w:rsidRPr="00F53C2A" w:rsidRDefault="00741A4F" w:rsidP="001A2D87">
            <w:pPr>
              <w:spacing w:line="360" w:lineRule="auto"/>
              <w:jc w:val="center"/>
              <w:rPr>
                <w:rFonts w:ascii="Arial" w:hAnsi="Arial" w:cs="Arial"/>
                <w:sz w:val="21"/>
                <w:szCs w:val="21"/>
              </w:rPr>
            </w:pPr>
            <w:r w:rsidRPr="00F53C2A">
              <w:rPr>
                <w:rFonts w:ascii="Arial" w:hAnsi="Arial" w:cs="Arial"/>
                <w:sz w:val="21"/>
                <w:szCs w:val="21"/>
              </w:rPr>
              <w:t>1 Introduction</w:t>
            </w:r>
          </w:p>
        </w:tc>
        <w:tc>
          <w:tcPr>
            <w:tcW w:w="1485" w:type="dxa"/>
            <w:shd w:val="clear" w:color="auto" w:fill="FFFFFF" w:themeFill="background1"/>
            <w:tcMar>
              <w:top w:w="80" w:type="dxa"/>
              <w:left w:w="80" w:type="dxa"/>
              <w:bottom w:w="80" w:type="dxa"/>
              <w:right w:w="80" w:type="dxa"/>
            </w:tcMar>
          </w:tcPr>
          <w:p w14:paraId="0207B358" w14:textId="77777777" w:rsidR="00741A4F" w:rsidRPr="00F53C2A" w:rsidRDefault="00741A4F" w:rsidP="001A2D87">
            <w:pPr>
              <w:spacing w:line="360" w:lineRule="auto"/>
              <w:jc w:val="center"/>
              <w:rPr>
                <w:rFonts w:ascii="Arial" w:hAnsi="Arial" w:cs="Arial"/>
                <w:sz w:val="21"/>
                <w:szCs w:val="21"/>
              </w:rPr>
            </w:pPr>
            <w:r w:rsidRPr="00F53C2A">
              <w:rPr>
                <w:rFonts w:ascii="Arial" w:hAnsi="Arial" w:cs="Arial"/>
                <w:sz w:val="21"/>
                <w:szCs w:val="21"/>
              </w:rPr>
              <w:t>1,500</w:t>
            </w:r>
          </w:p>
        </w:tc>
        <w:tc>
          <w:tcPr>
            <w:tcW w:w="1545" w:type="dxa"/>
            <w:shd w:val="clear" w:color="auto" w:fill="FFFFFF" w:themeFill="background1"/>
            <w:tcMar>
              <w:top w:w="80" w:type="dxa"/>
              <w:left w:w="80" w:type="dxa"/>
              <w:bottom w:w="80" w:type="dxa"/>
              <w:right w:w="80" w:type="dxa"/>
            </w:tcMar>
          </w:tcPr>
          <w:p w14:paraId="7C77E964" w14:textId="77777777" w:rsidR="00741A4F" w:rsidRPr="00F53C2A" w:rsidRDefault="00741A4F" w:rsidP="001A2D87">
            <w:pPr>
              <w:spacing w:line="360" w:lineRule="auto"/>
              <w:jc w:val="center"/>
              <w:rPr>
                <w:rFonts w:ascii="Arial" w:hAnsi="Arial" w:cs="Arial"/>
                <w:sz w:val="21"/>
                <w:szCs w:val="21"/>
              </w:rPr>
            </w:pPr>
            <w:r w:rsidRPr="00F53C2A">
              <w:rPr>
                <w:rFonts w:ascii="Arial" w:hAnsi="Arial" w:cs="Arial"/>
                <w:sz w:val="21"/>
                <w:szCs w:val="21"/>
              </w:rPr>
              <w:t>1,500</w:t>
            </w:r>
          </w:p>
        </w:tc>
      </w:tr>
      <w:tr w:rsidR="00741A4F" w:rsidRPr="000A2871" w14:paraId="0C4CA119" w14:textId="77777777" w:rsidTr="001A2D87">
        <w:trPr>
          <w:trHeight w:val="495"/>
          <w:jc w:val="center"/>
        </w:trPr>
        <w:tc>
          <w:tcPr>
            <w:tcW w:w="4305" w:type="dxa"/>
            <w:shd w:val="clear" w:color="auto" w:fill="FFFFFF" w:themeFill="background1"/>
            <w:tcMar>
              <w:top w:w="80" w:type="dxa"/>
              <w:left w:w="80" w:type="dxa"/>
              <w:bottom w:w="80" w:type="dxa"/>
              <w:right w:w="80" w:type="dxa"/>
            </w:tcMar>
          </w:tcPr>
          <w:p w14:paraId="5CECD527" w14:textId="77777777" w:rsidR="00741A4F" w:rsidRPr="00F53C2A" w:rsidRDefault="00741A4F" w:rsidP="001A2D87">
            <w:pPr>
              <w:spacing w:line="360" w:lineRule="auto"/>
              <w:jc w:val="center"/>
              <w:rPr>
                <w:rFonts w:ascii="Arial" w:hAnsi="Arial" w:cs="Arial"/>
                <w:sz w:val="21"/>
                <w:szCs w:val="21"/>
              </w:rPr>
            </w:pPr>
            <w:r w:rsidRPr="00F53C2A">
              <w:rPr>
                <w:rFonts w:ascii="Arial" w:hAnsi="Arial" w:cs="Arial"/>
                <w:sz w:val="21"/>
                <w:szCs w:val="21"/>
              </w:rPr>
              <w:t>2 Literature review</w:t>
            </w:r>
          </w:p>
        </w:tc>
        <w:tc>
          <w:tcPr>
            <w:tcW w:w="1485" w:type="dxa"/>
            <w:shd w:val="clear" w:color="auto" w:fill="FFFFFF" w:themeFill="background1"/>
            <w:tcMar>
              <w:top w:w="80" w:type="dxa"/>
              <w:left w:w="80" w:type="dxa"/>
              <w:bottom w:w="80" w:type="dxa"/>
              <w:right w:w="80" w:type="dxa"/>
            </w:tcMar>
          </w:tcPr>
          <w:p w14:paraId="04BA32EE" w14:textId="77777777" w:rsidR="00741A4F" w:rsidRPr="00F53C2A" w:rsidRDefault="00741A4F" w:rsidP="001A2D87">
            <w:pPr>
              <w:spacing w:line="360" w:lineRule="auto"/>
              <w:jc w:val="center"/>
              <w:rPr>
                <w:rFonts w:ascii="Arial" w:hAnsi="Arial" w:cs="Arial"/>
                <w:sz w:val="21"/>
                <w:szCs w:val="21"/>
              </w:rPr>
            </w:pPr>
            <w:r w:rsidRPr="00F53C2A">
              <w:rPr>
                <w:rFonts w:ascii="Arial" w:hAnsi="Arial" w:cs="Arial"/>
                <w:sz w:val="21"/>
                <w:szCs w:val="21"/>
              </w:rPr>
              <w:t>4,500</w:t>
            </w:r>
          </w:p>
        </w:tc>
        <w:tc>
          <w:tcPr>
            <w:tcW w:w="1545" w:type="dxa"/>
            <w:shd w:val="clear" w:color="auto" w:fill="FFFFFF" w:themeFill="background1"/>
            <w:tcMar>
              <w:top w:w="80" w:type="dxa"/>
              <w:left w:w="80" w:type="dxa"/>
              <w:bottom w:w="80" w:type="dxa"/>
              <w:right w:w="80" w:type="dxa"/>
            </w:tcMar>
          </w:tcPr>
          <w:p w14:paraId="76408E4D" w14:textId="77777777" w:rsidR="00741A4F" w:rsidRPr="00F53C2A" w:rsidRDefault="00741A4F" w:rsidP="001A2D87">
            <w:pPr>
              <w:spacing w:line="360" w:lineRule="auto"/>
              <w:jc w:val="center"/>
              <w:rPr>
                <w:rFonts w:ascii="Arial" w:hAnsi="Arial" w:cs="Arial"/>
                <w:sz w:val="21"/>
                <w:szCs w:val="21"/>
              </w:rPr>
            </w:pPr>
            <w:r w:rsidRPr="00F53C2A">
              <w:rPr>
                <w:rFonts w:ascii="Arial" w:hAnsi="Arial" w:cs="Arial"/>
                <w:sz w:val="21"/>
                <w:szCs w:val="21"/>
              </w:rPr>
              <w:t>4,500</w:t>
            </w:r>
          </w:p>
        </w:tc>
      </w:tr>
      <w:tr w:rsidR="00741A4F" w:rsidRPr="000A2871" w14:paraId="020F7B5C" w14:textId="77777777" w:rsidTr="001A2D87">
        <w:trPr>
          <w:trHeight w:val="495"/>
          <w:jc w:val="center"/>
        </w:trPr>
        <w:tc>
          <w:tcPr>
            <w:tcW w:w="4305" w:type="dxa"/>
            <w:shd w:val="clear" w:color="auto" w:fill="FFFFFF" w:themeFill="background1"/>
            <w:tcMar>
              <w:top w:w="80" w:type="dxa"/>
              <w:left w:w="80" w:type="dxa"/>
              <w:bottom w:w="80" w:type="dxa"/>
              <w:right w:w="80" w:type="dxa"/>
            </w:tcMar>
          </w:tcPr>
          <w:p w14:paraId="72CCE464" w14:textId="77777777" w:rsidR="00741A4F" w:rsidRPr="00F53C2A" w:rsidRDefault="00741A4F" w:rsidP="001A2D87">
            <w:pPr>
              <w:spacing w:line="360" w:lineRule="auto"/>
              <w:jc w:val="center"/>
              <w:rPr>
                <w:rFonts w:ascii="Arial" w:hAnsi="Arial" w:cs="Arial"/>
                <w:sz w:val="21"/>
                <w:szCs w:val="21"/>
              </w:rPr>
            </w:pPr>
            <w:r w:rsidRPr="00F53C2A">
              <w:rPr>
                <w:rFonts w:ascii="Arial" w:hAnsi="Arial" w:cs="Arial"/>
                <w:sz w:val="21"/>
                <w:szCs w:val="21"/>
              </w:rPr>
              <w:t>3 Research methodology</w:t>
            </w:r>
          </w:p>
        </w:tc>
        <w:tc>
          <w:tcPr>
            <w:tcW w:w="1485" w:type="dxa"/>
            <w:shd w:val="clear" w:color="auto" w:fill="FFFFFF" w:themeFill="background1"/>
            <w:tcMar>
              <w:top w:w="80" w:type="dxa"/>
              <w:left w:w="80" w:type="dxa"/>
              <w:bottom w:w="80" w:type="dxa"/>
              <w:right w:w="80" w:type="dxa"/>
            </w:tcMar>
          </w:tcPr>
          <w:p w14:paraId="3962C5E4" w14:textId="77777777" w:rsidR="00741A4F" w:rsidRPr="00F53C2A" w:rsidRDefault="00741A4F" w:rsidP="001A2D87">
            <w:pPr>
              <w:spacing w:line="360" w:lineRule="auto"/>
              <w:jc w:val="center"/>
              <w:rPr>
                <w:rFonts w:ascii="Arial" w:hAnsi="Arial" w:cs="Arial"/>
                <w:sz w:val="21"/>
                <w:szCs w:val="21"/>
              </w:rPr>
            </w:pPr>
            <w:r w:rsidRPr="00F53C2A">
              <w:rPr>
                <w:rFonts w:ascii="Arial" w:hAnsi="Arial" w:cs="Arial"/>
                <w:sz w:val="21"/>
                <w:szCs w:val="21"/>
              </w:rPr>
              <w:t>2,500</w:t>
            </w:r>
          </w:p>
        </w:tc>
        <w:tc>
          <w:tcPr>
            <w:tcW w:w="1545" w:type="dxa"/>
            <w:shd w:val="clear" w:color="auto" w:fill="FFFFFF" w:themeFill="background1"/>
            <w:tcMar>
              <w:top w:w="80" w:type="dxa"/>
              <w:left w:w="80" w:type="dxa"/>
              <w:bottom w:w="80" w:type="dxa"/>
              <w:right w:w="80" w:type="dxa"/>
            </w:tcMar>
          </w:tcPr>
          <w:p w14:paraId="1D4E9585" w14:textId="77777777" w:rsidR="00741A4F" w:rsidRPr="00F53C2A" w:rsidRDefault="00741A4F" w:rsidP="001A2D87">
            <w:pPr>
              <w:spacing w:line="360" w:lineRule="auto"/>
              <w:jc w:val="center"/>
              <w:rPr>
                <w:rFonts w:ascii="Arial" w:hAnsi="Arial" w:cs="Arial"/>
                <w:sz w:val="21"/>
                <w:szCs w:val="21"/>
              </w:rPr>
            </w:pPr>
            <w:r w:rsidRPr="00F53C2A">
              <w:rPr>
                <w:rFonts w:ascii="Arial" w:hAnsi="Arial" w:cs="Arial"/>
                <w:sz w:val="21"/>
                <w:szCs w:val="21"/>
              </w:rPr>
              <w:t>2,500</w:t>
            </w:r>
          </w:p>
        </w:tc>
      </w:tr>
      <w:tr w:rsidR="00741A4F" w:rsidRPr="000A2871" w14:paraId="6904B363" w14:textId="77777777" w:rsidTr="001A2D87">
        <w:trPr>
          <w:trHeight w:val="495"/>
          <w:jc w:val="center"/>
        </w:trPr>
        <w:tc>
          <w:tcPr>
            <w:tcW w:w="4305" w:type="dxa"/>
            <w:shd w:val="clear" w:color="auto" w:fill="FFFFFF" w:themeFill="background1"/>
            <w:tcMar>
              <w:top w:w="80" w:type="dxa"/>
              <w:left w:w="80" w:type="dxa"/>
              <w:bottom w:w="80" w:type="dxa"/>
              <w:right w:w="80" w:type="dxa"/>
            </w:tcMar>
          </w:tcPr>
          <w:p w14:paraId="26FC1F9C" w14:textId="77777777" w:rsidR="00741A4F" w:rsidRPr="00F53C2A" w:rsidRDefault="00741A4F" w:rsidP="001A2D87">
            <w:pPr>
              <w:spacing w:line="360" w:lineRule="auto"/>
              <w:jc w:val="center"/>
              <w:rPr>
                <w:rFonts w:ascii="Arial" w:hAnsi="Arial" w:cs="Arial"/>
                <w:sz w:val="21"/>
                <w:szCs w:val="21"/>
              </w:rPr>
            </w:pPr>
            <w:r w:rsidRPr="00F53C2A">
              <w:rPr>
                <w:rFonts w:ascii="Arial" w:hAnsi="Arial" w:cs="Arial"/>
                <w:sz w:val="21"/>
                <w:szCs w:val="21"/>
              </w:rPr>
              <w:t>4 Results</w:t>
            </w:r>
          </w:p>
        </w:tc>
        <w:tc>
          <w:tcPr>
            <w:tcW w:w="1485" w:type="dxa"/>
            <w:shd w:val="clear" w:color="auto" w:fill="FFFFFF" w:themeFill="background1"/>
            <w:tcMar>
              <w:top w:w="80" w:type="dxa"/>
              <w:left w:w="80" w:type="dxa"/>
              <w:bottom w:w="80" w:type="dxa"/>
              <w:right w:w="80" w:type="dxa"/>
            </w:tcMar>
          </w:tcPr>
          <w:p w14:paraId="31557D71" w14:textId="77777777" w:rsidR="00741A4F" w:rsidRPr="00F53C2A" w:rsidRDefault="00741A4F" w:rsidP="001A2D87">
            <w:pPr>
              <w:spacing w:line="360" w:lineRule="auto"/>
              <w:jc w:val="center"/>
              <w:rPr>
                <w:rFonts w:ascii="Arial" w:hAnsi="Arial" w:cs="Arial"/>
                <w:sz w:val="21"/>
                <w:szCs w:val="21"/>
              </w:rPr>
            </w:pPr>
            <w:r w:rsidRPr="00F53C2A">
              <w:rPr>
                <w:rFonts w:ascii="Arial" w:hAnsi="Arial" w:cs="Arial"/>
                <w:sz w:val="21"/>
                <w:szCs w:val="21"/>
              </w:rPr>
              <w:t>2,500</w:t>
            </w:r>
          </w:p>
        </w:tc>
        <w:tc>
          <w:tcPr>
            <w:tcW w:w="1545" w:type="dxa"/>
            <w:shd w:val="clear" w:color="auto" w:fill="FFFFFF" w:themeFill="background1"/>
            <w:tcMar>
              <w:top w:w="80" w:type="dxa"/>
              <w:left w:w="80" w:type="dxa"/>
              <w:bottom w:w="80" w:type="dxa"/>
              <w:right w:w="80" w:type="dxa"/>
            </w:tcMar>
          </w:tcPr>
          <w:p w14:paraId="37BA1365" w14:textId="77777777" w:rsidR="00741A4F" w:rsidRPr="00F53C2A" w:rsidRDefault="00741A4F" w:rsidP="001A2D87">
            <w:pPr>
              <w:spacing w:line="360" w:lineRule="auto"/>
              <w:jc w:val="center"/>
              <w:rPr>
                <w:rFonts w:ascii="Arial" w:hAnsi="Arial" w:cs="Arial"/>
                <w:sz w:val="21"/>
                <w:szCs w:val="21"/>
              </w:rPr>
            </w:pPr>
            <w:r w:rsidRPr="00F53C2A">
              <w:rPr>
                <w:rFonts w:ascii="Arial" w:hAnsi="Arial" w:cs="Arial"/>
                <w:sz w:val="21"/>
                <w:szCs w:val="21"/>
              </w:rPr>
              <w:t>2,500</w:t>
            </w:r>
          </w:p>
        </w:tc>
      </w:tr>
      <w:tr w:rsidR="00741A4F" w:rsidRPr="000A2871" w14:paraId="6B7E37EC" w14:textId="77777777" w:rsidTr="001A2D87">
        <w:trPr>
          <w:trHeight w:val="495"/>
          <w:jc w:val="center"/>
        </w:trPr>
        <w:tc>
          <w:tcPr>
            <w:tcW w:w="4305" w:type="dxa"/>
            <w:shd w:val="clear" w:color="auto" w:fill="FFFFFF" w:themeFill="background1"/>
            <w:tcMar>
              <w:top w:w="80" w:type="dxa"/>
              <w:left w:w="80" w:type="dxa"/>
              <w:bottom w:w="80" w:type="dxa"/>
              <w:right w:w="80" w:type="dxa"/>
            </w:tcMar>
          </w:tcPr>
          <w:p w14:paraId="7462D2AD" w14:textId="77777777" w:rsidR="00741A4F" w:rsidRPr="00F53C2A" w:rsidRDefault="00741A4F" w:rsidP="001A2D87">
            <w:pPr>
              <w:spacing w:line="360" w:lineRule="auto"/>
              <w:jc w:val="center"/>
              <w:rPr>
                <w:rFonts w:ascii="Arial" w:hAnsi="Arial" w:cs="Arial"/>
                <w:sz w:val="21"/>
                <w:szCs w:val="21"/>
              </w:rPr>
            </w:pPr>
            <w:r w:rsidRPr="00F53C2A">
              <w:rPr>
                <w:rFonts w:ascii="Arial" w:hAnsi="Arial" w:cs="Arial"/>
                <w:sz w:val="21"/>
                <w:szCs w:val="21"/>
              </w:rPr>
              <w:t>5 Discussion</w:t>
            </w:r>
          </w:p>
        </w:tc>
        <w:tc>
          <w:tcPr>
            <w:tcW w:w="1485" w:type="dxa"/>
            <w:shd w:val="clear" w:color="auto" w:fill="FFFFFF" w:themeFill="background1"/>
            <w:tcMar>
              <w:top w:w="80" w:type="dxa"/>
              <w:left w:w="80" w:type="dxa"/>
              <w:bottom w:w="80" w:type="dxa"/>
              <w:right w:w="80" w:type="dxa"/>
            </w:tcMar>
          </w:tcPr>
          <w:p w14:paraId="0E391E67" w14:textId="77777777" w:rsidR="00741A4F" w:rsidRPr="00F53C2A" w:rsidRDefault="00741A4F" w:rsidP="001A2D87">
            <w:pPr>
              <w:spacing w:line="360" w:lineRule="auto"/>
              <w:jc w:val="center"/>
              <w:rPr>
                <w:rFonts w:ascii="Arial" w:hAnsi="Arial" w:cs="Arial"/>
                <w:sz w:val="21"/>
                <w:szCs w:val="21"/>
              </w:rPr>
            </w:pPr>
            <w:r w:rsidRPr="00F53C2A">
              <w:rPr>
                <w:rFonts w:ascii="Arial" w:hAnsi="Arial" w:cs="Arial"/>
                <w:sz w:val="21"/>
                <w:szCs w:val="21"/>
              </w:rPr>
              <w:t>2,500</w:t>
            </w:r>
          </w:p>
        </w:tc>
        <w:tc>
          <w:tcPr>
            <w:tcW w:w="1545" w:type="dxa"/>
            <w:shd w:val="clear" w:color="auto" w:fill="FFFFFF" w:themeFill="background1"/>
            <w:tcMar>
              <w:top w:w="80" w:type="dxa"/>
              <w:left w:w="80" w:type="dxa"/>
              <w:bottom w:w="80" w:type="dxa"/>
              <w:right w:w="80" w:type="dxa"/>
            </w:tcMar>
          </w:tcPr>
          <w:p w14:paraId="40500A18" w14:textId="77777777" w:rsidR="00741A4F" w:rsidRPr="00F53C2A" w:rsidRDefault="00741A4F" w:rsidP="001A2D87">
            <w:pPr>
              <w:spacing w:line="360" w:lineRule="auto"/>
              <w:jc w:val="center"/>
              <w:rPr>
                <w:rFonts w:ascii="Arial" w:hAnsi="Arial" w:cs="Arial"/>
                <w:sz w:val="21"/>
                <w:szCs w:val="21"/>
              </w:rPr>
            </w:pPr>
            <w:r w:rsidRPr="00F53C2A">
              <w:rPr>
                <w:rFonts w:ascii="Arial" w:hAnsi="Arial" w:cs="Arial"/>
                <w:sz w:val="21"/>
                <w:szCs w:val="21"/>
              </w:rPr>
              <w:t>2,500</w:t>
            </w:r>
          </w:p>
        </w:tc>
      </w:tr>
      <w:tr w:rsidR="00741A4F" w:rsidRPr="000A2871" w14:paraId="23BA61F6" w14:textId="77777777" w:rsidTr="001A2D87">
        <w:trPr>
          <w:trHeight w:val="495"/>
          <w:jc w:val="center"/>
        </w:trPr>
        <w:tc>
          <w:tcPr>
            <w:tcW w:w="4305" w:type="dxa"/>
            <w:shd w:val="clear" w:color="auto" w:fill="FFFFFF" w:themeFill="background1"/>
            <w:tcMar>
              <w:top w:w="80" w:type="dxa"/>
              <w:left w:w="80" w:type="dxa"/>
              <w:bottom w:w="80" w:type="dxa"/>
              <w:right w:w="80" w:type="dxa"/>
            </w:tcMar>
          </w:tcPr>
          <w:p w14:paraId="64345351" w14:textId="77777777" w:rsidR="00741A4F" w:rsidRPr="00F53C2A" w:rsidRDefault="00741A4F" w:rsidP="001A2D87">
            <w:pPr>
              <w:spacing w:line="360" w:lineRule="auto"/>
              <w:jc w:val="center"/>
              <w:rPr>
                <w:rFonts w:ascii="Arial" w:hAnsi="Arial" w:cs="Arial"/>
                <w:sz w:val="21"/>
                <w:szCs w:val="21"/>
              </w:rPr>
            </w:pPr>
            <w:r w:rsidRPr="00F53C2A">
              <w:rPr>
                <w:rFonts w:ascii="Arial" w:hAnsi="Arial" w:cs="Arial"/>
                <w:sz w:val="21"/>
                <w:szCs w:val="21"/>
              </w:rPr>
              <w:t>6 Conclusion</w:t>
            </w:r>
          </w:p>
        </w:tc>
        <w:tc>
          <w:tcPr>
            <w:tcW w:w="1485" w:type="dxa"/>
            <w:shd w:val="clear" w:color="auto" w:fill="FFFFFF" w:themeFill="background1"/>
            <w:tcMar>
              <w:top w:w="80" w:type="dxa"/>
              <w:left w:w="80" w:type="dxa"/>
              <w:bottom w:w="80" w:type="dxa"/>
              <w:right w:w="80" w:type="dxa"/>
            </w:tcMar>
          </w:tcPr>
          <w:p w14:paraId="466D2A8F" w14:textId="77777777" w:rsidR="00741A4F" w:rsidRPr="00F53C2A" w:rsidRDefault="00741A4F" w:rsidP="001A2D87">
            <w:pPr>
              <w:spacing w:line="360" w:lineRule="auto"/>
              <w:jc w:val="center"/>
              <w:rPr>
                <w:rFonts w:ascii="Arial" w:hAnsi="Arial" w:cs="Arial"/>
                <w:sz w:val="21"/>
                <w:szCs w:val="21"/>
              </w:rPr>
            </w:pPr>
            <w:r w:rsidRPr="00F53C2A">
              <w:rPr>
                <w:rFonts w:ascii="Arial" w:hAnsi="Arial" w:cs="Arial"/>
                <w:sz w:val="21"/>
                <w:szCs w:val="21"/>
              </w:rPr>
              <w:t>1,500</w:t>
            </w:r>
          </w:p>
        </w:tc>
        <w:tc>
          <w:tcPr>
            <w:tcW w:w="1545" w:type="dxa"/>
            <w:shd w:val="clear" w:color="auto" w:fill="FFFFFF" w:themeFill="background1"/>
            <w:tcMar>
              <w:top w:w="80" w:type="dxa"/>
              <w:left w:w="80" w:type="dxa"/>
              <w:bottom w:w="80" w:type="dxa"/>
              <w:right w:w="80" w:type="dxa"/>
            </w:tcMar>
          </w:tcPr>
          <w:p w14:paraId="65068B82" w14:textId="77777777" w:rsidR="00741A4F" w:rsidRPr="00F53C2A" w:rsidRDefault="00741A4F" w:rsidP="001A2D87">
            <w:pPr>
              <w:spacing w:line="360" w:lineRule="auto"/>
              <w:jc w:val="center"/>
              <w:rPr>
                <w:rFonts w:ascii="Arial" w:hAnsi="Arial" w:cs="Arial"/>
                <w:sz w:val="21"/>
                <w:szCs w:val="21"/>
              </w:rPr>
            </w:pPr>
            <w:r w:rsidRPr="00F53C2A">
              <w:rPr>
                <w:rFonts w:ascii="Arial" w:hAnsi="Arial" w:cs="Arial"/>
                <w:sz w:val="21"/>
                <w:szCs w:val="21"/>
              </w:rPr>
              <w:t>1,500</w:t>
            </w:r>
          </w:p>
        </w:tc>
      </w:tr>
      <w:tr w:rsidR="00741A4F" w:rsidRPr="000A2871" w14:paraId="25675A36" w14:textId="77777777" w:rsidTr="001A2D87">
        <w:trPr>
          <w:trHeight w:val="495"/>
          <w:jc w:val="center"/>
        </w:trPr>
        <w:tc>
          <w:tcPr>
            <w:tcW w:w="4305" w:type="dxa"/>
            <w:shd w:val="clear" w:color="auto" w:fill="FFFFFF" w:themeFill="background1"/>
            <w:tcMar>
              <w:top w:w="80" w:type="dxa"/>
              <w:left w:w="80" w:type="dxa"/>
              <w:bottom w:w="80" w:type="dxa"/>
              <w:right w:w="80" w:type="dxa"/>
            </w:tcMar>
          </w:tcPr>
          <w:p w14:paraId="404CF136" w14:textId="77777777" w:rsidR="00741A4F" w:rsidRPr="00F53C2A" w:rsidRDefault="00741A4F" w:rsidP="001A2D87">
            <w:pPr>
              <w:spacing w:line="360" w:lineRule="auto"/>
              <w:jc w:val="center"/>
              <w:rPr>
                <w:rFonts w:ascii="Arial" w:hAnsi="Arial" w:cs="Arial"/>
                <w:sz w:val="21"/>
                <w:szCs w:val="21"/>
              </w:rPr>
            </w:pPr>
            <w:r w:rsidRPr="00F53C2A">
              <w:rPr>
                <w:rFonts w:ascii="Arial" w:hAnsi="Arial" w:cs="Arial"/>
                <w:sz w:val="21"/>
                <w:szCs w:val="21"/>
              </w:rPr>
              <w:t>Total</w:t>
            </w:r>
          </w:p>
        </w:tc>
        <w:tc>
          <w:tcPr>
            <w:tcW w:w="1485" w:type="dxa"/>
            <w:shd w:val="clear" w:color="auto" w:fill="FFFFFF" w:themeFill="background1"/>
            <w:tcMar>
              <w:top w:w="80" w:type="dxa"/>
              <w:left w:w="80" w:type="dxa"/>
              <w:bottom w:w="80" w:type="dxa"/>
              <w:right w:w="80" w:type="dxa"/>
            </w:tcMar>
          </w:tcPr>
          <w:p w14:paraId="62CE6C19" w14:textId="77777777" w:rsidR="00741A4F" w:rsidRPr="00F53C2A" w:rsidRDefault="00741A4F" w:rsidP="001A2D87">
            <w:pPr>
              <w:spacing w:line="360" w:lineRule="auto"/>
              <w:jc w:val="center"/>
              <w:rPr>
                <w:rFonts w:ascii="Arial" w:hAnsi="Arial" w:cs="Arial"/>
                <w:sz w:val="21"/>
                <w:szCs w:val="21"/>
              </w:rPr>
            </w:pPr>
            <w:r w:rsidRPr="00F53C2A">
              <w:rPr>
                <w:rFonts w:ascii="Arial" w:hAnsi="Arial" w:cs="Arial"/>
                <w:sz w:val="21"/>
                <w:szCs w:val="21"/>
              </w:rPr>
              <w:t>15,000</w:t>
            </w:r>
          </w:p>
        </w:tc>
        <w:tc>
          <w:tcPr>
            <w:tcW w:w="1545" w:type="dxa"/>
            <w:shd w:val="clear" w:color="auto" w:fill="FFFFFF" w:themeFill="background1"/>
            <w:tcMar>
              <w:top w:w="80" w:type="dxa"/>
              <w:left w:w="80" w:type="dxa"/>
              <w:bottom w:w="80" w:type="dxa"/>
              <w:right w:w="80" w:type="dxa"/>
            </w:tcMar>
          </w:tcPr>
          <w:p w14:paraId="2415DFDD" w14:textId="77777777" w:rsidR="00741A4F" w:rsidRPr="00F53C2A" w:rsidRDefault="00741A4F" w:rsidP="001A2D87">
            <w:pPr>
              <w:spacing w:line="360" w:lineRule="auto"/>
              <w:jc w:val="center"/>
              <w:rPr>
                <w:rFonts w:ascii="Arial" w:hAnsi="Arial" w:cs="Arial"/>
                <w:sz w:val="21"/>
                <w:szCs w:val="21"/>
              </w:rPr>
            </w:pPr>
            <w:r w:rsidRPr="00F53C2A">
              <w:rPr>
                <w:rFonts w:ascii="Arial" w:hAnsi="Arial" w:cs="Arial"/>
                <w:sz w:val="21"/>
                <w:szCs w:val="21"/>
              </w:rPr>
              <w:t>15,000</w:t>
            </w:r>
          </w:p>
        </w:tc>
      </w:tr>
    </w:tbl>
    <w:p w14:paraId="08FC81E4"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43D52A6A" w14:textId="77777777" w:rsidR="00F53C2A" w:rsidRDefault="00F53C2A">
      <w:pPr>
        <w:rPr>
          <w:rFonts w:ascii="Arial" w:eastAsia="Times New Roman" w:hAnsi="Arial" w:cs="Arial"/>
          <w:b/>
          <w:bCs/>
          <w:color w:val="000000"/>
          <w:sz w:val="46"/>
          <w:szCs w:val="46"/>
        </w:rPr>
      </w:pPr>
      <w:bookmarkStart w:id="240" w:name="_wdc4jvnq5ebo" w:colFirst="0" w:colLast="0"/>
      <w:bookmarkEnd w:id="240"/>
      <w:r>
        <w:rPr>
          <w:rFonts w:ascii="Arial" w:hAnsi="Arial" w:cs="Arial"/>
          <w:bCs/>
          <w:sz w:val="46"/>
          <w:szCs w:val="46"/>
        </w:rPr>
        <w:br w:type="page"/>
      </w:r>
    </w:p>
    <w:p w14:paraId="5A0FCB1D" w14:textId="46514871" w:rsidR="007E77F1" w:rsidRPr="000A2871" w:rsidRDefault="007E77F1" w:rsidP="29B0219F">
      <w:pPr>
        <w:pStyle w:val="Heading1"/>
        <w:keepNext w:val="0"/>
        <w:keepLines w:val="0"/>
        <w:spacing w:before="480" w:line="360" w:lineRule="auto"/>
        <w:jc w:val="left"/>
        <w:rPr>
          <w:rFonts w:ascii="Arial" w:hAnsi="Arial" w:cs="Arial"/>
          <w:b w:val="0"/>
          <w:bCs/>
          <w:sz w:val="46"/>
          <w:szCs w:val="46"/>
        </w:rPr>
      </w:pPr>
      <w:bookmarkStart w:id="241" w:name="_Toc242459629"/>
      <w:r w:rsidRPr="000A2871">
        <w:rPr>
          <w:rFonts w:ascii="Arial" w:hAnsi="Arial" w:cs="Arial"/>
          <w:bCs/>
          <w:sz w:val="46"/>
          <w:szCs w:val="46"/>
        </w:rPr>
        <w:lastRenderedPageBreak/>
        <w:t>Appendix F</w:t>
      </w:r>
      <w:r w:rsidR="00E02AEB">
        <w:rPr>
          <w:rFonts w:ascii="Arial" w:hAnsi="Arial" w:cs="Arial"/>
          <w:bCs/>
          <w:sz w:val="46"/>
          <w:szCs w:val="46"/>
        </w:rPr>
        <w:t>:</w:t>
      </w:r>
      <w:r w:rsidRPr="000A2871">
        <w:rPr>
          <w:rFonts w:ascii="Arial" w:hAnsi="Arial" w:cs="Arial"/>
          <w:bCs/>
          <w:sz w:val="46"/>
          <w:szCs w:val="46"/>
        </w:rPr>
        <w:t xml:space="preserve"> Selection audit and review decisions</w:t>
      </w:r>
      <w:bookmarkEnd w:id="241"/>
    </w:p>
    <w:p w14:paraId="2AEFF5B9" w14:textId="77777777" w:rsidR="007E77F1" w:rsidRPr="000A2871" w:rsidRDefault="007E77F1" w:rsidP="000B773B">
      <w:pPr>
        <w:pStyle w:val="Heading2"/>
        <w:keepNext w:val="0"/>
        <w:keepLines w:val="0"/>
        <w:spacing w:after="80" w:line="360" w:lineRule="auto"/>
        <w:jc w:val="left"/>
        <w:rPr>
          <w:rFonts w:ascii="Arial" w:hAnsi="Arial" w:cs="Arial"/>
          <w:b w:val="0"/>
          <w:bCs/>
          <w:sz w:val="34"/>
          <w:szCs w:val="34"/>
        </w:rPr>
      </w:pPr>
      <w:bookmarkStart w:id="242" w:name="_w5s0i9d9e1we" w:colFirst="0" w:colLast="0"/>
      <w:bookmarkStart w:id="243" w:name="_Toc242459630"/>
      <w:bookmarkEnd w:id="242"/>
      <w:r w:rsidRPr="000A2871">
        <w:rPr>
          <w:rFonts w:ascii="Arial" w:hAnsi="Arial" w:cs="Arial"/>
          <w:bCs/>
          <w:sz w:val="34"/>
          <w:szCs w:val="34"/>
        </w:rPr>
        <w:t>F1 Verified identification and historical screening snapshot</w:t>
      </w:r>
      <w:bookmarkEnd w:id="243"/>
    </w:p>
    <w:tbl>
      <w:tblPr>
        <w:tblW w:w="8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180"/>
        <w:gridCol w:w="1140"/>
        <w:gridCol w:w="4575"/>
      </w:tblGrid>
      <w:tr w:rsidR="007E77F1" w:rsidRPr="000A2871" w14:paraId="14C6C97A" w14:textId="77777777" w:rsidTr="001A2D87">
        <w:trPr>
          <w:trHeight w:val="480"/>
        </w:trPr>
        <w:tc>
          <w:tcPr>
            <w:tcW w:w="3180" w:type="dxa"/>
            <w:shd w:val="clear" w:color="auto" w:fill="FFFFFF" w:themeFill="background1"/>
            <w:tcMar>
              <w:top w:w="80" w:type="dxa"/>
              <w:left w:w="80" w:type="dxa"/>
              <w:bottom w:w="80" w:type="dxa"/>
              <w:right w:w="80" w:type="dxa"/>
            </w:tcMar>
          </w:tcPr>
          <w:p w14:paraId="52B27A0C" w14:textId="77777777" w:rsidR="007E77F1" w:rsidRPr="000B773B" w:rsidRDefault="007E77F1" w:rsidP="000A2871">
            <w:pPr>
              <w:spacing w:line="360" w:lineRule="auto"/>
              <w:rPr>
                <w:rFonts w:ascii="Arial" w:hAnsi="Arial" w:cs="Arial"/>
                <w:b/>
                <w:bCs/>
                <w:sz w:val="20"/>
                <w:szCs w:val="20"/>
              </w:rPr>
            </w:pPr>
            <w:r w:rsidRPr="000B773B">
              <w:rPr>
                <w:rFonts w:ascii="Arial" w:hAnsi="Arial" w:cs="Arial"/>
                <w:b/>
                <w:bCs/>
                <w:sz w:val="20"/>
                <w:szCs w:val="20"/>
              </w:rPr>
              <w:t>Stage</w:t>
            </w:r>
          </w:p>
        </w:tc>
        <w:tc>
          <w:tcPr>
            <w:tcW w:w="1140" w:type="dxa"/>
            <w:shd w:val="clear" w:color="auto" w:fill="FFFFFF" w:themeFill="background1"/>
            <w:tcMar>
              <w:top w:w="80" w:type="dxa"/>
              <w:left w:w="80" w:type="dxa"/>
              <w:bottom w:w="80" w:type="dxa"/>
              <w:right w:w="80" w:type="dxa"/>
            </w:tcMar>
          </w:tcPr>
          <w:p w14:paraId="2400EEE9" w14:textId="77777777" w:rsidR="007E77F1" w:rsidRPr="000B773B" w:rsidRDefault="007E77F1" w:rsidP="000A2871">
            <w:pPr>
              <w:spacing w:line="360" w:lineRule="auto"/>
              <w:jc w:val="center"/>
              <w:rPr>
                <w:rFonts w:ascii="Arial" w:hAnsi="Arial" w:cs="Arial"/>
                <w:b/>
                <w:bCs/>
                <w:sz w:val="20"/>
                <w:szCs w:val="20"/>
              </w:rPr>
            </w:pPr>
            <w:r w:rsidRPr="000B773B">
              <w:rPr>
                <w:rFonts w:ascii="Arial" w:hAnsi="Arial" w:cs="Arial"/>
                <w:b/>
                <w:bCs/>
                <w:sz w:val="20"/>
                <w:szCs w:val="20"/>
              </w:rPr>
              <w:t>Count</w:t>
            </w:r>
          </w:p>
        </w:tc>
        <w:tc>
          <w:tcPr>
            <w:tcW w:w="4575" w:type="dxa"/>
            <w:shd w:val="clear" w:color="auto" w:fill="FFFFFF" w:themeFill="background1"/>
            <w:tcMar>
              <w:top w:w="80" w:type="dxa"/>
              <w:left w:w="80" w:type="dxa"/>
              <w:bottom w:w="80" w:type="dxa"/>
              <w:right w:w="80" w:type="dxa"/>
            </w:tcMar>
          </w:tcPr>
          <w:p w14:paraId="52DA1E3C" w14:textId="77777777" w:rsidR="007E77F1" w:rsidRPr="000B773B" w:rsidRDefault="007E77F1" w:rsidP="000A2871">
            <w:pPr>
              <w:spacing w:line="360" w:lineRule="auto"/>
              <w:rPr>
                <w:rFonts w:ascii="Arial" w:hAnsi="Arial" w:cs="Arial"/>
                <w:b/>
                <w:bCs/>
                <w:sz w:val="20"/>
                <w:szCs w:val="20"/>
              </w:rPr>
            </w:pPr>
            <w:r w:rsidRPr="000B773B">
              <w:rPr>
                <w:rFonts w:ascii="Arial" w:hAnsi="Arial" w:cs="Arial"/>
                <w:b/>
                <w:bCs/>
                <w:sz w:val="20"/>
                <w:szCs w:val="20"/>
              </w:rPr>
              <w:t>Status</w:t>
            </w:r>
          </w:p>
        </w:tc>
      </w:tr>
      <w:tr w:rsidR="007E77F1" w:rsidRPr="000A2871" w14:paraId="7206A212" w14:textId="77777777" w:rsidTr="001A2D87">
        <w:trPr>
          <w:trHeight w:val="480"/>
        </w:trPr>
        <w:tc>
          <w:tcPr>
            <w:tcW w:w="3180" w:type="dxa"/>
            <w:shd w:val="clear" w:color="auto" w:fill="FFFFFF" w:themeFill="background1"/>
            <w:tcMar>
              <w:top w:w="80" w:type="dxa"/>
              <w:left w:w="80" w:type="dxa"/>
              <w:bottom w:w="80" w:type="dxa"/>
              <w:right w:w="80" w:type="dxa"/>
            </w:tcMar>
          </w:tcPr>
          <w:p w14:paraId="292C1374"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Original records</w:t>
            </w:r>
          </w:p>
        </w:tc>
        <w:tc>
          <w:tcPr>
            <w:tcW w:w="1140" w:type="dxa"/>
            <w:shd w:val="clear" w:color="auto" w:fill="FFFFFF" w:themeFill="background1"/>
            <w:tcMar>
              <w:top w:w="80" w:type="dxa"/>
              <w:left w:w="80" w:type="dxa"/>
              <w:bottom w:w="80" w:type="dxa"/>
              <w:right w:w="80" w:type="dxa"/>
            </w:tcMar>
          </w:tcPr>
          <w:p w14:paraId="1AF32395" w14:textId="77777777" w:rsidR="007E77F1" w:rsidRPr="000B773B" w:rsidRDefault="007E77F1" w:rsidP="000A2871">
            <w:pPr>
              <w:spacing w:line="360" w:lineRule="auto"/>
              <w:jc w:val="center"/>
              <w:rPr>
                <w:rFonts w:ascii="Arial" w:hAnsi="Arial" w:cs="Arial"/>
                <w:sz w:val="20"/>
                <w:szCs w:val="20"/>
              </w:rPr>
            </w:pPr>
            <w:r w:rsidRPr="000B773B">
              <w:rPr>
                <w:rFonts w:ascii="Arial" w:hAnsi="Arial" w:cs="Arial"/>
                <w:sz w:val="20"/>
                <w:szCs w:val="20"/>
              </w:rPr>
              <w:t>2,977</w:t>
            </w:r>
          </w:p>
        </w:tc>
        <w:tc>
          <w:tcPr>
            <w:tcW w:w="4575" w:type="dxa"/>
            <w:shd w:val="clear" w:color="auto" w:fill="FFFFFF" w:themeFill="background1"/>
            <w:tcMar>
              <w:top w:w="80" w:type="dxa"/>
              <w:left w:w="80" w:type="dxa"/>
              <w:bottom w:w="80" w:type="dxa"/>
              <w:right w:w="80" w:type="dxa"/>
            </w:tcMar>
          </w:tcPr>
          <w:p w14:paraId="7CA8C7D1"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69 PubMed + 2,766 ScienceDirect + 142 BMC.</w:t>
            </w:r>
          </w:p>
        </w:tc>
      </w:tr>
      <w:tr w:rsidR="007E77F1" w:rsidRPr="000A2871" w14:paraId="549D1E16" w14:textId="77777777" w:rsidTr="001A2D87">
        <w:trPr>
          <w:trHeight w:val="780"/>
        </w:trPr>
        <w:tc>
          <w:tcPr>
            <w:tcW w:w="3180" w:type="dxa"/>
            <w:shd w:val="clear" w:color="auto" w:fill="FFFFFF" w:themeFill="background1"/>
            <w:tcMar>
              <w:top w:w="80" w:type="dxa"/>
              <w:left w:w="80" w:type="dxa"/>
              <w:bottom w:w="80" w:type="dxa"/>
              <w:right w:w="80" w:type="dxa"/>
            </w:tcMar>
          </w:tcPr>
          <w:p w14:paraId="03848434"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Exact-DOI duplicate removals</w:t>
            </w:r>
          </w:p>
        </w:tc>
        <w:tc>
          <w:tcPr>
            <w:tcW w:w="1140" w:type="dxa"/>
            <w:shd w:val="clear" w:color="auto" w:fill="FFFFFF" w:themeFill="background1"/>
            <w:tcMar>
              <w:top w:w="80" w:type="dxa"/>
              <w:left w:w="80" w:type="dxa"/>
              <w:bottom w:w="80" w:type="dxa"/>
              <w:right w:w="80" w:type="dxa"/>
            </w:tcMar>
          </w:tcPr>
          <w:p w14:paraId="0DD07584" w14:textId="77777777" w:rsidR="007E77F1" w:rsidRPr="000B773B" w:rsidRDefault="007E77F1" w:rsidP="000A2871">
            <w:pPr>
              <w:spacing w:line="360" w:lineRule="auto"/>
              <w:jc w:val="center"/>
              <w:rPr>
                <w:rFonts w:ascii="Arial" w:hAnsi="Arial" w:cs="Arial"/>
                <w:sz w:val="20"/>
                <w:szCs w:val="20"/>
              </w:rPr>
            </w:pPr>
            <w:r w:rsidRPr="000B773B">
              <w:rPr>
                <w:rFonts w:ascii="Arial" w:hAnsi="Arial" w:cs="Arial"/>
                <w:sz w:val="20"/>
                <w:szCs w:val="20"/>
              </w:rPr>
              <w:t>11</w:t>
            </w:r>
          </w:p>
        </w:tc>
        <w:tc>
          <w:tcPr>
            <w:tcW w:w="4575" w:type="dxa"/>
            <w:shd w:val="clear" w:color="auto" w:fill="FFFFFF" w:themeFill="background1"/>
            <w:tcMar>
              <w:top w:w="80" w:type="dxa"/>
              <w:left w:w="80" w:type="dxa"/>
              <w:bottom w:w="80" w:type="dxa"/>
              <w:right w:w="80" w:type="dxa"/>
            </w:tcMar>
          </w:tcPr>
          <w:p w14:paraId="11390C64"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Separate from the identical export file not imported twice.</w:t>
            </w:r>
          </w:p>
        </w:tc>
      </w:tr>
      <w:tr w:rsidR="007E77F1" w:rsidRPr="000A2871" w14:paraId="665819E9" w14:textId="77777777" w:rsidTr="001A2D87">
        <w:trPr>
          <w:trHeight w:val="480"/>
        </w:trPr>
        <w:tc>
          <w:tcPr>
            <w:tcW w:w="3180" w:type="dxa"/>
            <w:shd w:val="clear" w:color="auto" w:fill="FFFFFF" w:themeFill="background1"/>
            <w:tcMar>
              <w:top w:w="80" w:type="dxa"/>
              <w:left w:w="80" w:type="dxa"/>
              <w:bottom w:w="80" w:type="dxa"/>
              <w:right w:w="80" w:type="dxa"/>
            </w:tcMar>
          </w:tcPr>
          <w:p w14:paraId="2A980FF4"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Original unique records</w:t>
            </w:r>
          </w:p>
        </w:tc>
        <w:tc>
          <w:tcPr>
            <w:tcW w:w="1140" w:type="dxa"/>
            <w:shd w:val="clear" w:color="auto" w:fill="FFFFFF" w:themeFill="background1"/>
            <w:tcMar>
              <w:top w:w="80" w:type="dxa"/>
              <w:left w:w="80" w:type="dxa"/>
              <w:bottom w:w="80" w:type="dxa"/>
              <w:right w:w="80" w:type="dxa"/>
            </w:tcMar>
          </w:tcPr>
          <w:p w14:paraId="26A8D4F1" w14:textId="77777777" w:rsidR="007E77F1" w:rsidRPr="000B773B" w:rsidRDefault="007E77F1" w:rsidP="000A2871">
            <w:pPr>
              <w:spacing w:line="360" w:lineRule="auto"/>
              <w:jc w:val="center"/>
              <w:rPr>
                <w:rFonts w:ascii="Arial" w:hAnsi="Arial" w:cs="Arial"/>
                <w:sz w:val="20"/>
                <w:szCs w:val="20"/>
              </w:rPr>
            </w:pPr>
            <w:r w:rsidRPr="000B773B">
              <w:rPr>
                <w:rFonts w:ascii="Arial" w:hAnsi="Arial" w:cs="Arial"/>
                <w:sz w:val="20"/>
                <w:szCs w:val="20"/>
              </w:rPr>
              <w:t>2,966</w:t>
            </w:r>
          </w:p>
        </w:tc>
        <w:tc>
          <w:tcPr>
            <w:tcW w:w="4575" w:type="dxa"/>
            <w:shd w:val="clear" w:color="auto" w:fill="FFFFFF" w:themeFill="background1"/>
            <w:tcMar>
              <w:top w:w="80" w:type="dxa"/>
              <w:left w:w="80" w:type="dxa"/>
              <w:bottom w:w="80" w:type="dxa"/>
              <w:right w:w="80" w:type="dxa"/>
            </w:tcMar>
          </w:tcPr>
          <w:p w14:paraId="35FDD819" w14:textId="77777777" w:rsidR="007E77F1" w:rsidRPr="000B773B" w:rsidRDefault="007E77F1" w:rsidP="000A2871">
            <w:pPr>
              <w:spacing w:line="360" w:lineRule="auto"/>
              <w:rPr>
                <w:rFonts w:ascii="Arial" w:hAnsi="Arial" w:cs="Arial"/>
                <w:sz w:val="20"/>
                <w:szCs w:val="20"/>
              </w:rPr>
            </w:pPr>
            <w:r w:rsidRPr="000B773B">
              <w:rPr>
                <w:rFonts w:ascii="Arial" w:eastAsia="Arial Unicode MS" w:hAnsi="Arial" w:cs="Arial"/>
                <w:sz w:val="20"/>
                <w:szCs w:val="20"/>
              </w:rPr>
              <w:t>2,977 − 11.</w:t>
            </w:r>
          </w:p>
        </w:tc>
      </w:tr>
      <w:tr w:rsidR="007E77F1" w:rsidRPr="000A2871" w14:paraId="6BEE07A6" w14:textId="77777777" w:rsidTr="001A2D87">
        <w:trPr>
          <w:trHeight w:val="780"/>
        </w:trPr>
        <w:tc>
          <w:tcPr>
            <w:tcW w:w="3180" w:type="dxa"/>
            <w:shd w:val="clear" w:color="auto" w:fill="FFFFFF" w:themeFill="background1"/>
            <w:tcMar>
              <w:top w:w="80" w:type="dxa"/>
              <w:left w:w="80" w:type="dxa"/>
              <w:bottom w:w="80" w:type="dxa"/>
              <w:right w:w="80" w:type="dxa"/>
            </w:tcMar>
          </w:tcPr>
          <w:p w14:paraId="5CE6EFE3"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No abstract recorded</w:t>
            </w:r>
          </w:p>
        </w:tc>
        <w:tc>
          <w:tcPr>
            <w:tcW w:w="1140" w:type="dxa"/>
            <w:shd w:val="clear" w:color="auto" w:fill="FFFFFF" w:themeFill="background1"/>
            <w:tcMar>
              <w:top w:w="80" w:type="dxa"/>
              <w:left w:w="80" w:type="dxa"/>
              <w:bottom w:w="80" w:type="dxa"/>
              <w:right w:w="80" w:type="dxa"/>
            </w:tcMar>
          </w:tcPr>
          <w:p w14:paraId="228DB50D" w14:textId="77777777" w:rsidR="007E77F1" w:rsidRPr="000B773B" w:rsidRDefault="007E77F1" w:rsidP="000A2871">
            <w:pPr>
              <w:spacing w:line="360" w:lineRule="auto"/>
              <w:jc w:val="center"/>
              <w:rPr>
                <w:rFonts w:ascii="Arial" w:hAnsi="Arial" w:cs="Arial"/>
                <w:sz w:val="20"/>
                <w:szCs w:val="20"/>
              </w:rPr>
            </w:pPr>
            <w:r w:rsidRPr="000B773B">
              <w:rPr>
                <w:rFonts w:ascii="Arial" w:hAnsi="Arial" w:cs="Arial"/>
                <w:sz w:val="20"/>
                <w:szCs w:val="20"/>
              </w:rPr>
              <w:t>829</w:t>
            </w:r>
          </w:p>
        </w:tc>
        <w:tc>
          <w:tcPr>
            <w:tcW w:w="4575" w:type="dxa"/>
            <w:shd w:val="clear" w:color="auto" w:fill="FFFFFF" w:themeFill="background1"/>
            <w:tcMar>
              <w:top w:w="80" w:type="dxa"/>
              <w:left w:w="80" w:type="dxa"/>
              <w:bottom w:w="80" w:type="dxa"/>
              <w:right w:w="80" w:type="dxa"/>
            </w:tcMar>
          </w:tcPr>
          <w:p w14:paraId="3167888B"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Missing abstracts increase uncertainty in initial decisions.</w:t>
            </w:r>
          </w:p>
        </w:tc>
      </w:tr>
      <w:tr w:rsidR="007E77F1" w:rsidRPr="000A2871" w14:paraId="57D9145E" w14:textId="77777777" w:rsidTr="001A2D87">
        <w:trPr>
          <w:trHeight w:val="480"/>
        </w:trPr>
        <w:tc>
          <w:tcPr>
            <w:tcW w:w="3180" w:type="dxa"/>
            <w:shd w:val="clear" w:color="auto" w:fill="FFFFFF" w:themeFill="background1"/>
            <w:tcMar>
              <w:top w:w="80" w:type="dxa"/>
              <w:left w:w="80" w:type="dxa"/>
              <w:bottom w:w="80" w:type="dxa"/>
              <w:right w:w="80" w:type="dxa"/>
            </w:tcMar>
          </w:tcPr>
          <w:p w14:paraId="25A84C44"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Historical title/abstract exclusions</w:t>
            </w:r>
          </w:p>
        </w:tc>
        <w:tc>
          <w:tcPr>
            <w:tcW w:w="1140" w:type="dxa"/>
            <w:shd w:val="clear" w:color="auto" w:fill="FFFFFF" w:themeFill="background1"/>
            <w:tcMar>
              <w:top w:w="80" w:type="dxa"/>
              <w:left w:w="80" w:type="dxa"/>
              <w:bottom w:w="80" w:type="dxa"/>
              <w:right w:w="80" w:type="dxa"/>
            </w:tcMar>
          </w:tcPr>
          <w:p w14:paraId="448281FA" w14:textId="77777777" w:rsidR="007E77F1" w:rsidRPr="000B773B" w:rsidRDefault="007E77F1" w:rsidP="000A2871">
            <w:pPr>
              <w:spacing w:line="360" w:lineRule="auto"/>
              <w:jc w:val="center"/>
              <w:rPr>
                <w:rFonts w:ascii="Arial" w:hAnsi="Arial" w:cs="Arial"/>
                <w:sz w:val="20"/>
                <w:szCs w:val="20"/>
              </w:rPr>
            </w:pPr>
            <w:r w:rsidRPr="000B773B">
              <w:rPr>
                <w:rFonts w:ascii="Arial" w:hAnsi="Arial" w:cs="Arial"/>
                <w:sz w:val="20"/>
                <w:szCs w:val="20"/>
              </w:rPr>
              <w:t>2,588</w:t>
            </w:r>
          </w:p>
        </w:tc>
        <w:tc>
          <w:tcPr>
            <w:tcW w:w="4575" w:type="dxa"/>
            <w:shd w:val="clear" w:color="auto" w:fill="FFFFFF" w:themeFill="background1"/>
            <w:tcMar>
              <w:top w:w="80" w:type="dxa"/>
              <w:left w:w="80" w:type="dxa"/>
              <w:bottom w:w="80" w:type="dxa"/>
              <w:right w:w="80" w:type="dxa"/>
            </w:tcMar>
          </w:tcPr>
          <w:p w14:paraId="5DC13347"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Preserved from the existing screening snapshot.</w:t>
            </w:r>
          </w:p>
        </w:tc>
      </w:tr>
      <w:tr w:rsidR="007E77F1" w:rsidRPr="000A2871" w14:paraId="2E8EF072" w14:textId="77777777" w:rsidTr="001A2D87">
        <w:trPr>
          <w:trHeight w:val="480"/>
        </w:trPr>
        <w:tc>
          <w:tcPr>
            <w:tcW w:w="3180" w:type="dxa"/>
            <w:shd w:val="clear" w:color="auto" w:fill="FFFFFF" w:themeFill="background1"/>
            <w:tcMar>
              <w:top w:w="80" w:type="dxa"/>
              <w:left w:w="80" w:type="dxa"/>
              <w:bottom w:w="80" w:type="dxa"/>
              <w:right w:w="80" w:type="dxa"/>
            </w:tcMar>
          </w:tcPr>
          <w:p w14:paraId="3DEF315E"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Historically retained</w:t>
            </w:r>
          </w:p>
        </w:tc>
        <w:tc>
          <w:tcPr>
            <w:tcW w:w="1140" w:type="dxa"/>
            <w:shd w:val="clear" w:color="auto" w:fill="FFFFFF" w:themeFill="background1"/>
            <w:tcMar>
              <w:top w:w="80" w:type="dxa"/>
              <w:left w:w="80" w:type="dxa"/>
              <w:bottom w:w="80" w:type="dxa"/>
              <w:right w:w="80" w:type="dxa"/>
            </w:tcMar>
          </w:tcPr>
          <w:p w14:paraId="1C45A71C" w14:textId="77777777" w:rsidR="007E77F1" w:rsidRPr="000B773B" w:rsidRDefault="007E77F1" w:rsidP="000A2871">
            <w:pPr>
              <w:spacing w:line="360" w:lineRule="auto"/>
              <w:jc w:val="center"/>
              <w:rPr>
                <w:rFonts w:ascii="Arial" w:hAnsi="Arial" w:cs="Arial"/>
                <w:sz w:val="20"/>
                <w:szCs w:val="20"/>
              </w:rPr>
            </w:pPr>
            <w:r w:rsidRPr="000B773B">
              <w:rPr>
                <w:rFonts w:ascii="Arial" w:hAnsi="Arial" w:cs="Arial"/>
                <w:sz w:val="20"/>
                <w:szCs w:val="20"/>
              </w:rPr>
              <w:t>378</w:t>
            </w:r>
          </w:p>
        </w:tc>
        <w:tc>
          <w:tcPr>
            <w:tcW w:w="4575" w:type="dxa"/>
            <w:shd w:val="clear" w:color="auto" w:fill="FFFFFF" w:themeFill="background1"/>
            <w:tcMar>
              <w:top w:w="80" w:type="dxa"/>
              <w:left w:w="80" w:type="dxa"/>
              <w:bottom w:w="80" w:type="dxa"/>
              <w:right w:w="80" w:type="dxa"/>
            </w:tcMar>
          </w:tcPr>
          <w:p w14:paraId="3728AD59" w14:textId="77777777" w:rsidR="007E77F1" w:rsidRPr="000B773B" w:rsidRDefault="007E77F1" w:rsidP="000A2871">
            <w:pPr>
              <w:spacing w:line="360" w:lineRule="auto"/>
              <w:rPr>
                <w:rFonts w:ascii="Arial" w:hAnsi="Arial" w:cs="Arial"/>
                <w:sz w:val="20"/>
                <w:szCs w:val="20"/>
              </w:rPr>
            </w:pPr>
            <w:r w:rsidRPr="000B773B">
              <w:rPr>
                <w:rFonts w:ascii="Arial" w:eastAsia="Arial Unicode MS" w:hAnsi="Arial" w:cs="Arial"/>
                <w:sz w:val="20"/>
                <w:szCs w:val="20"/>
              </w:rPr>
              <w:t>2,966 − 2,588.</w:t>
            </w:r>
          </w:p>
        </w:tc>
      </w:tr>
      <w:tr w:rsidR="007E77F1" w:rsidRPr="000A2871" w14:paraId="7FF5DFD9" w14:textId="77777777" w:rsidTr="001A2D87">
        <w:trPr>
          <w:trHeight w:val="780"/>
        </w:trPr>
        <w:tc>
          <w:tcPr>
            <w:tcW w:w="3180" w:type="dxa"/>
            <w:shd w:val="clear" w:color="auto" w:fill="FFFFFF" w:themeFill="background1"/>
            <w:tcMar>
              <w:top w:w="80" w:type="dxa"/>
              <w:left w:w="80" w:type="dxa"/>
              <w:bottom w:w="80" w:type="dxa"/>
              <w:right w:w="80" w:type="dxa"/>
            </w:tcMar>
          </w:tcPr>
          <w:p w14:paraId="3CAB1956"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Supplementary PubMed records</w:t>
            </w:r>
          </w:p>
        </w:tc>
        <w:tc>
          <w:tcPr>
            <w:tcW w:w="1140" w:type="dxa"/>
            <w:shd w:val="clear" w:color="auto" w:fill="FFFFFF" w:themeFill="background1"/>
            <w:tcMar>
              <w:top w:w="80" w:type="dxa"/>
              <w:left w:w="80" w:type="dxa"/>
              <w:bottom w:w="80" w:type="dxa"/>
              <w:right w:w="80" w:type="dxa"/>
            </w:tcMar>
          </w:tcPr>
          <w:p w14:paraId="0AF7BC81" w14:textId="77777777" w:rsidR="007E77F1" w:rsidRPr="000B773B" w:rsidRDefault="007E77F1" w:rsidP="000A2871">
            <w:pPr>
              <w:spacing w:line="360" w:lineRule="auto"/>
              <w:jc w:val="center"/>
              <w:rPr>
                <w:rFonts w:ascii="Arial" w:hAnsi="Arial" w:cs="Arial"/>
                <w:sz w:val="20"/>
                <w:szCs w:val="20"/>
              </w:rPr>
            </w:pPr>
            <w:r w:rsidRPr="000B773B">
              <w:rPr>
                <w:rFonts w:ascii="Arial" w:hAnsi="Arial" w:cs="Arial"/>
                <w:sz w:val="20"/>
                <w:szCs w:val="20"/>
              </w:rPr>
              <w:t>3</w:t>
            </w:r>
          </w:p>
        </w:tc>
        <w:tc>
          <w:tcPr>
            <w:tcW w:w="4575" w:type="dxa"/>
            <w:shd w:val="clear" w:color="auto" w:fill="FFFFFF" w:themeFill="background1"/>
            <w:tcMar>
              <w:top w:w="80" w:type="dxa"/>
              <w:left w:w="80" w:type="dxa"/>
              <w:bottom w:w="80" w:type="dxa"/>
              <w:right w:w="80" w:type="dxa"/>
            </w:tcMar>
          </w:tcPr>
          <w:p w14:paraId="5D07668C"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Known-item query; not previously in the unique set.</w:t>
            </w:r>
          </w:p>
        </w:tc>
      </w:tr>
      <w:tr w:rsidR="007E77F1" w:rsidRPr="000A2871" w14:paraId="02486FD1" w14:textId="77777777" w:rsidTr="001A2D87">
        <w:trPr>
          <w:trHeight w:val="480"/>
        </w:trPr>
        <w:tc>
          <w:tcPr>
            <w:tcW w:w="3180" w:type="dxa"/>
            <w:shd w:val="clear" w:color="auto" w:fill="FFFFFF" w:themeFill="background1"/>
            <w:tcMar>
              <w:top w:w="80" w:type="dxa"/>
              <w:left w:w="80" w:type="dxa"/>
              <w:bottom w:w="80" w:type="dxa"/>
              <w:right w:w="80" w:type="dxa"/>
            </w:tcMar>
          </w:tcPr>
          <w:p w14:paraId="1699839E"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Combined identification</w:t>
            </w:r>
          </w:p>
        </w:tc>
        <w:tc>
          <w:tcPr>
            <w:tcW w:w="1140" w:type="dxa"/>
            <w:shd w:val="clear" w:color="auto" w:fill="FFFFFF" w:themeFill="background1"/>
            <w:tcMar>
              <w:top w:w="80" w:type="dxa"/>
              <w:left w:w="80" w:type="dxa"/>
              <w:bottom w:w="80" w:type="dxa"/>
              <w:right w:w="80" w:type="dxa"/>
            </w:tcMar>
          </w:tcPr>
          <w:p w14:paraId="1A5AFA93" w14:textId="77777777" w:rsidR="007E77F1" w:rsidRPr="000B773B" w:rsidRDefault="007E77F1" w:rsidP="000A2871">
            <w:pPr>
              <w:spacing w:line="360" w:lineRule="auto"/>
              <w:jc w:val="center"/>
              <w:rPr>
                <w:rFonts w:ascii="Arial" w:hAnsi="Arial" w:cs="Arial"/>
                <w:sz w:val="20"/>
                <w:szCs w:val="20"/>
              </w:rPr>
            </w:pPr>
            <w:r w:rsidRPr="000B773B">
              <w:rPr>
                <w:rFonts w:ascii="Arial" w:hAnsi="Arial" w:cs="Arial"/>
                <w:sz w:val="20"/>
                <w:szCs w:val="20"/>
              </w:rPr>
              <w:t>2,980</w:t>
            </w:r>
          </w:p>
        </w:tc>
        <w:tc>
          <w:tcPr>
            <w:tcW w:w="4575" w:type="dxa"/>
            <w:shd w:val="clear" w:color="auto" w:fill="FFFFFF" w:themeFill="background1"/>
            <w:tcMar>
              <w:top w:w="80" w:type="dxa"/>
              <w:left w:w="80" w:type="dxa"/>
              <w:bottom w:w="80" w:type="dxa"/>
              <w:right w:w="80" w:type="dxa"/>
            </w:tcMar>
          </w:tcPr>
          <w:p w14:paraId="2F4B9964"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Original plus supplementary records.</w:t>
            </w:r>
          </w:p>
        </w:tc>
      </w:tr>
      <w:tr w:rsidR="007E77F1" w:rsidRPr="000A2871" w14:paraId="41D8BAFA" w14:textId="77777777" w:rsidTr="001A2D87">
        <w:trPr>
          <w:trHeight w:val="480"/>
        </w:trPr>
        <w:tc>
          <w:tcPr>
            <w:tcW w:w="3180" w:type="dxa"/>
            <w:shd w:val="clear" w:color="auto" w:fill="FFFFFF" w:themeFill="background1"/>
            <w:tcMar>
              <w:top w:w="80" w:type="dxa"/>
              <w:left w:w="80" w:type="dxa"/>
              <w:bottom w:w="80" w:type="dxa"/>
              <w:right w:w="80" w:type="dxa"/>
            </w:tcMar>
          </w:tcPr>
          <w:p w14:paraId="2FF65A47"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Combined unique records</w:t>
            </w:r>
          </w:p>
        </w:tc>
        <w:tc>
          <w:tcPr>
            <w:tcW w:w="1140" w:type="dxa"/>
            <w:shd w:val="clear" w:color="auto" w:fill="FFFFFF" w:themeFill="background1"/>
            <w:tcMar>
              <w:top w:w="80" w:type="dxa"/>
              <w:left w:w="80" w:type="dxa"/>
              <w:bottom w:w="80" w:type="dxa"/>
              <w:right w:w="80" w:type="dxa"/>
            </w:tcMar>
          </w:tcPr>
          <w:p w14:paraId="18F215DD" w14:textId="77777777" w:rsidR="007E77F1" w:rsidRPr="000B773B" w:rsidRDefault="007E77F1" w:rsidP="000A2871">
            <w:pPr>
              <w:spacing w:line="360" w:lineRule="auto"/>
              <w:jc w:val="center"/>
              <w:rPr>
                <w:rFonts w:ascii="Arial" w:hAnsi="Arial" w:cs="Arial"/>
                <w:sz w:val="20"/>
                <w:szCs w:val="20"/>
              </w:rPr>
            </w:pPr>
            <w:r w:rsidRPr="000B773B">
              <w:rPr>
                <w:rFonts w:ascii="Arial" w:hAnsi="Arial" w:cs="Arial"/>
                <w:sz w:val="20"/>
                <w:szCs w:val="20"/>
              </w:rPr>
              <w:t>2,969</w:t>
            </w:r>
          </w:p>
        </w:tc>
        <w:tc>
          <w:tcPr>
            <w:tcW w:w="4575" w:type="dxa"/>
            <w:shd w:val="clear" w:color="auto" w:fill="FFFFFF" w:themeFill="background1"/>
            <w:tcMar>
              <w:top w:w="80" w:type="dxa"/>
              <w:left w:w="80" w:type="dxa"/>
              <w:bottom w:w="80" w:type="dxa"/>
              <w:right w:w="80" w:type="dxa"/>
            </w:tcMar>
          </w:tcPr>
          <w:p w14:paraId="1A3D6F04"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Does not imply a new screening of all records.</w:t>
            </w:r>
          </w:p>
        </w:tc>
      </w:tr>
    </w:tbl>
    <w:p w14:paraId="3289F073"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24E88872" w14:textId="77777777" w:rsidR="001A2D87" w:rsidRDefault="001A2D87">
      <w:pPr>
        <w:rPr>
          <w:rFonts w:ascii="Arial" w:eastAsia="Times New Roman" w:hAnsi="Arial" w:cs="Arial"/>
          <w:b/>
          <w:bCs/>
          <w:color w:val="000000"/>
          <w:sz w:val="34"/>
          <w:szCs w:val="34"/>
        </w:rPr>
      </w:pPr>
      <w:bookmarkStart w:id="244" w:name="_2vj6os2dxzu7" w:colFirst="0" w:colLast="0"/>
      <w:bookmarkEnd w:id="244"/>
      <w:r>
        <w:rPr>
          <w:rFonts w:ascii="Arial" w:hAnsi="Arial" w:cs="Arial"/>
          <w:bCs/>
          <w:sz w:val="34"/>
          <w:szCs w:val="34"/>
        </w:rPr>
        <w:br w:type="page"/>
      </w:r>
    </w:p>
    <w:p w14:paraId="70DA2745" w14:textId="77777777" w:rsidR="007E77F1" w:rsidRPr="000A2871" w:rsidRDefault="007E77F1" w:rsidP="000B773B">
      <w:pPr>
        <w:pStyle w:val="Heading2"/>
        <w:keepNext w:val="0"/>
        <w:keepLines w:val="0"/>
        <w:spacing w:after="80" w:line="360" w:lineRule="auto"/>
        <w:jc w:val="left"/>
        <w:rPr>
          <w:rFonts w:ascii="Arial" w:hAnsi="Arial" w:cs="Arial"/>
          <w:b w:val="0"/>
          <w:bCs/>
          <w:sz w:val="34"/>
          <w:szCs w:val="34"/>
        </w:rPr>
      </w:pPr>
      <w:bookmarkStart w:id="245" w:name="_Toc242459631"/>
      <w:r w:rsidRPr="000A2871">
        <w:rPr>
          <w:rFonts w:ascii="Arial" w:hAnsi="Arial" w:cs="Arial"/>
          <w:bCs/>
          <w:sz w:val="34"/>
          <w:szCs w:val="34"/>
        </w:rPr>
        <w:lastRenderedPageBreak/>
        <w:t>F2 Why the earlier report-stage totals are not reused</w:t>
      </w:r>
      <w:bookmarkEnd w:id="245"/>
    </w:p>
    <w:p w14:paraId="7C216472" w14:textId="77777777" w:rsidR="007E77F1" w:rsidRPr="000A2871" w:rsidRDefault="007E77F1" w:rsidP="000A2871">
      <w:pPr>
        <w:spacing w:after="120" w:line="360" w:lineRule="auto"/>
        <w:rPr>
          <w:rFonts w:ascii="Arial" w:hAnsi="Arial" w:cs="Arial"/>
        </w:rPr>
      </w:pPr>
      <w:r w:rsidRPr="000A2871">
        <w:rPr>
          <w:rFonts w:ascii="Arial" w:hAnsi="Arial" w:cs="Arial"/>
        </w:rPr>
        <w:t>The 378 historically retained records contain the following status combinations. These administrative labels do not establish a complete report-retrieval or full-text eligibility audit.</w:t>
      </w:r>
    </w:p>
    <w:tbl>
      <w:tblPr>
        <w:tblW w:w="8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7185"/>
        <w:gridCol w:w="1710"/>
      </w:tblGrid>
      <w:tr w:rsidR="007E77F1" w:rsidRPr="000A2871" w14:paraId="591E4802" w14:textId="77777777" w:rsidTr="001A2D87">
        <w:trPr>
          <w:trHeight w:val="480"/>
        </w:trPr>
        <w:tc>
          <w:tcPr>
            <w:tcW w:w="7185" w:type="dxa"/>
            <w:shd w:val="clear" w:color="auto" w:fill="FFFFFF" w:themeFill="background1"/>
            <w:tcMar>
              <w:top w:w="80" w:type="dxa"/>
              <w:left w:w="80" w:type="dxa"/>
              <w:bottom w:w="80" w:type="dxa"/>
              <w:right w:w="80" w:type="dxa"/>
            </w:tcMar>
          </w:tcPr>
          <w:p w14:paraId="28175649" w14:textId="77777777" w:rsidR="007E77F1" w:rsidRPr="000B773B" w:rsidRDefault="007E77F1" w:rsidP="000A2871">
            <w:pPr>
              <w:spacing w:line="360" w:lineRule="auto"/>
              <w:rPr>
                <w:rFonts w:ascii="Arial" w:hAnsi="Arial" w:cs="Arial"/>
                <w:b/>
                <w:bCs/>
                <w:sz w:val="20"/>
                <w:szCs w:val="20"/>
              </w:rPr>
            </w:pPr>
            <w:r w:rsidRPr="000B773B">
              <w:rPr>
                <w:rFonts w:ascii="Arial" w:hAnsi="Arial" w:cs="Arial"/>
                <w:b/>
                <w:bCs/>
                <w:sz w:val="20"/>
                <w:szCs w:val="20"/>
              </w:rPr>
              <w:t>Recorded status</w:t>
            </w:r>
          </w:p>
        </w:tc>
        <w:tc>
          <w:tcPr>
            <w:tcW w:w="1710" w:type="dxa"/>
            <w:shd w:val="clear" w:color="auto" w:fill="FFFFFF" w:themeFill="background1"/>
            <w:tcMar>
              <w:top w:w="80" w:type="dxa"/>
              <w:left w:w="80" w:type="dxa"/>
              <w:bottom w:w="80" w:type="dxa"/>
              <w:right w:w="80" w:type="dxa"/>
            </w:tcMar>
          </w:tcPr>
          <w:p w14:paraId="22560583" w14:textId="77777777" w:rsidR="007E77F1" w:rsidRPr="000B773B" w:rsidRDefault="007E77F1" w:rsidP="000A2871">
            <w:pPr>
              <w:spacing w:line="360" w:lineRule="auto"/>
              <w:rPr>
                <w:rFonts w:ascii="Arial" w:hAnsi="Arial" w:cs="Arial"/>
                <w:b/>
                <w:bCs/>
                <w:sz w:val="20"/>
                <w:szCs w:val="20"/>
              </w:rPr>
            </w:pPr>
            <w:r w:rsidRPr="000B773B">
              <w:rPr>
                <w:rFonts w:ascii="Arial" w:hAnsi="Arial" w:cs="Arial"/>
                <w:b/>
                <w:bCs/>
                <w:sz w:val="20"/>
                <w:szCs w:val="20"/>
              </w:rPr>
              <w:t>Number</w:t>
            </w:r>
          </w:p>
        </w:tc>
      </w:tr>
      <w:tr w:rsidR="007E77F1" w:rsidRPr="000A2871" w14:paraId="238E2DF0" w14:textId="77777777" w:rsidTr="001A2D87">
        <w:trPr>
          <w:trHeight w:val="480"/>
        </w:trPr>
        <w:tc>
          <w:tcPr>
            <w:tcW w:w="7185" w:type="dxa"/>
            <w:shd w:val="clear" w:color="auto" w:fill="FFFFFF" w:themeFill="background1"/>
            <w:tcMar>
              <w:top w:w="80" w:type="dxa"/>
              <w:left w:w="80" w:type="dxa"/>
              <w:bottom w:w="80" w:type="dxa"/>
              <w:right w:w="80" w:type="dxa"/>
            </w:tcMar>
          </w:tcPr>
          <w:p w14:paraId="79BD5143"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YES / Include</w:t>
            </w:r>
          </w:p>
        </w:tc>
        <w:tc>
          <w:tcPr>
            <w:tcW w:w="1710" w:type="dxa"/>
            <w:shd w:val="clear" w:color="auto" w:fill="FFFFFF" w:themeFill="background1"/>
            <w:tcMar>
              <w:top w:w="80" w:type="dxa"/>
              <w:left w:w="80" w:type="dxa"/>
              <w:bottom w:w="80" w:type="dxa"/>
              <w:right w:w="80" w:type="dxa"/>
            </w:tcMar>
          </w:tcPr>
          <w:p w14:paraId="6EE35DB0"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61</w:t>
            </w:r>
          </w:p>
        </w:tc>
      </w:tr>
      <w:tr w:rsidR="007E77F1" w:rsidRPr="000A2871" w14:paraId="721EA02B" w14:textId="77777777" w:rsidTr="001A2D87">
        <w:trPr>
          <w:trHeight w:val="480"/>
        </w:trPr>
        <w:tc>
          <w:tcPr>
            <w:tcW w:w="7185" w:type="dxa"/>
            <w:shd w:val="clear" w:color="auto" w:fill="FFFFFF" w:themeFill="background1"/>
            <w:tcMar>
              <w:top w:w="80" w:type="dxa"/>
              <w:left w:w="80" w:type="dxa"/>
              <w:bottom w:w="80" w:type="dxa"/>
              <w:right w:w="80" w:type="dxa"/>
            </w:tcMar>
          </w:tcPr>
          <w:p w14:paraId="2085138D"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YES / Exclude</w:t>
            </w:r>
          </w:p>
        </w:tc>
        <w:tc>
          <w:tcPr>
            <w:tcW w:w="1710" w:type="dxa"/>
            <w:shd w:val="clear" w:color="auto" w:fill="FFFFFF" w:themeFill="background1"/>
            <w:tcMar>
              <w:top w:w="80" w:type="dxa"/>
              <w:left w:w="80" w:type="dxa"/>
              <w:bottom w:w="80" w:type="dxa"/>
              <w:right w:w="80" w:type="dxa"/>
            </w:tcMar>
          </w:tcPr>
          <w:p w14:paraId="2C4BC704"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62</w:t>
            </w:r>
          </w:p>
        </w:tc>
      </w:tr>
      <w:tr w:rsidR="007E77F1" w:rsidRPr="000A2871" w14:paraId="436C998E" w14:textId="77777777" w:rsidTr="001A2D87">
        <w:trPr>
          <w:trHeight w:val="480"/>
        </w:trPr>
        <w:tc>
          <w:tcPr>
            <w:tcW w:w="7185" w:type="dxa"/>
            <w:shd w:val="clear" w:color="auto" w:fill="FFFFFF" w:themeFill="background1"/>
            <w:tcMar>
              <w:top w:w="80" w:type="dxa"/>
              <w:left w:w="80" w:type="dxa"/>
              <w:bottom w:w="80" w:type="dxa"/>
              <w:right w:w="80" w:type="dxa"/>
            </w:tcMar>
          </w:tcPr>
          <w:p w14:paraId="1BF388E9"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Not sought / Exclude</w:t>
            </w:r>
          </w:p>
        </w:tc>
        <w:tc>
          <w:tcPr>
            <w:tcW w:w="1710" w:type="dxa"/>
            <w:shd w:val="clear" w:color="auto" w:fill="FFFFFF" w:themeFill="background1"/>
            <w:tcMar>
              <w:top w:w="80" w:type="dxa"/>
              <w:left w:w="80" w:type="dxa"/>
              <w:bottom w:w="80" w:type="dxa"/>
              <w:right w:w="80" w:type="dxa"/>
            </w:tcMar>
          </w:tcPr>
          <w:p w14:paraId="68D80CB6"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250</w:t>
            </w:r>
          </w:p>
        </w:tc>
      </w:tr>
      <w:tr w:rsidR="007E77F1" w:rsidRPr="000A2871" w14:paraId="25D1CF7B" w14:textId="77777777" w:rsidTr="001A2D87">
        <w:trPr>
          <w:trHeight w:val="480"/>
        </w:trPr>
        <w:tc>
          <w:tcPr>
            <w:tcW w:w="7185" w:type="dxa"/>
            <w:shd w:val="clear" w:color="auto" w:fill="FFFFFF" w:themeFill="background1"/>
            <w:tcMar>
              <w:top w:w="80" w:type="dxa"/>
              <w:left w:w="80" w:type="dxa"/>
              <w:bottom w:w="80" w:type="dxa"/>
              <w:right w:w="80" w:type="dxa"/>
            </w:tcMar>
          </w:tcPr>
          <w:p w14:paraId="384BA498"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Not sought / Pending</w:t>
            </w:r>
          </w:p>
        </w:tc>
        <w:tc>
          <w:tcPr>
            <w:tcW w:w="1710" w:type="dxa"/>
            <w:shd w:val="clear" w:color="auto" w:fill="FFFFFF" w:themeFill="background1"/>
            <w:tcMar>
              <w:top w:w="80" w:type="dxa"/>
              <w:left w:w="80" w:type="dxa"/>
              <w:bottom w:w="80" w:type="dxa"/>
              <w:right w:w="80" w:type="dxa"/>
            </w:tcMar>
          </w:tcPr>
          <w:p w14:paraId="48F6240D"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5</w:t>
            </w:r>
          </w:p>
        </w:tc>
      </w:tr>
      <w:tr w:rsidR="007E77F1" w:rsidRPr="000A2871" w14:paraId="716FB041" w14:textId="77777777" w:rsidTr="001A2D87">
        <w:trPr>
          <w:trHeight w:val="480"/>
        </w:trPr>
        <w:tc>
          <w:tcPr>
            <w:tcW w:w="7185" w:type="dxa"/>
            <w:shd w:val="clear" w:color="auto" w:fill="FFFFFF" w:themeFill="background1"/>
            <w:tcMar>
              <w:top w:w="80" w:type="dxa"/>
              <w:left w:w="80" w:type="dxa"/>
              <w:bottom w:w="80" w:type="dxa"/>
              <w:right w:w="80" w:type="dxa"/>
            </w:tcMar>
          </w:tcPr>
          <w:p w14:paraId="7D116378"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Total</w:t>
            </w:r>
          </w:p>
        </w:tc>
        <w:tc>
          <w:tcPr>
            <w:tcW w:w="1710" w:type="dxa"/>
            <w:shd w:val="clear" w:color="auto" w:fill="FFFFFF" w:themeFill="background1"/>
            <w:tcMar>
              <w:top w:w="80" w:type="dxa"/>
              <w:left w:w="80" w:type="dxa"/>
              <w:bottom w:w="80" w:type="dxa"/>
              <w:right w:w="80" w:type="dxa"/>
            </w:tcMar>
          </w:tcPr>
          <w:p w14:paraId="1F21DEDE"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378</w:t>
            </w:r>
          </w:p>
        </w:tc>
      </w:tr>
    </w:tbl>
    <w:p w14:paraId="64C9A400"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26A56D8B" w14:textId="77777777" w:rsidR="007E77F1" w:rsidRPr="000A2871" w:rsidRDefault="007E77F1" w:rsidP="000A2871">
      <w:pPr>
        <w:spacing w:after="120" w:line="360" w:lineRule="auto"/>
        <w:rPr>
          <w:rFonts w:ascii="Arial" w:hAnsi="Arial" w:cs="Arial"/>
        </w:rPr>
      </w:pPr>
      <w:r w:rsidRPr="000A2871">
        <w:rPr>
          <w:rFonts w:ascii="Arial" w:hAnsi="Arial" w:cs="Arial"/>
        </w:rPr>
        <w:t>The previous dissertation states 123 assessed, 118 excluded and five included. Although those totals are arithmetically compatible, the article-level report exclusions and retrieval history are not supplied. They are retained here as historical claims only. The 255 “Not sought” entries cannot be labelled “reports not retrieved” without documented retrieval attempts. Replacing five with eleven and adjusting exclusions by subtraction would not repair this evidence gap.</w:t>
      </w:r>
    </w:p>
    <w:p w14:paraId="3368234C" w14:textId="77777777" w:rsidR="007E77F1" w:rsidRPr="000A2871" w:rsidRDefault="007E77F1" w:rsidP="000B773B">
      <w:pPr>
        <w:pStyle w:val="Heading2"/>
        <w:keepNext w:val="0"/>
        <w:keepLines w:val="0"/>
        <w:spacing w:after="80" w:line="360" w:lineRule="auto"/>
        <w:jc w:val="left"/>
        <w:rPr>
          <w:rFonts w:ascii="Arial" w:hAnsi="Arial" w:cs="Arial"/>
          <w:b w:val="0"/>
          <w:bCs/>
          <w:sz w:val="34"/>
          <w:szCs w:val="34"/>
        </w:rPr>
      </w:pPr>
      <w:bookmarkStart w:id="246" w:name="_nj0nj0c6b4v6" w:colFirst="0" w:colLast="0"/>
      <w:bookmarkStart w:id="247" w:name="_Toc242459632"/>
      <w:bookmarkEnd w:id="246"/>
      <w:r w:rsidRPr="000A2871">
        <w:rPr>
          <w:rFonts w:ascii="Arial" w:hAnsi="Arial" w:cs="Arial"/>
          <w:bCs/>
          <w:sz w:val="34"/>
          <w:szCs w:val="34"/>
        </w:rPr>
        <w:t>F3 Current focused assessment</w:t>
      </w:r>
      <w:bookmarkEnd w:id="247"/>
    </w:p>
    <w:tbl>
      <w:tblPr>
        <w:tblW w:w="8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090"/>
        <w:gridCol w:w="1155"/>
        <w:gridCol w:w="4635"/>
      </w:tblGrid>
      <w:tr w:rsidR="007E77F1" w:rsidRPr="000A2871" w14:paraId="3EB57D6C" w14:textId="77777777" w:rsidTr="001A2D87">
        <w:trPr>
          <w:trHeight w:val="480"/>
        </w:trPr>
        <w:tc>
          <w:tcPr>
            <w:tcW w:w="3090" w:type="dxa"/>
            <w:shd w:val="clear" w:color="auto" w:fill="FFFFFF" w:themeFill="background1"/>
            <w:tcMar>
              <w:top w:w="80" w:type="dxa"/>
              <w:left w:w="80" w:type="dxa"/>
              <w:bottom w:w="80" w:type="dxa"/>
              <w:right w:w="80" w:type="dxa"/>
            </w:tcMar>
          </w:tcPr>
          <w:p w14:paraId="3D1EDE1F" w14:textId="77777777" w:rsidR="007E77F1" w:rsidRPr="000B773B" w:rsidRDefault="007E77F1" w:rsidP="000A2871">
            <w:pPr>
              <w:spacing w:line="360" w:lineRule="auto"/>
              <w:rPr>
                <w:rFonts w:ascii="Arial" w:hAnsi="Arial" w:cs="Arial"/>
                <w:b/>
                <w:bCs/>
                <w:sz w:val="20"/>
                <w:szCs w:val="20"/>
              </w:rPr>
            </w:pPr>
            <w:r w:rsidRPr="000B773B">
              <w:rPr>
                <w:rFonts w:ascii="Arial" w:hAnsi="Arial" w:cs="Arial"/>
                <w:b/>
                <w:bCs/>
                <w:sz w:val="20"/>
                <w:szCs w:val="20"/>
              </w:rPr>
              <w:t>Decision</w:t>
            </w:r>
          </w:p>
        </w:tc>
        <w:tc>
          <w:tcPr>
            <w:tcW w:w="1155" w:type="dxa"/>
            <w:shd w:val="clear" w:color="auto" w:fill="FFFFFF" w:themeFill="background1"/>
            <w:tcMar>
              <w:top w:w="80" w:type="dxa"/>
              <w:left w:w="80" w:type="dxa"/>
              <w:bottom w:w="80" w:type="dxa"/>
              <w:right w:w="80" w:type="dxa"/>
            </w:tcMar>
          </w:tcPr>
          <w:p w14:paraId="643C17FD" w14:textId="77777777" w:rsidR="007E77F1" w:rsidRPr="000B773B" w:rsidRDefault="007E77F1" w:rsidP="000A2871">
            <w:pPr>
              <w:spacing w:line="360" w:lineRule="auto"/>
              <w:jc w:val="center"/>
              <w:rPr>
                <w:rFonts w:ascii="Arial" w:hAnsi="Arial" w:cs="Arial"/>
                <w:b/>
                <w:bCs/>
                <w:sz w:val="20"/>
                <w:szCs w:val="20"/>
              </w:rPr>
            </w:pPr>
            <w:r w:rsidRPr="000B773B">
              <w:rPr>
                <w:rFonts w:ascii="Arial" w:hAnsi="Arial" w:cs="Arial"/>
                <w:b/>
                <w:bCs/>
                <w:sz w:val="20"/>
                <w:szCs w:val="20"/>
              </w:rPr>
              <w:t>Reports</w:t>
            </w:r>
          </w:p>
        </w:tc>
        <w:tc>
          <w:tcPr>
            <w:tcW w:w="4635" w:type="dxa"/>
            <w:shd w:val="clear" w:color="auto" w:fill="FFFFFF" w:themeFill="background1"/>
            <w:tcMar>
              <w:top w:w="80" w:type="dxa"/>
              <w:left w:w="80" w:type="dxa"/>
              <w:bottom w:w="80" w:type="dxa"/>
              <w:right w:w="80" w:type="dxa"/>
            </w:tcMar>
          </w:tcPr>
          <w:p w14:paraId="70711EBF" w14:textId="77777777" w:rsidR="007E77F1" w:rsidRPr="000B773B" w:rsidRDefault="007E77F1" w:rsidP="000A2871">
            <w:pPr>
              <w:spacing w:line="360" w:lineRule="auto"/>
              <w:rPr>
                <w:rFonts w:ascii="Arial" w:hAnsi="Arial" w:cs="Arial"/>
                <w:b/>
                <w:bCs/>
                <w:sz w:val="20"/>
                <w:szCs w:val="20"/>
              </w:rPr>
            </w:pPr>
            <w:r w:rsidRPr="000B773B">
              <w:rPr>
                <w:rFonts w:ascii="Arial" w:hAnsi="Arial" w:cs="Arial"/>
                <w:b/>
                <w:bCs/>
                <w:sz w:val="20"/>
                <w:szCs w:val="20"/>
              </w:rPr>
              <w:t>Basis</w:t>
            </w:r>
          </w:p>
        </w:tc>
      </w:tr>
      <w:tr w:rsidR="007E77F1" w:rsidRPr="000A2871" w14:paraId="35C30D29" w14:textId="77777777" w:rsidTr="001A2D87">
        <w:trPr>
          <w:trHeight w:val="780"/>
        </w:trPr>
        <w:tc>
          <w:tcPr>
            <w:tcW w:w="3090" w:type="dxa"/>
            <w:shd w:val="clear" w:color="auto" w:fill="FFFFFF" w:themeFill="background1"/>
            <w:tcMar>
              <w:top w:w="80" w:type="dxa"/>
              <w:left w:w="80" w:type="dxa"/>
              <w:bottom w:w="80" w:type="dxa"/>
              <w:right w:w="80" w:type="dxa"/>
            </w:tcMar>
          </w:tcPr>
          <w:p w14:paraId="539971C6"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Assessed</w:t>
            </w:r>
          </w:p>
        </w:tc>
        <w:tc>
          <w:tcPr>
            <w:tcW w:w="1155" w:type="dxa"/>
            <w:shd w:val="clear" w:color="auto" w:fill="FFFFFF" w:themeFill="background1"/>
            <w:tcMar>
              <w:top w:w="80" w:type="dxa"/>
              <w:left w:w="80" w:type="dxa"/>
              <w:bottom w:w="80" w:type="dxa"/>
              <w:right w:w="80" w:type="dxa"/>
            </w:tcMar>
          </w:tcPr>
          <w:p w14:paraId="40AE9517" w14:textId="77777777" w:rsidR="007E77F1" w:rsidRPr="000B773B" w:rsidRDefault="007E77F1" w:rsidP="000A2871">
            <w:pPr>
              <w:spacing w:line="360" w:lineRule="auto"/>
              <w:jc w:val="center"/>
              <w:rPr>
                <w:rFonts w:ascii="Arial" w:hAnsi="Arial" w:cs="Arial"/>
                <w:sz w:val="20"/>
                <w:szCs w:val="20"/>
              </w:rPr>
            </w:pPr>
            <w:r w:rsidRPr="000B773B">
              <w:rPr>
                <w:rFonts w:ascii="Arial" w:hAnsi="Arial" w:cs="Arial"/>
                <w:sz w:val="20"/>
                <w:szCs w:val="20"/>
              </w:rPr>
              <w:t>14</w:t>
            </w:r>
          </w:p>
        </w:tc>
        <w:tc>
          <w:tcPr>
            <w:tcW w:w="4635" w:type="dxa"/>
            <w:shd w:val="clear" w:color="auto" w:fill="FFFFFF" w:themeFill="background1"/>
            <w:tcMar>
              <w:top w:w="80" w:type="dxa"/>
              <w:left w:w="80" w:type="dxa"/>
              <w:bottom w:w="80" w:type="dxa"/>
              <w:right w:w="80" w:type="dxa"/>
            </w:tcMar>
          </w:tcPr>
          <w:p w14:paraId="049A7D3C"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Eleven nominated reports plus three supplementary PubMed reports.</w:t>
            </w:r>
          </w:p>
        </w:tc>
      </w:tr>
      <w:tr w:rsidR="007E77F1" w:rsidRPr="000A2871" w14:paraId="77FBB245" w14:textId="77777777" w:rsidTr="001A2D87">
        <w:trPr>
          <w:trHeight w:val="780"/>
        </w:trPr>
        <w:tc>
          <w:tcPr>
            <w:tcW w:w="3090" w:type="dxa"/>
            <w:shd w:val="clear" w:color="auto" w:fill="FFFFFF" w:themeFill="background1"/>
            <w:tcMar>
              <w:top w:w="80" w:type="dxa"/>
              <w:left w:w="80" w:type="dxa"/>
              <w:bottom w:w="80" w:type="dxa"/>
              <w:right w:w="80" w:type="dxa"/>
            </w:tcMar>
          </w:tcPr>
          <w:p w14:paraId="16DCB7BD"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Synthesis contributors</w:t>
            </w:r>
          </w:p>
        </w:tc>
        <w:tc>
          <w:tcPr>
            <w:tcW w:w="1155" w:type="dxa"/>
            <w:shd w:val="clear" w:color="auto" w:fill="FFFFFF" w:themeFill="background1"/>
            <w:tcMar>
              <w:top w:w="80" w:type="dxa"/>
              <w:left w:w="80" w:type="dxa"/>
              <w:bottom w:w="80" w:type="dxa"/>
              <w:right w:w="80" w:type="dxa"/>
            </w:tcMar>
          </w:tcPr>
          <w:p w14:paraId="2C8178F8" w14:textId="77777777" w:rsidR="007E77F1" w:rsidRPr="000B773B" w:rsidRDefault="007E77F1" w:rsidP="000A2871">
            <w:pPr>
              <w:spacing w:line="360" w:lineRule="auto"/>
              <w:jc w:val="center"/>
              <w:rPr>
                <w:rFonts w:ascii="Arial" w:hAnsi="Arial" w:cs="Arial"/>
                <w:sz w:val="20"/>
                <w:szCs w:val="20"/>
              </w:rPr>
            </w:pPr>
            <w:r w:rsidRPr="000B773B">
              <w:rPr>
                <w:rFonts w:ascii="Arial" w:hAnsi="Arial" w:cs="Arial"/>
                <w:sz w:val="20"/>
                <w:szCs w:val="20"/>
              </w:rPr>
              <w:t>11</w:t>
            </w:r>
          </w:p>
        </w:tc>
        <w:tc>
          <w:tcPr>
            <w:tcW w:w="4635" w:type="dxa"/>
            <w:shd w:val="clear" w:color="auto" w:fill="FFFFFF" w:themeFill="background1"/>
            <w:tcMar>
              <w:top w:w="80" w:type="dxa"/>
              <w:left w:w="80" w:type="dxa"/>
              <w:bottom w:w="80" w:type="dxa"/>
              <w:right w:w="80" w:type="dxa"/>
            </w:tcMar>
          </w:tcPr>
          <w:p w14:paraId="7E0A9B7B"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Six whole samples and five restricted sets of younger accounts.</w:t>
            </w:r>
          </w:p>
        </w:tc>
      </w:tr>
      <w:tr w:rsidR="007E77F1" w:rsidRPr="000A2871" w14:paraId="3F04ADB8" w14:textId="77777777" w:rsidTr="001A2D87">
        <w:trPr>
          <w:trHeight w:val="780"/>
        </w:trPr>
        <w:tc>
          <w:tcPr>
            <w:tcW w:w="3090" w:type="dxa"/>
            <w:shd w:val="clear" w:color="auto" w:fill="FFFFFF" w:themeFill="background1"/>
            <w:tcMar>
              <w:top w:w="80" w:type="dxa"/>
              <w:left w:w="80" w:type="dxa"/>
              <w:bottom w:w="80" w:type="dxa"/>
              <w:right w:w="80" w:type="dxa"/>
            </w:tcMar>
          </w:tcPr>
          <w:p w14:paraId="0DF2F330"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Contextual only</w:t>
            </w:r>
          </w:p>
        </w:tc>
        <w:tc>
          <w:tcPr>
            <w:tcW w:w="1155" w:type="dxa"/>
            <w:shd w:val="clear" w:color="auto" w:fill="FFFFFF" w:themeFill="background1"/>
            <w:tcMar>
              <w:top w:w="80" w:type="dxa"/>
              <w:left w:w="80" w:type="dxa"/>
              <w:bottom w:w="80" w:type="dxa"/>
              <w:right w:w="80" w:type="dxa"/>
            </w:tcMar>
          </w:tcPr>
          <w:p w14:paraId="3C681E21" w14:textId="77777777" w:rsidR="007E77F1" w:rsidRPr="000B773B" w:rsidRDefault="007E77F1" w:rsidP="000A2871">
            <w:pPr>
              <w:spacing w:line="360" w:lineRule="auto"/>
              <w:jc w:val="center"/>
              <w:rPr>
                <w:rFonts w:ascii="Arial" w:hAnsi="Arial" w:cs="Arial"/>
                <w:sz w:val="20"/>
                <w:szCs w:val="20"/>
              </w:rPr>
            </w:pPr>
            <w:r w:rsidRPr="000B773B">
              <w:rPr>
                <w:rFonts w:ascii="Arial" w:hAnsi="Arial" w:cs="Arial"/>
                <w:sz w:val="20"/>
                <w:szCs w:val="20"/>
              </w:rPr>
              <w:t>3</w:t>
            </w:r>
          </w:p>
        </w:tc>
        <w:tc>
          <w:tcPr>
            <w:tcW w:w="4635" w:type="dxa"/>
            <w:shd w:val="clear" w:color="auto" w:fill="FFFFFF" w:themeFill="background1"/>
            <w:tcMar>
              <w:top w:w="80" w:type="dxa"/>
              <w:left w:w="80" w:type="dxa"/>
              <w:bottom w:w="80" w:type="dxa"/>
              <w:right w:w="80" w:type="dxa"/>
            </w:tcMar>
          </w:tcPr>
          <w:p w14:paraId="0158997B"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Tyrrell and Hafiz: age attribution; Easton: exclusive UK location not explicit.</w:t>
            </w:r>
          </w:p>
        </w:tc>
      </w:tr>
      <w:tr w:rsidR="007E77F1" w:rsidRPr="000A2871" w14:paraId="6F6A9F05" w14:textId="77777777" w:rsidTr="001A2D87">
        <w:trPr>
          <w:trHeight w:val="780"/>
        </w:trPr>
        <w:tc>
          <w:tcPr>
            <w:tcW w:w="3090" w:type="dxa"/>
            <w:shd w:val="clear" w:color="auto" w:fill="FFFFFF" w:themeFill="background1"/>
            <w:tcMar>
              <w:top w:w="80" w:type="dxa"/>
              <w:left w:w="80" w:type="dxa"/>
              <w:bottom w:w="80" w:type="dxa"/>
              <w:right w:w="80" w:type="dxa"/>
            </w:tcMar>
          </w:tcPr>
          <w:p w14:paraId="318941DD"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CASP appraisals</w:t>
            </w:r>
          </w:p>
        </w:tc>
        <w:tc>
          <w:tcPr>
            <w:tcW w:w="1155" w:type="dxa"/>
            <w:shd w:val="clear" w:color="auto" w:fill="FFFFFF" w:themeFill="background1"/>
            <w:tcMar>
              <w:top w:w="80" w:type="dxa"/>
              <w:left w:w="80" w:type="dxa"/>
              <w:bottom w:w="80" w:type="dxa"/>
              <w:right w:w="80" w:type="dxa"/>
            </w:tcMar>
          </w:tcPr>
          <w:p w14:paraId="79B08E4D" w14:textId="77777777" w:rsidR="007E77F1" w:rsidRPr="000B773B" w:rsidRDefault="007E77F1" w:rsidP="000A2871">
            <w:pPr>
              <w:spacing w:line="360" w:lineRule="auto"/>
              <w:jc w:val="center"/>
              <w:rPr>
                <w:rFonts w:ascii="Arial" w:hAnsi="Arial" w:cs="Arial"/>
                <w:sz w:val="20"/>
                <w:szCs w:val="20"/>
              </w:rPr>
            </w:pPr>
            <w:r w:rsidRPr="000B773B">
              <w:rPr>
                <w:rFonts w:ascii="Arial" w:hAnsi="Arial" w:cs="Arial"/>
                <w:sz w:val="20"/>
                <w:szCs w:val="20"/>
              </w:rPr>
              <w:t>14</w:t>
            </w:r>
          </w:p>
        </w:tc>
        <w:tc>
          <w:tcPr>
            <w:tcW w:w="4635" w:type="dxa"/>
            <w:shd w:val="clear" w:color="auto" w:fill="FFFFFF" w:themeFill="background1"/>
            <w:tcMar>
              <w:top w:w="80" w:type="dxa"/>
              <w:left w:w="80" w:type="dxa"/>
              <w:bottom w:w="80" w:type="dxa"/>
              <w:right w:w="80" w:type="dxa"/>
            </w:tcMar>
          </w:tcPr>
          <w:p w14:paraId="05502A12" w14:textId="77777777" w:rsidR="007E77F1" w:rsidRPr="000B773B" w:rsidRDefault="007E77F1" w:rsidP="000A2871">
            <w:pPr>
              <w:spacing w:line="360" w:lineRule="auto"/>
              <w:rPr>
                <w:rFonts w:ascii="Arial" w:hAnsi="Arial" w:cs="Arial"/>
                <w:sz w:val="20"/>
                <w:szCs w:val="20"/>
              </w:rPr>
            </w:pPr>
            <w:r w:rsidRPr="000B773B">
              <w:rPr>
                <w:rFonts w:ascii="Arial" w:hAnsi="Arial" w:cs="Arial"/>
                <w:sz w:val="20"/>
                <w:szCs w:val="20"/>
              </w:rPr>
              <w:t>Every assessed report appraised, irrespective of synthesis use.</w:t>
            </w:r>
          </w:p>
        </w:tc>
      </w:tr>
    </w:tbl>
    <w:p w14:paraId="686382A4" w14:textId="77777777" w:rsidR="007E77F1" w:rsidRPr="000A2871" w:rsidRDefault="007E77F1" w:rsidP="000A2871">
      <w:pPr>
        <w:spacing w:line="360" w:lineRule="auto"/>
        <w:rPr>
          <w:rFonts w:ascii="Arial" w:hAnsi="Arial" w:cs="Arial"/>
        </w:rPr>
      </w:pPr>
      <w:r w:rsidRPr="000A2871">
        <w:rPr>
          <w:rFonts w:ascii="Arial" w:hAnsi="Arial" w:cs="Arial"/>
        </w:rPr>
        <w:t xml:space="preserve"> </w:t>
      </w:r>
    </w:p>
    <w:p w14:paraId="4C97C949" w14:textId="77777777" w:rsidR="007E77F1" w:rsidRPr="000A2871" w:rsidRDefault="007E77F1" w:rsidP="000B773B">
      <w:pPr>
        <w:pStyle w:val="Heading2"/>
        <w:keepNext w:val="0"/>
        <w:keepLines w:val="0"/>
        <w:spacing w:after="80" w:line="360" w:lineRule="auto"/>
        <w:jc w:val="left"/>
        <w:rPr>
          <w:rFonts w:ascii="Arial" w:hAnsi="Arial" w:cs="Arial"/>
          <w:b w:val="0"/>
          <w:bCs/>
          <w:sz w:val="34"/>
          <w:szCs w:val="34"/>
        </w:rPr>
      </w:pPr>
      <w:bookmarkStart w:id="248" w:name="_v2e65dvnioco" w:colFirst="0" w:colLast="0"/>
      <w:bookmarkStart w:id="249" w:name="_Toc242459633"/>
      <w:bookmarkEnd w:id="248"/>
      <w:r w:rsidRPr="000A2871">
        <w:rPr>
          <w:rFonts w:ascii="Arial" w:hAnsi="Arial" w:cs="Arial"/>
          <w:bCs/>
          <w:sz w:val="34"/>
          <w:szCs w:val="34"/>
        </w:rPr>
        <w:lastRenderedPageBreak/>
        <w:t>F4 Documented review decisions</w:t>
      </w:r>
      <w:bookmarkEnd w:id="249"/>
    </w:p>
    <w:p w14:paraId="7611CB16" w14:textId="77777777" w:rsidR="007E77F1" w:rsidRPr="000A2871" w:rsidRDefault="007E77F1" w:rsidP="000A2871">
      <w:pPr>
        <w:spacing w:after="120" w:line="360" w:lineRule="auto"/>
        <w:rPr>
          <w:rFonts w:ascii="Arial" w:hAnsi="Arial" w:cs="Arial"/>
        </w:rPr>
      </w:pPr>
      <w:r w:rsidRPr="000A2871">
        <w:rPr>
          <w:rFonts w:ascii="Arial" w:hAnsi="Arial" w:cs="Arial"/>
        </w:rPr>
        <w:t>The title and research focus remain ages 18–24. Studies with a reported 18–25 sample are accepted; their actual ages are retained. This removes the earlier within-study restrictions applied solely because Berry, Tang or Scott included age 25.</w:t>
      </w:r>
    </w:p>
    <w:p w14:paraId="23A8F578" w14:textId="77777777" w:rsidR="007E77F1" w:rsidRPr="000A2871" w:rsidRDefault="007E77F1" w:rsidP="000A2871">
      <w:pPr>
        <w:spacing w:after="120" w:line="360" w:lineRule="auto"/>
        <w:rPr>
          <w:rFonts w:ascii="Arial" w:hAnsi="Arial" w:cs="Arial"/>
        </w:rPr>
      </w:pPr>
      <w:r w:rsidRPr="000A2871">
        <w:rPr>
          <w:rFonts w:ascii="Arial" w:hAnsi="Arial" w:cs="Arial"/>
        </w:rPr>
        <w:t>Broader samples require attributable younger findings. Rodrigues, Orlando, Hawkes, Trahearn and Hunter have explicit extraction boundaries in Appendix B. Hunter remains tentative because its demographic table and quotation labels disagree; P17 is omitted and the interpretation is checked with the report removed.</w:t>
      </w:r>
    </w:p>
    <w:p w14:paraId="23DDB46B" w14:textId="77777777" w:rsidR="007E77F1" w:rsidRPr="000A2871" w:rsidRDefault="007E77F1" w:rsidP="000A2871">
      <w:pPr>
        <w:spacing w:after="120" w:line="360" w:lineRule="auto"/>
        <w:rPr>
          <w:rFonts w:ascii="Arial" w:hAnsi="Arial" w:cs="Arial"/>
        </w:rPr>
      </w:pPr>
      <w:r w:rsidRPr="000A2871">
        <w:rPr>
          <w:rFonts w:ascii="Arial" w:hAnsi="Arial" w:cs="Arial"/>
        </w:rPr>
        <w:t>S0001–S0003 identify additional PubMed reports, not retrospectively assigned positions in the original export. All three search sources remain unchanged.</w:t>
      </w:r>
    </w:p>
    <w:p w14:paraId="0B5F2CB7" w14:textId="77777777" w:rsidR="007E77F1" w:rsidRPr="000A2871" w:rsidRDefault="007E77F1" w:rsidP="000A2871">
      <w:pPr>
        <w:spacing w:after="120" w:line="360" w:lineRule="auto"/>
        <w:rPr>
          <w:rFonts w:ascii="Arial" w:hAnsi="Arial" w:cs="Arial"/>
        </w:rPr>
      </w:pPr>
      <w:r w:rsidRPr="000A2871">
        <w:rPr>
          <w:rFonts w:ascii="Arial" w:hAnsi="Arial" w:cs="Arial"/>
        </w:rPr>
        <w:t>The remaining audit task is to link each historically retained record to retrieval status, a full-text decision and a specific exclusion reason where applicable, then reconcile reports and studies. Until then, Figure 4.1 is a PRISMA-informed account with an explicit gap, rather than a fully verified conventional flow.</w:t>
      </w:r>
    </w:p>
    <w:p w14:paraId="5D4312AA" w14:textId="77777777" w:rsidR="007E77F1" w:rsidRPr="000A2871" w:rsidRDefault="007E77F1" w:rsidP="000A2871">
      <w:pPr>
        <w:spacing w:after="120" w:line="360" w:lineRule="auto"/>
        <w:rPr>
          <w:rFonts w:ascii="Arial" w:hAnsi="Arial" w:cs="Arial"/>
        </w:rPr>
      </w:pPr>
      <w:r w:rsidRPr="000A2871">
        <w:rPr>
          <w:rFonts w:ascii="Arial" w:hAnsi="Arial" w:cs="Arial"/>
        </w:rPr>
        <w:t>No independent second reviewer, protocol registration, institutional approval number or author clarification is asserted without documentation. These limits should remain visible when the dissertation is reviewed.</w:t>
      </w:r>
    </w:p>
    <w:p w14:paraId="32A4E6B4" w14:textId="77777777" w:rsidR="000B773B" w:rsidRDefault="000B773B">
      <w:pPr>
        <w:rPr>
          <w:rFonts w:ascii="Arial" w:eastAsia="Times New Roman" w:hAnsi="Arial" w:cs="Arial"/>
          <w:b/>
          <w:bCs/>
          <w:color w:val="000000"/>
          <w:sz w:val="46"/>
          <w:szCs w:val="46"/>
        </w:rPr>
      </w:pPr>
      <w:bookmarkStart w:id="250" w:name="_nd96j83ntnn7" w:colFirst="0" w:colLast="0"/>
      <w:bookmarkEnd w:id="250"/>
      <w:r>
        <w:rPr>
          <w:rFonts w:ascii="Arial" w:hAnsi="Arial" w:cs="Arial"/>
          <w:bCs/>
          <w:sz w:val="46"/>
          <w:szCs w:val="46"/>
        </w:rPr>
        <w:br w:type="page"/>
      </w:r>
    </w:p>
    <w:sectPr w:rsidR="000B773B" w:rsidSect="00295D22">
      <w:footerReference w:type="even" r:id="rId15"/>
      <w:footerReference w:type="default" r:id="rId16"/>
      <w:footerReference w:type="first" r:id="rId17"/>
      <w:pgSz w:w="11906" w:h="16838"/>
      <w:pgMar w:top="1304" w:right="1440" w:bottom="1304" w:left="1440" w:header="624" w:footer="62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6AF2E" w14:textId="77777777" w:rsidR="00F30D8E" w:rsidRDefault="00F30D8E">
      <w:pPr>
        <w:spacing w:after="0" w:line="240" w:lineRule="auto"/>
      </w:pPr>
      <w:r>
        <w:separator/>
      </w:r>
    </w:p>
  </w:endnote>
  <w:endnote w:type="continuationSeparator" w:id="0">
    <w:p w14:paraId="753D09E8" w14:textId="77777777" w:rsidR="00F30D8E" w:rsidRDefault="00F30D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ourier">
    <w:panose1 w:val="02070409020205020404"/>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9AA3E"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7C34BA27" w14:textId="77777777" w:rsidR="009A1B64" w:rsidRDefault="007446D0">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B207A"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B69E3F4" w14:textId="0DEB4A5A" w:rsidR="009A1B64" w:rsidRDefault="00A7430F">
    <w:pPr>
      <w:tabs>
        <w:tab w:val="center" w:pos="4405"/>
      </w:tabs>
      <w:spacing w:after="0"/>
    </w:pPr>
    <w:r>
      <w:rPr>
        <w:rFonts w:ascii="Calibri" w:eastAsia="Calibri" w:hAnsi="Calibri" w:cs="Calibri"/>
      </w:rPr>
      <w:t>Bisma Amin</w:t>
    </w:r>
    <w:r w:rsidR="007446D0">
      <w:rPr>
        <w:rFonts w:ascii="Calibri" w:eastAsia="Calibri" w:hAnsi="Calibri" w:cs="Calibri"/>
      </w:rPr>
      <w:t xml:space="preserve"> </w:t>
    </w:r>
    <w:r w:rsidR="007446D0">
      <w:rPr>
        <w:rFonts w:ascii="Calibri" w:eastAsia="Calibri" w:hAnsi="Calibri" w:cs="Calibri"/>
      </w:rPr>
      <w:tab/>
      <w:t xml:space="preserve">Dissertation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F907E"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EB72DA1" w14:textId="77777777" w:rsidR="009A1B64" w:rsidRDefault="007446D0">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02F57" w14:textId="77777777" w:rsidR="00F30D8E" w:rsidRDefault="00F30D8E">
      <w:pPr>
        <w:spacing w:after="0" w:line="240" w:lineRule="auto"/>
      </w:pPr>
      <w:r>
        <w:separator/>
      </w:r>
    </w:p>
  </w:footnote>
  <w:footnote w:type="continuationSeparator" w:id="0">
    <w:p w14:paraId="5E00B5F8" w14:textId="77777777" w:rsidR="00F30D8E" w:rsidRDefault="00F30D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9C1025"/>
    <w:multiLevelType w:val="multilevel"/>
    <w:tmpl w:val="F98278FE"/>
    <w:lvl w:ilvl="0">
      <w:start w:val="1"/>
      <w:numFmt w:val="decimal"/>
      <w:lvlText w:val="%1.0"/>
      <w:lvlJc w:val="left"/>
      <w:pPr>
        <w:ind w:left="570" w:hanging="570"/>
      </w:pPr>
      <w:rPr>
        <w:rFonts w:hint="default"/>
      </w:rPr>
    </w:lvl>
    <w:lvl w:ilvl="1">
      <w:start w:val="1"/>
      <w:numFmt w:val="decimal"/>
      <w:lvlText w:val="%1.%2"/>
      <w:lvlJc w:val="left"/>
      <w:pPr>
        <w:ind w:left="1290" w:hanging="57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4AB13F4C"/>
    <w:multiLevelType w:val="multilevel"/>
    <w:tmpl w:val="2486A5E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280" w:hanging="2520"/>
      </w:pPr>
      <w:rPr>
        <w:rFonts w:hint="default"/>
      </w:rPr>
    </w:lvl>
  </w:abstractNum>
  <w:abstractNum w:abstractNumId="8" w15:restartNumberingAfterBreak="0">
    <w:nsid w:val="6B800143"/>
    <w:multiLevelType w:val="hybridMultilevel"/>
    <w:tmpl w:val="FFFFFFFF"/>
    <w:lvl w:ilvl="0" w:tplc="464EB112">
      <w:start w:val="1"/>
      <w:numFmt w:val="decimal"/>
      <w:lvlText w:val="%1."/>
      <w:lvlJc w:val="left"/>
      <w:pPr>
        <w:ind w:left="720" w:hanging="360"/>
      </w:pPr>
    </w:lvl>
    <w:lvl w:ilvl="1" w:tplc="87DA6048">
      <w:start w:val="1"/>
      <w:numFmt w:val="lowerLetter"/>
      <w:lvlText w:val="%2."/>
      <w:lvlJc w:val="left"/>
      <w:pPr>
        <w:ind w:left="1440" w:hanging="360"/>
      </w:pPr>
    </w:lvl>
    <w:lvl w:ilvl="2" w:tplc="4834644C">
      <w:start w:val="1"/>
      <w:numFmt w:val="lowerRoman"/>
      <w:lvlText w:val="%3."/>
      <w:lvlJc w:val="right"/>
      <w:pPr>
        <w:ind w:left="2160" w:hanging="180"/>
      </w:pPr>
    </w:lvl>
    <w:lvl w:ilvl="3" w:tplc="206C43FC">
      <w:start w:val="1"/>
      <w:numFmt w:val="decimal"/>
      <w:lvlText w:val="%4."/>
      <w:lvlJc w:val="left"/>
      <w:pPr>
        <w:ind w:left="2880" w:hanging="360"/>
      </w:pPr>
    </w:lvl>
    <w:lvl w:ilvl="4" w:tplc="6534D9CE">
      <w:start w:val="1"/>
      <w:numFmt w:val="lowerLetter"/>
      <w:lvlText w:val="%5."/>
      <w:lvlJc w:val="left"/>
      <w:pPr>
        <w:ind w:left="3600" w:hanging="360"/>
      </w:pPr>
    </w:lvl>
    <w:lvl w:ilvl="5" w:tplc="2CF4DA60">
      <w:start w:val="1"/>
      <w:numFmt w:val="lowerRoman"/>
      <w:lvlText w:val="%6."/>
      <w:lvlJc w:val="right"/>
      <w:pPr>
        <w:ind w:left="4320" w:hanging="180"/>
      </w:pPr>
    </w:lvl>
    <w:lvl w:ilvl="6" w:tplc="3D90120C">
      <w:start w:val="1"/>
      <w:numFmt w:val="decimal"/>
      <w:lvlText w:val="%7."/>
      <w:lvlJc w:val="left"/>
      <w:pPr>
        <w:ind w:left="5040" w:hanging="360"/>
      </w:pPr>
    </w:lvl>
    <w:lvl w:ilvl="7" w:tplc="CFA8072E">
      <w:start w:val="1"/>
      <w:numFmt w:val="lowerLetter"/>
      <w:lvlText w:val="%8."/>
      <w:lvlJc w:val="left"/>
      <w:pPr>
        <w:ind w:left="5760" w:hanging="360"/>
      </w:pPr>
    </w:lvl>
    <w:lvl w:ilvl="8" w:tplc="C5306BFA">
      <w:start w:val="1"/>
      <w:numFmt w:val="lowerRoman"/>
      <w:lvlText w:val="%9."/>
      <w:lvlJc w:val="right"/>
      <w:pPr>
        <w:ind w:left="6480" w:hanging="180"/>
      </w:pPr>
    </w:lvl>
  </w:abstractNum>
  <w:abstractNum w:abstractNumId="9" w15:restartNumberingAfterBreak="0">
    <w:nsid w:val="7F41F963"/>
    <w:multiLevelType w:val="hybridMultilevel"/>
    <w:tmpl w:val="FFFFFFFF"/>
    <w:lvl w:ilvl="0" w:tplc="529E029E">
      <w:start w:val="1"/>
      <w:numFmt w:val="bullet"/>
      <w:lvlText w:val=""/>
      <w:lvlJc w:val="left"/>
      <w:pPr>
        <w:ind w:left="720" w:hanging="360"/>
      </w:pPr>
      <w:rPr>
        <w:rFonts w:ascii="Symbol" w:hAnsi="Symbol" w:hint="default"/>
      </w:rPr>
    </w:lvl>
    <w:lvl w:ilvl="1" w:tplc="D63C6466">
      <w:start w:val="1"/>
      <w:numFmt w:val="lowerLetter"/>
      <w:lvlText w:val="%2."/>
      <w:lvlJc w:val="left"/>
      <w:pPr>
        <w:ind w:left="1440" w:hanging="360"/>
      </w:pPr>
    </w:lvl>
    <w:lvl w:ilvl="2" w:tplc="15106BF0">
      <w:start w:val="1"/>
      <w:numFmt w:val="lowerRoman"/>
      <w:lvlText w:val="%3."/>
      <w:lvlJc w:val="right"/>
      <w:pPr>
        <w:ind w:left="2160" w:hanging="180"/>
      </w:pPr>
    </w:lvl>
    <w:lvl w:ilvl="3" w:tplc="372296CC">
      <w:start w:val="1"/>
      <w:numFmt w:val="decimal"/>
      <w:lvlText w:val="%4."/>
      <w:lvlJc w:val="left"/>
      <w:pPr>
        <w:ind w:left="2880" w:hanging="360"/>
      </w:pPr>
    </w:lvl>
    <w:lvl w:ilvl="4" w:tplc="80DE3940">
      <w:start w:val="1"/>
      <w:numFmt w:val="lowerLetter"/>
      <w:lvlText w:val="%5."/>
      <w:lvlJc w:val="left"/>
      <w:pPr>
        <w:ind w:left="3600" w:hanging="360"/>
      </w:pPr>
    </w:lvl>
    <w:lvl w:ilvl="5" w:tplc="A3A475C6">
      <w:start w:val="1"/>
      <w:numFmt w:val="lowerRoman"/>
      <w:lvlText w:val="%6."/>
      <w:lvlJc w:val="right"/>
      <w:pPr>
        <w:ind w:left="4320" w:hanging="180"/>
      </w:pPr>
    </w:lvl>
    <w:lvl w:ilvl="6" w:tplc="C3E4B1FC">
      <w:start w:val="1"/>
      <w:numFmt w:val="decimal"/>
      <w:lvlText w:val="%7."/>
      <w:lvlJc w:val="left"/>
      <w:pPr>
        <w:ind w:left="5040" w:hanging="360"/>
      </w:pPr>
    </w:lvl>
    <w:lvl w:ilvl="7" w:tplc="B7F82522">
      <w:start w:val="1"/>
      <w:numFmt w:val="lowerLetter"/>
      <w:lvlText w:val="%8."/>
      <w:lvlJc w:val="left"/>
      <w:pPr>
        <w:ind w:left="5760" w:hanging="360"/>
      </w:pPr>
    </w:lvl>
    <w:lvl w:ilvl="8" w:tplc="F05A5B18">
      <w:start w:val="1"/>
      <w:numFmt w:val="lowerRoman"/>
      <w:lvlText w:val="%9."/>
      <w:lvlJc w:val="right"/>
      <w:pPr>
        <w:ind w:left="6480" w:hanging="180"/>
      </w:pPr>
    </w:lvl>
  </w:abstractNum>
  <w:num w:numId="1" w16cid:durableId="29377893">
    <w:abstractNumId w:val="9"/>
  </w:num>
  <w:num w:numId="2" w16cid:durableId="14113457">
    <w:abstractNumId w:val="8"/>
  </w:num>
  <w:num w:numId="3" w16cid:durableId="987444152">
    <w:abstractNumId w:val="5"/>
  </w:num>
  <w:num w:numId="4" w16cid:durableId="1030685216">
    <w:abstractNumId w:val="3"/>
  </w:num>
  <w:num w:numId="5" w16cid:durableId="1078601229">
    <w:abstractNumId w:val="2"/>
  </w:num>
  <w:num w:numId="6" w16cid:durableId="2028873487">
    <w:abstractNumId w:val="4"/>
  </w:num>
  <w:num w:numId="7" w16cid:durableId="1526405265">
    <w:abstractNumId w:val="1"/>
  </w:num>
  <w:num w:numId="8" w16cid:durableId="1795634839">
    <w:abstractNumId w:val="0"/>
  </w:num>
  <w:num w:numId="9" w16cid:durableId="1928883812">
    <w:abstractNumId w:val="7"/>
  </w:num>
  <w:num w:numId="10" w16cid:durableId="298846994">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4C5"/>
    <w:rsid w:val="00003DF7"/>
    <w:rsid w:val="0001057B"/>
    <w:rsid w:val="00011D22"/>
    <w:rsid w:val="000122D7"/>
    <w:rsid w:val="00013A07"/>
    <w:rsid w:val="0001402A"/>
    <w:rsid w:val="00015050"/>
    <w:rsid w:val="000158BD"/>
    <w:rsid w:val="00016587"/>
    <w:rsid w:val="0002232C"/>
    <w:rsid w:val="00023BC5"/>
    <w:rsid w:val="00023E85"/>
    <w:rsid w:val="0002545A"/>
    <w:rsid w:val="000259F8"/>
    <w:rsid w:val="00031011"/>
    <w:rsid w:val="0003125E"/>
    <w:rsid w:val="00031387"/>
    <w:rsid w:val="000324EA"/>
    <w:rsid w:val="00036692"/>
    <w:rsid w:val="00037B45"/>
    <w:rsid w:val="00040579"/>
    <w:rsid w:val="0004068A"/>
    <w:rsid w:val="00040CEE"/>
    <w:rsid w:val="0004216B"/>
    <w:rsid w:val="000421FC"/>
    <w:rsid w:val="00042507"/>
    <w:rsid w:val="00042A2E"/>
    <w:rsid w:val="000434A3"/>
    <w:rsid w:val="00043989"/>
    <w:rsid w:val="000449F8"/>
    <w:rsid w:val="00050F37"/>
    <w:rsid w:val="00051F83"/>
    <w:rsid w:val="000521B9"/>
    <w:rsid w:val="00052DDE"/>
    <w:rsid w:val="00053458"/>
    <w:rsid w:val="00053B8C"/>
    <w:rsid w:val="00053E51"/>
    <w:rsid w:val="000555DE"/>
    <w:rsid w:val="000570EB"/>
    <w:rsid w:val="00061492"/>
    <w:rsid w:val="000628C3"/>
    <w:rsid w:val="000646E5"/>
    <w:rsid w:val="00065E24"/>
    <w:rsid w:val="000662E2"/>
    <w:rsid w:val="00066778"/>
    <w:rsid w:val="00066B71"/>
    <w:rsid w:val="0007014F"/>
    <w:rsid w:val="00073E67"/>
    <w:rsid w:val="00074D4C"/>
    <w:rsid w:val="00080667"/>
    <w:rsid w:val="00082BA0"/>
    <w:rsid w:val="0008425D"/>
    <w:rsid w:val="000843C8"/>
    <w:rsid w:val="000847DD"/>
    <w:rsid w:val="000854DD"/>
    <w:rsid w:val="00085B66"/>
    <w:rsid w:val="00087014"/>
    <w:rsid w:val="0009247A"/>
    <w:rsid w:val="0009301B"/>
    <w:rsid w:val="00094786"/>
    <w:rsid w:val="00094D0B"/>
    <w:rsid w:val="00097808"/>
    <w:rsid w:val="00097B68"/>
    <w:rsid w:val="000A1091"/>
    <w:rsid w:val="000A2871"/>
    <w:rsid w:val="000A5D75"/>
    <w:rsid w:val="000A5DCA"/>
    <w:rsid w:val="000A6F72"/>
    <w:rsid w:val="000A7C6A"/>
    <w:rsid w:val="000B198A"/>
    <w:rsid w:val="000B2DBF"/>
    <w:rsid w:val="000B37AC"/>
    <w:rsid w:val="000B546A"/>
    <w:rsid w:val="000B5C4A"/>
    <w:rsid w:val="000B773B"/>
    <w:rsid w:val="000C1ED9"/>
    <w:rsid w:val="000C39D5"/>
    <w:rsid w:val="000C5937"/>
    <w:rsid w:val="000C62A4"/>
    <w:rsid w:val="000D0AF5"/>
    <w:rsid w:val="000D283A"/>
    <w:rsid w:val="000D3911"/>
    <w:rsid w:val="000D42DF"/>
    <w:rsid w:val="000D54BF"/>
    <w:rsid w:val="000D5B2C"/>
    <w:rsid w:val="000D5B73"/>
    <w:rsid w:val="000D5C0A"/>
    <w:rsid w:val="000D5E64"/>
    <w:rsid w:val="000D73EB"/>
    <w:rsid w:val="000E0498"/>
    <w:rsid w:val="000E12E3"/>
    <w:rsid w:val="000E143F"/>
    <w:rsid w:val="000E2C21"/>
    <w:rsid w:val="000E39DD"/>
    <w:rsid w:val="000E47BA"/>
    <w:rsid w:val="000E53D6"/>
    <w:rsid w:val="000E6443"/>
    <w:rsid w:val="000E7278"/>
    <w:rsid w:val="000E75EF"/>
    <w:rsid w:val="000F0629"/>
    <w:rsid w:val="000F0AC3"/>
    <w:rsid w:val="000F0B3F"/>
    <w:rsid w:val="000F31ED"/>
    <w:rsid w:val="000F3235"/>
    <w:rsid w:val="000F32A3"/>
    <w:rsid w:val="000F3638"/>
    <w:rsid w:val="000F3BBD"/>
    <w:rsid w:val="000F44DD"/>
    <w:rsid w:val="000F6C6A"/>
    <w:rsid w:val="000F716A"/>
    <w:rsid w:val="0010078D"/>
    <w:rsid w:val="00103102"/>
    <w:rsid w:val="00103236"/>
    <w:rsid w:val="0010393C"/>
    <w:rsid w:val="001049F3"/>
    <w:rsid w:val="00104C68"/>
    <w:rsid w:val="00106E9E"/>
    <w:rsid w:val="0010755C"/>
    <w:rsid w:val="00110019"/>
    <w:rsid w:val="001107AB"/>
    <w:rsid w:val="00111038"/>
    <w:rsid w:val="00112184"/>
    <w:rsid w:val="00113227"/>
    <w:rsid w:val="00113366"/>
    <w:rsid w:val="0011389B"/>
    <w:rsid w:val="00115DB4"/>
    <w:rsid w:val="001167EF"/>
    <w:rsid w:val="001189A7"/>
    <w:rsid w:val="00120C7F"/>
    <w:rsid w:val="00121C80"/>
    <w:rsid w:val="0012247B"/>
    <w:rsid w:val="001224F8"/>
    <w:rsid w:val="0012323B"/>
    <w:rsid w:val="001236DF"/>
    <w:rsid w:val="00125EB7"/>
    <w:rsid w:val="00126AAF"/>
    <w:rsid w:val="00131960"/>
    <w:rsid w:val="00131CB8"/>
    <w:rsid w:val="0013224D"/>
    <w:rsid w:val="00132D39"/>
    <w:rsid w:val="00132F14"/>
    <w:rsid w:val="00133E43"/>
    <w:rsid w:val="00135C24"/>
    <w:rsid w:val="00135E62"/>
    <w:rsid w:val="00136E95"/>
    <w:rsid w:val="001370FF"/>
    <w:rsid w:val="001411E9"/>
    <w:rsid w:val="00142F4B"/>
    <w:rsid w:val="00144B9E"/>
    <w:rsid w:val="00150FDE"/>
    <w:rsid w:val="00151810"/>
    <w:rsid w:val="00151D2F"/>
    <w:rsid w:val="00151EB3"/>
    <w:rsid w:val="00152C6D"/>
    <w:rsid w:val="00153E00"/>
    <w:rsid w:val="00154299"/>
    <w:rsid w:val="00154D86"/>
    <w:rsid w:val="00160B91"/>
    <w:rsid w:val="00160E05"/>
    <w:rsid w:val="0016131F"/>
    <w:rsid w:val="00161D9C"/>
    <w:rsid w:val="0016316D"/>
    <w:rsid w:val="00163762"/>
    <w:rsid w:val="0016416F"/>
    <w:rsid w:val="001650D0"/>
    <w:rsid w:val="00170C78"/>
    <w:rsid w:val="00174025"/>
    <w:rsid w:val="00174F60"/>
    <w:rsid w:val="00177D7E"/>
    <w:rsid w:val="00180F8A"/>
    <w:rsid w:val="00181C44"/>
    <w:rsid w:val="001834BF"/>
    <w:rsid w:val="00192259"/>
    <w:rsid w:val="00192D0E"/>
    <w:rsid w:val="0019332A"/>
    <w:rsid w:val="001938CB"/>
    <w:rsid w:val="00193E3D"/>
    <w:rsid w:val="00197101"/>
    <w:rsid w:val="00197CD6"/>
    <w:rsid w:val="00197E52"/>
    <w:rsid w:val="001A0FCC"/>
    <w:rsid w:val="001A2D87"/>
    <w:rsid w:val="001A2F55"/>
    <w:rsid w:val="001A327F"/>
    <w:rsid w:val="001A33C2"/>
    <w:rsid w:val="001A49BE"/>
    <w:rsid w:val="001A51F9"/>
    <w:rsid w:val="001A6BB0"/>
    <w:rsid w:val="001B0D7D"/>
    <w:rsid w:val="001B2FA5"/>
    <w:rsid w:val="001B3FFB"/>
    <w:rsid w:val="001C2F3F"/>
    <w:rsid w:val="001C3D9E"/>
    <w:rsid w:val="001C56BA"/>
    <w:rsid w:val="001C5965"/>
    <w:rsid w:val="001C79BC"/>
    <w:rsid w:val="001D42B0"/>
    <w:rsid w:val="001D4612"/>
    <w:rsid w:val="001D4898"/>
    <w:rsid w:val="001D4EFF"/>
    <w:rsid w:val="001D55FF"/>
    <w:rsid w:val="001D6707"/>
    <w:rsid w:val="001D6C5B"/>
    <w:rsid w:val="001E45CE"/>
    <w:rsid w:val="001E63C3"/>
    <w:rsid w:val="001E79FD"/>
    <w:rsid w:val="001E7A51"/>
    <w:rsid w:val="001F12E0"/>
    <w:rsid w:val="001F1920"/>
    <w:rsid w:val="001F1E89"/>
    <w:rsid w:val="001F3019"/>
    <w:rsid w:val="001F40E4"/>
    <w:rsid w:val="001F5D13"/>
    <w:rsid w:val="001F70C1"/>
    <w:rsid w:val="001F73C5"/>
    <w:rsid w:val="001F7E7C"/>
    <w:rsid w:val="002000A0"/>
    <w:rsid w:val="0020139C"/>
    <w:rsid w:val="00201F1C"/>
    <w:rsid w:val="002024DD"/>
    <w:rsid w:val="0020253E"/>
    <w:rsid w:val="00202A0D"/>
    <w:rsid w:val="00204AA7"/>
    <w:rsid w:val="00204DE2"/>
    <w:rsid w:val="00207B85"/>
    <w:rsid w:val="00212EE2"/>
    <w:rsid w:val="00212FCE"/>
    <w:rsid w:val="0021310D"/>
    <w:rsid w:val="00213D7C"/>
    <w:rsid w:val="002147F3"/>
    <w:rsid w:val="0021629D"/>
    <w:rsid w:val="00216F5F"/>
    <w:rsid w:val="00220C7B"/>
    <w:rsid w:val="0022259E"/>
    <w:rsid w:val="00223408"/>
    <w:rsid w:val="00226722"/>
    <w:rsid w:val="00226EDC"/>
    <w:rsid w:val="00226FB9"/>
    <w:rsid w:val="00232B2F"/>
    <w:rsid w:val="00233C02"/>
    <w:rsid w:val="002343C5"/>
    <w:rsid w:val="0023497E"/>
    <w:rsid w:val="00234A26"/>
    <w:rsid w:val="00234B8C"/>
    <w:rsid w:val="00240441"/>
    <w:rsid w:val="00242D0F"/>
    <w:rsid w:val="0025299C"/>
    <w:rsid w:val="0025468D"/>
    <w:rsid w:val="00254A8D"/>
    <w:rsid w:val="00255CBD"/>
    <w:rsid w:val="00256FED"/>
    <w:rsid w:val="0025772A"/>
    <w:rsid w:val="00261293"/>
    <w:rsid w:val="00261BA9"/>
    <w:rsid w:val="00261F6E"/>
    <w:rsid w:val="0026239C"/>
    <w:rsid w:val="00262C28"/>
    <w:rsid w:val="00262CFA"/>
    <w:rsid w:val="0026719F"/>
    <w:rsid w:val="00270705"/>
    <w:rsid w:val="002732A8"/>
    <w:rsid w:val="00273D1C"/>
    <w:rsid w:val="0027492C"/>
    <w:rsid w:val="00274A40"/>
    <w:rsid w:val="002757F2"/>
    <w:rsid w:val="002775AD"/>
    <w:rsid w:val="00277D12"/>
    <w:rsid w:val="00280700"/>
    <w:rsid w:val="002808E6"/>
    <w:rsid w:val="00281B65"/>
    <w:rsid w:val="00282FE6"/>
    <w:rsid w:val="002832FE"/>
    <w:rsid w:val="00283744"/>
    <w:rsid w:val="00285163"/>
    <w:rsid w:val="002871A1"/>
    <w:rsid w:val="0029430C"/>
    <w:rsid w:val="00295A43"/>
    <w:rsid w:val="00295D22"/>
    <w:rsid w:val="00297311"/>
    <w:rsid w:val="00297948"/>
    <w:rsid w:val="00297CD8"/>
    <w:rsid w:val="002A0316"/>
    <w:rsid w:val="002A11C4"/>
    <w:rsid w:val="002A2301"/>
    <w:rsid w:val="002A3057"/>
    <w:rsid w:val="002A5F32"/>
    <w:rsid w:val="002A64FB"/>
    <w:rsid w:val="002A6E10"/>
    <w:rsid w:val="002A70C2"/>
    <w:rsid w:val="002A73ED"/>
    <w:rsid w:val="002A7C4E"/>
    <w:rsid w:val="002B04A6"/>
    <w:rsid w:val="002B0829"/>
    <w:rsid w:val="002B1EC2"/>
    <w:rsid w:val="002B3407"/>
    <w:rsid w:val="002B523E"/>
    <w:rsid w:val="002B6A37"/>
    <w:rsid w:val="002B7C9F"/>
    <w:rsid w:val="002C0CC2"/>
    <w:rsid w:val="002C1803"/>
    <w:rsid w:val="002C1A6E"/>
    <w:rsid w:val="002C30B1"/>
    <w:rsid w:val="002C33A4"/>
    <w:rsid w:val="002C4896"/>
    <w:rsid w:val="002C4B52"/>
    <w:rsid w:val="002C74D1"/>
    <w:rsid w:val="002D086B"/>
    <w:rsid w:val="002D0B00"/>
    <w:rsid w:val="002D1C93"/>
    <w:rsid w:val="002D1DBB"/>
    <w:rsid w:val="002D202B"/>
    <w:rsid w:val="002D20F1"/>
    <w:rsid w:val="002D266D"/>
    <w:rsid w:val="002D39F6"/>
    <w:rsid w:val="002D539C"/>
    <w:rsid w:val="002D62D9"/>
    <w:rsid w:val="002D6E14"/>
    <w:rsid w:val="002E051E"/>
    <w:rsid w:val="002E1060"/>
    <w:rsid w:val="002E149C"/>
    <w:rsid w:val="002E2F32"/>
    <w:rsid w:val="002E32E0"/>
    <w:rsid w:val="002E3B7A"/>
    <w:rsid w:val="002E3F7F"/>
    <w:rsid w:val="002E4A7B"/>
    <w:rsid w:val="002E7D4D"/>
    <w:rsid w:val="002F1E4A"/>
    <w:rsid w:val="002F21D8"/>
    <w:rsid w:val="002F23BC"/>
    <w:rsid w:val="002F2AF2"/>
    <w:rsid w:val="002F2D6A"/>
    <w:rsid w:val="002F2D8A"/>
    <w:rsid w:val="002F33AE"/>
    <w:rsid w:val="002F367E"/>
    <w:rsid w:val="002F498C"/>
    <w:rsid w:val="002F4F23"/>
    <w:rsid w:val="002F508A"/>
    <w:rsid w:val="00300514"/>
    <w:rsid w:val="003006E6"/>
    <w:rsid w:val="00301020"/>
    <w:rsid w:val="00301772"/>
    <w:rsid w:val="00301DA0"/>
    <w:rsid w:val="00302F17"/>
    <w:rsid w:val="003032DB"/>
    <w:rsid w:val="00303B85"/>
    <w:rsid w:val="00305221"/>
    <w:rsid w:val="00305CCC"/>
    <w:rsid w:val="00306042"/>
    <w:rsid w:val="00307B6B"/>
    <w:rsid w:val="00310D93"/>
    <w:rsid w:val="00312EB2"/>
    <w:rsid w:val="00312FDC"/>
    <w:rsid w:val="00314F85"/>
    <w:rsid w:val="0031517F"/>
    <w:rsid w:val="003156A1"/>
    <w:rsid w:val="0031657F"/>
    <w:rsid w:val="00320567"/>
    <w:rsid w:val="0032180C"/>
    <w:rsid w:val="0032202F"/>
    <w:rsid w:val="00322CA6"/>
    <w:rsid w:val="00323FDC"/>
    <w:rsid w:val="00324274"/>
    <w:rsid w:val="0032433F"/>
    <w:rsid w:val="0032444C"/>
    <w:rsid w:val="00324585"/>
    <w:rsid w:val="00324F55"/>
    <w:rsid w:val="0032660D"/>
    <w:rsid w:val="003300F0"/>
    <w:rsid w:val="00331F66"/>
    <w:rsid w:val="00333465"/>
    <w:rsid w:val="0033686C"/>
    <w:rsid w:val="00336DE8"/>
    <w:rsid w:val="00337A41"/>
    <w:rsid w:val="00343C7B"/>
    <w:rsid w:val="00346792"/>
    <w:rsid w:val="00347D1F"/>
    <w:rsid w:val="003500C9"/>
    <w:rsid w:val="00350441"/>
    <w:rsid w:val="0035062A"/>
    <w:rsid w:val="00351A8B"/>
    <w:rsid w:val="00353215"/>
    <w:rsid w:val="00353890"/>
    <w:rsid w:val="00353FD8"/>
    <w:rsid w:val="00355F99"/>
    <w:rsid w:val="0035746F"/>
    <w:rsid w:val="00357624"/>
    <w:rsid w:val="00357746"/>
    <w:rsid w:val="0036068D"/>
    <w:rsid w:val="003631C8"/>
    <w:rsid w:val="003639C9"/>
    <w:rsid w:val="00363C57"/>
    <w:rsid w:val="00363EC3"/>
    <w:rsid w:val="00363F9F"/>
    <w:rsid w:val="00364ECC"/>
    <w:rsid w:val="003658DB"/>
    <w:rsid w:val="0036612E"/>
    <w:rsid w:val="0037061E"/>
    <w:rsid w:val="00371751"/>
    <w:rsid w:val="003745E6"/>
    <w:rsid w:val="00376164"/>
    <w:rsid w:val="00377016"/>
    <w:rsid w:val="003772F4"/>
    <w:rsid w:val="00380821"/>
    <w:rsid w:val="00380882"/>
    <w:rsid w:val="00380A79"/>
    <w:rsid w:val="00380AEF"/>
    <w:rsid w:val="003812C9"/>
    <w:rsid w:val="003822ED"/>
    <w:rsid w:val="00384CEA"/>
    <w:rsid w:val="00390F24"/>
    <w:rsid w:val="0039161F"/>
    <w:rsid w:val="00391F6C"/>
    <w:rsid w:val="00393964"/>
    <w:rsid w:val="00394266"/>
    <w:rsid w:val="00394AE8"/>
    <w:rsid w:val="00395AEE"/>
    <w:rsid w:val="00395BA4"/>
    <w:rsid w:val="00396E09"/>
    <w:rsid w:val="00397563"/>
    <w:rsid w:val="003A11D4"/>
    <w:rsid w:val="003A24E8"/>
    <w:rsid w:val="003A3136"/>
    <w:rsid w:val="003A31C1"/>
    <w:rsid w:val="003A32F9"/>
    <w:rsid w:val="003A4419"/>
    <w:rsid w:val="003A4A24"/>
    <w:rsid w:val="003A751E"/>
    <w:rsid w:val="003A7B92"/>
    <w:rsid w:val="003A7C22"/>
    <w:rsid w:val="003B007D"/>
    <w:rsid w:val="003B0DE3"/>
    <w:rsid w:val="003B2683"/>
    <w:rsid w:val="003B414F"/>
    <w:rsid w:val="003B4C7D"/>
    <w:rsid w:val="003B52A1"/>
    <w:rsid w:val="003B70F0"/>
    <w:rsid w:val="003C2735"/>
    <w:rsid w:val="003C35D2"/>
    <w:rsid w:val="003C45B2"/>
    <w:rsid w:val="003C4751"/>
    <w:rsid w:val="003C7E07"/>
    <w:rsid w:val="003C7EC7"/>
    <w:rsid w:val="003D011D"/>
    <w:rsid w:val="003D1910"/>
    <w:rsid w:val="003D2701"/>
    <w:rsid w:val="003D37D2"/>
    <w:rsid w:val="003D4DD7"/>
    <w:rsid w:val="003D5C07"/>
    <w:rsid w:val="003D5E90"/>
    <w:rsid w:val="003D68B7"/>
    <w:rsid w:val="003E2698"/>
    <w:rsid w:val="003E2BF2"/>
    <w:rsid w:val="003E3670"/>
    <w:rsid w:val="003E3A7A"/>
    <w:rsid w:val="003E41A8"/>
    <w:rsid w:val="003E46EE"/>
    <w:rsid w:val="003E5043"/>
    <w:rsid w:val="003E7136"/>
    <w:rsid w:val="003E721E"/>
    <w:rsid w:val="003E7921"/>
    <w:rsid w:val="003F056E"/>
    <w:rsid w:val="003F21E9"/>
    <w:rsid w:val="003F335D"/>
    <w:rsid w:val="003F3477"/>
    <w:rsid w:val="003F3B5A"/>
    <w:rsid w:val="003F3CF4"/>
    <w:rsid w:val="003F3FF5"/>
    <w:rsid w:val="003F44AB"/>
    <w:rsid w:val="003F4D0E"/>
    <w:rsid w:val="003F5440"/>
    <w:rsid w:val="003F6114"/>
    <w:rsid w:val="00402619"/>
    <w:rsid w:val="004028B5"/>
    <w:rsid w:val="00402AF0"/>
    <w:rsid w:val="00402C16"/>
    <w:rsid w:val="00404BF1"/>
    <w:rsid w:val="0040578B"/>
    <w:rsid w:val="00405C89"/>
    <w:rsid w:val="0040635D"/>
    <w:rsid w:val="0040774F"/>
    <w:rsid w:val="00407A77"/>
    <w:rsid w:val="0041074E"/>
    <w:rsid w:val="00411D70"/>
    <w:rsid w:val="0041503F"/>
    <w:rsid w:val="0041516B"/>
    <w:rsid w:val="00415B45"/>
    <w:rsid w:val="004168B0"/>
    <w:rsid w:val="00421989"/>
    <w:rsid w:val="00421E7B"/>
    <w:rsid w:val="0042293B"/>
    <w:rsid w:val="00423064"/>
    <w:rsid w:val="0042376A"/>
    <w:rsid w:val="0042389D"/>
    <w:rsid w:val="0042427F"/>
    <w:rsid w:val="0042538C"/>
    <w:rsid w:val="0043160E"/>
    <w:rsid w:val="00434098"/>
    <w:rsid w:val="00434467"/>
    <w:rsid w:val="00436EE0"/>
    <w:rsid w:val="0043771B"/>
    <w:rsid w:val="004379A1"/>
    <w:rsid w:val="00437AB9"/>
    <w:rsid w:val="00437F80"/>
    <w:rsid w:val="004400FB"/>
    <w:rsid w:val="00442FFD"/>
    <w:rsid w:val="00443D42"/>
    <w:rsid w:val="00444923"/>
    <w:rsid w:val="004457DB"/>
    <w:rsid w:val="00446373"/>
    <w:rsid w:val="00450317"/>
    <w:rsid w:val="0045056A"/>
    <w:rsid w:val="00451B13"/>
    <w:rsid w:val="00451D32"/>
    <w:rsid w:val="004528E6"/>
    <w:rsid w:val="00453C69"/>
    <w:rsid w:val="00454790"/>
    <w:rsid w:val="004550C1"/>
    <w:rsid w:val="0045677B"/>
    <w:rsid w:val="00457759"/>
    <w:rsid w:val="00460C4E"/>
    <w:rsid w:val="00461F59"/>
    <w:rsid w:val="00463C0E"/>
    <w:rsid w:val="00465F6B"/>
    <w:rsid w:val="00466174"/>
    <w:rsid w:val="0046624C"/>
    <w:rsid w:val="00471152"/>
    <w:rsid w:val="0047165A"/>
    <w:rsid w:val="00474AE6"/>
    <w:rsid w:val="00476D3C"/>
    <w:rsid w:val="00477B00"/>
    <w:rsid w:val="0048297A"/>
    <w:rsid w:val="00485625"/>
    <w:rsid w:val="00486154"/>
    <w:rsid w:val="004904B6"/>
    <w:rsid w:val="00490D35"/>
    <w:rsid w:val="00491AAE"/>
    <w:rsid w:val="00493EB2"/>
    <w:rsid w:val="00494DE2"/>
    <w:rsid w:val="004961FF"/>
    <w:rsid w:val="004A01EC"/>
    <w:rsid w:val="004A3123"/>
    <w:rsid w:val="004A3AE9"/>
    <w:rsid w:val="004A4D74"/>
    <w:rsid w:val="004A5E03"/>
    <w:rsid w:val="004B24C7"/>
    <w:rsid w:val="004B27B5"/>
    <w:rsid w:val="004B7D6C"/>
    <w:rsid w:val="004C1E4F"/>
    <w:rsid w:val="004C39F8"/>
    <w:rsid w:val="004C6E10"/>
    <w:rsid w:val="004C7929"/>
    <w:rsid w:val="004C7A96"/>
    <w:rsid w:val="004D083D"/>
    <w:rsid w:val="004D18C1"/>
    <w:rsid w:val="004D39D0"/>
    <w:rsid w:val="004D3F24"/>
    <w:rsid w:val="004D4D79"/>
    <w:rsid w:val="004D7974"/>
    <w:rsid w:val="004D7F4A"/>
    <w:rsid w:val="004E1590"/>
    <w:rsid w:val="004E1E56"/>
    <w:rsid w:val="004E3675"/>
    <w:rsid w:val="004E3A81"/>
    <w:rsid w:val="004E3E07"/>
    <w:rsid w:val="004E629F"/>
    <w:rsid w:val="004F147F"/>
    <w:rsid w:val="004F3C13"/>
    <w:rsid w:val="004F57E4"/>
    <w:rsid w:val="004F65CF"/>
    <w:rsid w:val="004F6EEE"/>
    <w:rsid w:val="004F7F82"/>
    <w:rsid w:val="005026A0"/>
    <w:rsid w:val="00504B28"/>
    <w:rsid w:val="00510CA4"/>
    <w:rsid w:val="005112A5"/>
    <w:rsid w:val="005121CC"/>
    <w:rsid w:val="005166F8"/>
    <w:rsid w:val="00516810"/>
    <w:rsid w:val="005204C6"/>
    <w:rsid w:val="00521CE9"/>
    <w:rsid w:val="00521EFD"/>
    <w:rsid w:val="00523F59"/>
    <w:rsid w:val="00524495"/>
    <w:rsid w:val="00524E0D"/>
    <w:rsid w:val="00530D18"/>
    <w:rsid w:val="00536AC7"/>
    <w:rsid w:val="00537816"/>
    <w:rsid w:val="005414AF"/>
    <w:rsid w:val="00542423"/>
    <w:rsid w:val="005427A3"/>
    <w:rsid w:val="00543227"/>
    <w:rsid w:val="00544545"/>
    <w:rsid w:val="0054619E"/>
    <w:rsid w:val="0054704F"/>
    <w:rsid w:val="00551096"/>
    <w:rsid w:val="005523E1"/>
    <w:rsid w:val="00554B8B"/>
    <w:rsid w:val="00562487"/>
    <w:rsid w:val="00562793"/>
    <w:rsid w:val="00562B50"/>
    <w:rsid w:val="00562BBD"/>
    <w:rsid w:val="0056590C"/>
    <w:rsid w:val="0056717B"/>
    <w:rsid w:val="00567487"/>
    <w:rsid w:val="00570154"/>
    <w:rsid w:val="00572381"/>
    <w:rsid w:val="0057360C"/>
    <w:rsid w:val="00574C03"/>
    <w:rsid w:val="00575E38"/>
    <w:rsid w:val="00576ADA"/>
    <w:rsid w:val="0057750C"/>
    <w:rsid w:val="00577D93"/>
    <w:rsid w:val="00580576"/>
    <w:rsid w:val="00585F88"/>
    <w:rsid w:val="00586129"/>
    <w:rsid w:val="00586878"/>
    <w:rsid w:val="0058764A"/>
    <w:rsid w:val="005876D8"/>
    <w:rsid w:val="005933FC"/>
    <w:rsid w:val="00594DA5"/>
    <w:rsid w:val="00595421"/>
    <w:rsid w:val="00595CC3"/>
    <w:rsid w:val="00595F6E"/>
    <w:rsid w:val="00597C95"/>
    <w:rsid w:val="005A1C71"/>
    <w:rsid w:val="005A2027"/>
    <w:rsid w:val="005A205F"/>
    <w:rsid w:val="005A26FE"/>
    <w:rsid w:val="005A299E"/>
    <w:rsid w:val="005A2E85"/>
    <w:rsid w:val="005A7D54"/>
    <w:rsid w:val="005B0036"/>
    <w:rsid w:val="005B57C8"/>
    <w:rsid w:val="005B6C9A"/>
    <w:rsid w:val="005C01CC"/>
    <w:rsid w:val="005C2202"/>
    <w:rsid w:val="005C2366"/>
    <w:rsid w:val="005C2DF1"/>
    <w:rsid w:val="005C5D1F"/>
    <w:rsid w:val="005C5FE3"/>
    <w:rsid w:val="005C6C73"/>
    <w:rsid w:val="005C7D1B"/>
    <w:rsid w:val="005D120F"/>
    <w:rsid w:val="005D13E7"/>
    <w:rsid w:val="005D3099"/>
    <w:rsid w:val="005D4525"/>
    <w:rsid w:val="005D623E"/>
    <w:rsid w:val="005D6B97"/>
    <w:rsid w:val="005E1D7D"/>
    <w:rsid w:val="005E22EF"/>
    <w:rsid w:val="005E3397"/>
    <w:rsid w:val="005E40A1"/>
    <w:rsid w:val="005E433D"/>
    <w:rsid w:val="005E5612"/>
    <w:rsid w:val="005E6D2B"/>
    <w:rsid w:val="005E6E8F"/>
    <w:rsid w:val="005E7557"/>
    <w:rsid w:val="005F1952"/>
    <w:rsid w:val="005F233D"/>
    <w:rsid w:val="005F3F22"/>
    <w:rsid w:val="005F62D6"/>
    <w:rsid w:val="005F78B2"/>
    <w:rsid w:val="005F7A39"/>
    <w:rsid w:val="00603342"/>
    <w:rsid w:val="00604C31"/>
    <w:rsid w:val="00604C4D"/>
    <w:rsid w:val="00607CDE"/>
    <w:rsid w:val="00607FE6"/>
    <w:rsid w:val="00611C6B"/>
    <w:rsid w:val="00612B5B"/>
    <w:rsid w:val="00612B85"/>
    <w:rsid w:val="00613EC9"/>
    <w:rsid w:val="00614F3B"/>
    <w:rsid w:val="0061539A"/>
    <w:rsid w:val="006158EF"/>
    <w:rsid w:val="00615B00"/>
    <w:rsid w:val="00615DFA"/>
    <w:rsid w:val="006165D5"/>
    <w:rsid w:val="00616FCE"/>
    <w:rsid w:val="00623708"/>
    <w:rsid w:val="00623C0E"/>
    <w:rsid w:val="00624EBE"/>
    <w:rsid w:val="006265EE"/>
    <w:rsid w:val="00627A87"/>
    <w:rsid w:val="00632119"/>
    <w:rsid w:val="00632355"/>
    <w:rsid w:val="00632BD8"/>
    <w:rsid w:val="00633010"/>
    <w:rsid w:val="00634044"/>
    <w:rsid w:val="00634755"/>
    <w:rsid w:val="0063485B"/>
    <w:rsid w:val="00635363"/>
    <w:rsid w:val="00637093"/>
    <w:rsid w:val="006418B5"/>
    <w:rsid w:val="00642BB3"/>
    <w:rsid w:val="0064329D"/>
    <w:rsid w:val="00646730"/>
    <w:rsid w:val="00650137"/>
    <w:rsid w:val="00650386"/>
    <w:rsid w:val="006509C9"/>
    <w:rsid w:val="00652449"/>
    <w:rsid w:val="00656B1D"/>
    <w:rsid w:val="00657475"/>
    <w:rsid w:val="00660136"/>
    <w:rsid w:val="00660290"/>
    <w:rsid w:val="00660B4A"/>
    <w:rsid w:val="00661B5F"/>
    <w:rsid w:val="006622A8"/>
    <w:rsid w:val="00665DEB"/>
    <w:rsid w:val="00667591"/>
    <w:rsid w:val="0067114A"/>
    <w:rsid w:val="00671A00"/>
    <w:rsid w:val="00671B14"/>
    <w:rsid w:val="006731FC"/>
    <w:rsid w:val="006746F9"/>
    <w:rsid w:val="006748CE"/>
    <w:rsid w:val="00675309"/>
    <w:rsid w:val="00676C2C"/>
    <w:rsid w:val="00676C86"/>
    <w:rsid w:val="0067706D"/>
    <w:rsid w:val="00677F77"/>
    <w:rsid w:val="0068143F"/>
    <w:rsid w:val="00682895"/>
    <w:rsid w:val="006837A0"/>
    <w:rsid w:val="006843D9"/>
    <w:rsid w:val="00686777"/>
    <w:rsid w:val="00687AF7"/>
    <w:rsid w:val="00687B5B"/>
    <w:rsid w:val="00692D3E"/>
    <w:rsid w:val="00692FDD"/>
    <w:rsid w:val="00694F2B"/>
    <w:rsid w:val="006950EB"/>
    <w:rsid w:val="00695C25"/>
    <w:rsid w:val="006A1B81"/>
    <w:rsid w:val="006A2B63"/>
    <w:rsid w:val="006A6D38"/>
    <w:rsid w:val="006B10B1"/>
    <w:rsid w:val="006B148D"/>
    <w:rsid w:val="006B2168"/>
    <w:rsid w:val="006B338E"/>
    <w:rsid w:val="006B473E"/>
    <w:rsid w:val="006B657E"/>
    <w:rsid w:val="006B78AC"/>
    <w:rsid w:val="006C004C"/>
    <w:rsid w:val="006C5B2C"/>
    <w:rsid w:val="006C6A2A"/>
    <w:rsid w:val="006C6E42"/>
    <w:rsid w:val="006C7047"/>
    <w:rsid w:val="006C7179"/>
    <w:rsid w:val="006C77A4"/>
    <w:rsid w:val="006C793A"/>
    <w:rsid w:val="006C7E98"/>
    <w:rsid w:val="006D0B02"/>
    <w:rsid w:val="006D2206"/>
    <w:rsid w:val="006D665F"/>
    <w:rsid w:val="006D7F16"/>
    <w:rsid w:val="006E4624"/>
    <w:rsid w:val="006E4B91"/>
    <w:rsid w:val="006E4FD7"/>
    <w:rsid w:val="006E556C"/>
    <w:rsid w:val="006E5C3F"/>
    <w:rsid w:val="006E66D9"/>
    <w:rsid w:val="006E7960"/>
    <w:rsid w:val="006F0717"/>
    <w:rsid w:val="006F36B0"/>
    <w:rsid w:val="006F3F1E"/>
    <w:rsid w:val="006F47B5"/>
    <w:rsid w:val="006F52A2"/>
    <w:rsid w:val="0070279F"/>
    <w:rsid w:val="00703313"/>
    <w:rsid w:val="0070454A"/>
    <w:rsid w:val="00705170"/>
    <w:rsid w:val="007051EA"/>
    <w:rsid w:val="00705C23"/>
    <w:rsid w:val="00707258"/>
    <w:rsid w:val="0070760A"/>
    <w:rsid w:val="00710095"/>
    <w:rsid w:val="007117CC"/>
    <w:rsid w:val="0071489E"/>
    <w:rsid w:val="007149D1"/>
    <w:rsid w:val="0072142D"/>
    <w:rsid w:val="00721F91"/>
    <w:rsid w:val="007232C3"/>
    <w:rsid w:val="0072491D"/>
    <w:rsid w:val="00726583"/>
    <w:rsid w:val="00726638"/>
    <w:rsid w:val="007275EA"/>
    <w:rsid w:val="00730F0F"/>
    <w:rsid w:val="00730F6E"/>
    <w:rsid w:val="007322CC"/>
    <w:rsid w:val="00733265"/>
    <w:rsid w:val="00733852"/>
    <w:rsid w:val="0073398D"/>
    <w:rsid w:val="007372C0"/>
    <w:rsid w:val="00740763"/>
    <w:rsid w:val="00740C4A"/>
    <w:rsid w:val="00741A4F"/>
    <w:rsid w:val="007446D0"/>
    <w:rsid w:val="007452AB"/>
    <w:rsid w:val="007458CD"/>
    <w:rsid w:val="00745FE7"/>
    <w:rsid w:val="00750B5F"/>
    <w:rsid w:val="00751535"/>
    <w:rsid w:val="00752894"/>
    <w:rsid w:val="007533FE"/>
    <w:rsid w:val="007540CF"/>
    <w:rsid w:val="007545C8"/>
    <w:rsid w:val="00754DD4"/>
    <w:rsid w:val="00754E65"/>
    <w:rsid w:val="00756E4A"/>
    <w:rsid w:val="00760250"/>
    <w:rsid w:val="007616F8"/>
    <w:rsid w:val="007635BF"/>
    <w:rsid w:val="0076398D"/>
    <w:rsid w:val="00763C19"/>
    <w:rsid w:val="007641E3"/>
    <w:rsid w:val="00765AE4"/>
    <w:rsid w:val="00766D4A"/>
    <w:rsid w:val="00770DB3"/>
    <w:rsid w:val="007717C4"/>
    <w:rsid w:val="00772576"/>
    <w:rsid w:val="00772D11"/>
    <w:rsid w:val="00774931"/>
    <w:rsid w:val="0077566D"/>
    <w:rsid w:val="00775D14"/>
    <w:rsid w:val="007811CC"/>
    <w:rsid w:val="007816E4"/>
    <w:rsid w:val="00782A67"/>
    <w:rsid w:val="00782CB4"/>
    <w:rsid w:val="007843AD"/>
    <w:rsid w:val="00785599"/>
    <w:rsid w:val="0078567B"/>
    <w:rsid w:val="007916A8"/>
    <w:rsid w:val="00791C33"/>
    <w:rsid w:val="0079248F"/>
    <w:rsid w:val="00793645"/>
    <w:rsid w:val="007938E6"/>
    <w:rsid w:val="00794A77"/>
    <w:rsid w:val="0079568C"/>
    <w:rsid w:val="00795EF6"/>
    <w:rsid w:val="00796F99"/>
    <w:rsid w:val="007A068D"/>
    <w:rsid w:val="007A0DAE"/>
    <w:rsid w:val="007A1081"/>
    <w:rsid w:val="007A1485"/>
    <w:rsid w:val="007A14AF"/>
    <w:rsid w:val="007A153B"/>
    <w:rsid w:val="007A3590"/>
    <w:rsid w:val="007A396F"/>
    <w:rsid w:val="007A3C80"/>
    <w:rsid w:val="007A60F6"/>
    <w:rsid w:val="007B39A0"/>
    <w:rsid w:val="007B4056"/>
    <w:rsid w:val="007B489C"/>
    <w:rsid w:val="007B56D8"/>
    <w:rsid w:val="007B66E1"/>
    <w:rsid w:val="007B6A79"/>
    <w:rsid w:val="007B7925"/>
    <w:rsid w:val="007B7A24"/>
    <w:rsid w:val="007C12F0"/>
    <w:rsid w:val="007C217F"/>
    <w:rsid w:val="007C37C3"/>
    <w:rsid w:val="007C580D"/>
    <w:rsid w:val="007C675C"/>
    <w:rsid w:val="007D200E"/>
    <w:rsid w:val="007D589B"/>
    <w:rsid w:val="007D6E82"/>
    <w:rsid w:val="007E0307"/>
    <w:rsid w:val="007E052D"/>
    <w:rsid w:val="007E1D37"/>
    <w:rsid w:val="007E2431"/>
    <w:rsid w:val="007E323B"/>
    <w:rsid w:val="007E3CAD"/>
    <w:rsid w:val="007E5D5E"/>
    <w:rsid w:val="007E5D6D"/>
    <w:rsid w:val="007E6DA6"/>
    <w:rsid w:val="007E6E8D"/>
    <w:rsid w:val="007E77F1"/>
    <w:rsid w:val="007E7C82"/>
    <w:rsid w:val="007E7DD2"/>
    <w:rsid w:val="007F1C8A"/>
    <w:rsid w:val="007F2484"/>
    <w:rsid w:val="007F3292"/>
    <w:rsid w:val="007F39D8"/>
    <w:rsid w:val="007F4930"/>
    <w:rsid w:val="007F6F3B"/>
    <w:rsid w:val="007F74FD"/>
    <w:rsid w:val="007F7BAE"/>
    <w:rsid w:val="0080047C"/>
    <w:rsid w:val="00801F20"/>
    <w:rsid w:val="00802D40"/>
    <w:rsid w:val="00802DAB"/>
    <w:rsid w:val="00804F4E"/>
    <w:rsid w:val="00805A09"/>
    <w:rsid w:val="00806862"/>
    <w:rsid w:val="008075ED"/>
    <w:rsid w:val="00807A2D"/>
    <w:rsid w:val="00810EFB"/>
    <w:rsid w:val="008114A4"/>
    <w:rsid w:val="0081161C"/>
    <w:rsid w:val="00813A5B"/>
    <w:rsid w:val="008143EC"/>
    <w:rsid w:val="0081451F"/>
    <w:rsid w:val="0081591A"/>
    <w:rsid w:val="008163F8"/>
    <w:rsid w:val="008203AE"/>
    <w:rsid w:val="00821395"/>
    <w:rsid w:val="008263A4"/>
    <w:rsid w:val="00827C3D"/>
    <w:rsid w:val="008307A3"/>
    <w:rsid w:val="00830BF1"/>
    <w:rsid w:val="00830FA8"/>
    <w:rsid w:val="008329D5"/>
    <w:rsid w:val="008329F3"/>
    <w:rsid w:val="008330DA"/>
    <w:rsid w:val="008333CB"/>
    <w:rsid w:val="00833719"/>
    <w:rsid w:val="008341C0"/>
    <w:rsid w:val="0083483B"/>
    <w:rsid w:val="00835A0D"/>
    <w:rsid w:val="00835F98"/>
    <w:rsid w:val="00836165"/>
    <w:rsid w:val="008366AA"/>
    <w:rsid w:val="00836BD8"/>
    <w:rsid w:val="00837177"/>
    <w:rsid w:val="00837FA8"/>
    <w:rsid w:val="00840307"/>
    <w:rsid w:val="00842588"/>
    <w:rsid w:val="00843B9D"/>
    <w:rsid w:val="00845167"/>
    <w:rsid w:val="008451DD"/>
    <w:rsid w:val="00845F32"/>
    <w:rsid w:val="0084605F"/>
    <w:rsid w:val="00847353"/>
    <w:rsid w:val="00850858"/>
    <w:rsid w:val="00851D37"/>
    <w:rsid w:val="00851DBB"/>
    <w:rsid w:val="00854708"/>
    <w:rsid w:val="008547F1"/>
    <w:rsid w:val="00854A3F"/>
    <w:rsid w:val="008555E6"/>
    <w:rsid w:val="00855BB6"/>
    <w:rsid w:val="0085680F"/>
    <w:rsid w:val="00856887"/>
    <w:rsid w:val="0085712A"/>
    <w:rsid w:val="0086025E"/>
    <w:rsid w:val="00860B49"/>
    <w:rsid w:val="0086182E"/>
    <w:rsid w:val="00862BCA"/>
    <w:rsid w:val="00862F82"/>
    <w:rsid w:val="00865CEE"/>
    <w:rsid w:val="00866E4D"/>
    <w:rsid w:val="00870C22"/>
    <w:rsid w:val="00873045"/>
    <w:rsid w:val="00876901"/>
    <w:rsid w:val="00881747"/>
    <w:rsid w:val="00882980"/>
    <w:rsid w:val="00882FCC"/>
    <w:rsid w:val="0088372B"/>
    <w:rsid w:val="008856F1"/>
    <w:rsid w:val="008874F6"/>
    <w:rsid w:val="008902AE"/>
    <w:rsid w:val="00890868"/>
    <w:rsid w:val="008925EA"/>
    <w:rsid w:val="008926CD"/>
    <w:rsid w:val="00894BC7"/>
    <w:rsid w:val="00895491"/>
    <w:rsid w:val="0089574A"/>
    <w:rsid w:val="008962EC"/>
    <w:rsid w:val="008A112B"/>
    <w:rsid w:val="008A1786"/>
    <w:rsid w:val="008A2691"/>
    <w:rsid w:val="008A574B"/>
    <w:rsid w:val="008A73BC"/>
    <w:rsid w:val="008A78AE"/>
    <w:rsid w:val="008A79D2"/>
    <w:rsid w:val="008A7D40"/>
    <w:rsid w:val="008B0C8C"/>
    <w:rsid w:val="008B1480"/>
    <w:rsid w:val="008B40F1"/>
    <w:rsid w:val="008B44C5"/>
    <w:rsid w:val="008B4C06"/>
    <w:rsid w:val="008B62AC"/>
    <w:rsid w:val="008B75ED"/>
    <w:rsid w:val="008C0A11"/>
    <w:rsid w:val="008C3B10"/>
    <w:rsid w:val="008C5496"/>
    <w:rsid w:val="008C5C34"/>
    <w:rsid w:val="008C5D18"/>
    <w:rsid w:val="008C6902"/>
    <w:rsid w:val="008C7FBF"/>
    <w:rsid w:val="008D0553"/>
    <w:rsid w:val="008D0640"/>
    <w:rsid w:val="008D0743"/>
    <w:rsid w:val="008D4245"/>
    <w:rsid w:val="008D58D3"/>
    <w:rsid w:val="008D683B"/>
    <w:rsid w:val="008D6BF7"/>
    <w:rsid w:val="008D72E7"/>
    <w:rsid w:val="008D79DF"/>
    <w:rsid w:val="008D7AB3"/>
    <w:rsid w:val="008E10CE"/>
    <w:rsid w:val="008E12B8"/>
    <w:rsid w:val="008E1639"/>
    <w:rsid w:val="008E2D30"/>
    <w:rsid w:val="008E393D"/>
    <w:rsid w:val="008E479F"/>
    <w:rsid w:val="008E485B"/>
    <w:rsid w:val="008F08C3"/>
    <w:rsid w:val="008F1AF2"/>
    <w:rsid w:val="008F39B8"/>
    <w:rsid w:val="008F3D52"/>
    <w:rsid w:val="008F448F"/>
    <w:rsid w:val="008F57E7"/>
    <w:rsid w:val="008F5E9E"/>
    <w:rsid w:val="008F74DF"/>
    <w:rsid w:val="008F7C09"/>
    <w:rsid w:val="009000A2"/>
    <w:rsid w:val="00900A70"/>
    <w:rsid w:val="00900FDC"/>
    <w:rsid w:val="00902D56"/>
    <w:rsid w:val="00903649"/>
    <w:rsid w:val="00906275"/>
    <w:rsid w:val="0090655F"/>
    <w:rsid w:val="00907CB1"/>
    <w:rsid w:val="00910337"/>
    <w:rsid w:val="00911724"/>
    <w:rsid w:val="009123F3"/>
    <w:rsid w:val="00912958"/>
    <w:rsid w:val="00915993"/>
    <w:rsid w:val="00916C3A"/>
    <w:rsid w:val="00917B1C"/>
    <w:rsid w:val="00917BBE"/>
    <w:rsid w:val="0092056D"/>
    <w:rsid w:val="00922192"/>
    <w:rsid w:val="00925CE1"/>
    <w:rsid w:val="009263B2"/>
    <w:rsid w:val="00926E6E"/>
    <w:rsid w:val="00927245"/>
    <w:rsid w:val="00927B81"/>
    <w:rsid w:val="00930247"/>
    <w:rsid w:val="0093391F"/>
    <w:rsid w:val="00933DE6"/>
    <w:rsid w:val="00933E68"/>
    <w:rsid w:val="00936C75"/>
    <w:rsid w:val="00937492"/>
    <w:rsid w:val="0093764A"/>
    <w:rsid w:val="00937AE3"/>
    <w:rsid w:val="009411EE"/>
    <w:rsid w:val="00941281"/>
    <w:rsid w:val="009435D1"/>
    <w:rsid w:val="00943A38"/>
    <w:rsid w:val="00945898"/>
    <w:rsid w:val="009477A9"/>
    <w:rsid w:val="009515F9"/>
    <w:rsid w:val="00952200"/>
    <w:rsid w:val="00954E4C"/>
    <w:rsid w:val="0095561B"/>
    <w:rsid w:val="009563A1"/>
    <w:rsid w:val="00957232"/>
    <w:rsid w:val="0095737D"/>
    <w:rsid w:val="00957BCE"/>
    <w:rsid w:val="009615C8"/>
    <w:rsid w:val="00962688"/>
    <w:rsid w:val="00963038"/>
    <w:rsid w:val="00963DEB"/>
    <w:rsid w:val="0096741B"/>
    <w:rsid w:val="009706D0"/>
    <w:rsid w:val="009717C4"/>
    <w:rsid w:val="00972D21"/>
    <w:rsid w:val="00973715"/>
    <w:rsid w:val="0098039A"/>
    <w:rsid w:val="009812FF"/>
    <w:rsid w:val="0098244A"/>
    <w:rsid w:val="00983C8E"/>
    <w:rsid w:val="009843D6"/>
    <w:rsid w:val="00985840"/>
    <w:rsid w:val="00986A40"/>
    <w:rsid w:val="00987E53"/>
    <w:rsid w:val="00990377"/>
    <w:rsid w:val="0099152D"/>
    <w:rsid w:val="009928ED"/>
    <w:rsid w:val="0099305A"/>
    <w:rsid w:val="00995437"/>
    <w:rsid w:val="00995E30"/>
    <w:rsid w:val="009972B7"/>
    <w:rsid w:val="0099772D"/>
    <w:rsid w:val="009A1010"/>
    <w:rsid w:val="009A1449"/>
    <w:rsid w:val="009A1B64"/>
    <w:rsid w:val="009A1F1B"/>
    <w:rsid w:val="009A235D"/>
    <w:rsid w:val="009A3462"/>
    <w:rsid w:val="009A3C1E"/>
    <w:rsid w:val="009A6412"/>
    <w:rsid w:val="009A73E7"/>
    <w:rsid w:val="009B0642"/>
    <w:rsid w:val="009B2279"/>
    <w:rsid w:val="009B4E56"/>
    <w:rsid w:val="009B561B"/>
    <w:rsid w:val="009B6AA2"/>
    <w:rsid w:val="009B6F3E"/>
    <w:rsid w:val="009B700D"/>
    <w:rsid w:val="009C0A61"/>
    <w:rsid w:val="009C0FD5"/>
    <w:rsid w:val="009C1516"/>
    <w:rsid w:val="009C3496"/>
    <w:rsid w:val="009C3BC7"/>
    <w:rsid w:val="009C3BD6"/>
    <w:rsid w:val="009C4105"/>
    <w:rsid w:val="009C4169"/>
    <w:rsid w:val="009C4647"/>
    <w:rsid w:val="009C4B19"/>
    <w:rsid w:val="009C51DF"/>
    <w:rsid w:val="009C536C"/>
    <w:rsid w:val="009C69A6"/>
    <w:rsid w:val="009C7E34"/>
    <w:rsid w:val="009D0EFC"/>
    <w:rsid w:val="009D461E"/>
    <w:rsid w:val="009D5E55"/>
    <w:rsid w:val="009D63C8"/>
    <w:rsid w:val="009D6CD7"/>
    <w:rsid w:val="009D6E4F"/>
    <w:rsid w:val="009E0807"/>
    <w:rsid w:val="009E1B46"/>
    <w:rsid w:val="009E247C"/>
    <w:rsid w:val="009E33BF"/>
    <w:rsid w:val="009E48DC"/>
    <w:rsid w:val="009E7043"/>
    <w:rsid w:val="009E7222"/>
    <w:rsid w:val="009F0863"/>
    <w:rsid w:val="009F30C6"/>
    <w:rsid w:val="009F40CD"/>
    <w:rsid w:val="009F4F2C"/>
    <w:rsid w:val="009F64C5"/>
    <w:rsid w:val="00A00DD7"/>
    <w:rsid w:val="00A0129E"/>
    <w:rsid w:val="00A03DA3"/>
    <w:rsid w:val="00A04894"/>
    <w:rsid w:val="00A04999"/>
    <w:rsid w:val="00A062CF"/>
    <w:rsid w:val="00A066C0"/>
    <w:rsid w:val="00A076FD"/>
    <w:rsid w:val="00A077CB"/>
    <w:rsid w:val="00A1028C"/>
    <w:rsid w:val="00A11D0C"/>
    <w:rsid w:val="00A12DF6"/>
    <w:rsid w:val="00A1437E"/>
    <w:rsid w:val="00A145C3"/>
    <w:rsid w:val="00A147DB"/>
    <w:rsid w:val="00A14D65"/>
    <w:rsid w:val="00A150C7"/>
    <w:rsid w:val="00A15CD1"/>
    <w:rsid w:val="00A160EF"/>
    <w:rsid w:val="00A16A25"/>
    <w:rsid w:val="00A16ACB"/>
    <w:rsid w:val="00A16E3C"/>
    <w:rsid w:val="00A20543"/>
    <w:rsid w:val="00A217FE"/>
    <w:rsid w:val="00A22DE5"/>
    <w:rsid w:val="00A2336A"/>
    <w:rsid w:val="00A23DDF"/>
    <w:rsid w:val="00A25BB1"/>
    <w:rsid w:val="00A25C86"/>
    <w:rsid w:val="00A27873"/>
    <w:rsid w:val="00A33CC4"/>
    <w:rsid w:val="00A33CFC"/>
    <w:rsid w:val="00A35947"/>
    <w:rsid w:val="00A37390"/>
    <w:rsid w:val="00A3773F"/>
    <w:rsid w:val="00A42616"/>
    <w:rsid w:val="00A43ED7"/>
    <w:rsid w:val="00A5066B"/>
    <w:rsid w:val="00A50819"/>
    <w:rsid w:val="00A50EC8"/>
    <w:rsid w:val="00A51189"/>
    <w:rsid w:val="00A526FE"/>
    <w:rsid w:val="00A53A54"/>
    <w:rsid w:val="00A542FD"/>
    <w:rsid w:val="00A56784"/>
    <w:rsid w:val="00A57B50"/>
    <w:rsid w:val="00A60C1E"/>
    <w:rsid w:val="00A61A0D"/>
    <w:rsid w:val="00A64079"/>
    <w:rsid w:val="00A646F9"/>
    <w:rsid w:val="00A64C9F"/>
    <w:rsid w:val="00A73048"/>
    <w:rsid w:val="00A73E16"/>
    <w:rsid w:val="00A7430F"/>
    <w:rsid w:val="00A7539A"/>
    <w:rsid w:val="00A76190"/>
    <w:rsid w:val="00A80094"/>
    <w:rsid w:val="00A800DF"/>
    <w:rsid w:val="00A81E50"/>
    <w:rsid w:val="00A85803"/>
    <w:rsid w:val="00A86CC9"/>
    <w:rsid w:val="00A86DBF"/>
    <w:rsid w:val="00A86EB7"/>
    <w:rsid w:val="00A878A9"/>
    <w:rsid w:val="00A90E05"/>
    <w:rsid w:val="00A91393"/>
    <w:rsid w:val="00A95227"/>
    <w:rsid w:val="00A9618F"/>
    <w:rsid w:val="00A9635A"/>
    <w:rsid w:val="00A96513"/>
    <w:rsid w:val="00A975FD"/>
    <w:rsid w:val="00AA1068"/>
    <w:rsid w:val="00AA1745"/>
    <w:rsid w:val="00AA2722"/>
    <w:rsid w:val="00AA2AA3"/>
    <w:rsid w:val="00AA2B9B"/>
    <w:rsid w:val="00AA3ECE"/>
    <w:rsid w:val="00AA4FB8"/>
    <w:rsid w:val="00AA6182"/>
    <w:rsid w:val="00AA6B9F"/>
    <w:rsid w:val="00AA6BD3"/>
    <w:rsid w:val="00AA7EFC"/>
    <w:rsid w:val="00AB071B"/>
    <w:rsid w:val="00AB0A0D"/>
    <w:rsid w:val="00AB2681"/>
    <w:rsid w:val="00AB4125"/>
    <w:rsid w:val="00AB4417"/>
    <w:rsid w:val="00AB4EC8"/>
    <w:rsid w:val="00AB555E"/>
    <w:rsid w:val="00AB5B10"/>
    <w:rsid w:val="00AB5F6F"/>
    <w:rsid w:val="00AB72D6"/>
    <w:rsid w:val="00AB769D"/>
    <w:rsid w:val="00AB7942"/>
    <w:rsid w:val="00AC2390"/>
    <w:rsid w:val="00AC2F74"/>
    <w:rsid w:val="00AC30A5"/>
    <w:rsid w:val="00AC38BC"/>
    <w:rsid w:val="00AC44A7"/>
    <w:rsid w:val="00AC4580"/>
    <w:rsid w:val="00AC4D46"/>
    <w:rsid w:val="00AC529B"/>
    <w:rsid w:val="00AC65ED"/>
    <w:rsid w:val="00AC6C9C"/>
    <w:rsid w:val="00AC79EC"/>
    <w:rsid w:val="00AC7A68"/>
    <w:rsid w:val="00AD12EE"/>
    <w:rsid w:val="00AD2142"/>
    <w:rsid w:val="00AD25FC"/>
    <w:rsid w:val="00AD4BD0"/>
    <w:rsid w:val="00AD5DB2"/>
    <w:rsid w:val="00AD5F84"/>
    <w:rsid w:val="00AD63EC"/>
    <w:rsid w:val="00AD6A18"/>
    <w:rsid w:val="00AD7A00"/>
    <w:rsid w:val="00AE4220"/>
    <w:rsid w:val="00AE74B3"/>
    <w:rsid w:val="00AF3698"/>
    <w:rsid w:val="00AF3914"/>
    <w:rsid w:val="00AF7222"/>
    <w:rsid w:val="00AF7BE9"/>
    <w:rsid w:val="00B0261A"/>
    <w:rsid w:val="00B02AEB"/>
    <w:rsid w:val="00B0300F"/>
    <w:rsid w:val="00B0342B"/>
    <w:rsid w:val="00B034ED"/>
    <w:rsid w:val="00B03E2C"/>
    <w:rsid w:val="00B06AD6"/>
    <w:rsid w:val="00B07120"/>
    <w:rsid w:val="00B07975"/>
    <w:rsid w:val="00B07A4B"/>
    <w:rsid w:val="00B10B49"/>
    <w:rsid w:val="00B11DF5"/>
    <w:rsid w:val="00B13CBC"/>
    <w:rsid w:val="00B142B5"/>
    <w:rsid w:val="00B15182"/>
    <w:rsid w:val="00B1783D"/>
    <w:rsid w:val="00B20DC3"/>
    <w:rsid w:val="00B21086"/>
    <w:rsid w:val="00B22163"/>
    <w:rsid w:val="00B22483"/>
    <w:rsid w:val="00B2286D"/>
    <w:rsid w:val="00B22889"/>
    <w:rsid w:val="00B230E5"/>
    <w:rsid w:val="00B256E6"/>
    <w:rsid w:val="00B26126"/>
    <w:rsid w:val="00B26A7B"/>
    <w:rsid w:val="00B271FF"/>
    <w:rsid w:val="00B27F19"/>
    <w:rsid w:val="00B30B46"/>
    <w:rsid w:val="00B310E6"/>
    <w:rsid w:val="00B31579"/>
    <w:rsid w:val="00B31F0B"/>
    <w:rsid w:val="00B32262"/>
    <w:rsid w:val="00B362AC"/>
    <w:rsid w:val="00B36568"/>
    <w:rsid w:val="00B36E0C"/>
    <w:rsid w:val="00B4030D"/>
    <w:rsid w:val="00B40B38"/>
    <w:rsid w:val="00B418E4"/>
    <w:rsid w:val="00B41F0A"/>
    <w:rsid w:val="00B41FEB"/>
    <w:rsid w:val="00B42406"/>
    <w:rsid w:val="00B42DA8"/>
    <w:rsid w:val="00B43A85"/>
    <w:rsid w:val="00B44A46"/>
    <w:rsid w:val="00B44BFE"/>
    <w:rsid w:val="00B45F88"/>
    <w:rsid w:val="00B461D5"/>
    <w:rsid w:val="00B47DF7"/>
    <w:rsid w:val="00B47FF2"/>
    <w:rsid w:val="00B51013"/>
    <w:rsid w:val="00B513F7"/>
    <w:rsid w:val="00B51555"/>
    <w:rsid w:val="00B52F3B"/>
    <w:rsid w:val="00B537C1"/>
    <w:rsid w:val="00B5408D"/>
    <w:rsid w:val="00B56851"/>
    <w:rsid w:val="00B56DA2"/>
    <w:rsid w:val="00B61DCF"/>
    <w:rsid w:val="00B6201D"/>
    <w:rsid w:val="00B63F7C"/>
    <w:rsid w:val="00B651A5"/>
    <w:rsid w:val="00B65316"/>
    <w:rsid w:val="00B666A3"/>
    <w:rsid w:val="00B67C41"/>
    <w:rsid w:val="00B75B3D"/>
    <w:rsid w:val="00B7601D"/>
    <w:rsid w:val="00B767F8"/>
    <w:rsid w:val="00B76E4B"/>
    <w:rsid w:val="00B802BD"/>
    <w:rsid w:val="00B8136D"/>
    <w:rsid w:val="00B81386"/>
    <w:rsid w:val="00B81BDE"/>
    <w:rsid w:val="00B81F99"/>
    <w:rsid w:val="00B84815"/>
    <w:rsid w:val="00B84A77"/>
    <w:rsid w:val="00B87AD5"/>
    <w:rsid w:val="00B9128F"/>
    <w:rsid w:val="00B918FD"/>
    <w:rsid w:val="00B928E3"/>
    <w:rsid w:val="00B932A4"/>
    <w:rsid w:val="00BA0E3D"/>
    <w:rsid w:val="00BA15B2"/>
    <w:rsid w:val="00BA1F88"/>
    <w:rsid w:val="00BA38DC"/>
    <w:rsid w:val="00BA5CA7"/>
    <w:rsid w:val="00BA5EED"/>
    <w:rsid w:val="00BA66E2"/>
    <w:rsid w:val="00BA7191"/>
    <w:rsid w:val="00BA7BF5"/>
    <w:rsid w:val="00BB19AF"/>
    <w:rsid w:val="00BB2354"/>
    <w:rsid w:val="00BB46C8"/>
    <w:rsid w:val="00BB486C"/>
    <w:rsid w:val="00BB71CC"/>
    <w:rsid w:val="00BC1471"/>
    <w:rsid w:val="00BC14FD"/>
    <w:rsid w:val="00BC1B9F"/>
    <w:rsid w:val="00BC1FEE"/>
    <w:rsid w:val="00BC2EF1"/>
    <w:rsid w:val="00BC5EC8"/>
    <w:rsid w:val="00BC670E"/>
    <w:rsid w:val="00BC67C0"/>
    <w:rsid w:val="00BD1029"/>
    <w:rsid w:val="00BD1082"/>
    <w:rsid w:val="00BD173C"/>
    <w:rsid w:val="00BD334F"/>
    <w:rsid w:val="00BD3F7F"/>
    <w:rsid w:val="00BD61B6"/>
    <w:rsid w:val="00BD7E45"/>
    <w:rsid w:val="00BE10F5"/>
    <w:rsid w:val="00BE1827"/>
    <w:rsid w:val="00BE2A33"/>
    <w:rsid w:val="00BE4DF5"/>
    <w:rsid w:val="00BE6045"/>
    <w:rsid w:val="00BE6C6F"/>
    <w:rsid w:val="00BE7758"/>
    <w:rsid w:val="00BF1B50"/>
    <w:rsid w:val="00BF24C5"/>
    <w:rsid w:val="00BF25DB"/>
    <w:rsid w:val="00BF4216"/>
    <w:rsid w:val="00BF5120"/>
    <w:rsid w:val="00BF658F"/>
    <w:rsid w:val="00BF67B9"/>
    <w:rsid w:val="00BF6DED"/>
    <w:rsid w:val="00BF7A9A"/>
    <w:rsid w:val="00C01215"/>
    <w:rsid w:val="00C018D6"/>
    <w:rsid w:val="00C01C1A"/>
    <w:rsid w:val="00C01DB6"/>
    <w:rsid w:val="00C02B6D"/>
    <w:rsid w:val="00C0362F"/>
    <w:rsid w:val="00C054C8"/>
    <w:rsid w:val="00C057B3"/>
    <w:rsid w:val="00C0622E"/>
    <w:rsid w:val="00C075A5"/>
    <w:rsid w:val="00C076B0"/>
    <w:rsid w:val="00C07705"/>
    <w:rsid w:val="00C114C5"/>
    <w:rsid w:val="00C11980"/>
    <w:rsid w:val="00C12F6B"/>
    <w:rsid w:val="00C13116"/>
    <w:rsid w:val="00C15662"/>
    <w:rsid w:val="00C156A6"/>
    <w:rsid w:val="00C158A0"/>
    <w:rsid w:val="00C161B3"/>
    <w:rsid w:val="00C17A06"/>
    <w:rsid w:val="00C17FDF"/>
    <w:rsid w:val="00C23159"/>
    <w:rsid w:val="00C24959"/>
    <w:rsid w:val="00C2752A"/>
    <w:rsid w:val="00C312BB"/>
    <w:rsid w:val="00C3609A"/>
    <w:rsid w:val="00C36BC6"/>
    <w:rsid w:val="00C410F5"/>
    <w:rsid w:val="00C45E71"/>
    <w:rsid w:val="00C460EF"/>
    <w:rsid w:val="00C473ED"/>
    <w:rsid w:val="00C475C7"/>
    <w:rsid w:val="00C47BA8"/>
    <w:rsid w:val="00C50713"/>
    <w:rsid w:val="00C51A53"/>
    <w:rsid w:val="00C5271E"/>
    <w:rsid w:val="00C528D6"/>
    <w:rsid w:val="00C5615D"/>
    <w:rsid w:val="00C56BF6"/>
    <w:rsid w:val="00C57AD2"/>
    <w:rsid w:val="00C602F7"/>
    <w:rsid w:val="00C61203"/>
    <w:rsid w:val="00C61FEC"/>
    <w:rsid w:val="00C63E90"/>
    <w:rsid w:val="00C64E39"/>
    <w:rsid w:val="00C65052"/>
    <w:rsid w:val="00C65F4B"/>
    <w:rsid w:val="00C72C72"/>
    <w:rsid w:val="00C75103"/>
    <w:rsid w:val="00C760C5"/>
    <w:rsid w:val="00C80406"/>
    <w:rsid w:val="00C80591"/>
    <w:rsid w:val="00C80735"/>
    <w:rsid w:val="00C80BC3"/>
    <w:rsid w:val="00C822E8"/>
    <w:rsid w:val="00C82EA1"/>
    <w:rsid w:val="00C82FFB"/>
    <w:rsid w:val="00C8366B"/>
    <w:rsid w:val="00C836FE"/>
    <w:rsid w:val="00C83BAA"/>
    <w:rsid w:val="00C83F2E"/>
    <w:rsid w:val="00C84AE1"/>
    <w:rsid w:val="00C87E4E"/>
    <w:rsid w:val="00C907A7"/>
    <w:rsid w:val="00C907C5"/>
    <w:rsid w:val="00C932EE"/>
    <w:rsid w:val="00C9352A"/>
    <w:rsid w:val="00C9475B"/>
    <w:rsid w:val="00C951B0"/>
    <w:rsid w:val="00C96211"/>
    <w:rsid w:val="00C967F2"/>
    <w:rsid w:val="00CA1656"/>
    <w:rsid w:val="00CA2168"/>
    <w:rsid w:val="00CA2480"/>
    <w:rsid w:val="00CA286B"/>
    <w:rsid w:val="00CA2EFE"/>
    <w:rsid w:val="00CA361C"/>
    <w:rsid w:val="00CA4E89"/>
    <w:rsid w:val="00CA51C8"/>
    <w:rsid w:val="00CB12AE"/>
    <w:rsid w:val="00CB146C"/>
    <w:rsid w:val="00CB24B3"/>
    <w:rsid w:val="00CB3473"/>
    <w:rsid w:val="00CB4247"/>
    <w:rsid w:val="00CB431A"/>
    <w:rsid w:val="00CB5D28"/>
    <w:rsid w:val="00CB7111"/>
    <w:rsid w:val="00CC0F70"/>
    <w:rsid w:val="00CC14BC"/>
    <w:rsid w:val="00CC1529"/>
    <w:rsid w:val="00CC5BC8"/>
    <w:rsid w:val="00CD0232"/>
    <w:rsid w:val="00CD02E0"/>
    <w:rsid w:val="00CD03E2"/>
    <w:rsid w:val="00CD12B6"/>
    <w:rsid w:val="00CD4524"/>
    <w:rsid w:val="00CD48D8"/>
    <w:rsid w:val="00CD4D61"/>
    <w:rsid w:val="00CD69C1"/>
    <w:rsid w:val="00CE02C5"/>
    <w:rsid w:val="00CE1E66"/>
    <w:rsid w:val="00CE1EAA"/>
    <w:rsid w:val="00CE49B9"/>
    <w:rsid w:val="00CE5C24"/>
    <w:rsid w:val="00CE6ADC"/>
    <w:rsid w:val="00CE7349"/>
    <w:rsid w:val="00CE75D9"/>
    <w:rsid w:val="00CE763F"/>
    <w:rsid w:val="00CF0499"/>
    <w:rsid w:val="00CF052F"/>
    <w:rsid w:val="00CF072B"/>
    <w:rsid w:val="00CF073A"/>
    <w:rsid w:val="00CF1509"/>
    <w:rsid w:val="00CF17F8"/>
    <w:rsid w:val="00CF22CF"/>
    <w:rsid w:val="00CF2545"/>
    <w:rsid w:val="00CF258C"/>
    <w:rsid w:val="00CF25C7"/>
    <w:rsid w:val="00CF34D1"/>
    <w:rsid w:val="00CF4B55"/>
    <w:rsid w:val="00CF7B70"/>
    <w:rsid w:val="00D00A8D"/>
    <w:rsid w:val="00D02FB6"/>
    <w:rsid w:val="00D03DF6"/>
    <w:rsid w:val="00D05A58"/>
    <w:rsid w:val="00D101F6"/>
    <w:rsid w:val="00D13309"/>
    <w:rsid w:val="00D14504"/>
    <w:rsid w:val="00D16402"/>
    <w:rsid w:val="00D17AA8"/>
    <w:rsid w:val="00D207FF"/>
    <w:rsid w:val="00D21516"/>
    <w:rsid w:val="00D21AB5"/>
    <w:rsid w:val="00D21BEC"/>
    <w:rsid w:val="00D23E35"/>
    <w:rsid w:val="00D24C3B"/>
    <w:rsid w:val="00D25AC4"/>
    <w:rsid w:val="00D25E9B"/>
    <w:rsid w:val="00D31712"/>
    <w:rsid w:val="00D31EE0"/>
    <w:rsid w:val="00D32D48"/>
    <w:rsid w:val="00D32E25"/>
    <w:rsid w:val="00D32FB4"/>
    <w:rsid w:val="00D335DC"/>
    <w:rsid w:val="00D33845"/>
    <w:rsid w:val="00D35AAE"/>
    <w:rsid w:val="00D364BC"/>
    <w:rsid w:val="00D37CD3"/>
    <w:rsid w:val="00D40308"/>
    <w:rsid w:val="00D43084"/>
    <w:rsid w:val="00D430F4"/>
    <w:rsid w:val="00D43E01"/>
    <w:rsid w:val="00D43E4B"/>
    <w:rsid w:val="00D4455B"/>
    <w:rsid w:val="00D446CB"/>
    <w:rsid w:val="00D45CAC"/>
    <w:rsid w:val="00D46555"/>
    <w:rsid w:val="00D47330"/>
    <w:rsid w:val="00D47646"/>
    <w:rsid w:val="00D47DDB"/>
    <w:rsid w:val="00D50C44"/>
    <w:rsid w:val="00D50F43"/>
    <w:rsid w:val="00D5392F"/>
    <w:rsid w:val="00D605B8"/>
    <w:rsid w:val="00D618FA"/>
    <w:rsid w:val="00D6313E"/>
    <w:rsid w:val="00D641AA"/>
    <w:rsid w:val="00D64D5A"/>
    <w:rsid w:val="00D65F71"/>
    <w:rsid w:val="00D70160"/>
    <w:rsid w:val="00D72BEF"/>
    <w:rsid w:val="00D75F3C"/>
    <w:rsid w:val="00D776F6"/>
    <w:rsid w:val="00D8104C"/>
    <w:rsid w:val="00D82C70"/>
    <w:rsid w:val="00D83E6A"/>
    <w:rsid w:val="00D8679D"/>
    <w:rsid w:val="00D86AFE"/>
    <w:rsid w:val="00D90043"/>
    <w:rsid w:val="00D93649"/>
    <w:rsid w:val="00D94982"/>
    <w:rsid w:val="00D94EFB"/>
    <w:rsid w:val="00D95CEC"/>
    <w:rsid w:val="00D96DE9"/>
    <w:rsid w:val="00DA245D"/>
    <w:rsid w:val="00DA2B28"/>
    <w:rsid w:val="00DA38CA"/>
    <w:rsid w:val="00DA3A9F"/>
    <w:rsid w:val="00DA48C6"/>
    <w:rsid w:val="00DA49B8"/>
    <w:rsid w:val="00DA5EDD"/>
    <w:rsid w:val="00DA6736"/>
    <w:rsid w:val="00DA7ADD"/>
    <w:rsid w:val="00DA7DFB"/>
    <w:rsid w:val="00DB0772"/>
    <w:rsid w:val="00DB1F26"/>
    <w:rsid w:val="00DB22DC"/>
    <w:rsid w:val="00DB239C"/>
    <w:rsid w:val="00DB2E3D"/>
    <w:rsid w:val="00DB3D4A"/>
    <w:rsid w:val="00DB63D4"/>
    <w:rsid w:val="00DB6F82"/>
    <w:rsid w:val="00DB727E"/>
    <w:rsid w:val="00DC0036"/>
    <w:rsid w:val="00DC13A7"/>
    <w:rsid w:val="00DC1B28"/>
    <w:rsid w:val="00DC2240"/>
    <w:rsid w:val="00DC22F5"/>
    <w:rsid w:val="00DC253E"/>
    <w:rsid w:val="00DC42BD"/>
    <w:rsid w:val="00DC605A"/>
    <w:rsid w:val="00DC6556"/>
    <w:rsid w:val="00DC7EF9"/>
    <w:rsid w:val="00DD046C"/>
    <w:rsid w:val="00DD1529"/>
    <w:rsid w:val="00DD21CE"/>
    <w:rsid w:val="00DD4285"/>
    <w:rsid w:val="00DD579C"/>
    <w:rsid w:val="00DD7A0E"/>
    <w:rsid w:val="00DD7AA5"/>
    <w:rsid w:val="00DD7D42"/>
    <w:rsid w:val="00DE1A29"/>
    <w:rsid w:val="00DE2164"/>
    <w:rsid w:val="00DE4739"/>
    <w:rsid w:val="00DE601A"/>
    <w:rsid w:val="00DF152F"/>
    <w:rsid w:val="00DF36D6"/>
    <w:rsid w:val="00DF4CE3"/>
    <w:rsid w:val="00DF5BB1"/>
    <w:rsid w:val="00DF612E"/>
    <w:rsid w:val="00E008EA"/>
    <w:rsid w:val="00E01220"/>
    <w:rsid w:val="00E02483"/>
    <w:rsid w:val="00E02AEB"/>
    <w:rsid w:val="00E04AE1"/>
    <w:rsid w:val="00E06562"/>
    <w:rsid w:val="00E06C8A"/>
    <w:rsid w:val="00E072D1"/>
    <w:rsid w:val="00E07CE4"/>
    <w:rsid w:val="00E10087"/>
    <w:rsid w:val="00E1079E"/>
    <w:rsid w:val="00E12840"/>
    <w:rsid w:val="00E14567"/>
    <w:rsid w:val="00E154D0"/>
    <w:rsid w:val="00E16B8C"/>
    <w:rsid w:val="00E21DB1"/>
    <w:rsid w:val="00E22501"/>
    <w:rsid w:val="00E2362B"/>
    <w:rsid w:val="00E237C7"/>
    <w:rsid w:val="00E23A37"/>
    <w:rsid w:val="00E253E0"/>
    <w:rsid w:val="00E30519"/>
    <w:rsid w:val="00E31099"/>
    <w:rsid w:val="00E31132"/>
    <w:rsid w:val="00E326C1"/>
    <w:rsid w:val="00E338EB"/>
    <w:rsid w:val="00E359E8"/>
    <w:rsid w:val="00E36837"/>
    <w:rsid w:val="00E37005"/>
    <w:rsid w:val="00E3762B"/>
    <w:rsid w:val="00E40789"/>
    <w:rsid w:val="00E421DF"/>
    <w:rsid w:val="00E42825"/>
    <w:rsid w:val="00E42B35"/>
    <w:rsid w:val="00E44A4B"/>
    <w:rsid w:val="00E4657F"/>
    <w:rsid w:val="00E46E07"/>
    <w:rsid w:val="00E47846"/>
    <w:rsid w:val="00E521E8"/>
    <w:rsid w:val="00E55136"/>
    <w:rsid w:val="00E55439"/>
    <w:rsid w:val="00E5683C"/>
    <w:rsid w:val="00E56E0E"/>
    <w:rsid w:val="00E602E2"/>
    <w:rsid w:val="00E63BF0"/>
    <w:rsid w:val="00E663FB"/>
    <w:rsid w:val="00E67BB4"/>
    <w:rsid w:val="00E6C077"/>
    <w:rsid w:val="00E7044E"/>
    <w:rsid w:val="00E71776"/>
    <w:rsid w:val="00E7183B"/>
    <w:rsid w:val="00E71B6E"/>
    <w:rsid w:val="00E72182"/>
    <w:rsid w:val="00E73370"/>
    <w:rsid w:val="00E745BF"/>
    <w:rsid w:val="00E76A1C"/>
    <w:rsid w:val="00E77277"/>
    <w:rsid w:val="00E7784D"/>
    <w:rsid w:val="00E80E04"/>
    <w:rsid w:val="00E82D9E"/>
    <w:rsid w:val="00E8316B"/>
    <w:rsid w:val="00E8354C"/>
    <w:rsid w:val="00E84C79"/>
    <w:rsid w:val="00E85A9F"/>
    <w:rsid w:val="00E86A33"/>
    <w:rsid w:val="00E877DB"/>
    <w:rsid w:val="00E95961"/>
    <w:rsid w:val="00E9598E"/>
    <w:rsid w:val="00E95F80"/>
    <w:rsid w:val="00E9644E"/>
    <w:rsid w:val="00EA0C54"/>
    <w:rsid w:val="00EA19E5"/>
    <w:rsid w:val="00EA225B"/>
    <w:rsid w:val="00EA2F94"/>
    <w:rsid w:val="00EA3389"/>
    <w:rsid w:val="00EA41FD"/>
    <w:rsid w:val="00EA43E7"/>
    <w:rsid w:val="00EA4779"/>
    <w:rsid w:val="00EA4F9D"/>
    <w:rsid w:val="00EA704C"/>
    <w:rsid w:val="00EA7C82"/>
    <w:rsid w:val="00EB0472"/>
    <w:rsid w:val="00EB05C7"/>
    <w:rsid w:val="00EB0F5C"/>
    <w:rsid w:val="00EB1B9A"/>
    <w:rsid w:val="00EB1E0F"/>
    <w:rsid w:val="00EB3216"/>
    <w:rsid w:val="00EB481F"/>
    <w:rsid w:val="00EB7D0F"/>
    <w:rsid w:val="00EBFF70"/>
    <w:rsid w:val="00EC00BC"/>
    <w:rsid w:val="00EC1490"/>
    <w:rsid w:val="00EC1E2D"/>
    <w:rsid w:val="00EC1EAE"/>
    <w:rsid w:val="00EC2B13"/>
    <w:rsid w:val="00EC2E67"/>
    <w:rsid w:val="00EC545E"/>
    <w:rsid w:val="00EC5624"/>
    <w:rsid w:val="00EC697C"/>
    <w:rsid w:val="00EC6A2E"/>
    <w:rsid w:val="00ED0297"/>
    <w:rsid w:val="00ED2226"/>
    <w:rsid w:val="00ED260A"/>
    <w:rsid w:val="00ED3205"/>
    <w:rsid w:val="00ED35F0"/>
    <w:rsid w:val="00ED49B6"/>
    <w:rsid w:val="00ED5063"/>
    <w:rsid w:val="00ED6D04"/>
    <w:rsid w:val="00ED7435"/>
    <w:rsid w:val="00EE003B"/>
    <w:rsid w:val="00EE075C"/>
    <w:rsid w:val="00EE0F69"/>
    <w:rsid w:val="00EE114B"/>
    <w:rsid w:val="00EE2992"/>
    <w:rsid w:val="00EE47C9"/>
    <w:rsid w:val="00EE527E"/>
    <w:rsid w:val="00EE5392"/>
    <w:rsid w:val="00EE5A4D"/>
    <w:rsid w:val="00EE7907"/>
    <w:rsid w:val="00EF29CC"/>
    <w:rsid w:val="00EF54DE"/>
    <w:rsid w:val="00EF6398"/>
    <w:rsid w:val="00EF7ED6"/>
    <w:rsid w:val="00F0053C"/>
    <w:rsid w:val="00F04550"/>
    <w:rsid w:val="00F06C51"/>
    <w:rsid w:val="00F06DF9"/>
    <w:rsid w:val="00F06E63"/>
    <w:rsid w:val="00F07BDD"/>
    <w:rsid w:val="00F07E16"/>
    <w:rsid w:val="00F1148E"/>
    <w:rsid w:val="00F121F6"/>
    <w:rsid w:val="00F12ADA"/>
    <w:rsid w:val="00F13D34"/>
    <w:rsid w:val="00F14BE5"/>
    <w:rsid w:val="00F176CF"/>
    <w:rsid w:val="00F20D6A"/>
    <w:rsid w:val="00F21117"/>
    <w:rsid w:val="00F215F2"/>
    <w:rsid w:val="00F21644"/>
    <w:rsid w:val="00F21EEE"/>
    <w:rsid w:val="00F22FDF"/>
    <w:rsid w:val="00F2380B"/>
    <w:rsid w:val="00F240DF"/>
    <w:rsid w:val="00F24400"/>
    <w:rsid w:val="00F24A42"/>
    <w:rsid w:val="00F253CE"/>
    <w:rsid w:val="00F25B05"/>
    <w:rsid w:val="00F277B8"/>
    <w:rsid w:val="00F27A2C"/>
    <w:rsid w:val="00F30D8E"/>
    <w:rsid w:val="00F35992"/>
    <w:rsid w:val="00F36F89"/>
    <w:rsid w:val="00F41685"/>
    <w:rsid w:val="00F43A07"/>
    <w:rsid w:val="00F43EA1"/>
    <w:rsid w:val="00F44657"/>
    <w:rsid w:val="00F45B20"/>
    <w:rsid w:val="00F471A5"/>
    <w:rsid w:val="00F4781A"/>
    <w:rsid w:val="00F50B7B"/>
    <w:rsid w:val="00F50F61"/>
    <w:rsid w:val="00F53C2A"/>
    <w:rsid w:val="00F54471"/>
    <w:rsid w:val="00F54BFA"/>
    <w:rsid w:val="00F5501A"/>
    <w:rsid w:val="00F56E5E"/>
    <w:rsid w:val="00F61E3D"/>
    <w:rsid w:val="00F6218C"/>
    <w:rsid w:val="00F6232B"/>
    <w:rsid w:val="00F63566"/>
    <w:rsid w:val="00F636FA"/>
    <w:rsid w:val="00F6587E"/>
    <w:rsid w:val="00F65BF8"/>
    <w:rsid w:val="00F65C6A"/>
    <w:rsid w:val="00F66E1B"/>
    <w:rsid w:val="00F67354"/>
    <w:rsid w:val="00F67770"/>
    <w:rsid w:val="00F67820"/>
    <w:rsid w:val="00F70E00"/>
    <w:rsid w:val="00F7195C"/>
    <w:rsid w:val="00F73F57"/>
    <w:rsid w:val="00F741B1"/>
    <w:rsid w:val="00F747E2"/>
    <w:rsid w:val="00F74AF0"/>
    <w:rsid w:val="00F76721"/>
    <w:rsid w:val="00F7758B"/>
    <w:rsid w:val="00F775B8"/>
    <w:rsid w:val="00F80171"/>
    <w:rsid w:val="00F8089D"/>
    <w:rsid w:val="00F81094"/>
    <w:rsid w:val="00F81302"/>
    <w:rsid w:val="00F832F5"/>
    <w:rsid w:val="00F83920"/>
    <w:rsid w:val="00F83E3C"/>
    <w:rsid w:val="00F84451"/>
    <w:rsid w:val="00F85416"/>
    <w:rsid w:val="00F86B62"/>
    <w:rsid w:val="00F90562"/>
    <w:rsid w:val="00F912BA"/>
    <w:rsid w:val="00F91459"/>
    <w:rsid w:val="00F9263F"/>
    <w:rsid w:val="00F947F2"/>
    <w:rsid w:val="00F95DDC"/>
    <w:rsid w:val="00F9610C"/>
    <w:rsid w:val="00F967C1"/>
    <w:rsid w:val="00FA0B99"/>
    <w:rsid w:val="00FA1260"/>
    <w:rsid w:val="00FA17BE"/>
    <w:rsid w:val="00FA1C68"/>
    <w:rsid w:val="00FA1ED5"/>
    <w:rsid w:val="00FA21F0"/>
    <w:rsid w:val="00FA3430"/>
    <w:rsid w:val="00FA37D7"/>
    <w:rsid w:val="00FA3ED7"/>
    <w:rsid w:val="00FA53BE"/>
    <w:rsid w:val="00FA6B18"/>
    <w:rsid w:val="00FA7670"/>
    <w:rsid w:val="00FA7C32"/>
    <w:rsid w:val="00FA7FA5"/>
    <w:rsid w:val="00FB04E1"/>
    <w:rsid w:val="00FB0EBA"/>
    <w:rsid w:val="00FB1006"/>
    <w:rsid w:val="00FB1277"/>
    <w:rsid w:val="00FB167D"/>
    <w:rsid w:val="00FB41F5"/>
    <w:rsid w:val="00FB54CC"/>
    <w:rsid w:val="00FC0EAB"/>
    <w:rsid w:val="00FC1DFE"/>
    <w:rsid w:val="00FC4454"/>
    <w:rsid w:val="00FC5720"/>
    <w:rsid w:val="00FC5931"/>
    <w:rsid w:val="00FC6629"/>
    <w:rsid w:val="00FD0997"/>
    <w:rsid w:val="00FD0BDD"/>
    <w:rsid w:val="00FD224A"/>
    <w:rsid w:val="00FD3021"/>
    <w:rsid w:val="00FD40AA"/>
    <w:rsid w:val="00FD612E"/>
    <w:rsid w:val="00FE1257"/>
    <w:rsid w:val="00FE1804"/>
    <w:rsid w:val="00FE2391"/>
    <w:rsid w:val="00FE49FD"/>
    <w:rsid w:val="00FE6C98"/>
    <w:rsid w:val="00FE6E06"/>
    <w:rsid w:val="00FF09A7"/>
    <w:rsid w:val="00FF2D9C"/>
    <w:rsid w:val="00FF394D"/>
    <w:rsid w:val="00FF3FC8"/>
    <w:rsid w:val="00FF5231"/>
    <w:rsid w:val="00FF533F"/>
    <w:rsid w:val="00FF5688"/>
    <w:rsid w:val="00FF6410"/>
    <w:rsid w:val="00FF6640"/>
    <w:rsid w:val="00FF66EE"/>
    <w:rsid w:val="01093125"/>
    <w:rsid w:val="01124CE7"/>
    <w:rsid w:val="01666A82"/>
    <w:rsid w:val="01CD4541"/>
    <w:rsid w:val="01FFD398"/>
    <w:rsid w:val="0228595A"/>
    <w:rsid w:val="0263A00C"/>
    <w:rsid w:val="027A638F"/>
    <w:rsid w:val="028C1E36"/>
    <w:rsid w:val="02A85A97"/>
    <w:rsid w:val="02B7E319"/>
    <w:rsid w:val="02C4547D"/>
    <w:rsid w:val="02CDFBB4"/>
    <w:rsid w:val="02CE6F7C"/>
    <w:rsid w:val="02E4C220"/>
    <w:rsid w:val="02E771D5"/>
    <w:rsid w:val="02EAFD1D"/>
    <w:rsid w:val="02ECA699"/>
    <w:rsid w:val="02F48C6D"/>
    <w:rsid w:val="03222DEC"/>
    <w:rsid w:val="0353B506"/>
    <w:rsid w:val="0356FC27"/>
    <w:rsid w:val="03818444"/>
    <w:rsid w:val="03A7F583"/>
    <w:rsid w:val="03E95781"/>
    <w:rsid w:val="03F212EA"/>
    <w:rsid w:val="040C67CD"/>
    <w:rsid w:val="046B9F34"/>
    <w:rsid w:val="04B4A92E"/>
    <w:rsid w:val="04DFAE80"/>
    <w:rsid w:val="05239C9A"/>
    <w:rsid w:val="053F3070"/>
    <w:rsid w:val="05538B25"/>
    <w:rsid w:val="05602C3D"/>
    <w:rsid w:val="05700993"/>
    <w:rsid w:val="057F0653"/>
    <w:rsid w:val="0583C660"/>
    <w:rsid w:val="0590926E"/>
    <w:rsid w:val="059F73F7"/>
    <w:rsid w:val="05A27348"/>
    <w:rsid w:val="05B5805F"/>
    <w:rsid w:val="05B8A395"/>
    <w:rsid w:val="05B924B3"/>
    <w:rsid w:val="05D71606"/>
    <w:rsid w:val="05D73ECA"/>
    <w:rsid w:val="05DA1543"/>
    <w:rsid w:val="05E13741"/>
    <w:rsid w:val="05EB793B"/>
    <w:rsid w:val="060E2556"/>
    <w:rsid w:val="0618040D"/>
    <w:rsid w:val="061DCBCD"/>
    <w:rsid w:val="062575F0"/>
    <w:rsid w:val="0689B531"/>
    <w:rsid w:val="0699F90A"/>
    <w:rsid w:val="06C920CD"/>
    <w:rsid w:val="072C1E09"/>
    <w:rsid w:val="073A3692"/>
    <w:rsid w:val="077C7EBC"/>
    <w:rsid w:val="0794BEF8"/>
    <w:rsid w:val="07ECDB9C"/>
    <w:rsid w:val="07F3AF66"/>
    <w:rsid w:val="07F8F6BC"/>
    <w:rsid w:val="0801A493"/>
    <w:rsid w:val="084C2648"/>
    <w:rsid w:val="08C3F74F"/>
    <w:rsid w:val="08F7CFB6"/>
    <w:rsid w:val="090D5572"/>
    <w:rsid w:val="091BBACA"/>
    <w:rsid w:val="09535157"/>
    <w:rsid w:val="095715F2"/>
    <w:rsid w:val="096CCA14"/>
    <w:rsid w:val="099EC2CC"/>
    <w:rsid w:val="09A89AA7"/>
    <w:rsid w:val="09DFBA29"/>
    <w:rsid w:val="09E30CCC"/>
    <w:rsid w:val="09F8A2F7"/>
    <w:rsid w:val="0A6B0016"/>
    <w:rsid w:val="0AF9294B"/>
    <w:rsid w:val="0AF95591"/>
    <w:rsid w:val="0B4E1FC9"/>
    <w:rsid w:val="0B944B57"/>
    <w:rsid w:val="0BBC3C4A"/>
    <w:rsid w:val="0C1029A4"/>
    <w:rsid w:val="0C13F657"/>
    <w:rsid w:val="0C2C277E"/>
    <w:rsid w:val="0C357980"/>
    <w:rsid w:val="0C39FA1D"/>
    <w:rsid w:val="0C3B4487"/>
    <w:rsid w:val="0C4BF4D3"/>
    <w:rsid w:val="0C4EE3AF"/>
    <w:rsid w:val="0C5FBC09"/>
    <w:rsid w:val="0C74CDCE"/>
    <w:rsid w:val="0CEF24BF"/>
    <w:rsid w:val="0CF54DEC"/>
    <w:rsid w:val="0D012E23"/>
    <w:rsid w:val="0D05AF6F"/>
    <w:rsid w:val="0D5A94FF"/>
    <w:rsid w:val="0DA37C71"/>
    <w:rsid w:val="0DAAC5EC"/>
    <w:rsid w:val="0DD28094"/>
    <w:rsid w:val="0E219035"/>
    <w:rsid w:val="0E479AE5"/>
    <w:rsid w:val="0E728EBE"/>
    <w:rsid w:val="0E7E4BD3"/>
    <w:rsid w:val="0E9666D2"/>
    <w:rsid w:val="0E9942CB"/>
    <w:rsid w:val="0ECD2E30"/>
    <w:rsid w:val="0ECD4B09"/>
    <w:rsid w:val="0ECD8A37"/>
    <w:rsid w:val="0ED661F9"/>
    <w:rsid w:val="0EEB6F4B"/>
    <w:rsid w:val="0EEE74F9"/>
    <w:rsid w:val="0EF55554"/>
    <w:rsid w:val="0F139B78"/>
    <w:rsid w:val="0F1B11F5"/>
    <w:rsid w:val="0F6A51FD"/>
    <w:rsid w:val="0F9B9A5D"/>
    <w:rsid w:val="0FA70E67"/>
    <w:rsid w:val="0FDA43D9"/>
    <w:rsid w:val="1007F2ED"/>
    <w:rsid w:val="10142295"/>
    <w:rsid w:val="1078FB77"/>
    <w:rsid w:val="10C87B5F"/>
    <w:rsid w:val="10CBD498"/>
    <w:rsid w:val="11006F90"/>
    <w:rsid w:val="1124D212"/>
    <w:rsid w:val="11293DEE"/>
    <w:rsid w:val="11550386"/>
    <w:rsid w:val="11721012"/>
    <w:rsid w:val="11B3D5C6"/>
    <w:rsid w:val="11EFB71B"/>
    <w:rsid w:val="12099B5E"/>
    <w:rsid w:val="1276079E"/>
    <w:rsid w:val="1282BC19"/>
    <w:rsid w:val="12AE6C3D"/>
    <w:rsid w:val="12BFA0A1"/>
    <w:rsid w:val="12C36040"/>
    <w:rsid w:val="131C84A9"/>
    <w:rsid w:val="1340878C"/>
    <w:rsid w:val="135015DF"/>
    <w:rsid w:val="1359FF71"/>
    <w:rsid w:val="135D9F6C"/>
    <w:rsid w:val="13631DED"/>
    <w:rsid w:val="1394319B"/>
    <w:rsid w:val="13E06DBB"/>
    <w:rsid w:val="142E7BAE"/>
    <w:rsid w:val="1487440E"/>
    <w:rsid w:val="148858DC"/>
    <w:rsid w:val="14AC37C4"/>
    <w:rsid w:val="14C742F2"/>
    <w:rsid w:val="14E04B43"/>
    <w:rsid w:val="14E18F7D"/>
    <w:rsid w:val="14EDF075"/>
    <w:rsid w:val="1506C807"/>
    <w:rsid w:val="151D2A86"/>
    <w:rsid w:val="1546AAA2"/>
    <w:rsid w:val="154C400A"/>
    <w:rsid w:val="155BA0BA"/>
    <w:rsid w:val="1583C9A7"/>
    <w:rsid w:val="158D0FDE"/>
    <w:rsid w:val="15A0CEC6"/>
    <w:rsid w:val="15B67CF4"/>
    <w:rsid w:val="15BF5404"/>
    <w:rsid w:val="15E828F5"/>
    <w:rsid w:val="15F8CBF2"/>
    <w:rsid w:val="164574BB"/>
    <w:rsid w:val="164F8266"/>
    <w:rsid w:val="1657EEED"/>
    <w:rsid w:val="16590976"/>
    <w:rsid w:val="166C1CC4"/>
    <w:rsid w:val="169C8B11"/>
    <w:rsid w:val="169D8DD9"/>
    <w:rsid w:val="169DE486"/>
    <w:rsid w:val="16A5BCD2"/>
    <w:rsid w:val="16ACD260"/>
    <w:rsid w:val="16DBBE8B"/>
    <w:rsid w:val="17028EFB"/>
    <w:rsid w:val="170DB657"/>
    <w:rsid w:val="171A7CD2"/>
    <w:rsid w:val="175D42C7"/>
    <w:rsid w:val="1782DD8B"/>
    <w:rsid w:val="17D1C065"/>
    <w:rsid w:val="17FB659E"/>
    <w:rsid w:val="1856D772"/>
    <w:rsid w:val="1859102D"/>
    <w:rsid w:val="1884DE49"/>
    <w:rsid w:val="18AA5D4A"/>
    <w:rsid w:val="18CF53B2"/>
    <w:rsid w:val="18EDBCF6"/>
    <w:rsid w:val="18F84B17"/>
    <w:rsid w:val="18FF01B5"/>
    <w:rsid w:val="191DA43B"/>
    <w:rsid w:val="195A3B56"/>
    <w:rsid w:val="1972FEA6"/>
    <w:rsid w:val="198220BC"/>
    <w:rsid w:val="1999BFFF"/>
    <w:rsid w:val="19F126F8"/>
    <w:rsid w:val="19FC34CB"/>
    <w:rsid w:val="1A2C4302"/>
    <w:rsid w:val="1A40310B"/>
    <w:rsid w:val="1A512C74"/>
    <w:rsid w:val="1AAFA762"/>
    <w:rsid w:val="1ACF5F26"/>
    <w:rsid w:val="1AE3E847"/>
    <w:rsid w:val="1AF54D0B"/>
    <w:rsid w:val="1B00B631"/>
    <w:rsid w:val="1B1BDFC3"/>
    <w:rsid w:val="1B8FDE83"/>
    <w:rsid w:val="1BA66098"/>
    <w:rsid w:val="1BB64E63"/>
    <w:rsid w:val="1BDC3602"/>
    <w:rsid w:val="1C0A2C45"/>
    <w:rsid w:val="1C583BF8"/>
    <w:rsid w:val="1C593DD6"/>
    <w:rsid w:val="1C76A6AE"/>
    <w:rsid w:val="1C912D84"/>
    <w:rsid w:val="1C96E3E5"/>
    <w:rsid w:val="1C9E373F"/>
    <w:rsid w:val="1CBEB92E"/>
    <w:rsid w:val="1CC6E826"/>
    <w:rsid w:val="1CDD705B"/>
    <w:rsid w:val="1D4C3CFD"/>
    <w:rsid w:val="1D90A746"/>
    <w:rsid w:val="1D9C194B"/>
    <w:rsid w:val="1DA7CB45"/>
    <w:rsid w:val="1DA85D6B"/>
    <w:rsid w:val="1DAD8928"/>
    <w:rsid w:val="1DB2B6F8"/>
    <w:rsid w:val="1DBE6677"/>
    <w:rsid w:val="1DC07D5E"/>
    <w:rsid w:val="1DFA2B16"/>
    <w:rsid w:val="1E2D3714"/>
    <w:rsid w:val="1E7C6936"/>
    <w:rsid w:val="1E7EA173"/>
    <w:rsid w:val="1EABDF88"/>
    <w:rsid w:val="1ED8791F"/>
    <w:rsid w:val="1EDD74D5"/>
    <w:rsid w:val="1F1615CD"/>
    <w:rsid w:val="1F1B1319"/>
    <w:rsid w:val="1F24B640"/>
    <w:rsid w:val="1F28CEAF"/>
    <w:rsid w:val="1F3E1C0C"/>
    <w:rsid w:val="1F56F5BA"/>
    <w:rsid w:val="1F76B75D"/>
    <w:rsid w:val="1F883EDD"/>
    <w:rsid w:val="1FAF2475"/>
    <w:rsid w:val="1FF02F65"/>
    <w:rsid w:val="200EFDBF"/>
    <w:rsid w:val="2017AAA9"/>
    <w:rsid w:val="202163D0"/>
    <w:rsid w:val="20262051"/>
    <w:rsid w:val="20330F5F"/>
    <w:rsid w:val="203E04C4"/>
    <w:rsid w:val="20906C48"/>
    <w:rsid w:val="20A8F7EE"/>
    <w:rsid w:val="20AED2E8"/>
    <w:rsid w:val="20DAD1FE"/>
    <w:rsid w:val="20EB7DCF"/>
    <w:rsid w:val="20F0C8AB"/>
    <w:rsid w:val="2110A881"/>
    <w:rsid w:val="212D5BF6"/>
    <w:rsid w:val="21555F41"/>
    <w:rsid w:val="215DA220"/>
    <w:rsid w:val="21749CA0"/>
    <w:rsid w:val="21C12096"/>
    <w:rsid w:val="21E11453"/>
    <w:rsid w:val="22099B14"/>
    <w:rsid w:val="2218D9CB"/>
    <w:rsid w:val="223F8774"/>
    <w:rsid w:val="22486CC3"/>
    <w:rsid w:val="2248D181"/>
    <w:rsid w:val="224F13C4"/>
    <w:rsid w:val="2256DFC4"/>
    <w:rsid w:val="225CA2C8"/>
    <w:rsid w:val="2264E777"/>
    <w:rsid w:val="228541F8"/>
    <w:rsid w:val="22BFF2A6"/>
    <w:rsid w:val="22E70599"/>
    <w:rsid w:val="23274487"/>
    <w:rsid w:val="232CB519"/>
    <w:rsid w:val="233B485E"/>
    <w:rsid w:val="2359CCA2"/>
    <w:rsid w:val="23AAE191"/>
    <w:rsid w:val="23BCAA2A"/>
    <w:rsid w:val="23C16398"/>
    <w:rsid w:val="23C9EED4"/>
    <w:rsid w:val="23D7DEFF"/>
    <w:rsid w:val="23E2CE63"/>
    <w:rsid w:val="2416FD8A"/>
    <w:rsid w:val="2419D23A"/>
    <w:rsid w:val="242CF3D8"/>
    <w:rsid w:val="2448944E"/>
    <w:rsid w:val="24523FB3"/>
    <w:rsid w:val="245857CC"/>
    <w:rsid w:val="2471A231"/>
    <w:rsid w:val="249B2037"/>
    <w:rsid w:val="24EDBFF9"/>
    <w:rsid w:val="252A0DAD"/>
    <w:rsid w:val="252D1802"/>
    <w:rsid w:val="2563DAA7"/>
    <w:rsid w:val="256D65AA"/>
    <w:rsid w:val="257A5504"/>
    <w:rsid w:val="2584AE66"/>
    <w:rsid w:val="25B572A7"/>
    <w:rsid w:val="25E4BEB8"/>
    <w:rsid w:val="262D1CE5"/>
    <w:rsid w:val="263B6510"/>
    <w:rsid w:val="267C0E14"/>
    <w:rsid w:val="26A4DB8C"/>
    <w:rsid w:val="26A593ED"/>
    <w:rsid w:val="26AB8DCF"/>
    <w:rsid w:val="26B10911"/>
    <w:rsid w:val="26E0987C"/>
    <w:rsid w:val="26FD34D8"/>
    <w:rsid w:val="2715AABC"/>
    <w:rsid w:val="271F85D4"/>
    <w:rsid w:val="27249B67"/>
    <w:rsid w:val="27317E38"/>
    <w:rsid w:val="2767E350"/>
    <w:rsid w:val="276AFE2C"/>
    <w:rsid w:val="277399E7"/>
    <w:rsid w:val="279B62B8"/>
    <w:rsid w:val="27AB834B"/>
    <w:rsid w:val="27BADE01"/>
    <w:rsid w:val="27C4C8C7"/>
    <w:rsid w:val="27CBF9D4"/>
    <w:rsid w:val="284C8951"/>
    <w:rsid w:val="28511748"/>
    <w:rsid w:val="28DDE162"/>
    <w:rsid w:val="28E4FB77"/>
    <w:rsid w:val="28EB48E5"/>
    <w:rsid w:val="28EC0F90"/>
    <w:rsid w:val="293472B0"/>
    <w:rsid w:val="2939ACBE"/>
    <w:rsid w:val="295D49EC"/>
    <w:rsid w:val="295EFA63"/>
    <w:rsid w:val="29A386DC"/>
    <w:rsid w:val="29A720DE"/>
    <w:rsid w:val="29B0219F"/>
    <w:rsid w:val="29E41051"/>
    <w:rsid w:val="2A655CAA"/>
    <w:rsid w:val="2A9422E8"/>
    <w:rsid w:val="2A97AA6C"/>
    <w:rsid w:val="2AB2F207"/>
    <w:rsid w:val="2ABA6359"/>
    <w:rsid w:val="2ADE6664"/>
    <w:rsid w:val="2AE445AB"/>
    <w:rsid w:val="2B02257F"/>
    <w:rsid w:val="2B19E983"/>
    <w:rsid w:val="2B1B35CC"/>
    <w:rsid w:val="2B33933E"/>
    <w:rsid w:val="2B4421E2"/>
    <w:rsid w:val="2B5182E5"/>
    <w:rsid w:val="2B634386"/>
    <w:rsid w:val="2B8AE640"/>
    <w:rsid w:val="2BBD2EAF"/>
    <w:rsid w:val="2BD7E7A8"/>
    <w:rsid w:val="2BDBEBF4"/>
    <w:rsid w:val="2C017CDB"/>
    <w:rsid w:val="2C06E00D"/>
    <w:rsid w:val="2C164270"/>
    <w:rsid w:val="2C1963A2"/>
    <w:rsid w:val="2C2047B5"/>
    <w:rsid w:val="2C3E72D2"/>
    <w:rsid w:val="2C5DB444"/>
    <w:rsid w:val="2C728E04"/>
    <w:rsid w:val="2C806FA3"/>
    <w:rsid w:val="2C825013"/>
    <w:rsid w:val="2CA6B72D"/>
    <w:rsid w:val="2CC7207F"/>
    <w:rsid w:val="2CD1D74A"/>
    <w:rsid w:val="2CD7C46A"/>
    <w:rsid w:val="2CDA5BE8"/>
    <w:rsid w:val="2CEBD84C"/>
    <w:rsid w:val="2D3B2E29"/>
    <w:rsid w:val="2D641B53"/>
    <w:rsid w:val="2DC3E013"/>
    <w:rsid w:val="2DC47D3E"/>
    <w:rsid w:val="2DC5088E"/>
    <w:rsid w:val="2DD5A966"/>
    <w:rsid w:val="2DDBEE84"/>
    <w:rsid w:val="2DE32CA3"/>
    <w:rsid w:val="2DF02B08"/>
    <w:rsid w:val="2DF87C8D"/>
    <w:rsid w:val="2DFDC797"/>
    <w:rsid w:val="2E1DE198"/>
    <w:rsid w:val="2E3C200B"/>
    <w:rsid w:val="2E4357AC"/>
    <w:rsid w:val="2E525861"/>
    <w:rsid w:val="2E59369A"/>
    <w:rsid w:val="2EB255C0"/>
    <w:rsid w:val="2ED748B9"/>
    <w:rsid w:val="2F295FCF"/>
    <w:rsid w:val="2F2EA811"/>
    <w:rsid w:val="2F53900E"/>
    <w:rsid w:val="2F67A6FB"/>
    <w:rsid w:val="2F8829A4"/>
    <w:rsid w:val="2FBE185A"/>
    <w:rsid w:val="2FD5EC76"/>
    <w:rsid w:val="2FE3186B"/>
    <w:rsid w:val="2FEB6A78"/>
    <w:rsid w:val="303D93F1"/>
    <w:rsid w:val="306C3A3A"/>
    <w:rsid w:val="308AC067"/>
    <w:rsid w:val="308B0A96"/>
    <w:rsid w:val="30A4B25C"/>
    <w:rsid w:val="30B2E2F5"/>
    <w:rsid w:val="30C60928"/>
    <w:rsid w:val="30CA3B81"/>
    <w:rsid w:val="30FCDC23"/>
    <w:rsid w:val="312EAAAA"/>
    <w:rsid w:val="3146A118"/>
    <w:rsid w:val="316D7ED0"/>
    <w:rsid w:val="3177A8DD"/>
    <w:rsid w:val="31796E53"/>
    <w:rsid w:val="3186AE4E"/>
    <w:rsid w:val="31A41D4F"/>
    <w:rsid w:val="31E4523E"/>
    <w:rsid w:val="31E7845E"/>
    <w:rsid w:val="31F44EDB"/>
    <w:rsid w:val="321A7E8E"/>
    <w:rsid w:val="321D76AE"/>
    <w:rsid w:val="3229092F"/>
    <w:rsid w:val="322BDB07"/>
    <w:rsid w:val="32345FAE"/>
    <w:rsid w:val="32347619"/>
    <w:rsid w:val="3266C844"/>
    <w:rsid w:val="329452AE"/>
    <w:rsid w:val="32B7223B"/>
    <w:rsid w:val="32E75AE0"/>
    <w:rsid w:val="331720C2"/>
    <w:rsid w:val="337C5E4D"/>
    <w:rsid w:val="3389A278"/>
    <w:rsid w:val="33930550"/>
    <w:rsid w:val="3398B31D"/>
    <w:rsid w:val="33A4141B"/>
    <w:rsid w:val="33CF49C9"/>
    <w:rsid w:val="33DA6EB3"/>
    <w:rsid w:val="343BCFAC"/>
    <w:rsid w:val="34414614"/>
    <w:rsid w:val="344412D7"/>
    <w:rsid w:val="34630932"/>
    <w:rsid w:val="347AD313"/>
    <w:rsid w:val="34863DE6"/>
    <w:rsid w:val="34A1935B"/>
    <w:rsid w:val="34AA95C2"/>
    <w:rsid w:val="34ABD4ED"/>
    <w:rsid w:val="34FD8EB4"/>
    <w:rsid w:val="350ACBA2"/>
    <w:rsid w:val="352974D7"/>
    <w:rsid w:val="35AC96CA"/>
    <w:rsid w:val="35AEA9D6"/>
    <w:rsid w:val="35CD796F"/>
    <w:rsid w:val="35F80EE0"/>
    <w:rsid w:val="360480DD"/>
    <w:rsid w:val="363D2A18"/>
    <w:rsid w:val="3640735C"/>
    <w:rsid w:val="3649D11B"/>
    <w:rsid w:val="364D7B1D"/>
    <w:rsid w:val="36536604"/>
    <w:rsid w:val="369312F8"/>
    <w:rsid w:val="36A39E23"/>
    <w:rsid w:val="36A6C9BA"/>
    <w:rsid w:val="36B3D842"/>
    <w:rsid w:val="36FAC819"/>
    <w:rsid w:val="37089CBF"/>
    <w:rsid w:val="3712C96C"/>
    <w:rsid w:val="373385CA"/>
    <w:rsid w:val="374C0326"/>
    <w:rsid w:val="375A7670"/>
    <w:rsid w:val="376879F1"/>
    <w:rsid w:val="37772A7C"/>
    <w:rsid w:val="377D0FD1"/>
    <w:rsid w:val="379A6B1E"/>
    <w:rsid w:val="37A972AD"/>
    <w:rsid w:val="37F1B597"/>
    <w:rsid w:val="37F84246"/>
    <w:rsid w:val="37F9419C"/>
    <w:rsid w:val="3806AF7F"/>
    <w:rsid w:val="3811AD8C"/>
    <w:rsid w:val="38283B45"/>
    <w:rsid w:val="3850462D"/>
    <w:rsid w:val="385324DE"/>
    <w:rsid w:val="388C6C7F"/>
    <w:rsid w:val="38BA73EF"/>
    <w:rsid w:val="38D77ED1"/>
    <w:rsid w:val="38E550D2"/>
    <w:rsid w:val="392409EC"/>
    <w:rsid w:val="39286E87"/>
    <w:rsid w:val="39511D1E"/>
    <w:rsid w:val="39643512"/>
    <w:rsid w:val="3976FC08"/>
    <w:rsid w:val="3985EA8E"/>
    <w:rsid w:val="39AB6EC7"/>
    <w:rsid w:val="39C07DB5"/>
    <w:rsid w:val="3A09D621"/>
    <w:rsid w:val="3A1C47C5"/>
    <w:rsid w:val="3A221539"/>
    <w:rsid w:val="3A42A212"/>
    <w:rsid w:val="3A4A1292"/>
    <w:rsid w:val="3A4DD7F9"/>
    <w:rsid w:val="3A5FD77C"/>
    <w:rsid w:val="3A70E28D"/>
    <w:rsid w:val="3AA9D78D"/>
    <w:rsid w:val="3AE06E4C"/>
    <w:rsid w:val="3AFD777D"/>
    <w:rsid w:val="3B22D062"/>
    <w:rsid w:val="3B2932A5"/>
    <w:rsid w:val="3B3110D4"/>
    <w:rsid w:val="3B495DD8"/>
    <w:rsid w:val="3B4AA9B4"/>
    <w:rsid w:val="3B80F311"/>
    <w:rsid w:val="3B969BCF"/>
    <w:rsid w:val="3BAE5458"/>
    <w:rsid w:val="3BB85517"/>
    <w:rsid w:val="3BC404A3"/>
    <w:rsid w:val="3BD255BD"/>
    <w:rsid w:val="3BEE2478"/>
    <w:rsid w:val="3BEF4287"/>
    <w:rsid w:val="3BEF74A1"/>
    <w:rsid w:val="3C0300E4"/>
    <w:rsid w:val="3C40913F"/>
    <w:rsid w:val="3C42EC46"/>
    <w:rsid w:val="3C49886E"/>
    <w:rsid w:val="3C56E966"/>
    <w:rsid w:val="3C669967"/>
    <w:rsid w:val="3C88B14F"/>
    <w:rsid w:val="3C8D995F"/>
    <w:rsid w:val="3C919889"/>
    <w:rsid w:val="3CB40AC5"/>
    <w:rsid w:val="3CB97513"/>
    <w:rsid w:val="3CCF0CF2"/>
    <w:rsid w:val="3CD63072"/>
    <w:rsid w:val="3CD9CCE3"/>
    <w:rsid w:val="3D18541E"/>
    <w:rsid w:val="3D214B82"/>
    <w:rsid w:val="3D3A2407"/>
    <w:rsid w:val="3D3B318B"/>
    <w:rsid w:val="3D3D91F9"/>
    <w:rsid w:val="3D4DFE73"/>
    <w:rsid w:val="3D622911"/>
    <w:rsid w:val="3D682C07"/>
    <w:rsid w:val="3D7BFCCE"/>
    <w:rsid w:val="3DA50125"/>
    <w:rsid w:val="3DB0FC77"/>
    <w:rsid w:val="3DD60BE8"/>
    <w:rsid w:val="3DEFF178"/>
    <w:rsid w:val="3E0D2FB8"/>
    <w:rsid w:val="3E1AB311"/>
    <w:rsid w:val="3E1F7433"/>
    <w:rsid w:val="3E20FE4B"/>
    <w:rsid w:val="3E316CAA"/>
    <w:rsid w:val="3E930DDA"/>
    <w:rsid w:val="3EB4887F"/>
    <w:rsid w:val="3EBBB9BD"/>
    <w:rsid w:val="3ECE90D0"/>
    <w:rsid w:val="3EF87C97"/>
    <w:rsid w:val="3F241D0B"/>
    <w:rsid w:val="3F337FE1"/>
    <w:rsid w:val="3F5BAFE1"/>
    <w:rsid w:val="3F5E5641"/>
    <w:rsid w:val="3F71F3BC"/>
    <w:rsid w:val="3F83441B"/>
    <w:rsid w:val="3F835E29"/>
    <w:rsid w:val="3F9485F9"/>
    <w:rsid w:val="3FDC4080"/>
    <w:rsid w:val="4016B0D5"/>
    <w:rsid w:val="4087A523"/>
    <w:rsid w:val="408925CD"/>
    <w:rsid w:val="40C884EB"/>
    <w:rsid w:val="40FAC15D"/>
    <w:rsid w:val="410BB338"/>
    <w:rsid w:val="41829CD4"/>
    <w:rsid w:val="41D86803"/>
    <w:rsid w:val="41F1E46D"/>
    <w:rsid w:val="4214C5E3"/>
    <w:rsid w:val="421F9879"/>
    <w:rsid w:val="42505E57"/>
    <w:rsid w:val="4271256F"/>
    <w:rsid w:val="427E844E"/>
    <w:rsid w:val="428338A1"/>
    <w:rsid w:val="4289FED2"/>
    <w:rsid w:val="434E4C42"/>
    <w:rsid w:val="434E6C4D"/>
    <w:rsid w:val="435DD43D"/>
    <w:rsid w:val="435FD234"/>
    <w:rsid w:val="436092A2"/>
    <w:rsid w:val="4374B6DC"/>
    <w:rsid w:val="438674CB"/>
    <w:rsid w:val="43A6AF8D"/>
    <w:rsid w:val="43A94F65"/>
    <w:rsid w:val="44013533"/>
    <w:rsid w:val="44051802"/>
    <w:rsid w:val="440D54E7"/>
    <w:rsid w:val="44189DB2"/>
    <w:rsid w:val="449A0FEE"/>
    <w:rsid w:val="449BA849"/>
    <w:rsid w:val="44CB1494"/>
    <w:rsid w:val="44E813FB"/>
    <w:rsid w:val="452DAC35"/>
    <w:rsid w:val="4536BC40"/>
    <w:rsid w:val="453E3738"/>
    <w:rsid w:val="457AD2D7"/>
    <w:rsid w:val="45C294BF"/>
    <w:rsid w:val="45DBB976"/>
    <w:rsid w:val="45F9BE3F"/>
    <w:rsid w:val="4633CA5E"/>
    <w:rsid w:val="465F275E"/>
    <w:rsid w:val="46A05C26"/>
    <w:rsid w:val="46D16919"/>
    <w:rsid w:val="46DCBA77"/>
    <w:rsid w:val="46DE167B"/>
    <w:rsid w:val="47016CD7"/>
    <w:rsid w:val="4726D73D"/>
    <w:rsid w:val="473A8721"/>
    <w:rsid w:val="4742C12E"/>
    <w:rsid w:val="47494F30"/>
    <w:rsid w:val="474C2928"/>
    <w:rsid w:val="475B6B15"/>
    <w:rsid w:val="47BA00EA"/>
    <w:rsid w:val="47BED52B"/>
    <w:rsid w:val="47DB8ED7"/>
    <w:rsid w:val="47DEB6C7"/>
    <w:rsid w:val="47DECC07"/>
    <w:rsid w:val="47EB85D7"/>
    <w:rsid w:val="480C5414"/>
    <w:rsid w:val="482C623C"/>
    <w:rsid w:val="48409B7B"/>
    <w:rsid w:val="485EAF65"/>
    <w:rsid w:val="488BDD48"/>
    <w:rsid w:val="489D275A"/>
    <w:rsid w:val="48B92F54"/>
    <w:rsid w:val="48DF8247"/>
    <w:rsid w:val="48EEBAC1"/>
    <w:rsid w:val="48F5121E"/>
    <w:rsid w:val="49167E5A"/>
    <w:rsid w:val="497C7EE2"/>
    <w:rsid w:val="49983B81"/>
    <w:rsid w:val="49A1D0F8"/>
    <w:rsid w:val="49B1E0CE"/>
    <w:rsid w:val="49D58160"/>
    <w:rsid w:val="49DA9B07"/>
    <w:rsid w:val="4A15FB69"/>
    <w:rsid w:val="4A44A2BA"/>
    <w:rsid w:val="4A6A1A5D"/>
    <w:rsid w:val="4AB50501"/>
    <w:rsid w:val="4ADCE3E1"/>
    <w:rsid w:val="4AF0F6AA"/>
    <w:rsid w:val="4B217E60"/>
    <w:rsid w:val="4B270E2C"/>
    <w:rsid w:val="4B602BB3"/>
    <w:rsid w:val="4B69D9CF"/>
    <w:rsid w:val="4B900840"/>
    <w:rsid w:val="4B9E3ECD"/>
    <w:rsid w:val="4BB05B96"/>
    <w:rsid w:val="4BB3D04D"/>
    <w:rsid w:val="4BC30A54"/>
    <w:rsid w:val="4C066EE5"/>
    <w:rsid w:val="4C1CFF93"/>
    <w:rsid w:val="4C453AC9"/>
    <w:rsid w:val="4C8C7BDB"/>
    <w:rsid w:val="4C94058B"/>
    <w:rsid w:val="4CB8995B"/>
    <w:rsid w:val="4CCB703E"/>
    <w:rsid w:val="4CD728BE"/>
    <w:rsid w:val="4CDD48D6"/>
    <w:rsid w:val="4CE98193"/>
    <w:rsid w:val="4CEC5F09"/>
    <w:rsid w:val="4CECD9F7"/>
    <w:rsid w:val="4CF49A07"/>
    <w:rsid w:val="4D128991"/>
    <w:rsid w:val="4D2CD734"/>
    <w:rsid w:val="4D489633"/>
    <w:rsid w:val="4D492B3A"/>
    <w:rsid w:val="4D4AF223"/>
    <w:rsid w:val="4D6D2F67"/>
    <w:rsid w:val="4D9FA0FF"/>
    <w:rsid w:val="4DD23EDB"/>
    <w:rsid w:val="4DE3D05E"/>
    <w:rsid w:val="4E27267E"/>
    <w:rsid w:val="4E2E9B95"/>
    <w:rsid w:val="4E371E67"/>
    <w:rsid w:val="4E60BC0D"/>
    <w:rsid w:val="4E6E9E28"/>
    <w:rsid w:val="4E9E76E6"/>
    <w:rsid w:val="4EB54CDA"/>
    <w:rsid w:val="4EDC8D4D"/>
    <w:rsid w:val="4EFAA9D8"/>
    <w:rsid w:val="4F173345"/>
    <w:rsid w:val="4F636E9D"/>
    <w:rsid w:val="4FA37572"/>
    <w:rsid w:val="4FC557F8"/>
    <w:rsid w:val="4FDC1E0E"/>
    <w:rsid w:val="4FEA70AA"/>
    <w:rsid w:val="4FF9B257"/>
    <w:rsid w:val="503393D4"/>
    <w:rsid w:val="50532065"/>
    <w:rsid w:val="50588935"/>
    <w:rsid w:val="50745E7D"/>
    <w:rsid w:val="50C64181"/>
    <w:rsid w:val="50C7D76A"/>
    <w:rsid w:val="51031B1B"/>
    <w:rsid w:val="512B87CF"/>
    <w:rsid w:val="5142025B"/>
    <w:rsid w:val="51B04FC7"/>
    <w:rsid w:val="51E4197D"/>
    <w:rsid w:val="51F61A32"/>
    <w:rsid w:val="520BC9C4"/>
    <w:rsid w:val="5211C995"/>
    <w:rsid w:val="522C9E3B"/>
    <w:rsid w:val="52678726"/>
    <w:rsid w:val="526C2907"/>
    <w:rsid w:val="526E909F"/>
    <w:rsid w:val="52889522"/>
    <w:rsid w:val="528C7274"/>
    <w:rsid w:val="52C0EE51"/>
    <w:rsid w:val="52CC7E3F"/>
    <w:rsid w:val="52D8A608"/>
    <w:rsid w:val="52E7DFB5"/>
    <w:rsid w:val="530D9EC4"/>
    <w:rsid w:val="5331060C"/>
    <w:rsid w:val="5333BA9A"/>
    <w:rsid w:val="53446F90"/>
    <w:rsid w:val="537404AE"/>
    <w:rsid w:val="53856772"/>
    <w:rsid w:val="53AFD1EF"/>
    <w:rsid w:val="5420DA37"/>
    <w:rsid w:val="545A195C"/>
    <w:rsid w:val="54710676"/>
    <w:rsid w:val="548B5DD9"/>
    <w:rsid w:val="549AD4D5"/>
    <w:rsid w:val="54B2AB20"/>
    <w:rsid w:val="55091B45"/>
    <w:rsid w:val="5538C6E8"/>
    <w:rsid w:val="5539EA42"/>
    <w:rsid w:val="55416E0E"/>
    <w:rsid w:val="554A1E4F"/>
    <w:rsid w:val="5577C5F5"/>
    <w:rsid w:val="5586A073"/>
    <w:rsid w:val="55A8A19D"/>
    <w:rsid w:val="55AF7C1B"/>
    <w:rsid w:val="55CD9908"/>
    <w:rsid w:val="55ED9CEB"/>
    <w:rsid w:val="5618A262"/>
    <w:rsid w:val="5648C893"/>
    <w:rsid w:val="566DC07B"/>
    <w:rsid w:val="5670E71C"/>
    <w:rsid w:val="56AD9AAB"/>
    <w:rsid w:val="5752747F"/>
    <w:rsid w:val="57676A31"/>
    <w:rsid w:val="579167C8"/>
    <w:rsid w:val="5799667C"/>
    <w:rsid w:val="57A8206F"/>
    <w:rsid w:val="57B27460"/>
    <w:rsid w:val="57EB1205"/>
    <w:rsid w:val="581DFBD0"/>
    <w:rsid w:val="583AD41B"/>
    <w:rsid w:val="583F2C28"/>
    <w:rsid w:val="5841D35C"/>
    <w:rsid w:val="58878F2C"/>
    <w:rsid w:val="58C69AB9"/>
    <w:rsid w:val="58CC7A57"/>
    <w:rsid w:val="58CD919F"/>
    <w:rsid w:val="590B9554"/>
    <w:rsid w:val="595056E3"/>
    <w:rsid w:val="5951B486"/>
    <w:rsid w:val="59836AB9"/>
    <w:rsid w:val="59883238"/>
    <w:rsid w:val="59DEF0AB"/>
    <w:rsid w:val="5A17478C"/>
    <w:rsid w:val="5A2A5C3A"/>
    <w:rsid w:val="5A3ADD0B"/>
    <w:rsid w:val="5A5F8BBE"/>
    <w:rsid w:val="5A7CEE28"/>
    <w:rsid w:val="5A9E4786"/>
    <w:rsid w:val="5AC0171B"/>
    <w:rsid w:val="5ACBE563"/>
    <w:rsid w:val="5AEE9F27"/>
    <w:rsid w:val="5AF30089"/>
    <w:rsid w:val="5B074518"/>
    <w:rsid w:val="5B4B81E5"/>
    <w:rsid w:val="5B4D5D19"/>
    <w:rsid w:val="5B65463E"/>
    <w:rsid w:val="5B6FADFA"/>
    <w:rsid w:val="5B8399C3"/>
    <w:rsid w:val="5BE3A4E8"/>
    <w:rsid w:val="5C327B3F"/>
    <w:rsid w:val="5C38D88C"/>
    <w:rsid w:val="5C3E3060"/>
    <w:rsid w:val="5C91DDCF"/>
    <w:rsid w:val="5C992664"/>
    <w:rsid w:val="5C9CD460"/>
    <w:rsid w:val="5CDDA351"/>
    <w:rsid w:val="5D2BF38A"/>
    <w:rsid w:val="5D7338EF"/>
    <w:rsid w:val="5D73A9EC"/>
    <w:rsid w:val="5D7F0971"/>
    <w:rsid w:val="5DA9CE82"/>
    <w:rsid w:val="5DAF711F"/>
    <w:rsid w:val="5DC7DD3C"/>
    <w:rsid w:val="5DCEBA7C"/>
    <w:rsid w:val="5DE31E27"/>
    <w:rsid w:val="5DEDC4EC"/>
    <w:rsid w:val="5E303A9B"/>
    <w:rsid w:val="5E6435C2"/>
    <w:rsid w:val="5E83F14D"/>
    <w:rsid w:val="5E9B50CE"/>
    <w:rsid w:val="5EB63734"/>
    <w:rsid w:val="5EBED1F2"/>
    <w:rsid w:val="5ED6AB9C"/>
    <w:rsid w:val="5EDAFC2A"/>
    <w:rsid w:val="5F26A181"/>
    <w:rsid w:val="5F524B8B"/>
    <w:rsid w:val="5F5469EC"/>
    <w:rsid w:val="5F6C7C04"/>
    <w:rsid w:val="5F70C85F"/>
    <w:rsid w:val="5F8F0267"/>
    <w:rsid w:val="5F992AB9"/>
    <w:rsid w:val="5FBCC9AD"/>
    <w:rsid w:val="60585972"/>
    <w:rsid w:val="6065B106"/>
    <w:rsid w:val="60927B29"/>
    <w:rsid w:val="60D15018"/>
    <w:rsid w:val="60E6B107"/>
    <w:rsid w:val="60EEB3E4"/>
    <w:rsid w:val="6107663D"/>
    <w:rsid w:val="6126E510"/>
    <w:rsid w:val="61294C0D"/>
    <w:rsid w:val="61323707"/>
    <w:rsid w:val="613F86CE"/>
    <w:rsid w:val="61473C09"/>
    <w:rsid w:val="6159B73B"/>
    <w:rsid w:val="617A5B90"/>
    <w:rsid w:val="6181FE41"/>
    <w:rsid w:val="61B5CC4B"/>
    <w:rsid w:val="622DEF53"/>
    <w:rsid w:val="62375958"/>
    <w:rsid w:val="627C12DB"/>
    <w:rsid w:val="62909457"/>
    <w:rsid w:val="62A3780D"/>
    <w:rsid w:val="62B90C37"/>
    <w:rsid w:val="62BC2944"/>
    <w:rsid w:val="6313AE56"/>
    <w:rsid w:val="63155A65"/>
    <w:rsid w:val="631F049F"/>
    <w:rsid w:val="63278A6B"/>
    <w:rsid w:val="632A9BEA"/>
    <w:rsid w:val="633985AA"/>
    <w:rsid w:val="633C2E9E"/>
    <w:rsid w:val="63424542"/>
    <w:rsid w:val="634BAA1B"/>
    <w:rsid w:val="634C9DCB"/>
    <w:rsid w:val="63AAA054"/>
    <w:rsid w:val="63B485A5"/>
    <w:rsid w:val="63C8518E"/>
    <w:rsid w:val="63CA4E23"/>
    <w:rsid w:val="63D20BB1"/>
    <w:rsid w:val="63DB92C1"/>
    <w:rsid w:val="63E617BF"/>
    <w:rsid w:val="63E63DEE"/>
    <w:rsid w:val="63E9190E"/>
    <w:rsid w:val="642322EB"/>
    <w:rsid w:val="6431EF2B"/>
    <w:rsid w:val="6464C96F"/>
    <w:rsid w:val="64761B7A"/>
    <w:rsid w:val="647CE19E"/>
    <w:rsid w:val="647F9D90"/>
    <w:rsid w:val="6493B69C"/>
    <w:rsid w:val="64C1AC28"/>
    <w:rsid w:val="64E16AA4"/>
    <w:rsid w:val="64FD9F3B"/>
    <w:rsid w:val="65301475"/>
    <w:rsid w:val="654BD6D7"/>
    <w:rsid w:val="65715542"/>
    <w:rsid w:val="65AA6AB7"/>
    <w:rsid w:val="65D6CFA7"/>
    <w:rsid w:val="65E56C3B"/>
    <w:rsid w:val="65F571B1"/>
    <w:rsid w:val="6629CD0A"/>
    <w:rsid w:val="6635A1BA"/>
    <w:rsid w:val="6655CF14"/>
    <w:rsid w:val="66716683"/>
    <w:rsid w:val="667F3638"/>
    <w:rsid w:val="66AEEAB7"/>
    <w:rsid w:val="66B3055C"/>
    <w:rsid w:val="66B40811"/>
    <w:rsid w:val="66BDF4BA"/>
    <w:rsid w:val="66EF0137"/>
    <w:rsid w:val="674F659E"/>
    <w:rsid w:val="678861AF"/>
    <w:rsid w:val="6788DE88"/>
    <w:rsid w:val="67A50883"/>
    <w:rsid w:val="67B4121D"/>
    <w:rsid w:val="67B89576"/>
    <w:rsid w:val="67B98886"/>
    <w:rsid w:val="67C92E40"/>
    <w:rsid w:val="68097186"/>
    <w:rsid w:val="682B0B7F"/>
    <w:rsid w:val="6836F118"/>
    <w:rsid w:val="6852453F"/>
    <w:rsid w:val="685B8B19"/>
    <w:rsid w:val="6890C7AA"/>
    <w:rsid w:val="6895696D"/>
    <w:rsid w:val="68C2FFD8"/>
    <w:rsid w:val="690E428E"/>
    <w:rsid w:val="69316213"/>
    <w:rsid w:val="6948DCDE"/>
    <w:rsid w:val="6956D1AF"/>
    <w:rsid w:val="69713117"/>
    <w:rsid w:val="6979A13E"/>
    <w:rsid w:val="69E1102E"/>
    <w:rsid w:val="69F9235F"/>
    <w:rsid w:val="6A0A02DF"/>
    <w:rsid w:val="6A3BF880"/>
    <w:rsid w:val="6A490C49"/>
    <w:rsid w:val="6A866392"/>
    <w:rsid w:val="6AC49633"/>
    <w:rsid w:val="6ADB5A1D"/>
    <w:rsid w:val="6AF473F9"/>
    <w:rsid w:val="6B1691FD"/>
    <w:rsid w:val="6B2C6D7A"/>
    <w:rsid w:val="6B8DE8A2"/>
    <w:rsid w:val="6B922287"/>
    <w:rsid w:val="6BAF3260"/>
    <w:rsid w:val="6BBD94AC"/>
    <w:rsid w:val="6BC97596"/>
    <w:rsid w:val="6C43536A"/>
    <w:rsid w:val="6C651CC9"/>
    <w:rsid w:val="6C794EAD"/>
    <w:rsid w:val="6C81357B"/>
    <w:rsid w:val="6C8472F9"/>
    <w:rsid w:val="6CDACB3F"/>
    <w:rsid w:val="6CDFC305"/>
    <w:rsid w:val="6CE68EE9"/>
    <w:rsid w:val="6CEE4157"/>
    <w:rsid w:val="6D0E8E92"/>
    <w:rsid w:val="6D0FE3D8"/>
    <w:rsid w:val="6D4B60E5"/>
    <w:rsid w:val="6D5180B7"/>
    <w:rsid w:val="6D62AB90"/>
    <w:rsid w:val="6D72BFCD"/>
    <w:rsid w:val="6D777C25"/>
    <w:rsid w:val="6DDA4CC1"/>
    <w:rsid w:val="6DDD9305"/>
    <w:rsid w:val="6DE322B3"/>
    <w:rsid w:val="6E27A377"/>
    <w:rsid w:val="6E3CA4ED"/>
    <w:rsid w:val="6E3DF27C"/>
    <w:rsid w:val="6E50A63C"/>
    <w:rsid w:val="6E6FE3CC"/>
    <w:rsid w:val="6E75D23B"/>
    <w:rsid w:val="6E7B2262"/>
    <w:rsid w:val="6E8A9D52"/>
    <w:rsid w:val="6EC214D8"/>
    <w:rsid w:val="6EC5ADE6"/>
    <w:rsid w:val="6ED36850"/>
    <w:rsid w:val="6EF0A819"/>
    <w:rsid w:val="6F01BB16"/>
    <w:rsid w:val="6F0FB318"/>
    <w:rsid w:val="6F1F3398"/>
    <w:rsid w:val="6F2058BA"/>
    <w:rsid w:val="6F33E673"/>
    <w:rsid w:val="6F7D4F88"/>
    <w:rsid w:val="6F80A07E"/>
    <w:rsid w:val="6FAC34C8"/>
    <w:rsid w:val="6FD61780"/>
    <w:rsid w:val="6FE3EE07"/>
    <w:rsid w:val="6FEB2696"/>
    <w:rsid w:val="6FF63494"/>
    <w:rsid w:val="700294EF"/>
    <w:rsid w:val="702CE60B"/>
    <w:rsid w:val="70308ED1"/>
    <w:rsid w:val="703A151B"/>
    <w:rsid w:val="704F229E"/>
    <w:rsid w:val="7053F966"/>
    <w:rsid w:val="706E21C2"/>
    <w:rsid w:val="70A39B07"/>
    <w:rsid w:val="71392CDB"/>
    <w:rsid w:val="716B2F1C"/>
    <w:rsid w:val="7174B50B"/>
    <w:rsid w:val="718A92B8"/>
    <w:rsid w:val="718FCB2E"/>
    <w:rsid w:val="71D15C6B"/>
    <w:rsid w:val="71D6B647"/>
    <w:rsid w:val="71E00A6A"/>
    <w:rsid w:val="71F4D17A"/>
    <w:rsid w:val="7205C023"/>
    <w:rsid w:val="7207859C"/>
    <w:rsid w:val="724BE08C"/>
    <w:rsid w:val="726178E7"/>
    <w:rsid w:val="726FCE20"/>
    <w:rsid w:val="7273E083"/>
    <w:rsid w:val="7294B8E8"/>
    <w:rsid w:val="731F1BB0"/>
    <w:rsid w:val="7335B716"/>
    <w:rsid w:val="7343A0CC"/>
    <w:rsid w:val="739576BA"/>
    <w:rsid w:val="73DE37EA"/>
    <w:rsid w:val="74133EBD"/>
    <w:rsid w:val="743B9B25"/>
    <w:rsid w:val="744348D2"/>
    <w:rsid w:val="744EDC4F"/>
    <w:rsid w:val="746C845B"/>
    <w:rsid w:val="7475C7FB"/>
    <w:rsid w:val="7492F74B"/>
    <w:rsid w:val="74A97F49"/>
    <w:rsid w:val="74B47FF3"/>
    <w:rsid w:val="74CD6184"/>
    <w:rsid w:val="74D9A6CF"/>
    <w:rsid w:val="74F3EB1B"/>
    <w:rsid w:val="750ADFD1"/>
    <w:rsid w:val="7535F21E"/>
    <w:rsid w:val="75561E4E"/>
    <w:rsid w:val="75639AF4"/>
    <w:rsid w:val="757986A7"/>
    <w:rsid w:val="758DDECE"/>
    <w:rsid w:val="75B71647"/>
    <w:rsid w:val="75B958E3"/>
    <w:rsid w:val="75BCE8BC"/>
    <w:rsid w:val="75D7A3A9"/>
    <w:rsid w:val="75E77548"/>
    <w:rsid w:val="75FEF72C"/>
    <w:rsid w:val="760C0CF2"/>
    <w:rsid w:val="76174B5F"/>
    <w:rsid w:val="764CBF8A"/>
    <w:rsid w:val="765CCC50"/>
    <w:rsid w:val="767E85C5"/>
    <w:rsid w:val="767F1CF1"/>
    <w:rsid w:val="767FB2B2"/>
    <w:rsid w:val="76C320FD"/>
    <w:rsid w:val="76D36F63"/>
    <w:rsid w:val="76F5AE80"/>
    <w:rsid w:val="76F9A8D9"/>
    <w:rsid w:val="773D15F1"/>
    <w:rsid w:val="7765D7BD"/>
    <w:rsid w:val="778AE7CA"/>
    <w:rsid w:val="779B055A"/>
    <w:rsid w:val="77AEA21A"/>
    <w:rsid w:val="77C672FB"/>
    <w:rsid w:val="77F444F0"/>
    <w:rsid w:val="77F7607E"/>
    <w:rsid w:val="78160696"/>
    <w:rsid w:val="78363D12"/>
    <w:rsid w:val="784C93E6"/>
    <w:rsid w:val="787AF5A4"/>
    <w:rsid w:val="78AEF983"/>
    <w:rsid w:val="78B9BB67"/>
    <w:rsid w:val="78BAF803"/>
    <w:rsid w:val="78E62A2B"/>
    <w:rsid w:val="7908607E"/>
    <w:rsid w:val="790AAFFD"/>
    <w:rsid w:val="79199C73"/>
    <w:rsid w:val="7930D9C6"/>
    <w:rsid w:val="7946ED53"/>
    <w:rsid w:val="7956CAA8"/>
    <w:rsid w:val="7977A846"/>
    <w:rsid w:val="797933D6"/>
    <w:rsid w:val="7983F5A6"/>
    <w:rsid w:val="79AFEA46"/>
    <w:rsid w:val="79C3BF6F"/>
    <w:rsid w:val="79DC1967"/>
    <w:rsid w:val="79E435A7"/>
    <w:rsid w:val="7A19146A"/>
    <w:rsid w:val="7A1FD04B"/>
    <w:rsid w:val="7A689450"/>
    <w:rsid w:val="7A8D6935"/>
    <w:rsid w:val="7A99B726"/>
    <w:rsid w:val="7AA5175A"/>
    <w:rsid w:val="7AA528B3"/>
    <w:rsid w:val="7ABD3B90"/>
    <w:rsid w:val="7ABD8AA0"/>
    <w:rsid w:val="7ABF6C04"/>
    <w:rsid w:val="7AC6E83E"/>
    <w:rsid w:val="7B0229FA"/>
    <w:rsid w:val="7B1A0BE5"/>
    <w:rsid w:val="7B25D567"/>
    <w:rsid w:val="7BC3F2B4"/>
    <w:rsid w:val="7BF3B79B"/>
    <w:rsid w:val="7C0EAC89"/>
    <w:rsid w:val="7C1ADF5E"/>
    <w:rsid w:val="7C3B992B"/>
    <w:rsid w:val="7C56154E"/>
    <w:rsid w:val="7C5B33AB"/>
    <w:rsid w:val="7C786D49"/>
    <w:rsid w:val="7CA1E604"/>
    <w:rsid w:val="7D26C373"/>
    <w:rsid w:val="7D27BA0B"/>
    <w:rsid w:val="7D53CBF7"/>
    <w:rsid w:val="7D8DB389"/>
    <w:rsid w:val="7D90B68D"/>
    <w:rsid w:val="7D99329C"/>
    <w:rsid w:val="7DABD657"/>
    <w:rsid w:val="7E888814"/>
    <w:rsid w:val="7EA557D7"/>
    <w:rsid w:val="7EBB8CF0"/>
    <w:rsid w:val="7EEEA205"/>
    <w:rsid w:val="7F16938B"/>
    <w:rsid w:val="7F66F3BB"/>
    <w:rsid w:val="7F73B629"/>
    <w:rsid w:val="7F848D58"/>
    <w:rsid w:val="7FAB7281"/>
    <w:rsid w:val="7FE776A1"/>
    <w:rsid w:val="7FEC617E"/>
    <w:rsid w:val="7FFCFE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86057"/>
  <w15:chartTrackingRefBased/>
  <w15:docId w15:val="{9998F148-DD99-421F-B78D-7309688EB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21E"/>
  </w:style>
  <w:style w:type="paragraph" w:styleId="Heading1">
    <w:name w:val="heading 1"/>
    <w:next w:val="Normal"/>
    <w:link w:val="Heading1Char"/>
    <w:uiPriority w:val="9"/>
    <w:qFormat/>
    <w:rsid w:val="009F64C5"/>
    <w:pPr>
      <w:keepNext/>
      <w:keepLines/>
      <w:spacing w:after="152" w:line="265" w:lineRule="auto"/>
      <w:ind w:left="10" w:right="2" w:hanging="10"/>
      <w:jc w:val="center"/>
      <w:outlineLvl w:val="0"/>
    </w:pPr>
    <w:rPr>
      <w:rFonts w:ascii="Times New Roman" w:eastAsia="Times New Roman" w:hAnsi="Times New Roman" w:cs="Times New Roman"/>
      <w:b/>
      <w:color w:val="000000"/>
      <w:sz w:val="24"/>
    </w:rPr>
  </w:style>
  <w:style w:type="paragraph" w:styleId="Heading2">
    <w:name w:val="heading 2"/>
    <w:next w:val="Normal"/>
    <w:link w:val="Heading2Char"/>
    <w:uiPriority w:val="9"/>
    <w:unhideWhenUsed/>
    <w:qFormat/>
    <w:rsid w:val="009F64C5"/>
    <w:pPr>
      <w:keepNext/>
      <w:keepLines/>
      <w:spacing w:after="152" w:line="265" w:lineRule="auto"/>
      <w:ind w:left="10" w:right="2" w:hanging="10"/>
      <w:jc w:val="center"/>
      <w:outlineLvl w:val="1"/>
    </w:pPr>
    <w:rPr>
      <w:rFonts w:ascii="Times New Roman" w:eastAsia="Times New Roman" w:hAnsi="Times New Roman" w:cs="Times New Roman"/>
      <w:b/>
      <w:color w:val="000000"/>
      <w:sz w:val="24"/>
    </w:rPr>
  </w:style>
  <w:style w:type="paragraph" w:styleId="Heading3">
    <w:name w:val="heading 3"/>
    <w:next w:val="Normal"/>
    <w:link w:val="Heading3Char"/>
    <w:uiPriority w:val="9"/>
    <w:unhideWhenUsed/>
    <w:qFormat/>
    <w:rsid w:val="009F64C5"/>
    <w:pPr>
      <w:keepNext/>
      <w:keepLines/>
      <w:spacing w:after="181"/>
      <w:outlineLvl w:val="2"/>
    </w:pPr>
    <w:rPr>
      <w:rFonts w:ascii="Times New Roman" w:eastAsia="Times New Roman" w:hAnsi="Times New Roman" w:cs="Times New Roman"/>
      <w:color w:val="000000"/>
      <w:sz w:val="24"/>
      <w:u w:val="single" w:color="000000"/>
    </w:rPr>
  </w:style>
  <w:style w:type="paragraph" w:styleId="Heading4">
    <w:name w:val="heading 4"/>
    <w:basedOn w:val="Normal"/>
    <w:next w:val="Normal"/>
    <w:link w:val="Heading4Char"/>
    <w:uiPriority w:val="9"/>
    <w:semiHidden/>
    <w:unhideWhenUsed/>
    <w:qFormat/>
    <w:rsid w:val="007F39D8"/>
    <w:pPr>
      <w:keepNext/>
      <w:keepLines/>
      <w:spacing w:before="200" w:after="0" w:line="360" w:lineRule="auto"/>
      <w:outlineLvl w:val="3"/>
    </w:pPr>
    <w:rPr>
      <w:rFonts w:asciiTheme="majorHAnsi" w:eastAsiaTheme="majorEastAsia" w:hAnsiTheme="majorHAnsi" w:cstheme="majorBidi"/>
      <w:b/>
      <w:bCs/>
      <w:i/>
      <w:iCs/>
      <w:color w:val="4472C4" w:themeColor="accent1"/>
      <w:kern w:val="0"/>
      <w:lang w:val="en-US" w:eastAsia="en-US"/>
      <w14:ligatures w14:val="none"/>
    </w:rPr>
  </w:style>
  <w:style w:type="paragraph" w:styleId="Heading5">
    <w:name w:val="heading 5"/>
    <w:basedOn w:val="Normal"/>
    <w:next w:val="Normal"/>
    <w:link w:val="Heading5Char"/>
    <w:uiPriority w:val="9"/>
    <w:semiHidden/>
    <w:unhideWhenUsed/>
    <w:qFormat/>
    <w:rsid w:val="007F39D8"/>
    <w:pPr>
      <w:keepNext/>
      <w:keepLines/>
      <w:spacing w:before="200" w:after="0" w:line="360" w:lineRule="auto"/>
      <w:outlineLvl w:val="4"/>
    </w:pPr>
    <w:rPr>
      <w:rFonts w:asciiTheme="majorHAnsi" w:eastAsiaTheme="majorEastAsia" w:hAnsiTheme="majorHAnsi" w:cstheme="majorBidi"/>
      <w:color w:val="1F3763" w:themeColor="accent1" w:themeShade="7F"/>
      <w:kern w:val="0"/>
      <w:lang w:val="en-US" w:eastAsia="en-US"/>
      <w14:ligatures w14:val="none"/>
    </w:rPr>
  </w:style>
  <w:style w:type="paragraph" w:styleId="Heading6">
    <w:name w:val="heading 6"/>
    <w:basedOn w:val="Normal"/>
    <w:next w:val="Normal"/>
    <w:link w:val="Heading6Char"/>
    <w:uiPriority w:val="9"/>
    <w:semiHidden/>
    <w:unhideWhenUsed/>
    <w:qFormat/>
    <w:rsid w:val="007F39D8"/>
    <w:pPr>
      <w:keepNext/>
      <w:keepLines/>
      <w:spacing w:before="200" w:after="0" w:line="360" w:lineRule="auto"/>
      <w:outlineLvl w:val="5"/>
    </w:pPr>
    <w:rPr>
      <w:rFonts w:asciiTheme="majorHAnsi" w:eastAsiaTheme="majorEastAsia" w:hAnsiTheme="majorHAnsi" w:cstheme="majorBidi"/>
      <w:i/>
      <w:iCs/>
      <w:color w:val="1F3763" w:themeColor="accent1" w:themeShade="7F"/>
      <w:kern w:val="0"/>
      <w:lang w:val="en-US" w:eastAsia="en-US"/>
      <w14:ligatures w14:val="none"/>
    </w:rPr>
  </w:style>
  <w:style w:type="paragraph" w:styleId="Heading7">
    <w:name w:val="heading 7"/>
    <w:basedOn w:val="Normal"/>
    <w:next w:val="Normal"/>
    <w:link w:val="Heading7Char"/>
    <w:uiPriority w:val="9"/>
    <w:semiHidden/>
    <w:unhideWhenUsed/>
    <w:qFormat/>
    <w:rsid w:val="007F39D8"/>
    <w:pPr>
      <w:keepNext/>
      <w:keepLines/>
      <w:spacing w:before="200" w:after="0" w:line="360" w:lineRule="auto"/>
      <w:outlineLvl w:val="6"/>
    </w:pPr>
    <w:rPr>
      <w:rFonts w:asciiTheme="majorHAnsi" w:eastAsiaTheme="majorEastAsia" w:hAnsiTheme="majorHAnsi" w:cstheme="majorBidi"/>
      <w:i/>
      <w:iCs/>
      <w:color w:val="404040" w:themeColor="text1" w:themeTint="BF"/>
      <w:kern w:val="0"/>
      <w:lang w:val="en-US" w:eastAsia="en-US"/>
      <w14:ligatures w14:val="none"/>
    </w:rPr>
  </w:style>
  <w:style w:type="paragraph" w:styleId="Heading8">
    <w:name w:val="heading 8"/>
    <w:basedOn w:val="Normal"/>
    <w:next w:val="Normal"/>
    <w:link w:val="Heading8Char"/>
    <w:uiPriority w:val="9"/>
    <w:semiHidden/>
    <w:unhideWhenUsed/>
    <w:qFormat/>
    <w:rsid w:val="007F39D8"/>
    <w:pPr>
      <w:keepNext/>
      <w:keepLines/>
      <w:spacing w:before="200" w:after="0" w:line="360" w:lineRule="auto"/>
      <w:outlineLvl w:val="7"/>
    </w:pPr>
    <w:rPr>
      <w:rFonts w:asciiTheme="majorHAnsi" w:eastAsiaTheme="majorEastAsia" w:hAnsiTheme="majorHAnsi" w:cstheme="majorBidi"/>
      <w:color w:val="4472C4" w:themeColor="accent1"/>
      <w:kern w:val="0"/>
      <w:sz w:val="20"/>
      <w:szCs w:val="20"/>
      <w:lang w:val="en-US" w:eastAsia="en-US"/>
      <w14:ligatures w14:val="none"/>
    </w:rPr>
  </w:style>
  <w:style w:type="paragraph" w:styleId="Heading9">
    <w:name w:val="heading 9"/>
    <w:basedOn w:val="Normal"/>
    <w:next w:val="Normal"/>
    <w:link w:val="Heading9Char"/>
    <w:uiPriority w:val="9"/>
    <w:semiHidden/>
    <w:unhideWhenUsed/>
    <w:qFormat/>
    <w:rsid w:val="007F39D8"/>
    <w:pPr>
      <w:keepNext/>
      <w:keepLines/>
      <w:spacing w:before="200" w:after="0" w:line="360" w:lineRule="auto"/>
      <w:outlineLvl w:val="8"/>
    </w:pPr>
    <w:rPr>
      <w:rFonts w:asciiTheme="majorHAnsi" w:eastAsiaTheme="majorEastAsia" w:hAnsiTheme="majorHAnsi" w:cstheme="majorBidi"/>
      <w:i/>
      <w:iCs/>
      <w:color w:val="404040" w:themeColor="text1" w:themeTint="BF"/>
      <w:kern w:val="0"/>
      <w:sz w:val="20"/>
      <w:szCs w:val="20"/>
      <w:lang w:val="en-US"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4C5"/>
    <w:rPr>
      <w:rFonts w:ascii="Times New Roman" w:eastAsia="Times New Roman" w:hAnsi="Times New Roman" w:cs="Times New Roman"/>
      <w:b/>
      <w:color w:val="000000"/>
      <w:sz w:val="24"/>
    </w:rPr>
  </w:style>
  <w:style w:type="character" w:customStyle="1" w:styleId="Heading2Char">
    <w:name w:val="Heading 2 Char"/>
    <w:basedOn w:val="DefaultParagraphFont"/>
    <w:link w:val="Heading2"/>
    <w:uiPriority w:val="9"/>
    <w:rsid w:val="009F64C5"/>
    <w:rPr>
      <w:rFonts w:ascii="Times New Roman" w:eastAsia="Times New Roman" w:hAnsi="Times New Roman" w:cs="Times New Roman"/>
      <w:b/>
      <w:color w:val="000000"/>
      <w:sz w:val="24"/>
    </w:rPr>
  </w:style>
  <w:style w:type="character" w:customStyle="1" w:styleId="Heading3Char">
    <w:name w:val="Heading 3 Char"/>
    <w:basedOn w:val="DefaultParagraphFont"/>
    <w:link w:val="Heading3"/>
    <w:uiPriority w:val="9"/>
    <w:rsid w:val="009F64C5"/>
    <w:rPr>
      <w:rFonts w:ascii="Times New Roman" w:eastAsia="Times New Roman" w:hAnsi="Times New Roman" w:cs="Times New Roman"/>
      <w:color w:val="000000"/>
      <w:sz w:val="24"/>
      <w:u w:val="single" w:color="000000"/>
    </w:rPr>
  </w:style>
  <w:style w:type="paragraph" w:styleId="TOC1">
    <w:name w:val="toc 1"/>
    <w:hidden/>
    <w:uiPriority w:val="39"/>
    <w:rsid w:val="009F64C5"/>
    <w:pPr>
      <w:spacing w:after="109" w:line="249" w:lineRule="auto"/>
      <w:ind w:left="25" w:right="19" w:hanging="10"/>
    </w:pPr>
    <w:rPr>
      <w:rFonts w:ascii="Times New Roman" w:eastAsia="Times New Roman" w:hAnsi="Times New Roman" w:cs="Times New Roman"/>
      <w:color w:val="000000"/>
      <w:sz w:val="24"/>
    </w:rPr>
  </w:style>
  <w:style w:type="paragraph" w:styleId="Header">
    <w:name w:val="header"/>
    <w:basedOn w:val="Normal"/>
    <w:link w:val="HeaderChar"/>
    <w:uiPriority w:val="99"/>
    <w:unhideWhenUsed/>
    <w:rsid w:val="00A743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430F"/>
  </w:style>
  <w:style w:type="paragraph" w:styleId="NormalWeb">
    <w:name w:val="Normal (Web)"/>
    <w:basedOn w:val="Normal"/>
    <w:uiPriority w:val="99"/>
    <w:semiHidden/>
    <w:unhideWhenUsed/>
    <w:rsid w:val="00201F1C"/>
    <w:rPr>
      <w:rFonts w:ascii="Times New Roman" w:hAnsi="Times New Roman" w:cs="Times New Roman"/>
      <w:sz w:val="24"/>
      <w:szCs w:val="24"/>
    </w:rPr>
  </w:style>
  <w:style w:type="paragraph" w:styleId="ListParagraph">
    <w:name w:val="List Paragraph"/>
    <w:basedOn w:val="Normal"/>
    <w:uiPriority w:val="34"/>
    <w:qFormat/>
    <w:rsid w:val="00A22DE5"/>
    <w:pPr>
      <w:ind w:left="720"/>
      <w:contextualSpacing/>
    </w:pPr>
  </w:style>
  <w:style w:type="table" w:styleId="TableGrid">
    <w:name w:val="Table Grid"/>
    <w:basedOn w:val="TableNormal"/>
    <w:uiPriority w:val="59"/>
    <w:rsid w:val="003B0D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0F0A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6E09"/>
  </w:style>
  <w:style w:type="character" w:styleId="Hyperlink">
    <w:name w:val="Hyperlink"/>
    <w:basedOn w:val="DefaultParagraphFont"/>
    <w:uiPriority w:val="99"/>
    <w:unhideWhenUsed/>
    <w:rsid w:val="00C75103"/>
    <w:rPr>
      <w:color w:val="0563C1" w:themeColor="hyperlink"/>
      <w:u w:val="single"/>
    </w:rPr>
  </w:style>
  <w:style w:type="paragraph" w:styleId="TOCHeading">
    <w:name w:val="TOC Heading"/>
    <w:basedOn w:val="Heading1"/>
    <w:next w:val="Normal"/>
    <w:uiPriority w:val="39"/>
    <w:unhideWhenUsed/>
    <w:qFormat/>
    <w:rsid w:val="004D39D0"/>
    <w:pPr>
      <w:spacing w:before="240" w:after="0" w:line="259" w:lineRule="auto"/>
      <w:ind w:left="0" w:right="0" w:firstLine="0"/>
      <w:jc w:val="left"/>
      <w:outlineLvl w:val="9"/>
    </w:pPr>
    <w:rPr>
      <w:rFonts w:asciiTheme="majorHAnsi" w:eastAsiaTheme="majorEastAsia" w:hAnsiTheme="majorHAnsi" w:cstheme="majorBidi"/>
      <w:b w:val="0"/>
      <w:color w:val="2F5496" w:themeColor="accent1" w:themeShade="BF"/>
      <w:kern w:val="0"/>
      <w:sz w:val="32"/>
      <w:szCs w:val="32"/>
      <w:lang w:val="en-US" w:eastAsia="en-US"/>
      <w14:ligatures w14:val="none"/>
    </w:rPr>
  </w:style>
  <w:style w:type="paragraph" w:styleId="TOC2">
    <w:name w:val="toc 2"/>
    <w:basedOn w:val="Normal"/>
    <w:next w:val="Normal"/>
    <w:autoRedefine/>
    <w:uiPriority w:val="39"/>
    <w:unhideWhenUsed/>
    <w:rsid w:val="003812C9"/>
    <w:pPr>
      <w:tabs>
        <w:tab w:val="right" w:leader="dot" w:pos="9016"/>
      </w:tabs>
      <w:spacing w:after="100"/>
      <w:ind w:left="220"/>
    </w:pPr>
    <w:rPr>
      <w:rFonts w:ascii="Arial" w:hAnsi="Arial" w:cs="Arial"/>
      <w:noProof/>
    </w:rPr>
  </w:style>
  <w:style w:type="paragraph" w:styleId="TOC3">
    <w:name w:val="toc 3"/>
    <w:basedOn w:val="Normal"/>
    <w:next w:val="Normal"/>
    <w:autoRedefine/>
    <w:uiPriority w:val="39"/>
    <w:unhideWhenUsed/>
    <w:rsid w:val="004D39D0"/>
    <w:pPr>
      <w:spacing w:after="100"/>
      <w:ind w:left="440"/>
    </w:pPr>
  </w:style>
  <w:style w:type="paragraph" w:styleId="Caption">
    <w:name w:val="caption"/>
    <w:basedOn w:val="Normal"/>
    <w:next w:val="Normal"/>
    <w:uiPriority w:val="35"/>
    <w:semiHidden/>
    <w:unhideWhenUsed/>
    <w:qFormat/>
    <w:rsid w:val="00870C22"/>
    <w:pPr>
      <w:keepNext/>
      <w:spacing w:before="160" w:after="120" w:line="276" w:lineRule="auto"/>
    </w:pPr>
    <w:rPr>
      <w:rFonts w:ascii="Arial" w:hAnsi="Arial"/>
      <w:b/>
      <w:bCs/>
      <w:color w:val="000000"/>
      <w:kern w:val="0"/>
      <w:sz w:val="20"/>
      <w:szCs w:val="18"/>
      <w:lang w:val="en-US" w:eastAsia="en-US"/>
      <w14:ligatures w14:val="none"/>
    </w:rPr>
  </w:style>
  <w:style w:type="paragraph" w:customStyle="1" w:styleId="Tabletext">
    <w:name w:val="Table text"/>
    <w:rsid w:val="00870C22"/>
    <w:pPr>
      <w:spacing w:after="100" w:line="276" w:lineRule="auto"/>
    </w:pPr>
    <w:rPr>
      <w:rFonts w:ascii="Arial" w:hAnsi="Arial"/>
      <w:color w:val="000000"/>
      <w:kern w:val="0"/>
      <w:sz w:val="20"/>
      <w:lang w:val="en-US" w:eastAsia="en-US"/>
      <w14:ligatures w14:val="none"/>
    </w:rPr>
  </w:style>
  <w:style w:type="character" w:customStyle="1" w:styleId="Heading4Char">
    <w:name w:val="Heading 4 Char"/>
    <w:basedOn w:val="DefaultParagraphFont"/>
    <w:link w:val="Heading4"/>
    <w:uiPriority w:val="9"/>
    <w:semiHidden/>
    <w:rsid w:val="007F39D8"/>
    <w:rPr>
      <w:rFonts w:asciiTheme="majorHAnsi" w:eastAsiaTheme="majorEastAsia" w:hAnsiTheme="majorHAnsi" w:cstheme="majorBidi"/>
      <w:b/>
      <w:bCs/>
      <w:i/>
      <w:iCs/>
      <w:color w:val="4472C4" w:themeColor="accent1"/>
      <w:kern w:val="0"/>
      <w:lang w:val="en-US" w:eastAsia="en-US"/>
      <w14:ligatures w14:val="none"/>
    </w:rPr>
  </w:style>
  <w:style w:type="character" w:customStyle="1" w:styleId="Heading5Char">
    <w:name w:val="Heading 5 Char"/>
    <w:basedOn w:val="DefaultParagraphFont"/>
    <w:link w:val="Heading5"/>
    <w:uiPriority w:val="9"/>
    <w:semiHidden/>
    <w:rsid w:val="007F39D8"/>
    <w:rPr>
      <w:rFonts w:asciiTheme="majorHAnsi" w:eastAsiaTheme="majorEastAsia" w:hAnsiTheme="majorHAnsi" w:cstheme="majorBidi"/>
      <w:color w:val="1F3763" w:themeColor="accent1" w:themeShade="7F"/>
      <w:kern w:val="0"/>
      <w:lang w:val="en-US" w:eastAsia="en-US"/>
      <w14:ligatures w14:val="none"/>
    </w:rPr>
  </w:style>
  <w:style w:type="character" w:customStyle="1" w:styleId="Heading6Char">
    <w:name w:val="Heading 6 Char"/>
    <w:basedOn w:val="DefaultParagraphFont"/>
    <w:link w:val="Heading6"/>
    <w:uiPriority w:val="9"/>
    <w:semiHidden/>
    <w:rsid w:val="007F39D8"/>
    <w:rPr>
      <w:rFonts w:asciiTheme="majorHAnsi" w:eastAsiaTheme="majorEastAsia" w:hAnsiTheme="majorHAnsi" w:cstheme="majorBidi"/>
      <w:i/>
      <w:iCs/>
      <w:color w:val="1F3763" w:themeColor="accent1" w:themeShade="7F"/>
      <w:kern w:val="0"/>
      <w:lang w:val="en-US" w:eastAsia="en-US"/>
      <w14:ligatures w14:val="none"/>
    </w:rPr>
  </w:style>
  <w:style w:type="character" w:customStyle="1" w:styleId="Heading7Char">
    <w:name w:val="Heading 7 Char"/>
    <w:basedOn w:val="DefaultParagraphFont"/>
    <w:link w:val="Heading7"/>
    <w:uiPriority w:val="9"/>
    <w:semiHidden/>
    <w:rsid w:val="007F39D8"/>
    <w:rPr>
      <w:rFonts w:asciiTheme="majorHAnsi" w:eastAsiaTheme="majorEastAsia" w:hAnsiTheme="majorHAnsi" w:cstheme="majorBidi"/>
      <w:i/>
      <w:iCs/>
      <w:color w:val="404040" w:themeColor="text1" w:themeTint="BF"/>
      <w:kern w:val="0"/>
      <w:lang w:val="en-US" w:eastAsia="en-US"/>
      <w14:ligatures w14:val="none"/>
    </w:rPr>
  </w:style>
  <w:style w:type="character" w:customStyle="1" w:styleId="Heading8Char">
    <w:name w:val="Heading 8 Char"/>
    <w:basedOn w:val="DefaultParagraphFont"/>
    <w:link w:val="Heading8"/>
    <w:uiPriority w:val="9"/>
    <w:semiHidden/>
    <w:rsid w:val="007F39D8"/>
    <w:rPr>
      <w:rFonts w:asciiTheme="majorHAnsi" w:eastAsiaTheme="majorEastAsia" w:hAnsiTheme="majorHAnsi" w:cstheme="majorBidi"/>
      <w:color w:val="4472C4" w:themeColor="accent1"/>
      <w:kern w:val="0"/>
      <w:sz w:val="20"/>
      <w:szCs w:val="20"/>
      <w:lang w:val="en-US" w:eastAsia="en-US"/>
      <w14:ligatures w14:val="none"/>
    </w:rPr>
  </w:style>
  <w:style w:type="character" w:customStyle="1" w:styleId="Heading9Char">
    <w:name w:val="Heading 9 Char"/>
    <w:basedOn w:val="DefaultParagraphFont"/>
    <w:link w:val="Heading9"/>
    <w:uiPriority w:val="9"/>
    <w:semiHidden/>
    <w:rsid w:val="007F39D8"/>
    <w:rPr>
      <w:rFonts w:asciiTheme="majorHAnsi" w:eastAsiaTheme="majorEastAsia" w:hAnsiTheme="majorHAnsi" w:cstheme="majorBidi"/>
      <w:i/>
      <w:iCs/>
      <w:color w:val="404040" w:themeColor="text1" w:themeTint="BF"/>
      <w:kern w:val="0"/>
      <w:sz w:val="20"/>
      <w:szCs w:val="20"/>
      <w:lang w:val="en-US" w:eastAsia="en-US"/>
      <w14:ligatures w14:val="none"/>
    </w:rPr>
  </w:style>
  <w:style w:type="paragraph" w:styleId="NoSpacing">
    <w:name w:val="No Spacing"/>
    <w:uiPriority w:val="1"/>
    <w:qFormat/>
    <w:rsid w:val="007F39D8"/>
    <w:pPr>
      <w:spacing w:after="0" w:line="240" w:lineRule="auto"/>
    </w:pPr>
    <w:rPr>
      <w:kern w:val="0"/>
      <w:lang w:val="en-US" w:eastAsia="en-US"/>
      <w14:ligatures w14:val="none"/>
    </w:rPr>
  </w:style>
  <w:style w:type="paragraph" w:styleId="Title">
    <w:name w:val="Title"/>
    <w:basedOn w:val="Normal"/>
    <w:next w:val="Normal"/>
    <w:link w:val="TitleChar"/>
    <w:uiPriority w:val="10"/>
    <w:qFormat/>
    <w:rsid w:val="007F39D8"/>
    <w:pPr>
      <w:spacing w:after="320" w:line="300" w:lineRule="auto"/>
      <w:contextualSpacing/>
    </w:pPr>
    <w:rPr>
      <w:rFonts w:asciiTheme="majorHAnsi" w:eastAsiaTheme="majorEastAsia" w:hAnsiTheme="majorHAnsi" w:cstheme="majorBidi"/>
      <w:b/>
      <w:color w:val="000000"/>
      <w:spacing w:val="5"/>
      <w:kern w:val="28"/>
      <w:sz w:val="34"/>
      <w:szCs w:val="52"/>
      <w:lang w:val="en-US" w:eastAsia="en-US"/>
      <w14:ligatures w14:val="none"/>
    </w:rPr>
  </w:style>
  <w:style w:type="character" w:customStyle="1" w:styleId="TitleChar">
    <w:name w:val="Title Char"/>
    <w:basedOn w:val="DefaultParagraphFont"/>
    <w:link w:val="Title"/>
    <w:uiPriority w:val="10"/>
    <w:rsid w:val="007F39D8"/>
    <w:rPr>
      <w:rFonts w:asciiTheme="majorHAnsi" w:eastAsiaTheme="majorEastAsia" w:hAnsiTheme="majorHAnsi" w:cstheme="majorBidi"/>
      <w:b/>
      <w:color w:val="000000"/>
      <w:spacing w:val="5"/>
      <w:kern w:val="28"/>
      <w:sz w:val="34"/>
      <w:szCs w:val="52"/>
      <w:lang w:val="en-US" w:eastAsia="en-US"/>
      <w14:ligatures w14:val="none"/>
    </w:rPr>
  </w:style>
  <w:style w:type="paragraph" w:styleId="Subtitle">
    <w:name w:val="Subtitle"/>
    <w:basedOn w:val="Normal"/>
    <w:next w:val="Normal"/>
    <w:link w:val="SubtitleChar"/>
    <w:uiPriority w:val="11"/>
    <w:qFormat/>
    <w:rsid w:val="007F39D8"/>
    <w:pPr>
      <w:numPr>
        <w:ilvl w:val="1"/>
      </w:numPr>
      <w:spacing w:after="240" w:line="312" w:lineRule="auto"/>
    </w:pPr>
    <w:rPr>
      <w:rFonts w:asciiTheme="majorHAnsi" w:eastAsiaTheme="majorEastAsia" w:hAnsiTheme="majorHAnsi" w:cstheme="majorBidi"/>
      <w:i/>
      <w:iCs/>
      <w:color w:val="000000"/>
      <w:spacing w:val="15"/>
      <w:kern w:val="0"/>
      <w:sz w:val="24"/>
      <w:szCs w:val="24"/>
      <w:lang w:val="en-US" w:eastAsia="en-US"/>
      <w14:ligatures w14:val="none"/>
    </w:rPr>
  </w:style>
  <w:style w:type="character" w:customStyle="1" w:styleId="SubtitleChar">
    <w:name w:val="Subtitle Char"/>
    <w:basedOn w:val="DefaultParagraphFont"/>
    <w:link w:val="Subtitle"/>
    <w:uiPriority w:val="11"/>
    <w:rsid w:val="007F39D8"/>
    <w:rPr>
      <w:rFonts w:asciiTheme="majorHAnsi" w:eastAsiaTheme="majorEastAsia" w:hAnsiTheme="majorHAnsi" w:cstheme="majorBidi"/>
      <w:i/>
      <w:iCs/>
      <w:color w:val="000000"/>
      <w:spacing w:val="15"/>
      <w:kern w:val="0"/>
      <w:sz w:val="24"/>
      <w:szCs w:val="24"/>
      <w:lang w:val="en-US" w:eastAsia="en-US"/>
      <w14:ligatures w14:val="none"/>
    </w:rPr>
  </w:style>
  <w:style w:type="paragraph" w:styleId="BodyText">
    <w:name w:val="Body Text"/>
    <w:basedOn w:val="Normal"/>
    <w:link w:val="BodyTextChar"/>
    <w:uiPriority w:val="99"/>
    <w:unhideWhenUsed/>
    <w:rsid w:val="007F39D8"/>
    <w:pPr>
      <w:spacing w:after="120" w:line="360" w:lineRule="auto"/>
    </w:pPr>
    <w:rPr>
      <w:rFonts w:ascii="Arial" w:hAnsi="Arial"/>
      <w:color w:val="000000"/>
      <w:kern w:val="0"/>
      <w:lang w:val="en-US" w:eastAsia="en-US"/>
      <w14:ligatures w14:val="none"/>
    </w:rPr>
  </w:style>
  <w:style w:type="character" w:customStyle="1" w:styleId="BodyTextChar">
    <w:name w:val="Body Text Char"/>
    <w:basedOn w:val="DefaultParagraphFont"/>
    <w:link w:val="BodyText"/>
    <w:uiPriority w:val="99"/>
    <w:rsid w:val="007F39D8"/>
    <w:rPr>
      <w:rFonts w:ascii="Arial" w:hAnsi="Arial"/>
      <w:color w:val="000000"/>
      <w:kern w:val="0"/>
      <w:lang w:val="en-US" w:eastAsia="en-US"/>
      <w14:ligatures w14:val="none"/>
    </w:rPr>
  </w:style>
  <w:style w:type="paragraph" w:styleId="BodyText2">
    <w:name w:val="Body Text 2"/>
    <w:basedOn w:val="Normal"/>
    <w:link w:val="BodyText2Char"/>
    <w:uiPriority w:val="99"/>
    <w:unhideWhenUsed/>
    <w:rsid w:val="007F39D8"/>
    <w:pPr>
      <w:spacing w:after="120" w:line="480" w:lineRule="auto"/>
    </w:pPr>
    <w:rPr>
      <w:rFonts w:ascii="Arial" w:hAnsi="Arial"/>
      <w:color w:val="000000"/>
      <w:kern w:val="0"/>
      <w:lang w:val="en-US" w:eastAsia="en-US"/>
      <w14:ligatures w14:val="none"/>
    </w:rPr>
  </w:style>
  <w:style w:type="character" w:customStyle="1" w:styleId="BodyText2Char">
    <w:name w:val="Body Text 2 Char"/>
    <w:basedOn w:val="DefaultParagraphFont"/>
    <w:link w:val="BodyText2"/>
    <w:uiPriority w:val="99"/>
    <w:rsid w:val="007F39D8"/>
    <w:rPr>
      <w:rFonts w:ascii="Arial" w:hAnsi="Arial"/>
      <w:color w:val="000000"/>
      <w:kern w:val="0"/>
      <w:lang w:val="en-US" w:eastAsia="en-US"/>
      <w14:ligatures w14:val="none"/>
    </w:rPr>
  </w:style>
  <w:style w:type="paragraph" w:styleId="BodyText3">
    <w:name w:val="Body Text 3"/>
    <w:basedOn w:val="Normal"/>
    <w:link w:val="BodyText3Char"/>
    <w:uiPriority w:val="99"/>
    <w:unhideWhenUsed/>
    <w:rsid w:val="007F39D8"/>
    <w:pPr>
      <w:spacing w:after="120" w:line="360" w:lineRule="auto"/>
    </w:pPr>
    <w:rPr>
      <w:rFonts w:ascii="Arial" w:hAnsi="Arial"/>
      <w:color w:val="000000"/>
      <w:kern w:val="0"/>
      <w:sz w:val="16"/>
      <w:szCs w:val="16"/>
      <w:lang w:val="en-US" w:eastAsia="en-US"/>
      <w14:ligatures w14:val="none"/>
    </w:rPr>
  </w:style>
  <w:style w:type="character" w:customStyle="1" w:styleId="BodyText3Char">
    <w:name w:val="Body Text 3 Char"/>
    <w:basedOn w:val="DefaultParagraphFont"/>
    <w:link w:val="BodyText3"/>
    <w:uiPriority w:val="99"/>
    <w:rsid w:val="007F39D8"/>
    <w:rPr>
      <w:rFonts w:ascii="Arial" w:hAnsi="Arial"/>
      <w:color w:val="000000"/>
      <w:kern w:val="0"/>
      <w:sz w:val="16"/>
      <w:szCs w:val="16"/>
      <w:lang w:val="en-US" w:eastAsia="en-US"/>
      <w14:ligatures w14:val="none"/>
    </w:rPr>
  </w:style>
  <w:style w:type="paragraph" w:styleId="List">
    <w:name w:val="List"/>
    <w:basedOn w:val="Normal"/>
    <w:uiPriority w:val="99"/>
    <w:unhideWhenUsed/>
    <w:rsid w:val="007F39D8"/>
    <w:pPr>
      <w:spacing w:after="120" w:line="360" w:lineRule="auto"/>
      <w:ind w:left="360" w:hanging="360"/>
      <w:contextualSpacing/>
    </w:pPr>
    <w:rPr>
      <w:rFonts w:ascii="Arial" w:hAnsi="Arial"/>
      <w:color w:val="000000"/>
      <w:kern w:val="0"/>
      <w:lang w:val="en-US" w:eastAsia="en-US"/>
      <w14:ligatures w14:val="none"/>
    </w:rPr>
  </w:style>
  <w:style w:type="paragraph" w:styleId="List2">
    <w:name w:val="List 2"/>
    <w:basedOn w:val="Normal"/>
    <w:uiPriority w:val="99"/>
    <w:unhideWhenUsed/>
    <w:rsid w:val="007F39D8"/>
    <w:pPr>
      <w:spacing w:after="120" w:line="360" w:lineRule="auto"/>
      <w:ind w:left="720" w:hanging="360"/>
      <w:contextualSpacing/>
    </w:pPr>
    <w:rPr>
      <w:rFonts w:ascii="Arial" w:hAnsi="Arial"/>
      <w:color w:val="000000"/>
      <w:kern w:val="0"/>
      <w:lang w:val="en-US" w:eastAsia="en-US"/>
      <w14:ligatures w14:val="none"/>
    </w:rPr>
  </w:style>
  <w:style w:type="paragraph" w:styleId="List3">
    <w:name w:val="List 3"/>
    <w:basedOn w:val="Normal"/>
    <w:uiPriority w:val="99"/>
    <w:unhideWhenUsed/>
    <w:rsid w:val="007F39D8"/>
    <w:pPr>
      <w:spacing w:after="120" w:line="360" w:lineRule="auto"/>
      <w:ind w:left="1080" w:hanging="360"/>
      <w:contextualSpacing/>
    </w:pPr>
    <w:rPr>
      <w:rFonts w:ascii="Arial" w:hAnsi="Arial"/>
      <w:color w:val="000000"/>
      <w:kern w:val="0"/>
      <w:lang w:val="en-US" w:eastAsia="en-US"/>
      <w14:ligatures w14:val="none"/>
    </w:rPr>
  </w:style>
  <w:style w:type="paragraph" w:styleId="ListBullet">
    <w:name w:val="List Bullet"/>
    <w:basedOn w:val="Normal"/>
    <w:uiPriority w:val="99"/>
    <w:unhideWhenUsed/>
    <w:rsid w:val="007F39D8"/>
    <w:pPr>
      <w:numPr>
        <w:numId w:val="3"/>
      </w:numPr>
      <w:spacing w:after="120" w:line="360" w:lineRule="auto"/>
      <w:ind w:left="0" w:firstLine="0"/>
      <w:contextualSpacing/>
    </w:pPr>
    <w:rPr>
      <w:rFonts w:ascii="Arial" w:hAnsi="Arial"/>
      <w:color w:val="000000"/>
      <w:kern w:val="0"/>
      <w:lang w:val="en-US" w:eastAsia="en-US"/>
      <w14:ligatures w14:val="none"/>
    </w:rPr>
  </w:style>
  <w:style w:type="paragraph" w:styleId="ListBullet2">
    <w:name w:val="List Bullet 2"/>
    <w:basedOn w:val="Normal"/>
    <w:uiPriority w:val="99"/>
    <w:unhideWhenUsed/>
    <w:rsid w:val="007F39D8"/>
    <w:pPr>
      <w:numPr>
        <w:numId w:val="4"/>
      </w:numPr>
      <w:spacing w:after="120" w:line="360" w:lineRule="auto"/>
      <w:ind w:left="0" w:firstLine="0"/>
      <w:contextualSpacing/>
    </w:pPr>
    <w:rPr>
      <w:rFonts w:ascii="Arial" w:hAnsi="Arial"/>
      <w:color w:val="000000"/>
      <w:kern w:val="0"/>
      <w:lang w:val="en-US" w:eastAsia="en-US"/>
      <w14:ligatures w14:val="none"/>
    </w:rPr>
  </w:style>
  <w:style w:type="paragraph" w:styleId="ListBullet3">
    <w:name w:val="List Bullet 3"/>
    <w:basedOn w:val="Normal"/>
    <w:uiPriority w:val="99"/>
    <w:unhideWhenUsed/>
    <w:rsid w:val="007F39D8"/>
    <w:pPr>
      <w:numPr>
        <w:numId w:val="5"/>
      </w:numPr>
      <w:spacing w:after="120" w:line="360" w:lineRule="auto"/>
      <w:ind w:left="0" w:firstLine="0"/>
      <w:contextualSpacing/>
    </w:pPr>
    <w:rPr>
      <w:rFonts w:ascii="Arial" w:hAnsi="Arial"/>
      <w:color w:val="000000"/>
      <w:kern w:val="0"/>
      <w:lang w:val="en-US" w:eastAsia="en-US"/>
      <w14:ligatures w14:val="none"/>
    </w:rPr>
  </w:style>
  <w:style w:type="paragraph" w:styleId="ListNumber">
    <w:name w:val="List Number"/>
    <w:basedOn w:val="Normal"/>
    <w:uiPriority w:val="99"/>
    <w:unhideWhenUsed/>
    <w:rsid w:val="007F39D8"/>
    <w:pPr>
      <w:numPr>
        <w:numId w:val="6"/>
      </w:numPr>
      <w:spacing w:after="120" w:line="360" w:lineRule="auto"/>
      <w:ind w:left="0" w:firstLine="0"/>
      <w:contextualSpacing/>
    </w:pPr>
    <w:rPr>
      <w:rFonts w:ascii="Arial" w:hAnsi="Arial"/>
      <w:color w:val="000000"/>
      <w:kern w:val="0"/>
      <w:lang w:val="en-US" w:eastAsia="en-US"/>
      <w14:ligatures w14:val="none"/>
    </w:rPr>
  </w:style>
  <w:style w:type="paragraph" w:styleId="ListNumber2">
    <w:name w:val="List Number 2"/>
    <w:basedOn w:val="Normal"/>
    <w:uiPriority w:val="99"/>
    <w:unhideWhenUsed/>
    <w:rsid w:val="007F39D8"/>
    <w:pPr>
      <w:numPr>
        <w:numId w:val="7"/>
      </w:numPr>
      <w:spacing w:after="120" w:line="360" w:lineRule="auto"/>
      <w:ind w:left="0" w:firstLine="0"/>
      <w:contextualSpacing/>
    </w:pPr>
    <w:rPr>
      <w:rFonts w:ascii="Arial" w:hAnsi="Arial"/>
      <w:color w:val="000000"/>
      <w:kern w:val="0"/>
      <w:lang w:val="en-US" w:eastAsia="en-US"/>
      <w14:ligatures w14:val="none"/>
    </w:rPr>
  </w:style>
  <w:style w:type="paragraph" w:styleId="ListNumber3">
    <w:name w:val="List Number 3"/>
    <w:basedOn w:val="Normal"/>
    <w:uiPriority w:val="99"/>
    <w:unhideWhenUsed/>
    <w:rsid w:val="007F39D8"/>
    <w:pPr>
      <w:numPr>
        <w:numId w:val="8"/>
      </w:numPr>
      <w:spacing w:after="120" w:line="360" w:lineRule="auto"/>
      <w:ind w:left="0" w:firstLine="0"/>
      <w:contextualSpacing/>
    </w:pPr>
    <w:rPr>
      <w:rFonts w:ascii="Arial" w:hAnsi="Arial"/>
      <w:color w:val="000000"/>
      <w:kern w:val="0"/>
      <w:lang w:val="en-US" w:eastAsia="en-US"/>
      <w14:ligatures w14:val="none"/>
    </w:rPr>
  </w:style>
  <w:style w:type="paragraph" w:styleId="ListContinue">
    <w:name w:val="List Continue"/>
    <w:basedOn w:val="Normal"/>
    <w:uiPriority w:val="99"/>
    <w:unhideWhenUsed/>
    <w:rsid w:val="007F39D8"/>
    <w:pPr>
      <w:spacing w:after="120" w:line="360" w:lineRule="auto"/>
      <w:ind w:left="360"/>
      <w:contextualSpacing/>
    </w:pPr>
    <w:rPr>
      <w:rFonts w:ascii="Arial" w:hAnsi="Arial"/>
      <w:color w:val="000000"/>
      <w:kern w:val="0"/>
      <w:lang w:val="en-US" w:eastAsia="en-US"/>
      <w14:ligatures w14:val="none"/>
    </w:rPr>
  </w:style>
  <w:style w:type="paragraph" w:styleId="ListContinue2">
    <w:name w:val="List Continue 2"/>
    <w:basedOn w:val="Normal"/>
    <w:uiPriority w:val="99"/>
    <w:unhideWhenUsed/>
    <w:rsid w:val="007F39D8"/>
    <w:pPr>
      <w:spacing w:after="120" w:line="360" w:lineRule="auto"/>
      <w:ind w:left="720"/>
      <w:contextualSpacing/>
    </w:pPr>
    <w:rPr>
      <w:rFonts w:ascii="Arial" w:hAnsi="Arial"/>
      <w:color w:val="000000"/>
      <w:kern w:val="0"/>
      <w:lang w:val="en-US" w:eastAsia="en-US"/>
      <w14:ligatures w14:val="none"/>
    </w:rPr>
  </w:style>
  <w:style w:type="paragraph" w:styleId="ListContinue3">
    <w:name w:val="List Continue 3"/>
    <w:basedOn w:val="Normal"/>
    <w:uiPriority w:val="99"/>
    <w:unhideWhenUsed/>
    <w:rsid w:val="007F39D8"/>
    <w:pPr>
      <w:spacing w:after="120" w:line="360" w:lineRule="auto"/>
      <w:ind w:left="1080"/>
      <w:contextualSpacing/>
    </w:pPr>
    <w:rPr>
      <w:rFonts w:ascii="Arial" w:hAnsi="Arial"/>
      <w:color w:val="000000"/>
      <w:kern w:val="0"/>
      <w:lang w:val="en-US" w:eastAsia="en-US"/>
      <w14:ligatures w14:val="none"/>
    </w:rPr>
  </w:style>
  <w:style w:type="paragraph" w:styleId="MacroText">
    <w:name w:val="macro"/>
    <w:link w:val="MacroTextChar"/>
    <w:uiPriority w:val="99"/>
    <w:unhideWhenUsed/>
    <w:rsid w:val="007F39D8"/>
    <w:pPr>
      <w:tabs>
        <w:tab w:val="left" w:pos="576"/>
        <w:tab w:val="left" w:pos="1152"/>
        <w:tab w:val="left" w:pos="1728"/>
        <w:tab w:val="left" w:pos="2304"/>
        <w:tab w:val="left" w:pos="2880"/>
        <w:tab w:val="left" w:pos="3456"/>
        <w:tab w:val="left" w:pos="4032"/>
      </w:tabs>
      <w:spacing w:after="200" w:line="276" w:lineRule="auto"/>
    </w:pPr>
    <w:rPr>
      <w:rFonts w:ascii="Courier" w:hAnsi="Courier"/>
      <w:kern w:val="0"/>
      <w:sz w:val="20"/>
      <w:szCs w:val="20"/>
      <w:lang w:val="en-US" w:eastAsia="en-US"/>
      <w14:ligatures w14:val="none"/>
    </w:rPr>
  </w:style>
  <w:style w:type="character" w:customStyle="1" w:styleId="MacroTextChar">
    <w:name w:val="Macro Text Char"/>
    <w:basedOn w:val="DefaultParagraphFont"/>
    <w:link w:val="MacroText"/>
    <w:uiPriority w:val="99"/>
    <w:rsid w:val="007F39D8"/>
    <w:rPr>
      <w:rFonts w:ascii="Courier" w:hAnsi="Courier"/>
      <w:kern w:val="0"/>
      <w:sz w:val="20"/>
      <w:szCs w:val="20"/>
      <w:lang w:val="en-US" w:eastAsia="en-US"/>
      <w14:ligatures w14:val="none"/>
    </w:rPr>
  </w:style>
  <w:style w:type="paragraph" w:styleId="Quote">
    <w:name w:val="Quote"/>
    <w:basedOn w:val="Normal"/>
    <w:next w:val="Normal"/>
    <w:link w:val="QuoteChar"/>
    <w:uiPriority w:val="29"/>
    <w:qFormat/>
    <w:rsid w:val="007F39D8"/>
    <w:pPr>
      <w:spacing w:after="120" w:line="360" w:lineRule="auto"/>
    </w:pPr>
    <w:rPr>
      <w:rFonts w:ascii="Arial" w:hAnsi="Arial"/>
      <w:i/>
      <w:iCs/>
      <w:color w:val="000000" w:themeColor="text1"/>
      <w:kern w:val="0"/>
      <w:lang w:val="en-US" w:eastAsia="en-US"/>
      <w14:ligatures w14:val="none"/>
    </w:rPr>
  </w:style>
  <w:style w:type="character" w:customStyle="1" w:styleId="QuoteChar">
    <w:name w:val="Quote Char"/>
    <w:basedOn w:val="DefaultParagraphFont"/>
    <w:link w:val="Quote"/>
    <w:uiPriority w:val="29"/>
    <w:rsid w:val="007F39D8"/>
    <w:rPr>
      <w:rFonts w:ascii="Arial" w:hAnsi="Arial"/>
      <w:i/>
      <w:iCs/>
      <w:color w:val="000000" w:themeColor="text1"/>
      <w:kern w:val="0"/>
      <w:lang w:val="en-US" w:eastAsia="en-US"/>
      <w14:ligatures w14:val="none"/>
    </w:rPr>
  </w:style>
  <w:style w:type="character" w:styleId="Strong">
    <w:name w:val="Strong"/>
    <w:basedOn w:val="DefaultParagraphFont"/>
    <w:uiPriority w:val="22"/>
    <w:qFormat/>
    <w:rsid w:val="007F39D8"/>
    <w:rPr>
      <w:b/>
      <w:bCs/>
    </w:rPr>
  </w:style>
  <w:style w:type="character" w:styleId="Emphasis">
    <w:name w:val="Emphasis"/>
    <w:basedOn w:val="DefaultParagraphFont"/>
    <w:uiPriority w:val="20"/>
    <w:qFormat/>
    <w:rsid w:val="007F39D8"/>
    <w:rPr>
      <w:i/>
      <w:iCs/>
    </w:rPr>
  </w:style>
  <w:style w:type="paragraph" w:styleId="IntenseQuote">
    <w:name w:val="Intense Quote"/>
    <w:basedOn w:val="Normal"/>
    <w:next w:val="Normal"/>
    <w:link w:val="IntenseQuoteChar"/>
    <w:uiPriority w:val="30"/>
    <w:qFormat/>
    <w:rsid w:val="007F39D8"/>
    <w:pPr>
      <w:pBdr>
        <w:bottom w:val="single" w:sz="4" w:space="4" w:color="4472C4" w:themeColor="accent1"/>
      </w:pBdr>
      <w:spacing w:before="200" w:after="280" w:line="360" w:lineRule="auto"/>
      <w:ind w:left="936" w:right="936"/>
    </w:pPr>
    <w:rPr>
      <w:rFonts w:ascii="Arial" w:hAnsi="Arial"/>
      <w:b/>
      <w:bCs/>
      <w:i/>
      <w:iCs/>
      <w:color w:val="4472C4" w:themeColor="accent1"/>
      <w:kern w:val="0"/>
      <w:lang w:val="en-US" w:eastAsia="en-US"/>
      <w14:ligatures w14:val="none"/>
    </w:rPr>
  </w:style>
  <w:style w:type="character" w:customStyle="1" w:styleId="IntenseQuoteChar">
    <w:name w:val="Intense Quote Char"/>
    <w:basedOn w:val="DefaultParagraphFont"/>
    <w:link w:val="IntenseQuote"/>
    <w:uiPriority w:val="30"/>
    <w:rsid w:val="007F39D8"/>
    <w:rPr>
      <w:rFonts w:ascii="Arial" w:hAnsi="Arial"/>
      <w:b/>
      <w:bCs/>
      <w:i/>
      <w:iCs/>
      <w:color w:val="4472C4" w:themeColor="accent1"/>
      <w:kern w:val="0"/>
      <w:lang w:val="en-US" w:eastAsia="en-US"/>
      <w14:ligatures w14:val="none"/>
    </w:rPr>
  </w:style>
  <w:style w:type="character" w:styleId="SubtleEmphasis">
    <w:name w:val="Subtle Emphasis"/>
    <w:basedOn w:val="DefaultParagraphFont"/>
    <w:uiPriority w:val="19"/>
    <w:qFormat/>
    <w:rsid w:val="007F39D8"/>
    <w:rPr>
      <w:i/>
      <w:iCs/>
      <w:color w:val="808080" w:themeColor="text1" w:themeTint="7F"/>
    </w:rPr>
  </w:style>
  <w:style w:type="character" w:styleId="IntenseEmphasis">
    <w:name w:val="Intense Emphasis"/>
    <w:basedOn w:val="DefaultParagraphFont"/>
    <w:uiPriority w:val="21"/>
    <w:qFormat/>
    <w:rsid w:val="007F39D8"/>
    <w:rPr>
      <w:b/>
      <w:bCs/>
      <w:i/>
      <w:iCs/>
      <w:color w:val="4472C4" w:themeColor="accent1"/>
    </w:rPr>
  </w:style>
  <w:style w:type="character" w:styleId="SubtleReference">
    <w:name w:val="Subtle Reference"/>
    <w:basedOn w:val="DefaultParagraphFont"/>
    <w:uiPriority w:val="31"/>
    <w:qFormat/>
    <w:rsid w:val="007F39D8"/>
    <w:rPr>
      <w:smallCaps/>
      <w:color w:val="ED7D31" w:themeColor="accent2"/>
      <w:u w:val="single"/>
    </w:rPr>
  </w:style>
  <w:style w:type="character" w:styleId="IntenseReference">
    <w:name w:val="Intense Reference"/>
    <w:basedOn w:val="DefaultParagraphFont"/>
    <w:uiPriority w:val="32"/>
    <w:qFormat/>
    <w:rsid w:val="007F39D8"/>
    <w:rPr>
      <w:b/>
      <w:bCs/>
      <w:smallCaps/>
      <w:color w:val="ED7D31" w:themeColor="accent2"/>
      <w:spacing w:val="5"/>
      <w:u w:val="single"/>
    </w:rPr>
  </w:style>
  <w:style w:type="character" w:styleId="BookTitle">
    <w:name w:val="Book Title"/>
    <w:basedOn w:val="DefaultParagraphFont"/>
    <w:uiPriority w:val="33"/>
    <w:qFormat/>
    <w:rsid w:val="007F39D8"/>
    <w:rPr>
      <w:b/>
      <w:bCs/>
      <w:smallCaps/>
      <w:spacing w:val="5"/>
    </w:rPr>
  </w:style>
  <w:style w:type="table" w:styleId="LightShading">
    <w:name w:val="Light Shading"/>
    <w:basedOn w:val="TableNormal"/>
    <w:uiPriority w:val="60"/>
    <w:rsid w:val="007F39D8"/>
    <w:pPr>
      <w:spacing w:after="0" w:line="240" w:lineRule="auto"/>
    </w:pPr>
    <w:rPr>
      <w:color w:val="000000" w:themeColor="text1" w:themeShade="BF"/>
      <w:kern w:val="0"/>
      <w:lang w:val="en-US" w:eastAsia="en-US"/>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7F39D8"/>
    <w:pPr>
      <w:spacing w:after="0" w:line="240" w:lineRule="auto"/>
    </w:pPr>
    <w:rPr>
      <w:color w:val="2F5496" w:themeColor="accent1" w:themeShade="BF"/>
      <w:kern w:val="0"/>
      <w:lang w:val="en-US" w:eastAsia="en-US"/>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7F39D8"/>
    <w:pPr>
      <w:spacing w:after="0" w:line="240" w:lineRule="auto"/>
    </w:pPr>
    <w:rPr>
      <w:color w:val="C45911" w:themeColor="accent2" w:themeShade="BF"/>
      <w:kern w:val="0"/>
      <w:lang w:val="en-US" w:eastAsia="en-US"/>
      <w14:ligatures w14:val="none"/>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7F39D8"/>
    <w:pPr>
      <w:spacing w:after="0" w:line="240" w:lineRule="auto"/>
    </w:pPr>
    <w:rPr>
      <w:color w:val="7B7B7B" w:themeColor="accent3" w:themeShade="BF"/>
      <w:kern w:val="0"/>
      <w:lang w:val="en-US" w:eastAsia="en-US"/>
      <w14:ligatures w14:val="none"/>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7F39D8"/>
    <w:pPr>
      <w:spacing w:after="0" w:line="240" w:lineRule="auto"/>
    </w:pPr>
    <w:rPr>
      <w:color w:val="BF8F00" w:themeColor="accent4" w:themeShade="BF"/>
      <w:kern w:val="0"/>
      <w:lang w:val="en-US" w:eastAsia="en-US"/>
      <w14:ligatures w14:val="none"/>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7F39D8"/>
    <w:pPr>
      <w:spacing w:after="0" w:line="240" w:lineRule="auto"/>
    </w:pPr>
    <w:rPr>
      <w:color w:val="2E74B5" w:themeColor="accent5" w:themeShade="BF"/>
      <w:kern w:val="0"/>
      <w:lang w:val="en-US" w:eastAsia="en-US"/>
      <w14:ligatures w14:val="none"/>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7F39D8"/>
    <w:pPr>
      <w:spacing w:after="0" w:line="240" w:lineRule="auto"/>
    </w:pPr>
    <w:rPr>
      <w:color w:val="538135" w:themeColor="accent6" w:themeShade="BF"/>
      <w:kern w:val="0"/>
      <w:lang w:val="en-US" w:eastAsia="en-US"/>
      <w14:ligatures w14:val="none"/>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7F39D8"/>
    <w:pPr>
      <w:spacing w:after="0" w:line="240" w:lineRule="auto"/>
    </w:pPr>
    <w:rPr>
      <w:kern w:val="0"/>
      <w:lang w:val="en-US" w:eastAsia="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7F39D8"/>
    <w:pPr>
      <w:spacing w:after="0" w:line="240" w:lineRule="auto"/>
    </w:pPr>
    <w:rPr>
      <w:kern w:val="0"/>
      <w:lang w:val="en-US" w:eastAsia="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7F39D8"/>
    <w:pPr>
      <w:spacing w:after="0" w:line="240" w:lineRule="auto"/>
    </w:pPr>
    <w:rPr>
      <w:kern w:val="0"/>
      <w:lang w:val="en-US" w:eastAsia="en-US"/>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7F39D8"/>
    <w:pPr>
      <w:spacing w:after="0" w:line="240" w:lineRule="auto"/>
    </w:pPr>
    <w:rPr>
      <w:kern w:val="0"/>
      <w:lang w:val="en-US" w:eastAsia="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7F39D8"/>
    <w:pPr>
      <w:spacing w:after="0" w:line="240" w:lineRule="auto"/>
    </w:pPr>
    <w:rPr>
      <w:kern w:val="0"/>
      <w:lang w:val="en-US" w:eastAsia="en-US"/>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7F39D8"/>
    <w:pPr>
      <w:spacing w:after="0" w:line="240" w:lineRule="auto"/>
    </w:pPr>
    <w:rPr>
      <w:kern w:val="0"/>
      <w:lang w:val="en-US" w:eastAsia="en-US"/>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7F39D8"/>
    <w:pPr>
      <w:spacing w:after="0" w:line="240" w:lineRule="auto"/>
    </w:pPr>
    <w:rPr>
      <w:kern w:val="0"/>
      <w:lang w:val="en-US" w:eastAsia="en-US"/>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7F39D8"/>
    <w:pPr>
      <w:spacing w:after="0" w:line="240" w:lineRule="auto"/>
    </w:pPr>
    <w:rPr>
      <w:kern w:val="0"/>
      <w:lang w:val="en-US" w:eastAsia="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7F39D8"/>
    <w:pPr>
      <w:spacing w:after="0" w:line="240" w:lineRule="auto"/>
    </w:pPr>
    <w:rPr>
      <w:kern w:val="0"/>
      <w:lang w:val="en-US" w:eastAsia="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7F39D8"/>
    <w:pPr>
      <w:spacing w:after="0" w:line="240" w:lineRule="auto"/>
    </w:pPr>
    <w:rPr>
      <w:kern w:val="0"/>
      <w:lang w:val="en-US" w:eastAsia="en-US"/>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7F39D8"/>
    <w:pPr>
      <w:spacing w:after="0" w:line="240" w:lineRule="auto"/>
    </w:pPr>
    <w:rPr>
      <w:kern w:val="0"/>
      <w:lang w:val="en-US" w:eastAsia="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7F39D8"/>
    <w:pPr>
      <w:spacing w:after="0" w:line="240" w:lineRule="auto"/>
    </w:pPr>
    <w:rPr>
      <w:kern w:val="0"/>
      <w:lang w:val="en-US" w:eastAsia="en-US"/>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7F39D8"/>
    <w:pPr>
      <w:spacing w:after="0" w:line="240" w:lineRule="auto"/>
    </w:pPr>
    <w:rPr>
      <w:kern w:val="0"/>
      <w:lang w:val="en-US" w:eastAsia="en-US"/>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7F39D8"/>
    <w:pPr>
      <w:spacing w:after="0" w:line="240" w:lineRule="auto"/>
    </w:pPr>
    <w:rPr>
      <w:kern w:val="0"/>
      <w:lang w:val="en-US" w:eastAsia="en-US"/>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7F39D8"/>
    <w:pPr>
      <w:spacing w:after="0" w:line="240" w:lineRule="auto"/>
    </w:pPr>
    <w:rPr>
      <w:kern w:val="0"/>
      <w:lang w:val="en-US" w:eastAsia="en-US"/>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7F39D8"/>
    <w:pPr>
      <w:spacing w:after="0" w:line="240" w:lineRule="auto"/>
    </w:pPr>
    <w:rPr>
      <w:kern w:val="0"/>
      <w:lang w:val="en-US" w:eastAsia="en-US"/>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7F39D8"/>
    <w:pPr>
      <w:spacing w:after="0" w:line="240" w:lineRule="auto"/>
    </w:pPr>
    <w:rPr>
      <w:kern w:val="0"/>
      <w:lang w:val="en-US" w:eastAsia="en-US"/>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7F39D8"/>
    <w:pPr>
      <w:spacing w:after="0" w:line="240" w:lineRule="auto"/>
    </w:pPr>
    <w:rPr>
      <w:kern w:val="0"/>
      <w:lang w:val="en-US" w:eastAsia="en-US"/>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7F39D8"/>
    <w:pPr>
      <w:spacing w:after="0" w:line="240" w:lineRule="auto"/>
    </w:pPr>
    <w:rPr>
      <w:kern w:val="0"/>
      <w:lang w:val="en-US" w:eastAsia="en-US"/>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7F39D8"/>
    <w:pPr>
      <w:spacing w:after="0" w:line="240" w:lineRule="auto"/>
    </w:pPr>
    <w:rPr>
      <w:kern w:val="0"/>
      <w:lang w:val="en-US" w:eastAsia="en-US"/>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7F39D8"/>
    <w:pPr>
      <w:spacing w:after="0" w:line="240" w:lineRule="auto"/>
    </w:pPr>
    <w:rPr>
      <w:kern w:val="0"/>
      <w:lang w:val="en-US" w:eastAsia="en-US"/>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7F39D8"/>
    <w:pPr>
      <w:spacing w:after="0" w:line="240" w:lineRule="auto"/>
    </w:pPr>
    <w:rPr>
      <w:kern w:val="0"/>
      <w:lang w:val="en-US"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7F39D8"/>
    <w:pPr>
      <w:spacing w:after="0" w:line="240" w:lineRule="auto"/>
    </w:pPr>
    <w:rPr>
      <w:kern w:val="0"/>
      <w:lang w:val="en-US"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7F39D8"/>
    <w:pPr>
      <w:spacing w:after="0" w:line="240" w:lineRule="auto"/>
    </w:pPr>
    <w:rPr>
      <w:kern w:val="0"/>
      <w:lang w:val="en-US"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7F39D8"/>
    <w:pPr>
      <w:spacing w:after="0" w:line="240" w:lineRule="auto"/>
    </w:pPr>
    <w:rPr>
      <w:kern w:val="0"/>
      <w:lang w:val="en-US"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7F39D8"/>
    <w:pPr>
      <w:spacing w:after="0" w:line="240" w:lineRule="auto"/>
    </w:pPr>
    <w:rPr>
      <w:kern w:val="0"/>
      <w:lang w:val="en-US"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7F39D8"/>
    <w:pPr>
      <w:spacing w:after="0" w:line="240" w:lineRule="auto"/>
    </w:pPr>
    <w:rPr>
      <w:kern w:val="0"/>
      <w:lang w:val="en-US"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7F39D8"/>
    <w:pPr>
      <w:spacing w:after="0" w:line="240" w:lineRule="auto"/>
    </w:pPr>
    <w:rPr>
      <w:kern w:val="0"/>
      <w:lang w:val="en-US"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7F39D8"/>
    <w:pPr>
      <w:spacing w:after="0" w:line="240" w:lineRule="auto"/>
    </w:pPr>
    <w:rPr>
      <w:color w:val="000000" w:themeColor="text1"/>
      <w:kern w:val="0"/>
      <w:lang w:val="en-US" w:eastAsia="en-US"/>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7F39D8"/>
    <w:pPr>
      <w:spacing w:after="0" w:line="240" w:lineRule="auto"/>
    </w:pPr>
    <w:rPr>
      <w:color w:val="000000" w:themeColor="text1"/>
      <w:kern w:val="0"/>
      <w:lang w:val="en-US" w:eastAsia="en-US"/>
      <w14:ligatures w14:val="none"/>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7F39D8"/>
    <w:pPr>
      <w:spacing w:after="0" w:line="240" w:lineRule="auto"/>
    </w:pPr>
    <w:rPr>
      <w:color w:val="000000" w:themeColor="text1"/>
      <w:kern w:val="0"/>
      <w:lang w:val="en-US" w:eastAsia="en-US"/>
      <w14:ligatures w14:val="none"/>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7F39D8"/>
    <w:pPr>
      <w:spacing w:after="0" w:line="240" w:lineRule="auto"/>
    </w:pPr>
    <w:rPr>
      <w:color w:val="000000" w:themeColor="text1"/>
      <w:kern w:val="0"/>
      <w:lang w:val="en-US" w:eastAsia="en-US"/>
      <w14:ligatures w14:val="none"/>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7F39D8"/>
    <w:pPr>
      <w:spacing w:after="0" w:line="240" w:lineRule="auto"/>
    </w:pPr>
    <w:rPr>
      <w:color w:val="000000" w:themeColor="text1"/>
      <w:kern w:val="0"/>
      <w:lang w:val="en-US" w:eastAsia="en-US"/>
      <w14:ligatures w14:val="none"/>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7F39D8"/>
    <w:pPr>
      <w:spacing w:after="0" w:line="240" w:lineRule="auto"/>
    </w:pPr>
    <w:rPr>
      <w:color w:val="000000" w:themeColor="text1"/>
      <w:kern w:val="0"/>
      <w:lang w:val="en-US" w:eastAsia="en-US"/>
      <w14:ligatures w14:val="none"/>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7F39D8"/>
    <w:pPr>
      <w:spacing w:after="0" w:line="240" w:lineRule="auto"/>
    </w:pPr>
    <w:rPr>
      <w:color w:val="000000" w:themeColor="text1"/>
      <w:kern w:val="0"/>
      <w:lang w:val="en-US" w:eastAsia="en-US"/>
      <w14:ligatures w14:val="none"/>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7F39D8"/>
    <w:pPr>
      <w:spacing w:after="0" w:line="240" w:lineRule="auto"/>
    </w:pPr>
    <w:rPr>
      <w:rFonts w:asciiTheme="majorHAnsi" w:eastAsiaTheme="majorEastAsia" w:hAnsiTheme="majorHAnsi" w:cstheme="majorBidi"/>
      <w:color w:val="000000" w:themeColor="text1"/>
      <w:kern w:val="0"/>
      <w:lang w:val="en-US" w:eastAsia="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7F39D8"/>
    <w:pPr>
      <w:spacing w:after="0" w:line="240" w:lineRule="auto"/>
    </w:pPr>
    <w:rPr>
      <w:rFonts w:asciiTheme="majorHAnsi" w:eastAsiaTheme="majorEastAsia" w:hAnsiTheme="majorHAnsi" w:cstheme="majorBidi"/>
      <w:color w:val="000000" w:themeColor="text1"/>
      <w:kern w:val="0"/>
      <w:lang w:val="en-US" w:eastAsia="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7F39D8"/>
    <w:pPr>
      <w:spacing w:after="0" w:line="240" w:lineRule="auto"/>
    </w:pPr>
    <w:rPr>
      <w:rFonts w:asciiTheme="majorHAnsi" w:eastAsiaTheme="majorEastAsia" w:hAnsiTheme="majorHAnsi" w:cstheme="majorBidi"/>
      <w:color w:val="000000" w:themeColor="text1"/>
      <w:kern w:val="0"/>
      <w:lang w:val="en-US" w:eastAsia="en-US"/>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7F39D8"/>
    <w:pPr>
      <w:spacing w:after="0" w:line="240" w:lineRule="auto"/>
    </w:pPr>
    <w:rPr>
      <w:rFonts w:asciiTheme="majorHAnsi" w:eastAsiaTheme="majorEastAsia" w:hAnsiTheme="majorHAnsi" w:cstheme="majorBidi"/>
      <w:color w:val="000000" w:themeColor="text1"/>
      <w:kern w:val="0"/>
      <w:lang w:val="en-US" w:eastAsia="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7F39D8"/>
    <w:pPr>
      <w:spacing w:after="0" w:line="240" w:lineRule="auto"/>
    </w:pPr>
    <w:rPr>
      <w:rFonts w:asciiTheme="majorHAnsi" w:eastAsiaTheme="majorEastAsia" w:hAnsiTheme="majorHAnsi" w:cstheme="majorBidi"/>
      <w:color w:val="000000" w:themeColor="text1"/>
      <w:kern w:val="0"/>
      <w:lang w:val="en-US" w:eastAsia="en-US"/>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7F39D8"/>
    <w:pPr>
      <w:spacing w:after="0" w:line="240" w:lineRule="auto"/>
    </w:pPr>
    <w:rPr>
      <w:rFonts w:asciiTheme="majorHAnsi" w:eastAsiaTheme="majorEastAsia" w:hAnsiTheme="majorHAnsi" w:cstheme="majorBidi"/>
      <w:color w:val="000000" w:themeColor="text1"/>
      <w:kern w:val="0"/>
      <w:lang w:val="en-US" w:eastAsia="en-US"/>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7F39D8"/>
    <w:pPr>
      <w:spacing w:after="0" w:line="240" w:lineRule="auto"/>
    </w:pPr>
    <w:rPr>
      <w:rFonts w:asciiTheme="majorHAnsi" w:eastAsiaTheme="majorEastAsia" w:hAnsiTheme="majorHAnsi" w:cstheme="majorBidi"/>
      <w:color w:val="000000" w:themeColor="text1"/>
      <w:kern w:val="0"/>
      <w:lang w:val="en-US" w:eastAsia="en-US"/>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7F39D8"/>
    <w:pPr>
      <w:spacing w:after="0" w:line="240" w:lineRule="auto"/>
    </w:pPr>
    <w:rPr>
      <w:kern w:val="0"/>
      <w:lang w:val="en-US" w:eastAsia="en-US"/>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7F39D8"/>
    <w:pPr>
      <w:spacing w:after="0" w:line="240" w:lineRule="auto"/>
    </w:pPr>
    <w:rPr>
      <w:kern w:val="0"/>
      <w:lang w:val="en-US" w:eastAsia="en-US"/>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7F39D8"/>
    <w:pPr>
      <w:spacing w:after="0" w:line="240" w:lineRule="auto"/>
    </w:pPr>
    <w:rPr>
      <w:kern w:val="0"/>
      <w:lang w:val="en-US" w:eastAsia="en-US"/>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7F39D8"/>
    <w:pPr>
      <w:spacing w:after="0" w:line="240" w:lineRule="auto"/>
    </w:pPr>
    <w:rPr>
      <w:kern w:val="0"/>
      <w:lang w:val="en-US" w:eastAsia="en-US"/>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7F39D8"/>
    <w:pPr>
      <w:spacing w:after="0" w:line="240" w:lineRule="auto"/>
    </w:pPr>
    <w:rPr>
      <w:kern w:val="0"/>
      <w:lang w:val="en-US" w:eastAsia="en-US"/>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7F39D8"/>
    <w:pPr>
      <w:spacing w:after="0" w:line="240" w:lineRule="auto"/>
    </w:pPr>
    <w:rPr>
      <w:kern w:val="0"/>
      <w:lang w:val="en-US" w:eastAsia="en-US"/>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7F39D8"/>
    <w:pPr>
      <w:spacing w:after="0" w:line="240" w:lineRule="auto"/>
    </w:pPr>
    <w:rPr>
      <w:kern w:val="0"/>
      <w:lang w:val="en-US" w:eastAsia="en-US"/>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7F39D8"/>
    <w:pPr>
      <w:spacing w:after="0" w:line="240" w:lineRule="auto"/>
    </w:pPr>
    <w:rPr>
      <w:rFonts w:asciiTheme="majorHAnsi" w:eastAsiaTheme="majorEastAsia" w:hAnsiTheme="majorHAnsi" w:cstheme="majorBidi"/>
      <w:color w:val="000000" w:themeColor="text1"/>
      <w:kern w:val="0"/>
      <w:lang w:val="en-US" w:eastAsia="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7F39D8"/>
    <w:pPr>
      <w:spacing w:after="0" w:line="240" w:lineRule="auto"/>
    </w:pPr>
    <w:rPr>
      <w:rFonts w:asciiTheme="majorHAnsi" w:eastAsiaTheme="majorEastAsia" w:hAnsiTheme="majorHAnsi" w:cstheme="majorBidi"/>
      <w:color w:val="000000" w:themeColor="text1"/>
      <w:kern w:val="0"/>
      <w:lang w:val="en-US" w:eastAsia="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7F39D8"/>
    <w:pPr>
      <w:spacing w:after="0" w:line="240" w:lineRule="auto"/>
    </w:pPr>
    <w:rPr>
      <w:rFonts w:asciiTheme="majorHAnsi" w:eastAsiaTheme="majorEastAsia" w:hAnsiTheme="majorHAnsi" w:cstheme="majorBidi"/>
      <w:color w:val="000000" w:themeColor="text1"/>
      <w:kern w:val="0"/>
      <w:lang w:val="en-US" w:eastAsia="en-US"/>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7F39D8"/>
    <w:pPr>
      <w:spacing w:after="0" w:line="240" w:lineRule="auto"/>
    </w:pPr>
    <w:rPr>
      <w:rFonts w:asciiTheme="majorHAnsi" w:eastAsiaTheme="majorEastAsia" w:hAnsiTheme="majorHAnsi" w:cstheme="majorBidi"/>
      <w:color w:val="000000" w:themeColor="text1"/>
      <w:kern w:val="0"/>
      <w:lang w:val="en-US" w:eastAsia="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7F39D8"/>
    <w:pPr>
      <w:spacing w:after="0" w:line="240" w:lineRule="auto"/>
    </w:pPr>
    <w:rPr>
      <w:rFonts w:asciiTheme="majorHAnsi" w:eastAsiaTheme="majorEastAsia" w:hAnsiTheme="majorHAnsi" w:cstheme="majorBidi"/>
      <w:color w:val="000000" w:themeColor="text1"/>
      <w:kern w:val="0"/>
      <w:lang w:val="en-US" w:eastAsia="en-US"/>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7F39D8"/>
    <w:pPr>
      <w:spacing w:after="0" w:line="240" w:lineRule="auto"/>
    </w:pPr>
    <w:rPr>
      <w:rFonts w:asciiTheme="majorHAnsi" w:eastAsiaTheme="majorEastAsia" w:hAnsiTheme="majorHAnsi" w:cstheme="majorBidi"/>
      <w:color w:val="000000" w:themeColor="text1"/>
      <w:kern w:val="0"/>
      <w:lang w:val="en-US" w:eastAsia="en-US"/>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7F39D8"/>
    <w:pPr>
      <w:spacing w:after="0" w:line="240" w:lineRule="auto"/>
    </w:pPr>
    <w:rPr>
      <w:rFonts w:asciiTheme="majorHAnsi" w:eastAsiaTheme="majorEastAsia" w:hAnsiTheme="majorHAnsi" w:cstheme="majorBidi"/>
      <w:color w:val="000000" w:themeColor="text1"/>
      <w:kern w:val="0"/>
      <w:lang w:val="en-US" w:eastAsia="en-US"/>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7F39D8"/>
    <w:pPr>
      <w:spacing w:after="0" w:line="240" w:lineRule="auto"/>
    </w:pPr>
    <w:rPr>
      <w:kern w:val="0"/>
      <w:lang w:val="en-US"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7F39D8"/>
    <w:pPr>
      <w:spacing w:after="0" w:line="240" w:lineRule="auto"/>
    </w:pPr>
    <w:rPr>
      <w:kern w:val="0"/>
      <w:lang w:val="en-US"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7F39D8"/>
    <w:pPr>
      <w:spacing w:after="0" w:line="240" w:lineRule="auto"/>
    </w:pPr>
    <w:rPr>
      <w:kern w:val="0"/>
      <w:lang w:val="en-US"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7F39D8"/>
    <w:pPr>
      <w:spacing w:after="0" w:line="240" w:lineRule="auto"/>
    </w:pPr>
    <w:rPr>
      <w:kern w:val="0"/>
      <w:lang w:val="en-US"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7F39D8"/>
    <w:pPr>
      <w:spacing w:after="0" w:line="240" w:lineRule="auto"/>
    </w:pPr>
    <w:rPr>
      <w:kern w:val="0"/>
      <w:lang w:val="en-US"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7F39D8"/>
    <w:pPr>
      <w:spacing w:after="0" w:line="240" w:lineRule="auto"/>
    </w:pPr>
    <w:rPr>
      <w:kern w:val="0"/>
      <w:lang w:val="en-US"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7F39D8"/>
    <w:pPr>
      <w:spacing w:after="0" w:line="240" w:lineRule="auto"/>
    </w:pPr>
    <w:rPr>
      <w:kern w:val="0"/>
      <w:lang w:val="en-US"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7F39D8"/>
    <w:pPr>
      <w:spacing w:after="0" w:line="240" w:lineRule="auto"/>
    </w:pPr>
    <w:rPr>
      <w:color w:val="FFFFFF" w:themeColor="background1"/>
      <w:kern w:val="0"/>
      <w:lang w:val="en-US" w:eastAsia="en-US"/>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7F39D8"/>
    <w:pPr>
      <w:spacing w:after="0" w:line="240" w:lineRule="auto"/>
    </w:pPr>
    <w:rPr>
      <w:color w:val="FFFFFF" w:themeColor="background1"/>
      <w:kern w:val="0"/>
      <w:lang w:val="en-US" w:eastAsia="en-US"/>
      <w14:ligatures w14:val="none"/>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7F39D8"/>
    <w:pPr>
      <w:spacing w:after="0" w:line="240" w:lineRule="auto"/>
    </w:pPr>
    <w:rPr>
      <w:color w:val="FFFFFF" w:themeColor="background1"/>
      <w:kern w:val="0"/>
      <w:lang w:val="en-US" w:eastAsia="en-US"/>
      <w14:ligatures w14:val="none"/>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7F39D8"/>
    <w:pPr>
      <w:spacing w:after="0" w:line="240" w:lineRule="auto"/>
    </w:pPr>
    <w:rPr>
      <w:color w:val="FFFFFF" w:themeColor="background1"/>
      <w:kern w:val="0"/>
      <w:lang w:val="en-US" w:eastAsia="en-US"/>
      <w14:ligatures w14:val="none"/>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7F39D8"/>
    <w:pPr>
      <w:spacing w:after="0" w:line="240" w:lineRule="auto"/>
    </w:pPr>
    <w:rPr>
      <w:color w:val="FFFFFF" w:themeColor="background1"/>
      <w:kern w:val="0"/>
      <w:lang w:val="en-US" w:eastAsia="en-US"/>
      <w14:ligatures w14:val="none"/>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7F39D8"/>
    <w:pPr>
      <w:spacing w:after="0" w:line="240" w:lineRule="auto"/>
    </w:pPr>
    <w:rPr>
      <w:color w:val="FFFFFF" w:themeColor="background1"/>
      <w:kern w:val="0"/>
      <w:lang w:val="en-US" w:eastAsia="en-US"/>
      <w14:ligatures w14:val="none"/>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7F39D8"/>
    <w:pPr>
      <w:spacing w:after="0" w:line="240" w:lineRule="auto"/>
    </w:pPr>
    <w:rPr>
      <w:color w:val="FFFFFF" w:themeColor="background1"/>
      <w:kern w:val="0"/>
      <w:lang w:val="en-US" w:eastAsia="en-US"/>
      <w14:ligatures w14:val="none"/>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7F39D8"/>
    <w:pPr>
      <w:spacing w:after="0" w:line="240" w:lineRule="auto"/>
    </w:pPr>
    <w:rPr>
      <w:color w:val="000000" w:themeColor="text1"/>
      <w:kern w:val="0"/>
      <w:lang w:val="en-US" w:eastAsia="en-US"/>
      <w14:ligatures w14:val="non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7F39D8"/>
    <w:pPr>
      <w:spacing w:after="0" w:line="240" w:lineRule="auto"/>
    </w:pPr>
    <w:rPr>
      <w:color w:val="000000" w:themeColor="text1"/>
      <w:kern w:val="0"/>
      <w:lang w:val="en-US" w:eastAsia="en-US"/>
      <w14:ligatures w14:val="none"/>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7F39D8"/>
    <w:pPr>
      <w:spacing w:after="0" w:line="240" w:lineRule="auto"/>
    </w:pPr>
    <w:rPr>
      <w:color w:val="000000" w:themeColor="text1"/>
      <w:kern w:val="0"/>
      <w:lang w:val="en-US" w:eastAsia="en-US"/>
      <w14:ligatures w14:val="none"/>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7F39D8"/>
    <w:pPr>
      <w:spacing w:after="0" w:line="240" w:lineRule="auto"/>
    </w:pPr>
    <w:rPr>
      <w:color w:val="000000" w:themeColor="text1"/>
      <w:kern w:val="0"/>
      <w:lang w:val="en-US" w:eastAsia="en-US"/>
      <w14:ligatures w14:val="non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7F39D8"/>
    <w:pPr>
      <w:spacing w:after="0" w:line="240" w:lineRule="auto"/>
    </w:pPr>
    <w:rPr>
      <w:color w:val="000000" w:themeColor="text1"/>
      <w:kern w:val="0"/>
      <w:lang w:val="en-US" w:eastAsia="en-US"/>
      <w14:ligatures w14:val="none"/>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7F39D8"/>
    <w:pPr>
      <w:spacing w:after="0" w:line="240" w:lineRule="auto"/>
    </w:pPr>
    <w:rPr>
      <w:color w:val="000000" w:themeColor="text1"/>
      <w:kern w:val="0"/>
      <w:lang w:val="en-US" w:eastAsia="en-US"/>
      <w14:ligatures w14:val="none"/>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7F39D8"/>
    <w:pPr>
      <w:spacing w:after="0" w:line="240" w:lineRule="auto"/>
    </w:pPr>
    <w:rPr>
      <w:color w:val="000000" w:themeColor="text1"/>
      <w:kern w:val="0"/>
      <w:lang w:val="en-US" w:eastAsia="en-US"/>
      <w14:ligatures w14:val="none"/>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7F39D8"/>
    <w:pPr>
      <w:spacing w:after="0" w:line="240" w:lineRule="auto"/>
    </w:pPr>
    <w:rPr>
      <w:color w:val="000000" w:themeColor="text1"/>
      <w:kern w:val="0"/>
      <w:lang w:val="en-US" w:eastAsia="en-US"/>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7F39D8"/>
    <w:pPr>
      <w:spacing w:after="0" w:line="240" w:lineRule="auto"/>
    </w:pPr>
    <w:rPr>
      <w:color w:val="000000" w:themeColor="text1"/>
      <w:kern w:val="0"/>
      <w:lang w:val="en-US" w:eastAsia="en-US"/>
      <w14:ligatures w14:val="none"/>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rsid w:val="007F39D8"/>
    <w:pPr>
      <w:spacing w:after="0" w:line="240" w:lineRule="auto"/>
    </w:pPr>
    <w:rPr>
      <w:color w:val="000000" w:themeColor="text1"/>
      <w:kern w:val="0"/>
      <w:lang w:val="en-US" w:eastAsia="en-US"/>
      <w14:ligatures w14:val="none"/>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7F39D8"/>
    <w:pPr>
      <w:spacing w:after="0" w:line="240" w:lineRule="auto"/>
    </w:pPr>
    <w:rPr>
      <w:color w:val="000000" w:themeColor="text1"/>
      <w:kern w:val="0"/>
      <w:lang w:val="en-US" w:eastAsia="en-US"/>
      <w14:ligatures w14:val="none"/>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7F39D8"/>
    <w:pPr>
      <w:spacing w:after="0" w:line="240" w:lineRule="auto"/>
    </w:pPr>
    <w:rPr>
      <w:color w:val="000000" w:themeColor="text1"/>
      <w:kern w:val="0"/>
      <w:lang w:val="en-US" w:eastAsia="en-US"/>
      <w14:ligatures w14:val="none"/>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7F39D8"/>
    <w:pPr>
      <w:spacing w:after="0" w:line="240" w:lineRule="auto"/>
    </w:pPr>
    <w:rPr>
      <w:color w:val="000000" w:themeColor="text1"/>
      <w:kern w:val="0"/>
      <w:lang w:val="en-US" w:eastAsia="en-US"/>
      <w14:ligatures w14:val="none"/>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7F39D8"/>
    <w:pPr>
      <w:spacing w:after="0" w:line="240" w:lineRule="auto"/>
    </w:pPr>
    <w:rPr>
      <w:color w:val="000000" w:themeColor="text1"/>
      <w:kern w:val="0"/>
      <w:lang w:val="en-US" w:eastAsia="en-US"/>
      <w14:ligatures w14:val="none"/>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7F39D8"/>
    <w:pPr>
      <w:spacing w:after="0" w:line="240" w:lineRule="auto"/>
    </w:pPr>
    <w:rPr>
      <w:color w:val="000000" w:themeColor="text1"/>
      <w:kern w:val="0"/>
      <w:lang w:val="en-US" w:eastAsia="en-US"/>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7F39D8"/>
    <w:pPr>
      <w:spacing w:after="0" w:line="240" w:lineRule="auto"/>
    </w:pPr>
    <w:rPr>
      <w:color w:val="000000" w:themeColor="text1"/>
      <w:kern w:val="0"/>
      <w:lang w:val="en-US" w:eastAsia="en-US"/>
      <w14:ligatures w14:val="none"/>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rsid w:val="007F39D8"/>
    <w:pPr>
      <w:spacing w:after="0" w:line="240" w:lineRule="auto"/>
    </w:pPr>
    <w:rPr>
      <w:color w:val="000000" w:themeColor="text1"/>
      <w:kern w:val="0"/>
      <w:lang w:val="en-US" w:eastAsia="en-US"/>
      <w14:ligatures w14:val="none"/>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7F39D8"/>
    <w:pPr>
      <w:spacing w:after="0" w:line="240" w:lineRule="auto"/>
    </w:pPr>
    <w:rPr>
      <w:color w:val="000000" w:themeColor="text1"/>
      <w:kern w:val="0"/>
      <w:lang w:val="en-US" w:eastAsia="en-US"/>
      <w14:ligatures w14:val="none"/>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7F39D8"/>
    <w:pPr>
      <w:spacing w:after="0" w:line="240" w:lineRule="auto"/>
    </w:pPr>
    <w:rPr>
      <w:color w:val="000000" w:themeColor="text1"/>
      <w:kern w:val="0"/>
      <w:lang w:val="en-US" w:eastAsia="en-US"/>
      <w14:ligatures w14:val="none"/>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7F39D8"/>
    <w:pPr>
      <w:spacing w:after="0" w:line="240" w:lineRule="auto"/>
    </w:pPr>
    <w:rPr>
      <w:color w:val="000000" w:themeColor="text1"/>
      <w:kern w:val="0"/>
      <w:lang w:val="en-US" w:eastAsia="en-US"/>
      <w14:ligatures w14:val="none"/>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rsid w:val="007F39D8"/>
    <w:pPr>
      <w:spacing w:after="0" w:line="240" w:lineRule="auto"/>
    </w:pPr>
    <w:rPr>
      <w:color w:val="000000" w:themeColor="text1"/>
      <w:kern w:val="0"/>
      <w:lang w:val="en-US" w:eastAsia="en-US"/>
      <w14:ligatures w14:val="none"/>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customStyle="1" w:styleId="Sourcenote">
    <w:name w:val="Source note"/>
    <w:rsid w:val="007F39D8"/>
    <w:pPr>
      <w:spacing w:after="100" w:line="276" w:lineRule="auto"/>
    </w:pPr>
    <w:rPr>
      <w:rFonts w:ascii="Arial" w:hAnsi="Arial"/>
      <w:color w:val="000000"/>
      <w:kern w:val="0"/>
      <w:sz w:val="19"/>
      <w:lang w:val="en-US" w:eastAsia="en-US"/>
      <w14:ligatures w14:val="none"/>
    </w:rPr>
  </w:style>
  <w:style w:type="paragraph" w:customStyle="1" w:styleId="Referencetext">
    <w:name w:val="Reference text"/>
    <w:rsid w:val="007F39D8"/>
    <w:pPr>
      <w:spacing w:after="200" w:line="276" w:lineRule="auto"/>
    </w:pPr>
    <w:rPr>
      <w:rFonts w:ascii="Arial" w:hAnsi="Arial"/>
      <w:color w:val="000000"/>
      <w:kern w:val="0"/>
      <w:sz w:val="21"/>
      <w:lang w:val="en-US" w:eastAsia="en-US"/>
      <w14:ligatures w14:val="none"/>
    </w:rPr>
  </w:style>
  <w:style w:type="paragraph" w:customStyle="1" w:styleId="TOCentry1">
    <w:name w:val="TOC entry 1"/>
    <w:rsid w:val="007F39D8"/>
    <w:pPr>
      <w:spacing w:after="100" w:line="276" w:lineRule="auto"/>
    </w:pPr>
    <w:rPr>
      <w:rFonts w:ascii="Arial" w:hAnsi="Arial"/>
      <w:color w:val="000000"/>
      <w:kern w:val="0"/>
      <w:sz w:val="21"/>
      <w:lang w:val="en-US" w:eastAsia="en-US"/>
      <w14:ligatures w14:val="none"/>
    </w:rPr>
  </w:style>
  <w:style w:type="paragraph" w:customStyle="1" w:styleId="TOCentry2">
    <w:name w:val="TOC entry 2"/>
    <w:rsid w:val="007F39D8"/>
    <w:pPr>
      <w:spacing w:after="100" w:line="276" w:lineRule="auto"/>
    </w:pPr>
    <w:rPr>
      <w:rFonts w:ascii="Arial" w:hAnsi="Arial"/>
      <w:color w:val="000000"/>
      <w:kern w:val="0"/>
      <w:sz w:val="19"/>
      <w:lang w:val="en-US" w:eastAsia="en-US"/>
      <w14:ligatures w14:val="none"/>
    </w:rPr>
  </w:style>
  <w:style w:type="character" w:styleId="UnresolvedMention">
    <w:name w:val="Unresolved Mention"/>
    <w:basedOn w:val="DefaultParagraphFont"/>
    <w:uiPriority w:val="99"/>
    <w:semiHidden/>
    <w:unhideWhenUsed/>
    <w:rsid w:val="0026719F"/>
    <w:rPr>
      <w:color w:val="605E5C"/>
      <w:shd w:val="clear" w:color="auto" w:fill="E1DFDD"/>
    </w:rPr>
  </w:style>
  <w:style w:type="paragraph" w:styleId="TOC4">
    <w:name w:val="toc 4"/>
    <w:basedOn w:val="Normal"/>
    <w:next w:val="Normal"/>
    <w:autoRedefine/>
    <w:uiPriority w:val="39"/>
    <w:unhideWhenUsed/>
    <w:rsid w:val="00911724"/>
    <w:pPr>
      <w:spacing w:after="100" w:line="278" w:lineRule="auto"/>
      <w:ind w:left="720"/>
    </w:pPr>
    <w:rPr>
      <w:sz w:val="24"/>
      <w:szCs w:val="24"/>
      <w:lang w:val="en-PK" w:eastAsia="en-PK"/>
    </w:rPr>
  </w:style>
  <w:style w:type="paragraph" w:styleId="TOC5">
    <w:name w:val="toc 5"/>
    <w:basedOn w:val="Normal"/>
    <w:next w:val="Normal"/>
    <w:autoRedefine/>
    <w:uiPriority w:val="39"/>
    <w:unhideWhenUsed/>
    <w:rsid w:val="00911724"/>
    <w:pPr>
      <w:spacing w:after="100" w:line="278" w:lineRule="auto"/>
      <w:ind w:left="960"/>
    </w:pPr>
    <w:rPr>
      <w:sz w:val="24"/>
      <w:szCs w:val="24"/>
      <w:lang w:val="en-PK" w:eastAsia="en-PK"/>
    </w:rPr>
  </w:style>
  <w:style w:type="paragraph" w:styleId="TOC6">
    <w:name w:val="toc 6"/>
    <w:basedOn w:val="Normal"/>
    <w:next w:val="Normal"/>
    <w:autoRedefine/>
    <w:uiPriority w:val="39"/>
    <w:unhideWhenUsed/>
    <w:rsid w:val="00911724"/>
    <w:pPr>
      <w:spacing w:after="100" w:line="278" w:lineRule="auto"/>
      <w:ind w:left="1200"/>
    </w:pPr>
    <w:rPr>
      <w:sz w:val="24"/>
      <w:szCs w:val="24"/>
      <w:lang w:val="en-PK" w:eastAsia="en-PK"/>
    </w:rPr>
  </w:style>
  <w:style w:type="paragraph" w:styleId="TOC7">
    <w:name w:val="toc 7"/>
    <w:basedOn w:val="Normal"/>
    <w:next w:val="Normal"/>
    <w:autoRedefine/>
    <w:uiPriority w:val="39"/>
    <w:unhideWhenUsed/>
    <w:rsid w:val="00911724"/>
    <w:pPr>
      <w:spacing w:after="100" w:line="278" w:lineRule="auto"/>
      <w:ind w:left="1440"/>
    </w:pPr>
    <w:rPr>
      <w:sz w:val="24"/>
      <w:szCs w:val="24"/>
      <w:lang w:val="en-PK" w:eastAsia="en-PK"/>
    </w:rPr>
  </w:style>
  <w:style w:type="paragraph" w:styleId="TOC8">
    <w:name w:val="toc 8"/>
    <w:basedOn w:val="Normal"/>
    <w:next w:val="Normal"/>
    <w:autoRedefine/>
    <w:uiPriority w:val="39"/>
    <w:unhideWhenUsed/>
    <w:rsid w:val="00911724"/>
    <w:pPr>
      <w:spacing w:after="100" w:line="278" w:lineRule="auto"/>
      <w:ind w:left="1680"/>
    </w:pPr>
    <w:rPr>
      <w:sz w:val="24"/>
      <w:szCs w:val="24"/>
      <w:lang w:val="en-PK" w:eastAsia="en-PK"/>
    </w:rPr>
  </w:style>
  <w:style w:type="paragraph" w:styleId="TOC9">
    <w:name w:val="toc 9"/>
    <w:basedOn w:val="Normal"/>
    <w:next w:val="Normal"/>
    <w:autoRedefine/>
    <w:uiPriority w:val="39"/>
    <w:unhideWhenUsed/>
    <w:rsid w:val="00911724"/>
    <w:pPr>
      <w:spacing w:after="100" w:line="278" w:lineRule="auto"/>
      <w:ind w:left="1920"/>
    </w:pPr>
    <w:rPr>
      <w:sz w:val="24"/>
      <w:szCs w:val="24"/>
      <w:lang w:val="en-PK" w:eastAsia="en-P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7c30d81767f4fd8d4da078e69a927a86">
  <xsd:schema xmlns:xsd="http://www.w3.org/2001/XMLSchema" xmlns:xs="http://www.w3.org/2001/XMLSchema" xmlns:p="http://schemas.microsoft.com/office/2006/metadata/properties" xmlns:ns3="b4f9f7ee-5770-4a14-8925-17f3d16e50b7" targetNamespace="http://schemas.microsoft.com/office/2006/metadata/properties" ma:root="true" ma:fieldsID="8fed32ab0ccbec12233d806d79eb9199"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GenerationTime" minOccurs="0"/>
                <xsd:element ref="ns3:MediaServiceEventHashCode"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F39751-7F4D-48D2-8BD0-252C816EFE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8A728F-0817-41DC-A5D9-A384C0CFB839}">
  <ds:schemaRefs>
    <ds:schemaRef ds:uri="http://schemas.microsoft.com/office/2006/metadata/properties"/>
    <ds:schemaRef ds:uri="http://schemas.microsoft.com/office/infopath/2007/PartnerControls"/>
    <ds:schemaRef ds:uri="b4f9f7ee-5770-4a14-8925-17f3d16e50b7"/>
  </ds:schemaRefs>
</ds:datastoreItem>
</file>

<file path=customXml/itemProps3.xml><?xml version="1.0" encoding="utf-8"?>
<ds:datastoreItem xmlns:ds="http://schemas.openxmlformats.org/officeDocument/2006/customXml" ds:itemID="{B155EDAE-6D0D-4194-9444-B907593BAFBA}">
  <ds:schemaRefs>
    <ds:schemaRef ds:uri="http://schemas.microsoft.com/sharepoint/v3/contenttype/forms"/>
  </ds:schemaRefs>
</ds:datastoreItem>
</file>

<file path=customXml/itemProps4.xml><?xml version="1.0" encoding="utf-8"?>
<ds:datastoreItem xmlns:ds="http://schemas.openxmlformats.org/officeDocument/2006/customXml" ds:itemID="{46C8BFB9-F0C9-47E5-B467-C11D5D7F7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117</Pages>
  <Words>32718</Words>
  <Characters>186498</Characters>
  <Application>Microsoft Office Word</Application>
  <DocSecurity>0</DocSecurity>
  <Lines>1554</Lines>
  <Paragraphs>437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Bisma Amin (2435002)</cp:lastModifiedBy>
  <cp:revision>9</cp:revision>
  <cp:lastPrinted>2023-09-23T02:18:00Z</cp:lastPrinted>
  <dcterms:created xsi:type="dcterms:W3CDTF">2026-10-10T11:12:00Z</dcterms:created>
  <dcterms:modified xsi:type="dcterms:W3CDTF">2026-10-10T11:23:00Z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